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D618B">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0" w:firstLineChars="0"/>
        <w:jc w:val="left"/>
        <w:textAlignment w:val="auto"/>
        <w:outlineLvl w:val="9"/>
        <w:rPr>
          <w:rFonts w:hint="eastAsia" w:ascii="Times New Roman" w:hAnsi="Times New Roman" w:eastAsia="黑体" w:cs="黑体"/>
          <w:bCs/>
          <w:color w:val="auto"/>
          <w:spacing w:val="0"/>
          <w:kern w:val="0"/>
          <w:sz w:val="32"/>
          <w:szCs w:val="32"/>
          <w:u w:val="none" w:color="auto"/>
          <w:shd w:val="clear" w:color="auto" w:fill="FFFFFF"/>
        </w:rPr>
      </w:pPr>
      <w:r>
        <w:rPr>
          <w:rFonts w:hint="eastAsia" w:ascii="Times New Roman" w:hAnsi="Times New Roman" w:eastAsia="黑体" w:cs="黑体"/>
          <w:color w:val="auto"/>
          <w:spacing w:val="0"/>
          <w:sz w:val="32"/>
          <w:szCs w:val="32"/>
          <w:u w:val="none" w:color="auto"/>
          <w:lang w:val="en-US" w:eastAsia="zh-CN"/>
        </w:rPr>
        <w:t>附件</w:t>
      </w:r>
    </w:p>
    <w:p w14:paraId="12F6CE25">
      <w:pPr>
        <w:keepNext w:val="0"/>
        <w:keepLines w:val="0"/>
        <w:pageBreakBefore w:val="0"/>
        <w:widowControl w:val="0"/>
        <w:kinsoku/>
        <w:wordWrap/>
        <w:overflowPunct w:val="0"/>
        <w:topLinePunct w:val="0"/>
        <w:autoSpaceDE w:val="0"/>
        <w:autoSpaceDN/>
        <w:bidi w:val="0"/>
        <w:adjustRightInd/>
        <w:snapToGrid/>
        <w:spacing w:line="600" w:lineRule="exact"/>
        <w:ind w:firstLine="0" w:firstLineChars="0"/>
        <w:jc w:val="center"/>
        <w:textAlignment w:val="auto"/>
        <w:outlineLvl w:val="9"/>
        <w:rPr>
          <w:rFonts w:hint="eastAsia" w:ascii="Times New Roman" w:hAnsi="Times New Roman" w:eastAsia="方正小标宋简体" w:cs="方正小标宋简体"/>
          <w:bCs/>
          <w:color w:val="auto"/>
          <w:spacing w:val="0"/>
          <w:kern w:val="0"/>
          <w:sz w:val="44"/>
          <w:szCs w:val="44"/>
          <w:u w:val="none" w:color="auto"/>
          <w:shd w:val="clear" w:color="auto" w:fill="FFFFFF"/>
        </w:rPr>
      </w:pPr>
    </w:p>
    <w:p w14:paraId="7280255C">
      <w:pPr>
        <w:keepNext w:val="0"/>
        <w:keepLines w:val="0"/>
        <w:pageBreakBefore w:val="0"/>
        <w:widowControl w:val="0"/>
        <w:kinsoku/>
        <w:wordWrap/>
        <w:overflowPunct w:val="0"/>
        <w:topLinePunct w:val="0"/>
        <w:autoSpaceDE w:val="0"/>
        <w:autoSpaceDN/>
        <w:bidi w:val="0"/>
        <w:adjustRightInd/>
        <w:snapToGrid/>
        <w:spacing w:line="600" w:lineRule="exact"/>
        <w:ind w:firstLine="0" w:firstLineChars="0"/>
        <w:jc w:val="center"/>
        <w:textAlignment w:val="auto"/>
        <w:outlineLvl w:val="9"/>
        <w:rPr>
          <w:rFonts w:hint="eastAsia" w:ascii="Times New Roman" w:hAnsi="Times New Roman" w:eastAsia="方正小标宋简体" w:cs="方正小标宋简体"/>
          <w:bCs/>
          <w:color w:val="auto"/>
          <w:spacing w:val="0"/>
          <w:kern w:val="0"/>
          <w:sz w:val="44"/>
          <w:szCs w:val="44"/>
          <w:u w:val="none" w:color="auto"/>
          <w:shd w:val="clear" w:color="auto" w:fill="FFFFFF"/>
        </w:rPr>
      </w:pPr>
      <w:r>
        <w:rPr>
          <w:rFonts w:hint="eastAsia" w:ascii="Times New Roman" w:hAnsi="Times New Roman" w:eastAsia="方正小标宋简体" w:cs="方正小标宋简体"/>
          <w:bCs/>
          <w:color w:val="auto"/>
          <w:spacing w:val="0"/>
          <w:kern w:val="0"/>
          <w:sz w:val="44"/>
          <w:szCs w:val="44"/>
          <w:u w:val="none" w:color="auto"/>
          <w:shd w:val="clear" w:color="auto" w:fill="FFFFFF"/>
        </w:rPr>
        <w:t>四川省省级矿业权出让网上交易规则</w:t>
      </w:r>
    </w:p>
    <w:p w14:paraId="3656CF55">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0" w:firstLineChars="0"/>
        <w:jc w:val="center"/>
        <w:textAlignment w:val="auto"/>
        <w:rPr>
          <w:rFonts w:hint="eastAsia" w:ascii="Times New Roman" w:hAnsi="Times New Roman" w:eastAsia="楷体_GB2312" w:cs="楷体_GB2312"/>
          <w:color w:val="auto"/>
          <w:spacing w:val="0"/>
          <w:sz w:val="32"/>
          <w:szCs w:val="32"/>
          <w:highlight w:val="none"/>
          <w:u w:val="none" w:color="auto"/>
          <w:lang w:val="en-US" w:eastAsia="zh-CN"/>
        </w:rPr>
      </w:pPr>
    </w:p>
    <w:p w14:paraId="36DE5CA9">
      <w:pPr>
        <w:keepNext w:val="0"/>
        <w:keepLines w:val="0"/>
        <w:pageBreakBefore w:val="0"/>
        <w:widowControl w:val="0"/>
        <w:kinsoku/>
        <w:wordWrap/>
        <w:overflowPunct w:val="0"/>
        <w:topLinePunct w:val="0"/>
        <w:autoSpaceDE w:val="0"/>
        <w:autoSpaceDN/>
        <w:bidi w:val="0"/>
        <w:adjustRightInd/>
        <w:snapToGrid/>
        <w:spacing w:line="600" w:lineRule="exact"/>
        <w:jc w:val="center"/>
        <w:textAlignment w:val="auto"/>
        <w:outlineLvl w:val="9"/>
        <w:rPr>
          <w:rFonts w:hint="eastAsia" w:ascii="Times New Roman" w:hAnsi="Times New Roman" w:eastAsia="黑体" w:cs="黑体"/>
          <w:color w:val="auto"/>
          <w:spacing w:val="0"/>
          <w:sz w:val="28"/>
          <w:szCs w:val="28"/>
          <w:u w:val="none" w:color="auto"/>
          <w:vertAlign w:val="baseline"/>
          <w:lang w:val="en-US" w:eastAsia="zh-CN"/>
        </w:rPr>
      </w:pPr>
    </w:p>
    <w:p w14:paraId="2A2A484B">
      <w:pPr>
        <w:keepNext w:val="0"/>
        <w:keepLines w:val="0"/>
        <w:pageBreakBefore w:val="0"/>
        <w:widowControl w:val="0"/>
        <w:numPr>
          <w:ilvl w:val="0"/>
          <w:numId w:val="1"/>
        </w:numPr>
        <w:kinsoku/>
        <w:wordWrap/>
        <w:overflowPunct w:val="0"/>
        <w:topLinePunct w:val="0"/>
        <w:autoSpaceDE w:val="0"/>
        <w:autoSpaceDN/>
        <w:bidi w:val="0"/>
        <w:adjustRightInd/>
        <w:snapToGrid/>
        <w:spacing w:line="600" w:lineRule="exact"/>
        <w:ind w:firstLine="0" w:firstLineChars="0"/>
        <w:jc w:val="center"/>
        <w:textAlignment w:val="auto"/>
        <w:outlineLvl w:val="9"/>
        <w:rPr>
          <w:rFonts w:hint="eastAsia" w:ascii="Times New Roman" w:hAnsi="Times New Roman" w:eastAsia="黑体" w:cs="黑体"/>
          <w:color w:val="auto"/>
          <w:spacing w:val="0"/>
          <w:sz w:val="32"/>
          <w:szCs w:val="32"/>
          <w:u w:val="none" w:color="auto"/>
          <w:vertAlign w:val="baseline"/>
          <w:lang w:val="en-US" w:eastAsia="zh-CN"/>
        </w:rPr>
      </w:pPr>
      <w:r>
        <w:rPr>
          <w:rFonts w:hint="eastAsia" w:ascii="Times New Roman" w:hAnsi="Times New Roman" w:eastAsia="黑体" w:cs="黑体"/>
          <w:color w:val="auto"/>
          <w:spacing w:val="0"/>
          <w:sz w:val="32"/>
          <w:szCs w:val="32"/>
          <w:u w:val="none" w:color="auto"/>
          <w:vertAlign w:val="baseline"/>
          <w:lang w:val="en-US" w:eastAsia="zh-CN"/>
        </w:rPr>
        <w:t xml:space="preserve"> 总  则</w:t>
      </w:r>
    </w:p>
    <w:p w14:paraId="51DCA919">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rPr>
      </w:pPr>
      <w:r>
        <w:rPr>
          <w:rFonts w:hint="eastAsia" w:ascii="Times New Roman" w:hAnsi="Times New Roman" w:eastAsia="仿宋_GB2312" w:cs="仿宋_GB2312"/>
          <w:b/>
          <w:bCs w:val="0"/>
          <w:color w:val="auto"/>
          <w:spacing w:val="0"/>
          <w:kern w:val="0"/>
          <w:sz w:val="32"/>
          <w:szCs w:val="32"/>
          <w:u w:val="none" w:color="auto"/>
          <w:shd w:val="clear" w:color="auto" w:fill="FFFFFF"/>
        </w:rPr>
        <w:t>第一条</w:t>
      </w:r>
      <w:r>
        <w:rPr>
          <w:rFonts w:hint="eastAsia" w:ascii="Times New Roman" w:hAnsi="Times New Roman" w:eastAsia="仿宋_GB2312" w:cs="仿宋_GB2312"/>
          <w:bCs/>
          <w:color w:val="auto"/>
          <w:spacing w:val="0"/>
          <w:kern w:val="0"/>
          <w:sz w:val="32"/>
          <w:szCs w:val="32"/>
          <w:u w:val="none" w:color="auto"/>
          <w:shd w:val="clear" w:color="auto" w:fill="FFFFFF"/>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rPr>
        <w:t>为规范四川省省级矿业权出让网上交易行为，维护公开、公平、公正的交易秩序，根据《中华人民共和国矿产资源法》《中华人民共和国拍卖法》和《自然资源部关于印发矿业权出让交易规则的通知》（自然资规〔2023〕1号）等有关规定，结合我省省级矿业权出让实际情况，制定本规则。</w:t>
      </w:r>
    </w:p>
    <w:p w14:paraId="0DF95A7A">
      <w:pPr>
        <w:pStyle w:val="6"/>
        <w:keepNext w:val="0"/>
        <w:keepLines w:val="0"/>
        <w:pageBreakBefore w:val="0"/>
        <w:widowControl w:val="0"/>
        <w:kinsoku/>
        <w:wordWrap/>
        <w:overflowPunct w:val="0"/>
        <w:topLinePunct w:val="0"/>
        <w:autoSpaceDE w:val="0"/>
        <w:autoSpaceDN/>
        <w:bidi w:val="0"/>
        <w:adjustRightInd/>
        <w:snapToGrid/>
        <w:spacing w:line="600" w:lineRule="exact"/>
        <w:ind w:firstLine="649" w:firstLineChars="202"/>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bCs w:val="0"/>
          <w:color w:val="auto"/>
          <w:spacing w:val="0"/>
          <w:kern w:val="0"/>
          <w:sz w:val="32"/>
          <w:szCs w:val="32"/>
          <w:u w:val="none" w:color="auto"/>
          <w:shd w:val="clear" w:color="auto" w:fill="FFFFFF"/>
          <w:lang w:val="en-US" w:eastAsia="zh-CN"/>
        </w:rPr>
        <w:t>第二条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本规则所称四川省省级矿业权出让网上交易，是指四川省自然资源厅（含自然资源部委托组织实施）委托四川省政府政务服务和公共资源交易服务中心（以下简称矿业权交易平台）在全国公共资源交易平台（四川省）（http://ggzyjy.sc.gov.cn/）矿业权网上交易系统（以下简称网上交易系统）以拍卖、挂牌方式出让矿业权的行为。</w:t>
      </w:r>
    </w:p>
    <w:p w14:paraId="46D1489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网上拍卖包括信息发布、竞买申请、自由竞价、限时竞价、结果公示等程序。</w:t>
      </w:r>
    </w:p>
    <w:p w14:paraId="1BFE86F8">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网上挂牌包括信息发布、竞买申请、挂牌报价、限时竞价、结果公示等程序。</w:t>
      </w:r>
    </w:p>
    <w:p w14:paraId="2EB37B10">
      <w:pPr>
        <w:keepNext w:val="0"/>
        <w:keepLines w:val="0"/>
        <w:pageBreakBefore w:val="0"/>
        <w:widowControl w:val="0"/>
        <w:kinsoku/>
        <w:wordWrap/>
        <w:overflowPunct w:val="0"/>
        <w:topLinePunct w:val="0"/>
        <w:autoSpaceDE w:val="0"/>
        <w:autoSpaceDN/>
        <w:bidi w:val="0"/>
        <w:adjustRightInd/>
        <w:snapToGrid/>
        <w:spacing w:line="58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bCs w:val="0"/>
          <w:color w:val="auto"/>
          <w:spacing w:val="0"/>
          <w:kern w:val="0"/>
          <w:sz w:val="32"/>
          <w:szCs w:val="32"/>
          <w:u w:val="none" w:color="auto"/>
          <w:shd w:val="clear" w:color="auto" w:fill="FFFFFF"/>
          <w:lang w:val="en-US" w:eastAsia="zh-CN"/>
        </w:rPr>
        <w:t>第三条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由四川省自然资源厅（含自然资源部委托组织实施）（以下简称出让人）委托矿业权交易平台以网上交易方式（拍卖、挂牌）出让矿业权的，适用本规则。</w:t>
      </w:r>
    </w:p>
    <w:p w14:paraId="22E4689A">
      <w:pPr>
        <w:pStyle w:val="6"/>
        <w:keepNext w:val="0"/>
        <w:keepLines w:val="0"/>
        <w:pageBreakBefore w:val="0"/>
        <w:widowControl w:val="0"/>
        <w:kinsoku/>
        <w:wordWrap/>
        <w:overflowPunct w:val="0"/>
        <w:topLinePunct w:val="0"/>
        <w:autoSpaceDE w:val="0"/>
        <w:autoSpaceDN/>
        <w:bidi w:val="0"/>
        <w:adjustRightInd/>
        <w:snapToGrid/>
        <w:spacing w:line="580" w:lineRule="exact"/>
        <w:ind w:firstLine="649" w:firstLineChars="202"/>
        <w:textAlignment w:val="auto"/>
        <w:outlineLvl w:val="9"/>
        <w:rPr>
          <w:rFonts w:hint="eastAsia" w:ascii="Times New Roman" w:hAnsi="Times New Roman" w:eastAsia="仿宋_GB2312" w:cs="仿宋_GB2312"/>
          <w:bCs/>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bCs w:val="0"/>
          <w:color w:val="auto"/>
          <w:spacing w:val="0"/>
          <w:kern w:val="0"/>
          <w:sz w:val="32"/>
          <w:szCs w:val="32"/>
          <w:u w:val="none" w:color="auto"/>
          <w:shd w:val="clear" w:color="auto" w:fill="FFFFFF"/>
          <w:lang w:val="en-US" w:eastAsia="zh-CN" w:bidi="ar-SA"/>
        </w:rPr>
        <w:t>第四条</w:t>
      </w: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spacing w:val="0"/>
          <w:kern w:val="0"/>
          <w:sz w:val="32"/>
          <w:szCs w:val="32"/>
          <w:u w:val="none" w:color="auto"/>
          <w:shd w:val="clear" w:color="auto" w:fill="FFFFFF"/>
          <w:lang w:val="en-US" w:eastAsia="zh-CN" w:bidi="ar-SA"/>
        </w:rPr>
        <w:t xml:space="preserve"> 矿业权出让交易（拍卖、挂牌）主体是指依法参加矿业权出让交易的出让人、竞买人和竞得人。竞买人和竞得人应当符合法律、法规、政策文件有关资质要求的规定。</w:t>
      </w:r>
    </w:p>
    <w:p w14:paraId="746F03CC">
      <w:pPr>
        <w:pStyle w:val="6"/>
        <w:keepNext w:val="0"/>
        <w:keepLines w:val="0"/>
        <w:pageBreakBefore w:val="0"/>
        <w:widowControl w:val="0"/>
        <w:kinsoku/>
        <w:wordWrap/>
        <w:overflowPunct w:val="0"/>
        <w:topLinePunct w:val="0"/>
        <w:autoSpaceDE w:val="0"/>
        <w:autoSpaceDN/>
        <w:bidi w:val="0"/>
        <w:adjustRightInd/>
        <w:snapToGrid/>
        <w:spacing w:line="580" w:lineRule="exact"/>
        <w:ind w:firstLine="646" w:firstLineChars="202"/>
        <w:textAlignment w:val="auto"/>
        <w:outlineLvl w:val="9"/>
        <w:rPr>
          <w:rFonts w:hint="eastAsia" w:ascii="Times New Roman" w:hAnsi="Times New Roman" w:eastAsia="仿宋_GB2312" w:cs="仿宋_GB2312"/>
          <w:bCs/>
          <w:spacing w:val="6"/>
          <w:kern w:val="0"/>
          <w:sz w:val="32"/>
          <w:szCs w:val="32"/>
          <w:u w:val="none" w:color="auto"/>
          <w:shd w:val="clear" w:color="auto" w:fill="FFFFFF"/>
          <w:lang w:val="en-US" w:eastAsia="zh-CN" w:bidi="ar-SA"/>
        </w:rPr>
      </w:pPr>
      <w:r>
        <w:rPr>
          <w:rFonts w:hint="eastAsia" w:ascii="Times New Roman" w:hAnsi="Times New Roman" w:eastAsia="仿宋_GB2312" w:cs="仿宋_GB2312"/>
          <w:bCs/>
          <w:spacing w:val="0"/>
          <w:kern w:val="0"/>
          <w:sz w:val="32"/>
          <w:szCs w:val="32"/>
          <w:u w:val="none" w:color="auto"/>
          <w:shd w:val="clear" w:color="auto" w:fill="FFFFFF"/>
          <w:lang w:val="en-US" w:eastAsia="zh-CN" w:bidi="ar-SA"/>
        </w:rPr>
        <w:t>出</w:t>
      </w:r>
      <w:r>
        <w:rPr>
          <w:rFonts w:hint="eastAsia" w:ascii="Times New Roman" w:hAnsi="Times New Roman" w:eastAsia="仿宋_GB2312" w:cs="仿宋_GB2312"/>
          <w:bCs/>
          <w:spacing w:val="6"/>
          <w:kern w:val="0"/>
          <w:sz w:val="32"/>
          <w:szCs w:val="32"/>
          <w:u w:val="none" w:color="auto"/>
          <w:shd w:val="clear" w:color="auto" w:fill="FFFFFF"/>
          <w:lang w:val="en-US" w:eastAsia="zh-CN" w:bidi="ar-SA"/>
        </w:rPr>
        <w:t>让人在出让公告中不得设定影响公平、公正竞争的限制条件。</w:t>
      </w:r>
    </w:p>
    <w:p w14:paraId="19BA1D71">
      <w:pPr>
        <w:pStyle w:val="6"/>
        <w:keepNext w:val="0"/>
        <w:keepLines w:val="0"/>
        <w:pageBreakBefore w:val="0"/>
        <w:widowControl w:val="0"/>
        <w:kinsoku/>
        <w:wordWrap/>
        <w:overflowPunct w:val="0"/>
        <w:topLinePunct w:val="0"/>
        <w:autoSpaceDE w:val="0"/>
        <w:autoSpaceDN/>
        <w:bidi w:val="0"/>
        <w:adjustRightInd/>
        <w:snapToGrid/>
        <w:spacing w:line="580" w:lineRule="exact"/>
        <w:ind w:firstLine="649" w:firstLineChars="202"/>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bCs w:val="0"/>
          <w:color w:val="auto"/>
          <w:spacing w:val="0"/>
          <w:kern w:val="0"/>
          <w:sz w:val="32"/>
          <w:szCs w:val="32"/>
          <w:u w:val="none" w:color="auto"/>
          <w:shd w:val="clear" w:color="auto" w:fill="FFFFFF"/>
          <w:lang w:val="en-US" w:eastAsia="zh-CN" w:bidi="ar-SA"/>
        </w:rPr>
        <w:t>第五条</w:t>
      </w: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出让人负责确定出让方式（拍卖、挂牌）并对矿业权交易平台组织实施的矿业权网上交易活动进行监管。</w:t>
      </w:r>
    </w:p>
    <w:p w14:paraId="1BDC8906">
      <w:pPr>
        <w:pStyle w:val="6"/>
        <w:keepNext w:val="0"/>
        <w:keepLines w:val="0"/>
        <w:pageBreakBefore w:val="0"/>
        <w:widowControl w:val="0"/>
        <w:kinsoku/>
        <w:wordWrap/>
        <w:overflowPunct w:val="0"/>
        <w:topLinePunct w:val="0"/>
        <w:autoSpaceDE w:val="0"/>
        <w:autoSpaceDN/>
        <w:bidi w:val="0"/>
        <w:adjustRightInd/>
        <w:snapToGrid/>
        <w:spacing w:line="580" w:lineRule="exact"/>
        <w:ind w:firstLine="649" w:firstLineChars="202"/>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bCs w:val="0"/>
          <w:color w:val="auto"/>
          <w:spacing w:val="0"/>
          <w:kern w:val="0"/>
          <w:sz w:val="32"/>
          <w:szCs w:val="32"/>
          <w:u w:val="none" w:color="auto"/>
          <w:shd w:val="clear" w:color="auto" w:fill="FFFFFF"/>
          <w:lang w:val="en-US" w:eastAsia="zh-CN" w:bidi="ar-SA"/>
        </w:rPr>
        <w:t>第六条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矿业权交易平台负责网上交易系统的日常运维和管理，并根据出让人</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的委托书（含出让方案）组织实施</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网上公开出让。</w:t>
      </w:r>
    </w:p>
    <w:p w14:paraId="3C60FF92">
      <w:pPr>
        <w:pStyle w:val="6"/>
        <w:keepNext w:val="0"/>
        <w:keepLines w:val="0"/>
        <w:pageBreakBefore w:val="0"/>
        <w:widowControl w:val="0"/>
        <w:kinsoku/>
        <w:wordWrap/>
        <w:overflowPunct w:val="0"/>
        <w:topLinePunct w:val="0"/>
        <w:autoSpaceDE w:val="0"/>
        <w:autoSpaceDN/>
        <w:bidi w:val="0"/>
        <w:adjustRightInd/>
        <w:snapToGrid/>
        <w:spacing w:line="580" w:lineRule="atLeast"/>
        <w:ind w:firstLine="649" w:firstLineChars="202"/>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bCs w:val="0"/>
          <w:color w:val="auto"/>
          <w:spacing w:val="0"/>
          <w:kern w:val="0"/>
          <w:sz w:val="32"/>
          <w:szCs w:val="32"/>
          <w:u w:val="none" w:color="auto"/>
          <w:shd w:val="clear" w:color="auto" w:fill="FFFFFF"/>
          <w:lang w:val="en-US" w:eastAsia="zh-CN" w:bidi="ar-SA"/>
        </w:rPr>
        <w:t>第七条</w:t>
      </w: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为确保矿业权交易安全</w:t>
      </w:r>
      <w:r>
        <w:rPr>
          <w:rFonts w:hint="eastAsia" w:ascii="Times New Roman" w:hAnsi="Times New Roman" w:cs="仿宋_GB2312"/>
          <w:bCs/>
          <w:color w:val="auto"/>
          <w:spacing w:val="0"/>
          <w:kern w:val="0"/>
          <w:sz w:val="32"/>
          <w:szCs w:val="32"/>
          <w:highlight w:val="none"/>
          <w:u w:val="none" w:color="auto"/>
          <w:shd w:val="clear" w:color="auto" w:fill="FFFFFF"/>
          <w:lang w:val="en-US" w:eastAsia="zh-CN" w:bidi="ar-SA"/>
        </w:rPr>
        <w:t>，</w:t>
      </w: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在矿业权交易中使用保函或保证金</w:t>
      </w:r>
      <w:r>
        <w:rPr>
          <w:rFonts w:hint="eastAsia" w:ascii="Times New Roman" w:hAnsi="Times New Roman" w:cs="仿宋_GB2312"/>
          <w:bCs/>
          <w:color w:val="auto"/>
          <w:spacing w:val="0"/>
          <w:kern w:val="0"/>
          <w:sz w:val="32"/>
          <w:szCs w:val="32"/>
          <w:highlight w:val="none"/>
          <w:u w:val="none" w:color="auto"/>
          <w:shd w:val="clear" w:color="auto" w:fill="FFFFFF"/>
          <w:lang w:val="en-US" w:eastAsia="zh-CN" w:bidi="ar-SA"/>
        </w:rPr>
        <w:t>，其金额不低于出让起始价的20%，原则上</w:t>
      </w: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根据出让区块面积设置</w:t>
      </w:r>
      <w:r>
        <w:rPr>
          <w:rFonts w:hint="eastAsia" w:ascii="Times New Roman" w:hAnsi="Times New Roman" w:cs="仿宋_GB2312"/>
          <w:bCs/>
          <w:color w:val="auto"/>
          <w:spacing w:val="0"/>
          <w:kern w:val="0"/>
          <w:sz w:val="32"/>
          <w:szCs w:val="32"/>
          <w:highlight w:val="none"/>
          <w:u w:val="none" w:color="auto"/>
          <w:shd w:val="clear" w:color="auto" w:fill="FFFFFF"/>
          <w:lang w:val="en-US" w:eastAsia="zh-CN" w:bidi="ar-SA"/>
        </w:rPr>
        <w:t>，</w:t>
      </w: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0-10km</w:t>
      </w:r>
      <w:r>
        <w:rPr>
          <w:rFonts w:hint="eastAsia" w:ascii="Times New Roman" w:hAnsi="Times New Roman" w:eastAsia="仿宋_GB2312" w:cs="仿宋_GB2312"/>
          <w:bCs/>
          <w:color w:val="auto"/>
          <w:spacing w:val="0"/>
          <w:kern w:val="0"/>
          <w:sz w:val="32"/>
          <w:szCs w:val="32"/>
          <w:highlight w:val="none"/>
          <w:u w:val="none" w:color="auto"/>
          <w:shd w:val="clear" w:color="auto" w:fill="FFFFFF"/>
          <w:vertAlign w:val="superscript"/>
          <w:lang w:val="en-US" w:eastAsia="zh-CN" w:bidi="ar-SA"/>
        </w:rPr>
        <w:t>2</w:t>
      </w: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为1000万元、10-20km</w:t>
      </w:r>
      <w:r>
        <w:rPr>
          <w:rFonts w:hint="eastAsia" w:ascii="Times New Roman" w:hAnsi="Times New Roman" w:eastAsia="仿宋_GB2312" w:cs="仿宋_GB2312"/>
          <w:bCs/>
          <w:color w:val="auto"/>
          <w:spacing w:val="0"/>
          <w:kern w:val="0"/>
          <w:sz w:val="32"/>
          <w:szCs w:val="32"/>
          <w:highlight w:val="none"/>
          <w:u w:val="none" w:color="auto"/>
          <w:shd w:val="clear" w:color="auto" w:fill="FFFFFF"/>
          <w:vertAlign w:val="superscript"/>
          <w:lang w:val="en-US" w:eastAsia="zh-CN" w:bidi="ar-SA"/>
        </w:rPr>
        <w:t>2</w:t>
      </w: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为1500万元、20km</w:t>
      </w:r>
      <w:r>
        <w:rPr>
          <w:rFonts w:hint="eastAsia" w:ascii="Times New Roman" w:hAnsi="Times New Roman" w:eastAsia="仿宋_GB2312" w:cs="仿宋_GB2312"/>
          <w:bCs/>
          <w:color w:val="auto"/>
          <w:spacing w:val="0"/>
          <w:kern w:val="0"/>
          <w:sz w:val="32"/>
          <w:szCs w:val="32"/>
          <w:highlight w:val="none"/>
          <w:u w:val="none" w:color="auto"/>
          <w:shd w:val="clear" w:color="auto" w:fill="FFFFFF"/>
          <w:vertAlign w:val="superscript"/>
          <w:lang w:val="en-US" w:eastAsia="zh-CN" w:bidi="ar-SA"/>
        </w:rPr>
        <w:t>2</w:t>
      </w: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以上为2000万元</w:t>
      </w:r>
      <w:r>
        <w:rPr>
          <w:rFonts w:hint="eastAsia" w:ascii="Times New Roman" w:hAnsi="Times New Roman" w:cs="仿宋_GB2312"/>
          <w:bCs/>
          <w:color w:val="auto"/>
          <w:spacing w:val="0"/>
          <w:kern w:val="0"/>
          <w:sz w:val="32"/>
          <w:szCs w:val="32"/>
          <w:highlight w:val="none"/>
          <w:u w:val="none" w:color="auto"/>
          <w:shd w:val="clear" w:color="auto" w:fill="FFFFFF"/>
          <w:lang w:val="en-US" w:eastAsia="zh-CN" w:bidi="ar-SA"/>
        </w:rPr>
        <w:t>，若未达到起始价20%，按照20%计算向上取整设置。</w:t>
      </w:r>
    </w:p>
    <w:p w14:paraId="07304B70">
      <w:pPr>
        <w:pStyle w:val="6"/>
        <w:keepNext w:val="0"/>
        <w:keepLines w:val="0"/>
        <w:pageBreakBefore w:val="0"/>
        <w:widowControl w:val="0"/>
        <w:kinsoku/>
        <w:wordWrap/>
        <w:overflowPunct w:val="0"/>
        <w:topLinePunct w:val="0"/>
        <w:autoSpaceDE w:val="0"/>
        <w:autoSpaceDN/>
        <w:bidi w:val="0"/>
        <w:adjustRightInd/>
        <w:snapToGrid/>
        <w:spacing w:line="580" w:lineRule="atLeast"/>
        <w:ind w:firstLine="649" w:firstLineChars="202"/>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bCs w:val="0"/>
          <w:color w:val="auto"/>
          <w:spacing w:val="0"/>
          <w:kern w:val="0"/>
          <w:sz w:val="32"/>
          <w:szCs w:val="32"/>
          <w:u w:val="none" w:color="auto"/>
          <w:shd w:val="clear" w:color="auto" w:fill="FFFFFF"/>
          <w:lang w:val="en-US" w:eastAsia="zh-CN" w:bidi="ar-SA"/>
        </w:rPr>
        <w:t>第</w:t>
      </w: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八</w:t>
      </w:r>
      <w:r>
        <w:rPr>
          <w:rFonts w:hint="eastAsia" w:ascii="Times New Roman" w:hAnsi="Times New Roman" w:eastAsia="仿宋_GB2312" w:cs="仿宋_GB2312"/>
          <w:b/>
          <w:bCs w:val="0"/>
          <w:color w:val="auto"/>
          <w:spacing w:val="0"/>
          <w:kern w:val="0"/>
          <w:sz w:val="32"/>
          <w:szCs w:val="32"/>
          <w:u w:val="none" w:color="auto"/>
          <w:shd w:val="clear" w:color="auto" w:fill="FFFFFF"/>
          <w:lang w:val="en-US" w:eastAsia="zh-CN" w:bidi="ar-SA"/>
        </w:rPr>
        <w:t>条</w:t>
      </w: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有保密义务的单位和个人，应严格遵守保密规定，不得泄露竞买人信息和矿业权出让相关保密信息。</w:t>
      </w:r>
    </w:p>
    <w:p w14:paraId="799F14F5">
      <w:pPr>
        <w:pStyle w:val="6"/>
        <w:keepNext w:val="0"/>
        <w:keepLines w:val="0"/>
        <w:pageBreakBefore w:val="0"/>
        <w:widowControl w:val="0"/>
        <w:kinsoku/>
        <w:wordWrap/>
        <w:overflowPunct w:val="0"/>
        <w:topLinePunct w:val="0"/>
        <w:autoSpaceDE w:val="0"/>
        <w:autoSpaceDN/>
        <w:bidi w:val="0"/>
        <w:adjustRightInd/>
        <w:snapToGrid/>
        <w:spacing w:line="580" w:lineRule="atLeast"/>
        <w:ind w:firstLine="646" w:firstLineChars="202"/>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p>
    <w:p w14:paraId="09435C8A">
      <w:pPr>
        <w:keepNext w:val="0"/>
        <w:keepLines w:val="0"/>
        <w:pageBreakBefore w:val="0"/>
        <w:widowControl w:val="0"/>
        <w:numPr>
          <w:ilvl w:val="0"/>
          <w:numId w:val="1"/>
        </w:numPr>
        <w:kinsoku/>
        <w:wordWrap/>
        <w:overflowPunct w:val="0"/>
        <w:topLinePunct w:val="0"/>
        <w:autoSpaceDE w:val="0"/>
        <w:autoSpaceDN/>
        <w:bidi w:val="0"/>
        <w:adjustRightInd/>
        <w:snapToGrid/>
        <w:spacing w:line="600" w:lineRule="exact"/>
        <w:ind w:firstLine="0" w:firstLineChars="0"/>
        <w:jc w:val="center"/>
        <w:textAlignment w:val="auto"/>
        <w:outlineLvl w:val="9"/>
        <w:rPr>
          <w:rFonts w:hint="eastAsia" w:ascii="Times New Roman" w:hAnsi="Times New Roman" w:eastAsia="黑体" w:cs="黑体"/>
          <w:spacing w:val="0"/>
          <w:sz w:val="32"/>
          <w:szCs w:val="32"/>
          <w:u w:val="none" w:color="auto"/>
          <w:vertAlign w:val="baseline"/>
          <w:lang w:val="en-US" w:eastAsia="zh-CN"/>
        </w:rPr>
      </w:pPr>
      <w:r>
        <w:rPr>
          <w:rFonts w:hint="eastAsia" w:ascii="Times New Roman" w:hAnsi="Times New Roman" w:eastAsia="黑体" w:cs="黑体"/>
          <w:spacing w:val="0"/>
          <w:sz w:val="32"/>
          <w:szCs w:val="32"/>
          <w:u w:val="none" w:color="auto"/>
          <w:vertAlign w:val="baseline"/>
          <w:lang w:val="en-US" w:eastAsia="zh-CN"/>
        </w:rPr>
        <w:t xml:space="preserve"> 信息发布</w:t>
      </w:r>
    </w:p>
    <w:p w14:paraId="18792D5F">
      <w:pPr>
        <w:keepNext w:val="0"/>
        <w:keepLines w:val="0"/>
        <w:pageBreakBefore w:val="0"/>
        <w:widowControl w:val="0"/>
        <w:numPr>
          <w:ilvl w:val="0"/>
          <w:numId w:val="0"/>
        </w:numPr>
        <w:kinsoku/>
        <w:wordWrap/>
        <w:overflowPunct w:val="0"/>
        <w:topLinePunct w:val="0"/>
        <w:autoSpaceDE w:val="0"/>
        <w:autoSpaceDN/>
        <w:bidi w:val="0"/>
        <w:adjustRightInd/>
        <w:snapToGrid/>
        <w:spacing w:line="58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第九条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业权交易平台依据出让人的委托书（含出让方案）编制出让公告及出让文件等，出让公告及出让文件待出让人确定后，由矿业权交易平台在四川省自然资源厅门户网站、全国公共资源交易平台（四川省）网站及交易大厅发布出让公告，出让人应当在自然资源部门户网站同时发布。</w:t>
      </w:r>
    </w:p>
    <w:p w14:paraId="6BD410EF">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第十条 </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出让公告应包括以下内容：</w:t>
      </w:r>
    </w:p>
    <w:p w14:paraId="1136F6D5">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（一）出让人和交易平台的名称、住所；</w:t>
      </w:r>
    </w:p>
    <w:p w14:paraId="62A987BB">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二）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要求等；</w:t>
      </w:r>
    </w:p>
    <w:p w14:paraId="4FDBDA90">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（三）法律、法规、政策文件规定的竞买人的资质条件；</w:t>
      </w:r>
    </w:p>
    <w:p w14:paraId="4835D729">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（四）</w:t>
      </w:r>
      <w:r>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t>竞买人需具备的与勘查开采相匹配的资金实力等要求；</w:t>
      </w:r>
    </w:p>
    <w:p w14:paraId="79D00E56">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（五）出让方式及交易的时间、地点；</w:t>
      </w:r>
    </w:p>
    <w:p w14:paraId="6AA0BB3F">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（六）获取拍卖、挂牌文件的途径和申请报名的起止时间及方式；</w:t>
      </w:r>
    </w:p>
    <w:p w14:paraId="66B284B8">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（七）确定竞得人的标准和方法；</w:t>
      </w:r>
    </w:p>
    <w:p w14:paraId="188977D2">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（八）风险提示；</w:t>
      </w:r>
    </w:p>
    <w:p w14:paraId="0FEC04C0">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（九）对交易矿业权异议的处理方式；</w:t>
      </w:r>
    </w:p>
    <w:p w14:paraId="30F3E089">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（十）违约责任、公共资源交易领域失信联合惩戒相关提示；</w:t>
      </w:r>
    </w:p>
    <w:p w14:paraId="0BD27825">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（十一）需要公告的其他内容。</w:t>
      </w:r>
    </w:p>
    <w:p w14:paraId="3DE8DA65">
      <w:pPr>
        <w:keepNext w:val="0"/>
        <w:keepLines w:val="0"/>
        <w:pageBreakBefore w:val="0"/>
        <w:widowControl w:val="0"/>
        <w:kinsoku/>
        <w:wordWrap/>
        <w:overflowPunct w:val="0"/>
        <w:topLinePunct w:val="0"/>
        <w:autoSpaceDE w:val="0"/>
        <w:autoSpaceDN/>
        <w:bidi w:val="0"/>
        <w:adjustRightInd/>
        <w:snapToGrid/>
        <w:spacing w:line="600" w:lineRule="exact"/>
        <w:ind w:firstLine="640"/>
        <w:textAlignment w:val="auto"/>
        <w:outlineLvl w:val="9"/>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出</w:t>
      </w:r>
      <w:r>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t>让公告应当在公开拍卖日或挂牌起始日20个工作日前发布。</w:t>
      </w:r>
    </w:p>
    <w:p w14:paraId="4B79A6BE">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第十一条 </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 xml:space="preserve"> 矿业权出让设有底价的，应当在出让公告中明确为有底价出让，并由出让人于拍卖开始60分钟前或者挂牌期限届满60分钟前将出让底价录入网上交易系统。未按时录入底价的，网上交易系统自动终止交易活动。</w:t>
      </w:r>
    </w:p>
    <w:p w14:paraId="241F8D0F">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矿业权出让采取无底价出让方式的，按出让收益率形式征收矿业权出让收益的矿种，出让起始价按照《自然资源部 财政部关于制定矿业权出让收益起始价标准的指导意见》（自然资发〔2023〕166号）等文件要求执行。</w:t>
      </w:r>
    </w:p>
    <w:p w14:paraId="1CD6926D">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 w:val="0"/>
          <w:bCs/>
          <w:i w:val="0"/>
          <w:iCs w:val="0"/>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第十二条 </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在公告期间，公告内容发生变化的，应当在原公告发布渠道发布变更公告。</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涉及矿种、范围、出让年限等重大变化的，公开拍卖日或者挂牌起始日应当按照20个工作日的时间要求顺延</w:t>
      </w:r>
      <w:r>
        <w:rPr>
          <w:rFonts w:hint="eastAsia" w:ascii="Times New Roman" w:hAnsi="Times New Roman" w:eastAsia="仿宋_GB2312" w:cs="仿宋_GB2312"/>
          <w:b w:val="0"/>
          <w:bCs/>
          <w:i w:val="0"/>
          <w:iCs w:val="0"/>
          <w:color w:val="auto"/>
          <w:spacing w:val="0"/>
          <w:kern w:val="0"/>
          <w:sz w:val="32"/>
          <w:szCs w:val="32"/>
          <w:u w:val="none" w:color="auto"/>
          <w:shd w:val="clear" w:color="auto" w:fill="FFFFFF"/>
          <w:lang w:val="en-US" w:eastAsia="zh-CN" w:bidi="ar-SA"/>
        </w:rPr>
        <w:t>。</w:t>
      </w:r>
    </w:p>
    <w:p w14:paraId="59C35F17">
      <w:pPr>
        <w:pStyle w:val="3"/>
        <w:keepNext w:val="0"/>
        <w:keepLines w:val="0"/>
        <w:pageBreakBefore w:val="0"/>
        <w:widowControl w:val="0"/>
        <w:numPr>
          <w:ilvl w:val="0"/>
          <w:numId w:val="0"/>
        </w:numPr>
        <w:kinsoku/>
        <w:wordWrap/>
        <w:overflowPunct w:val="0"/>
        <w:topLinePunct w:val="0"/>
        <w:autoSpaceDE w:val="0"/>
        <w:autoSpaceDN/>
        <w:bidi w:val="0"/>
        <w:adjustRightInd/>
        <w:snapToGrid/>
        <w:spacing w:before="0" w:beforeLines="0" w:after="0" w:afterLines="0" w:line="600" w:lineRule="exact"/>
        <w:textAlignment w:val="auto"/>
        <w:rPr>
          <w:rFonts w:hint="eastAsia" w:ascii="Times New Roman" w:hAnsi="Times New Roman"/>
          <w:color w:val="auto"/>
          <w:spacing w:val="0"/>
          <w:u w:val="none" w:color="auto"/>
          <w:lang w:val="en-US" w:eastAsia="zh-CN"/>
        </w:rPr>
      </w:pPr>
    </w:p>
    <w:p w14:paraId="3307547E">
      <w:pPr>
        <w:keepNext w:val="0"/>
        <w:keepLines w:val="0"/>
        <w:pageBreakBefore w:val="0"/>
        <w:widowControl w:val="0"/>
        <w:numPr>
          <w:ilvl w:val="0"/>
          <w:numId w:val="1"/>
        </w:numPr>
        <w:kinsoku/>
        <w:wordWrap/>
        <w:overflowPunct w:val="0"/>
        <w:topLinePunct w:val="0"/>
        <w:autoSpaceDE w:val="0"/>
        <w:autoSpaceDN/>
        <w:bidi w:val="0"/>
        <w:adjustRightInd/>
        <w:snapToGrid/>
        <w:spacing w:line="600" w:lineRule="exact"/>
        <w:ind w:firstLine="0" w:firstLineChars="0"/>
        <w:jc w:val="center"/>
        <w:textAlignment w:val="auto"/>
        <w:outlineLvl w:val="9"/>
        <w:rPr>
          <w:rFonts w:hint="eastAsia" w:ascii="Times New Roman" w:hAnsi="Times New Roman" w:eastAsia="黑体" w:cs="黑体"/>
          <w:spacing w:val="0"/>
          <w:sz w:val="32"/>
          <w:szCs w:val="32"/>
          <w:u w:val="none" w:color="auto"/>
          <w:vertAlign w:val="baseline"/>
          <w:lang w:val="en-US" w:eastAsia="zh-CN"/>
        </w:rPr>
      </w:pPr>
      <w:r>
        <w:rPr>
          <w:rFonts w:hint="eastAsia" w:ascii="Times New Roman" w:hAnsi="Times New Roman" w:eastAsia="黑体" w:cs="黑体"/>
          <w:spacing w:val="0"/>
          <w:sz w:val="32"/>
          <w:szCs w:val="32"/>
          <w:u w:val="none" w:color="auto"/>
          <w:vertAlign w:val="baseline"/>
          <w:lang w:val="en-US" w:eastAsia="zh-CN"/>
        </w:rPr>
        <w:t xml:space="preserve"> 数字证书办理及竞买申请</w:t>
      </w:r>
    </w:p>
    <w:p w14:paraId="5845FA10">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color w:val="auto"/>
          <w:spacing w:val="0"/>
          <w:sz w:val="32"/>
          <w:szCs w:val="32"/>
          <w:u w:val="none" w:color="auto"/>
          <w:vertAlign w:val="baseline"/>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第十三条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竞买人提交竞买申请之前，应先访问全国公共资源交易平台（四川省）网站，点击“办事指南”栏目，按相关文件要求登记录入单位相关信息、办理数字证书。</w:t>
      </w:r>
    </w:p>
    <w:p w14:paraId="4306C2CA">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第十四条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竞买人应当在出让公告规定的竞买申请时间内登录网上交易系统，提交竞买申请、上传竞买申请材料。矿业权交易平台应当对竞买人提交的竞买申请材料进行确认，对符合资格</w:t>
      </w:r>
      <w:r>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t>条件的竞买人发放《竞买资格确认书》，系统随机分配竞买人编号。</w:t>
      </w:r>
    </w:p>
    <w:p w14:paraId="26CE3798">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同一个竞买人同时竞买多宗矿业权的，应当按出让公告要求分别提交竞买申请，系统将随机分配不同的竞买编号。</w:t>
      </w:r>
    </w:p>
    <w:p w14:paraId="2039DD1E">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竞买人对在系统中提交的竞买申请材料的真实性和合法性负责。</w:t>
      </w:r>
    </w:p>
    <w:p w14:paraId="310BC34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竞买申请一经提交，即视为对出让公告、出让文件、其他相关文件和矿业权现状等知晓并接受，并对提示的风险完全接受。</w:t>
      </w:r>
    </w:p>
    <w:p w14:paraId="451AADFD">
      <w:pPr>
        <w:pStyle w:val="3"/>
        <w:keepNext w:val="0"/>
        <w:keepLines w:val="0"/>
        <w:pageBreakBefore w:val="0"/>
        <w:widowControl w:val="0"/>
        <w:numPr>
          <w:ilvl w:val="0"/>
          <w:numId w:val="0"/>
        </w:numPr>
        <w:kinsoku/>
        <w:wordWrap/>
        <w:overflowPunct w:val="0"/>
        <w:topLinePunct w:val="0"/>
        <w:autoSpaceDE w:val="0"/>
        <w:autoSpaceDN/>
        <w:bidi w:val="0"/>
        <w:adjustRightInd/>
        <w:snapToGrid/>
        <w:spacing w:before="0" w:beforeLines="0" w:after="0" w:afterLines="0" w:line="600" w:lineRule="exact"/>
        <w:textAlignment w:val="auto"/>
        <w:rPr>
          <w:rFonts w:hint="eastAsia" w:ascii="Times New Roman" w:hAnsi="Times New Roman"/>
          <w:spacing w:val="0"/>
          <w:u w:val="none" w:color="auto"/>
          <w:lang w:val="en-US" w:eastAsia="zh-CN"/>
        </w:rPr>
      </w:pPr>
    </w:p>
    <w:p w14:paraId="74919ADB">
      <w:pPr>
        <w:keepNext w:val="0"/>
        <w:keepLines w:val="0"/>
        <w:pageBreakBefore w:val="0"/>
        <w:widowControl w:val="0"/>
        <w:numPr>
          <w:ilvl w:val="0"/>
          <w:numId w:val="1"/>
        </w:numPr>
        <w:kinsoku/>
        <w:wordWrap/>
        <w:overflowPunct w:val="0"/>
        <w:topLinePunct w:val="0"/>
        <w:autoSpaceDE w:val="0"/>
        <w:autoSpaceDN/>
        <w:bidi w:val="0"/>
        <w:adjustRightInd/>
        <w:snapToGrid/>
        <w:spacing w:line="600" w:lineRule="exact"/>
        <w:ind w:left="0" w:leftChars="0" w:firstLine="0" w:firstLineChars="0"/>
        <w:jc w:val="center"/>
        <w:textAlignment w:val="auto"/>
        <w:outlineLvl w:val="9"/>
        <w:rPr>
          <w:rFonts w:hint="eastAsia" w:ascii="Times New Roman" w:hAnsi="Times New Roman" w:eastAsia="黑体" w:cs="黑体"/>
          <w:color w:val="auto"/>
          <w:spacing w:val="0"/>
          <w:sz w:val="32"/>
          <w:szCs w:val="32"/>
          <w:u w:val="none" w:color="auto"/>
          <w:vertAlign w:val="baseline"/>
          <w:lang w:val="en-US" w:eastAsia="zh-CN"/>
        </w:rPr>
      </w:pPr>
      <w:r>
        <w:rPr>
          <w:rFonts w:hint="eastAsia" w:ascii="Times New Roman" w:hAnsi="Times New Roman" w:eastAsia="黑体" w:cs="黑体"/>
          <w:color w:val="auto"/>
          <w:spacing w:val="0"/>
          <w:sz w:val="32"/>
          <w:szCs w:val="32"/>
          <w:u w:val="none" w:color="auto"/>
          <w:vertAlign w:val="baseline"/>
          <w:lang w:val="en-US" w:eastAsia="zh-CN"/>
        </w:rPr>
        <w:t xml:space="preserve"> 拍卖出让</w:t>
      </w:r>
    </w:p>
    <w:p w14:paraId="506C9A67">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color w:val="auto"/>
          <w:spacing w:val="0"/>
          <w:sz w:val="32"/>
          <w:szCs w:val="32"/>
          <w:u w:val="none" w:color="auto"/>
          <w:vertAlign w:val="baseline"/>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第十五条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矿业权出让网上拍卖以自由竞价、限时竞价方式进行。取得竞买资格的竞买人可参与自由竞价，初次报价不得低于起始价。报价以增价方式进行，每次加价不得低于出让文件规定的增价幅度。符合条件的报价，网上交易系统予以接受，并即时公布。</w:t>
      </w:r>
    </w:p>
    <w:p w14:paraId="4602B571">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color w:val="auto"/>
          <w:spacing w:val="0"/>
          <w:sz w:val="32"/>
          <w:szCs w:val="32"/>
          <w:u w:val="none" w:color="auto"/>
          <w:vertAlign w:val="baseline"/>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第十六条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竞买人应当谨慎报价，报价一经提交，不得撤回。</w:t>
      </w:r>
    </w:p>
    <w:p w14:paraId="60919529">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第十七条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矿业权出让网上拍卖分为</w:t>
      </w: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自由</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竞价和限时竞价两个阶段。</w:t>
      </w:r>
    </w:p>
    <w:p w14:paraId="669C520D">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自由</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竞价阶段：自由竞价时间</w:t>
      </w: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为N小时</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在此期间竞买人可随时报价。在自由竞价截止时间，如果只有1个竞买人报过价，则该竞买人为竞得候选人；如有2个及以上竞买人报过价，系统进入N分钟询问期，若无竞买人选择参与限时竞价的，则网上拍卖活动结束，最高报价者为竞得候选人。</w:t>
      </w:r>
    </w:p>
    <w:p w14:paraId="49E137FE">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限时竞价阶段：在自由竞价阶段截止时间后的N分钟询问期内，有竞买人选择参与限时竞价的，在询问期结束后，系统自动启动限时竞价周期。</w:t>
      </w:r>
    </w:p>
    <w:p w14:paraId="3098C8F5">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限时竞价阶段以N分钟倒计时为时限，如在N分钟倒计时内有新的报价，系统即从接受新的报价起重新倒计时N分钟。N分钟倒计时截止无新的报价，则网上拍卖活动结束，系统即时关闭报价通道，最高报价者为竞得候选人。</w:t>
      </w:r>
    </w:p>
    <w:p w14:paraId="2F4A0474">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color w:val="auto"/>
          <w:spacing w:val="0"/>
          <w:sz w:val="32"/>
          <w:szCs w:val="32"/>
          <w:highlight w:val="none"/>
          <w:u w:val="none" w:color="auto"/>
          <w:vertAlign w:val="baseline"/>
        </w:rPr>
      </w:pPr>
      <w:r>
        <w:rPr>
          <w:rFonts w:hint="eastAsia" w:ascii="Times New Roman" w:hAnsi="Times New Roman" w:eastAsia="仿宋_GB2312" w:cs="仿宋_GB2312"/>
          <w:b w:val="0"/>
          <w:bCs/>
          <w:color w:val="auto"/>
          <w:spacing w:val="0"/>
          <w:kern w:val="0"/>
          <w:sz w:val="32"/>
          <w:szCs w:val="32"/>
          <w:highlight w:val="none"/>
          <w:u w:val="none" w:color="auto"/>
          <w:shd w:val="clear" w:color="auto" w:fill="FFFFFF"/>
          <w:lang w:val="en-US" w:eastAsia="zh-CN" w:bidi="ar-SA"/>
        </w:rPr>
        <w:t>在自由竞价阶段内有效报价的竞买人均可参加限时竞价，未报价、报价无效或在询问期未选择参与限时竞价的竞买人不能参加限时竞价。</w:t>
      </w:r>
    </w:p>
    <w:p w14:paraId="6B09CC91">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color w:val="auto"/>
          <w:spacing w:val="0"/>
          <w:sz w:val="32"/>
          <w:szCs w:val="32"/>
          <w:u w:val="none" w:color="auto"/>
          <w:vertAlign w:val="baseline"/>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第十八条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矿业权出让网上拍卖若在自由竞价阶段截止时无竞买人报价的，则网上交易系统自动显示该宗矿业权不成交。</w:t>
      </w:r>
    </w:p>
    <w:p w14:paraId="33FD25EE">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第十九条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矿业权出让网上拍卖，按下列规则确定竞得人：</w:t>
      </w:r>
    </w:p>
    <w:p w14:paraId="3BCB786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（一）未设底价的，不低于起始价的最高报价者即为竞得人；</w:t>
      </w:r>
    </w:p>
    <w:p w14:paraId="74C359C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（二）设有底价的，不低于底价的最高报价者即为竞得人；最高报价低于底价的，拍卖不成交，网上交易系统自动显示该矿业权不成交</w:t>
      </w:r>
      <w:r>
        <w:rPr>
          <w:rFonts w:hint="eastAsia" w:ascii="Times New Roman" w:hAnsi="Times New Roman" w:eastAsia="仿宋_GB2312" w:cs="仿宋_GB2312"/>
          <w:bCs/>
          <w:color w:val="auto"/>
          <w:spacing w:val="0"/>
          <w:kern w:val="0"/>
          <w:sz w:val="32"/>
          <w:szCs w:val="32"/>
          <w:u w:val="none" w:color="auto"/>
          <w:shd w:val="clear" w:color="auto" w:fill="FFFFFF"/>
        </w:rPr>
        <w:t>。</w:t>
      </w:r>
    </w:p>
    <w:p w14:paraId="0D87EF70">
      <w:pPr>
        <w:pStyle w:val="3"/>
        <w:keepNext w:val="0"/>
        <w:keepLines w:val="0"/>
        <w:pageBreakBefore w:val="0"/>
        <w:widowControl w:val="0"/>
        <w:numPr>
          <w:ilvl w:val="0"/>
          <w:numId w:val="0"/>
        </w:numPr>
        <w:kinsoku/>
        <w:wordWrap/>
        <w:overflowPunct w:val="0"/>
        <w:topLinePunct w:val="0"/>
        <w:autoSpaceDE w:val="0"/>
        <w:autoSpaceDN/>
        <w:bidi w:val="0"/>
        <w:adjustRightInd/>
        <w:snapToGrid/>
        <w:spacing w:before="0" w:beforeLines="0" w:after="0" w:afterLines="0" w:line="600" w:lineRule="exact"/>
        <w:textAlignment w:val="auto"/>
        <w:rPr>
          <w:rFonts w:hint="eastAsia" w:ascii="Times New Roman" w:hAnsi="Times New Roman"/>
          <w:color w:val="auto"/>
          <w:spacing w:val="0"/>
          <w:u w:val="none" w:color="auto"/>
          <w:lang w:val="en-US" w:eastAsia="zh-CN"/>
        </w:rPr>
      </w:pPr>
    </w:p>
    <w:p w14:paraId="7E05BE25">
      <w:pPr>
        <w:keepNext w:val="0"/>
        <w:keepLines w:val="0"/>
        <w:pageBreakBefore w:val="0"/>
        <w:widowControl w:val="0"/>
        <w:numPr>
          <w:ilvl w:val="0"/>
          <w:numId w:val="1"/>
        </w:numPr>
        <w:kinsoku/>
        <w:wordWrap/>
        <w:overflowPunct w:val="0"/>
        <w:topLinePunct w:val="0"/>
        <w:autoSpaceDE w:val="0"/>
        <w:autoSpaceDN/>
        <w:bidi w:val="0"/>
        <w:adjustRightInd/>
        <w:snapToGrid/>
        <w:spacing w:line="600" w:lineRule="exact"/>
        <w:ind w:left="0" w:leftChars="0" w:firstLine="0" w:firstLineChars="0"/>
        <w:jc w:val="center"/>
        <w:textAlignment w:val="auto"/>
        <w:outlineLvl w:val="9"/>
        <w:rPr>
          <w:rFonts w:hint="eastAsia" w:ascii="Times New Roman" w:hAnsi="Times New Roman" w:eastAsia="黑体" w:cs="黑体"/>
          <w:color w:val="auto"/>
          <w:spacing w:val="0"/>
          <w:sz w:val="32"/>
          <w:szCs w:val="32"/>
          <w:u w:val="none" w:color="auto"/>
          <w:vertAlign w:val="baseline"/>
          <w:lang w:val="en-US" w:eastAsia="zh-CN"/>
        </w:rPr>
      </w:pPr>
      <w:r>
        <w:rPr>
          <w:rFonts w:hint="eastAsia" w:ascii="Times New Roman" w:hAnsi="Times New Roman" w:eastAsia="黑体" w:cs="黑体"/>
          <w:color w:val="auto"/>
          <w:spacing w:val="0"/>
          <w:sz w:val="32"/>
          <w:szCs w:val="32"/>
          <w:u w:val="none" w:color="auto"/>
          <w:vertAlign w:val="baseline"/>
          <w:lang w:val="en-US" w:eastAsia="zh-CN"/>
        </w:rPr>
        <w:t xml:space="preserve"> 挂牌出让</w:t>
      </w:r>
    </w:p>
    <w:p w14:paraId="4DBDCC73">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第二十条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矿业权出让网上挂牌以</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挂牌</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报价、限时竞价方式进行。取得竞买资格的竞买人可参与网上挂牌报价，初次报价不得低于挂牌起始价。报价以增价方式进行，每次加价不得小于出让文件规定的增价幅度。符合条件的报价，网上交易系统予以接受，并即时公布。</w:t>
      </w:r>
    </w:p>
    <w:p w14:paraId="6A63010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color w:val="auto"/>
          <w:spacing w:val="0"/>
          <w:sz w:val="32"/>
          <w:szCs w:val="32"/>
          <w:u w:val="none" w:color="auto"/>
          <w:vertAlign w:val="baseline"/>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矿业权网上出让挂牌时间不少于10个工作日。</w:t>
      </w:r>
    </w:p>
    <w:p w14:paraId="33768EBC">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11"/>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第二十一条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11"/>
          <w:kern w:val="0"/>
          <w:sz w:val="32"/>
          <w:szCs w:val="32"/>
          <w:u w:val="none" w:color="auto"/>
          <w:shd w:val="clear" w:color="auto" w:fill="FFFFFF"/>
          <w:lang w:val="en-US" w:eastAsia="zh-CN" w:bidi="ar-SA"/>
        </w:rPr>
        <w:t>矿业权网上挂牌分为</w:t>
      </w:r>
      <w:r>
        <w:rPr>
          <w:rFonts w:hint="eastAsia" w:ascii="Times New Roman" w:hAnsi="Times New Roman" w:eastAsia="仿宋_GB2312" w:cs="仿宋_GB2312"/>
          <w:b w:val="0"/>
          <w:bCs/>
          <w:color w:val="auto"/>
          <w:spacing w:val="-11"/>
          <w:kern w:val="0"/>
          <w:sz w:val="32"/>
          <w:szCs w:val="32"/>
          <w:u w:val="none" w:color="auto"/>
          <w:shd w:val="clear" w:color="auto" w:fill="FFFFFF"/>
          <w:lang w:val="en-US" w:eastAsia="zh-CN" w:bidi="ar-SA"/>
        </w:rPr>
        <w:t>挂牌</w:t>
      </w:r>
      <w:r>
        <w:rPr>
          <w:rFonts w:hint="eastAsia" w:ascii="Times New Roman" w:hAnsi="Times New Roman" w:eastAsia="仿宋_GB2312" w:cs="仿宋_GB2312"/>
          <w:bCs/>
          <w:color w:val="auto"/>
          <w:spacing w:val="-11"/>
          <w:kern w:val="0"/>
          <w:sz w:val="32"/>
          <w:szCs w:val="32"/>
          <w:u w:val="none" w:color="auto"/>
          <w:shd w:val="clear" w:color="auto" w:fill="FFFFFF"/>
          <w:lang w:val="en-US" w:eastAsia="zh-CN" w:bidi="ar-SA"/>
        </w:rPr>
        <w:t>报价和</w:t>
      </w:r>
      <w:r>
        <w:rPr>
          <w:rFonts w:hint="eastAsia" w:ascii="Times New Roman" w:hAnsi="Times New Roman" w:eastAsia="仿宋_GB2312" w:cs="仿宋_GB2312"/>
          <w:b w:val="0"/>
          <w:bCs/>
          <w:color w:val="auto"/>
          <w:spacing w:val="-11"/>
          <w:kern w:val="0"/>
          <w:sz w:val="32"/>
          <w:szCs w:val="32"/>
          <w:u w:val="none" w:color="auto"/>
          <w:shd w:val="clear" w:color="auto" w:fill="FFFFFF"/>
          <w:lang w:val="en-US" w:eastAsia="zh-CN" w:bidi="ar-SA"/>
        </w:rPr>
        <w:t>限时</w:t>
      </w:r>
      <w:r>
        <w:rPr>
          <w:rFonts w:hint="eastAsia" w:ascii="Times New Roman" w:hAnsi="Times New Roman" w:eastAsia="仿宋_GB2312" w:cs="仿宋_GB2312"/>
          <w:bCs/>
          <w:color w:val="auto"/>
          <w:spacing w:val="-11"/>
          <w:kern w:val="0"/>
          <w:sz w:val="32"/>
          <w:szCs w:val="32"/>
          <w:u w:val="none" w:color="auto"/>
          <w:shd w:val="clear" w:color="auto" w:fill="FFFFFF"/>
          <w:lang w:val="en-US" w:eastAsia="zh-CN" w:bidi="ar-SA"/>
        </w:rPr>
        <w:t>竞价两个阶段。</w:t>
      </w:r>
    </w:p>
    <w:p w14:paraId="428D849F">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挂牌</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报价</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阶段</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挂牌</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报价期间竞买人可随时报价。挂牌报价时间截止时只有1个竞买人报价，则该竞买人为竞得候选人。如有2个及以上竞买人报过价，系统进入N分钟询问期，若无竞买人选择参与限时竞价的，则网上挂牌活动结束，最高报价者为竞得候选人。 </w:t>
      </w:r>
    </w:p>
    <w:p w14:paraId="7AE9F7F4">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限时</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竞价</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阶段</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：在</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挂牌</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报价</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阶段</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截止时间后的N分钟询问期内，有竞买人选择参与限时竞价的，在询问期结束后，系统自动启动限时竞价周期。</w:t>
      </w:r>
    </w:p>
    <w:p w14:paraId="21C4BF8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限时竞价阶段以N分钟倒计时为竞价时限，如在N分钟倒计时内有新的报价，系统即从接受新的报价起重新倒计时N分钟。N分钟倒计时截止无新的报价，则网上挂牌活动结束，系统即时关闭报价通道，最高报价者为竞得候选人。</w:t>
      </w:r>
    </w:p>
    <w:p w14:paraId="378AE43F">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在挂牌报价阶段内有效报价的竞买人均可参加限时竞价，</w:t>
      </w:r>
      <w:r>
        <w:rPr>
          <w:rFonts w:hint="eastAsia" w:ascii="Times New Roman" w:hAnsi="Times New Roman" w:eastAsia="仿宋_GB2312" w:cs="仿宋_GB2312"/>
          <w:b w:val="0"/>
          <w:bCs/>
          <w:color w:val="auto"/>
          <w:spacing w:val="0"/>
          <w:kern w:val="0"/>
          <w:sz w:val="32"/>
          <w:szCs w:val="32"/>
          <w:highlight w:val="none"/>
          <w:u w:val="none" w:color="auto"/>
          <w:shd w:val="clear" w:color="auto" w:fill="FFFFFF"/>
          <w:lang w:val="en-US" w:eastAsia="zh-CN" w:bidi="ar-SA"/>
        </w:rPr>
        <w:t>未报价、报价无效或在询问期未选择参与限时竞价的竞买人不能参加限时竞价。</w:t>
      </w:r>
    </w:p>
    <w:p w14:paraId="79F86099">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第二十二条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t>竞买人应当谨慎报价，报价一经提交，不得撤回。</w:t>
      </w:r>
    </w:p>
    <w:p w14:paraId="27A24690">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第二十三条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矿业权出让网上挂牌报价阶段截止时无竞买人报价的，则网上交易系统自动显示该宗矿业权不成交。</w:t>
      </w:r>
    </w:p>
    <w:p w14:paraId="07B9FE21">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第二十四条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w:t>
      </w:r>
      <w:r>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t>业权出让网上挂牌，按下列规则确定竞得人：</w:t>
      </w:r>
    </w:p>
    <w:p w14:paraId="2A47D10C">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（一）未设底价的，不低于起始价的最高报价者即为竞得人；</w:t>
      </w:r>
    </w:p>
    <w:p w14:paraId="6364958F">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（二）设有底价的，最高报价且不低于底价者即为竞得人；最高报价低于底价的，挂牌不成交，网上交易系统自动显示该矿业权不成交。</w:t>
      </w:r>
    </w:p>
    <w:p w14:paraId="28BD793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p>
    <w:p w14:paraId="645B8352">
      <w:pPr>
        <w:keepNext w:val="0"/>
        <w:keepLines w:val="0"/>
        <w:pageBreakBefore w:val="0"/>
        <w:widowControl w:val="0"/>
        <w:numPr>
          <w:ilvl w:val="0"/>
          <w:numId w:val="1"/>
        </w:numPr>
        <w:kinsoku/>
        <w:wordWrap/>
        <w:overflowPunct w:val="0"/>
        <w:topLinePunct w:val="0"/>
        <w:autoSpaceDE w:val="0"/>
        <w:autoSpaceDN/>
        <w:bidi w:val="0"/>
        <w:adjustRightInd/>
        <w:snapToGrid/>
        <w:spacing w:line="600" w:lineRule="exact"/>
        <w:ind w:left="0" w:leftChars="0" w:firstLine="0" w:firstLineChars="0"/>
        <w:jc w:val="center"/>
        <w:textAlignment w:val="auto"/>
        <w:outlineLvl w:val="9"/>
        <w:rPr>
          <w:rFonts w:hint="eastAsia" w:ascii="Times New Roman" w:hAnsi="Times New Roman" w:eastAsia="黑体" w:cs="黑体"/>
          <w:color w:val="auto"/>
          <w:spacing w:val="0"/>
          <w:sz w:val="32"/>
          <w:szCs w:val="32"/>
          <w:u w:val="none" w:color="auto"/>
          <w:vertAlign w:val="baseline"/>
          <w:lang w:val="en-US" w:eastAsia="zh-CN"/>
        </w:rPr>
      </w:pPr>
      <w:r>
        <w:rPr>
          <w:rFonts w:hint="eastAsia" w:ascii="Times New Roman" w:hAnsi="Times New Roman" w:eastAsia="黑体" w:cs="黑体"/>
          <w:color w:val="auto"/>
          <w:spacing w:val="0"/>
          <w:sz w:val="32"/>
          <w:szCs w:val="32"/>
          <w:u w:val="none" w:color="auto"/>
          <w:vertAlign w:val="baseline"/>
          <w:lang w:val="en-US" w:eastAsia="zh-CN"/>
        </w:rPr>
        <w:t xml:space="preserve"> 签订成交确认</w:t>
      </w:r>
    </w:p>
    <w:p w14:paraId="6197FF61">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第二十五条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业权出让网上拍卖或挂牌成交的，具备签订网上成交确认书条件的，在成交后即时签订，不具备条件的，在交易结束后5个工作日内签订，竞得人须根据出让文件要求提交的相关材料到矿业权交易平台签订成交确认书。</w:t>
      </w:r>
    </w:p>
    <w:p w14:paraId="094E9F0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竞得人在规定时间内按出让文件约定向矿业权交易平台缴纳交易服务费。</w:t>
      </w:r>
    </w:p>
    <w:p w14:paraId="76BB5668">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第二十六条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成交确认书应当包括下列基本内容：</w:t>
      </w:r>
    </w:p>
    <w:p w14:paraId="1DB51DB2">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（一）出让人和竞得人及交易平台的名称、住所；</w:t>
      </w:r>
    </w:p>
    <w:p w14:paraId="2632D2EE">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（二）出让的矿业权名称、交易方式；</w:t>
      </w:r>
    </w:p>
    <w:p w14:paraId="375D3518">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（三）成交时间、地点和成交价格；</w:t>
      </w:r>
    </w:p>
    <w:p w14:paraId="4B6B3BB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（四）出让人和竞得人对交易过程和交易结果的确认；</w:t>
      </w:r>
    </w:p>
    <w:p w14:paraId="157838D8">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（五）矿业权出让合同的签订时间要求；</w:t>
      </w:r>
    </w:p>
    <w:p w14:paraId="5604EA3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（六）需要约定的其他内容。</w:t>
      </w:r>
    </w:p>
    <w:p w14:paraId="566FB749">
      <w:pPr>
        <w:pStyle w:val="3"/>
        <w:keepNext w:val="0"/>
        <w:keepLines w:val="0"/>
        <w:pageBreakBefore w:val="0"/>
        <w:widowControl w:val="0"/>
        <w:numPr>
          <w:ilvl w:val="0"/>
          <w:numId w:val="0"/>
        </w:numPr>
        <w:kinsoku/>
        <w:wordWrap/>
        <w:overflowPunct w:val="0"/>
        <w:topLinePunct w:val="0"/>
        <w:autoSpaceDE w:val="0"/>
        <w:autoSpaceDN/>
        <w:bidi w:val="0"/>
        <w:adjustRightInd/>
        <w:snapToGrid/>
        <w:spacing w:before="0" w:beforeLines="0" w:after="0" w:afterLines="0" w:line="600" w:lineRule="exact"/>
        <w:textAlignment w:val="auto"/>
        <w:rPr>
          <w:rFonts w:hint="eastAsia" w:ascii="Times New Roman" w:hAnsi="Times New Roman"/>
          <w:spacing w:val="0"/>
          <w:u w:val="none" w:color="auto"/>
          <w:lang w:val="en-US" w:eastAsia="zh-CN"/>
        </w:rPr>
      </w:pPr>
    </w:p>
    <w:p w14:paraId="773235B5">
      <w:pPr>
        <w:keepNext w:val="0"/>
        <w:keepLines w:val="0"/>
        <w:pageBreakBefore w:val="0"/>
        <w:widowControl w:val="0"/>
        <w:numPr>
          <w:ilvl w:val="0"/>
          <w:numId w:val="1"/>
        </w:numPr>
        <w:kinsoku/>
        <w:wordWrap/>
        <w:overflowPunct w:val="0"/>
        <w:topLinePunct w:val="0"/>
        <w:autoSpaceDE w:val="0"/>
        <w:autoSpaceDN/>
        <w:bidi w:val="0"/>
        <w:adjustRightInd/>
        <w:snapToGrid/>
        <w:spacing w:line="600" w:lineRule="exact"/>
        <w:ind w:left="0" w:leftChars="0" w:firstLine="0" w:firstLineChars="0"/>
        <w:jc w:val="center"/>
        <w:textAlignment w:val="auto"/>
        <w:outlineLvl w:val="9"/>
        <w:rPr>
          <w:rFonts w:hint="eastAsia" w:ascii="Times New Roman" w:hAnsi="Times New Roman" w:eastAsia="黑体" w:cs="黑体"/>
          <w:color w:val="auto"/>
          <w:spacing w:val="0"/>
          <w:sz w:val="32"/>
          <w:szCs w:val="32"/>
          <w:u w:val="none" w:color="auto"/>
          <w:vertAlign w:val="baseline"/>
          <w:lang w:val="en-US" w:eastAsia="zh-CN"/>
        </w:rPr>
      </w:pPr>
      <w:r>
        <w:rPr>
          <w:rFonts w:hint="eastAsia" w:ascii="Times New Roman" w:hAnsi="Times New Roman" w:eastAsia="黑体" w:cs="黑体"/>
          <w:color w:val="auto"/>
          <w:spacing w:val="0"/>
          <w:sz w:val="32"/>
          <w:szCs w:val="32"/>
          <w:u w:val="none" w:color="auto"/>
          <w:vertAlign w:val="baseline"/>
          <w:lang w:val="en-US" w:eastAsia="zh-CN"/>
        </w:rPr>
        <w:t xml:space="preserve"> 结果公示</w:t>
      </w:r>
    </w:p>
    <w:p w14:paraId="73641CE9">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第二十七条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矿业权出让成交的，矿业权交易平台应当在签订成交确认书后5个工作日内进行信息公示。公示信息应当在发布出让公告的平台发布。</w:t>
      </w:r>
      <w:r>
        <w:rPr>
          <w:rFonts w:hint="eastAsia" w:ascii="Times New Roman" w:hAnsi="Times New Roman" w:eastAsia="仿宋_GB2312" w:cs="仿宋_GB2312"/>
          <w:bCs/>
          <w:color w:val="auto"/>
          <w:spacing w:val="0"/>
          <w:kern w:val="0"/>
          <w:sz w:val="32"/>
          <w:szCs w:val="32"/>
          <w:highlight w:val="none"/>
          <w:u w:val="none" w:color="auto"/>
          <w:shd w:val="clear" w:color="auto" w:fill="FFFFFF"/>
          <w:lang w:val="en-US" w:eastAsia="zh-CN" w:bidi="ar-SA"/>
        </w:rPr>
        <w:t>公示期不少于10个工作日。</w:t>
      </w:r>
    </w:p>
    <w:p w14:paraId="301F843B">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第二十八条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公示应包括以下主要内容：</w:t>
      </w:r>
    </w:p>
    <w:p w14:paraId="68AC9D85">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（一）竞得人的名称、住所；</w:t>
      </w:r>
    </w:p>
    <w:p w14:paraId="5C8525FC">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（二）成交时间、地点；</w:t>
      </w:r>
    </w:p>
    <w:p w14:paraId="508A6F59">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（三）竞得的勘查区块、面积、开采范围的简要情况；</w:t>
      </w:r>
    </w:p>
    <w:p w14:paraId="10F08CCB">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（四）矿业权成交价格；</w:t>
      </w:r>
    </w:p>
    <w:p w14:paraId="5F783E4B">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（五）申请办理矿业权登记的时限；</w:t>
      </w:r>
    </w:p>
    <w:p w14:paraId="5C263EAC">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（六）对公示内容提出异议的方式及途径；</w:t>
      </w:r>
    </w:p>
    <w:p w14:paraId="63E19B2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（七）应当公示的其他内容。</w:t>
      </w:r>
    </w:p>
    <w:p w14:paraId="201F52A7">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第二十九条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公示期满无异议的，矿业权交易平台向竞得人发出成交结果公示无异议通知书并抄送出让人，竞得人应在规定的期限内与出让人签订矿业权出让合同。</w:t>
      </w:r>
    </w:p>
    <w:p w14:paraId="42603FA4">
      <w:pPr>
        <w:pStyle w:val="3"/>
        <w:keepNext w:val="0"/>
        <w:keepLines w:val="0"/>
        <w:pageBreakBefore w:val="0"/>
        <w:widowControl w:val="0"/>
        <w:numPr>
          <w:ilvl w:val="0"/>
          <w:numId w:val="0"/>
        </w:numPr>
        <w:kinsoku/>
        <w:wordWrap/>
        <w:overflowPunct w:val="0"/>
        <w:topLinePunct w:val="0"/>
        <w:autoSpaceDE w:val="0"/>
        <w:autoSpaceDN/>
        <w:bidi w:val="0"/>
        <w:adjustRightInd/>
        <w:snapToGrid/>
        <w:spacing w:before="0" w:beforeLines="0" w:after="0" w:afterLines="0" w:line="600" w:lineRule="exact"/>
        <w:textAlignment w:val="auto"/>
        <w:rPr>
          <w:rFonts w:hint="eastAsia" w:ascii="Times New Roman" w:hAnsi="Times New Roman"/>
          <w:spacing w:val="0"/>
          <w:u w:val="none" w:color="auto"/>
          <w:lang w:val="en-US" w:eastAsia="zh-CN"/>
        </w:rPr>
      </w:pPr>
    </w:p>
    <w:p w14:paraId="3A5D926B">
      <w:pPr>
        <w:keepNext w:val="0"/>
        <w:keepLines w:val="0"/>
        <w:pageBreakBefore w:val="0"/>
        <w:widowControl w:val="0"/>
        <w:numPr>
          <w:ilvl w:val="0"/>
          <w:numId w:val="1"/>
        </w:numPr>
        <w:kinsoku/>
        <w:wordWrap/>
        <w:overflowPunct w:val="0"/>
        <w:topLinePunct w:val="0"/>
        <w:autoSpaceDE w:val="0"/>
        <w:autoSpaceDN/>
        <w:bidi w:val="0"/>
        <w:adjustRightInd/>
        <w:snapToGrid/>
        <w:spacing w:line="600" w:lineRule="exact"/>
        <w:ind w:left="0" w:leftChars="0" w:firstLine="0" w:firstLineChars="0"/>
        <w:jc w:val="center"/>
        <w:textAlignment w:val="auto"/>
        <w:outlineLvl w:val="9"/>
        <w:rPr>
          <w:rFonts w:hint="eastAsia" w:ascii="Times New Roman" w:hAnsi="Times New Roman" w:eastAsia="黑体" w:cs="黑体"/>
          <w:color w:val="auto"/>
          <w:spacing w:val="0"/>
          <w:sz w:val="32"/>
          <w:szCs w:val="32"/>
          <w:u w:val="none" w:color="auto"/>
          <w:vertAlign w:val="baseline"/>
          <w:lang w:val="en-US" w:eastAsia="zh-CN"/>
        </w:rPr>
      </w:pPr>
      <w:r>
        <w:rPr>
          <w:rFonts w:hint="eastAsia" w:ascii="Times New Roman" w:hAnsi="Times New Roman" w:eastAsia="黑体" w:cs="黑体"/>
          <w:color w:val="auto"/>
          <w:spacing w:val="0"/>
          <w:sz w:val="32"/>
          <w:szCs w:val="32"/>
          <w:u w:val="none" w:color="auto"/>
          <w:vertAlign w:val="baseline"/>
          <w:lang w:val="en-US" w:eastAsia="zh-CN"/>
        </w:rPr>
        <w:t xml:space="preserve"> 中止和终止</w:t>
      </w:r>
    </w:p>
    <w:p w14:paraId="64D025D1">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第三十条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有下列情形之一的，矿业权出让交易行为中止：</w:t>
      </w:r>
    </w:p>
    <w:p w14:paraId="16550671">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（一）公告公示期间发现出让的矿业权权属争议尚未解决；</w:t>
      </w:r>
    </w:p>
    <w:p w14:paraId="75748AA7">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（二）</w:t>
      </w:r>
      <w:r>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t>竞得人有矿产资源违法行为的行政处罚逾期不履行的；</w:t>
      </w:r>
    </w:p>
    <w:p w14:paraId="53DFAFCB">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（三）因不可抗力或者政策变化应当中止交易的其他情形。</w:t>
      </w:r>
    </w:p>
    <w:p w14:paraId="088E7530">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w:t>
      </w:r>
      <w:r>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t>业权出让交易行为中止的原因消除后，应当及时恢复交易。</w:t>
      </w:r>
    </w:p>
    <w:p w14:paraId="4E274EFB">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第三十一条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有下列情形之一的，矿业权出让交易行为终止：</w:t>
      </w:r>
    </w:p>
    <w:p w14:paraId="2BA2E0B3">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（一）出让人因有关政策规定、矿业权出让所依据的客观情况等发生重大变化提出终止交易；</w:t>
      </w:r>
    </w:p>
    <w:p w14:paraId="2B3E44DC">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（二）因不可抗力应当终止交易；</w:t>
      </w:r>
    </w:p>
    <w:p w14:paraId="11822326">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（三）法律法规规定的其他情形。</w:t>
      </w:r>
    </w:p>
    <w:p w14:paraId="658C31F3">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第三十二条</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cs="仿宋_GB2312"/>
          <w:bCs/>
          <w:color w:val="auto"/>
          <w:spacing w:val="0"/>
          <w:kern w:val="0"/>
          <w:sz w:val="32"/>
          <w:szCs w:val="32"/>
          <w:u w:val="none" w:color="auto"/>
          <w:shd w:val="clear" w:color="auto" w:fill="FFFFFF"/>
          <w:lang w:val="en-US" w:eastAsia="zh-CN" w:bidi="ar-SA"/>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出让人需要中止、终止或者恢复矿业权出让交易的，应当向矿业权交易平台出具书面意见。</w:t>
      </w:r>
    </w:p>
    <w:p w14:paraId="7609AFA7">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矿业权交易平台提出中止、终止或者恢复矿业权出让交易，需出具书面意见，并经出让人核实同意。</w:t>
      </w:r>
    </w:p>
    <w:p w14:paraId="0209458A">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6"/>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矿</w:t>
      </w:r>
      <w:r>
        <w:rPr>
          <w:rFonts w:hint="eastAsia" w:ascii="Times New Roman" w:hAnsi="Times New Roman" w:eastAsia="仿宋_GB2312" w:cs="仿宋_GB2312"/>
          <w:bCs/>
          <w:color w:val="auto"/>
          <w:spacing w:val="-11"/>
          <w:kern w:val="0"/>
          <w:sz w:val="32"/>
          <w:szCs w:val="32"/>
          <w:u w:val="none" w:color="auto"/>
          <w:shd w:val="clear" w:color="auto" w:fill="FFFFFF"/>
          <w:lang w:val="en-US" w:eastAsia="zh-CN" w:bidi="ar-SA"/>
        </w:rPr>
        <w:t>业权交易平台应当及时发布中止、终止或者恢复交易的公告。</w:t>
      </w:r>
    </w:p>
    <w:p w14:paraId="0CF9B19E">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color w:val="auto"/>
          <w:spacing w:val="0"/>
          <w:u w:val="none" w:color="auto"/>
          <w:lang w:val="en-US" w:eastAsia="zh-CN"/>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 xml:space="preserve">第三十三条 </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t xml:space="preserve"> 矿业权交易平台发布恢复交易公告时，应明确恢复交易时间、交易截止时间等关键信息。如果交易中止时间发生在竞买申请截止时间前，已取得竞买资格的，其竞买资格在恢复交易后仍然有效，还未提交竞买申请的，按恢复交易公告规定的时间内继续提交竞买申请；如果交易中止时间发生在竞买申请截止时间后，只有获得竞买资格的竞买人才能参与交易恢复后的竞价活动。</w:t>
      </w:r>
    </w:p>
    <w:p w14:paraId="703AEFCE">
      <w:pPr>
        <w:pStyle w:val="3"/>
        <w:keepNext w:val="0"/>
        <w:keepLines w:val="0"/>
        <w:pageBreakBefore w:val="0"/>
        <w:widowControl w:val="0"/>
        <w:numPr>
          <w:ilvl w:val="0"/>
          <w:numId w:val="0"/>
        </w:numPr>
        <w:kinsoku/>
        <w:wordWrap/>
        <w:overflowPunct w:val="0"/>
        <w:topLinePunct w:val="0"/>
        <w:autoSpaceDE w:val="0"/>
        <w:autoSpaceDN/>
        <w:bidi w:val="0"/>
        <w:adjustRightInd/>
        <w:snapToGrid/>
        <w:spacing w:before="0" w:beforeLines="0" w:after="0" w:afterLines="0" w:line="600" w:lineRule="exact"/>
        <w:textAlignment w:val="auto"/>
        <w:rPr>
          <w:rFonts w:hint="eastAsia" w:ascii="Times New Roman" w:hAnsi="Times New Roman"/>
          <w:color w:val="auto"/>
          <w:spacing w:val="0"/>
          <w:u w:val="none" w:color="auto"/>
          <w:lang w:val="en-US" w:eastAsia="zh-CN"/>
        </w:rPr>
      </w:pPr>
    </w:p>
    <w:p w14:paraId="6FDAA1AB">
      <w:pPr>
        <w:keepNext w:val="0"/>
        <w:keepLines w:val="0"/>
        <w:pageBreakBefore w:val="0"/>
        <w:widowControl w:val="0"/>
        <w:numPr>
          <w:ilvl w:val="0"/>
          <w:numId w:val="1"/>
        </w:numPr>
        <w:kinsoku/>
        <w:wordWrap/>
        <w:overflowPunct w:val="0"/>
        <w:topLinePunct w:val="0"/>
        <w:autoSpaceDE w:val="0"/>
        <w:autoSpaceDN/>
        <w:bidi w:val="0"/>
        <w:adjustRightInd/>
        <w:snapToGrid/>
        <w:spacing w:line="600" w:lineRule="exact"/>
        <w:ind w:left="0" w:leftChars="0" w:firstLine="0" w:firstLineChars="0"/>
        <w:jc w:val="center"/>
        <w:textAlignment w:val="auto"/>
        <w:outlineLvl w:val="9"/>
        <w:rPr>
          <w:rFonts w:hint="eastAsia" w:ascii="Times New Roman" w:hAnsi="Times New Roman" w:eastAsia="黑体" w:cs="黑体"/>
          <w:color w:val="auto"/>
          <w:spacing w:val="0"/>
          <w:sz w:val="32"/>
          <w:szCs w:val="32"/>
          <w:u w:val="none" w:color="auto"/>
          <w:vertAlign w:val="baseline"/>
          <w:lang w:val="en-US" w:eastAsia="zh-CN"/>
        </w:rPr>
      </w:pPr>
      <w:r>
        <w:rPr>
          <w:rFonts w:hint="eastAsia" w:ascii="Times New Roman" w:hAnsi="Times New Roman" w:eastAsia="黑体" w:cs="黑体"/>
          <w:color w:val="auto"/>
          <w:spacing w:val="0"/>
          <w:sz w:val="32"/>
          <w:szCs w:val="32"/>
          <w:u w:val="none" w:color="auto"/>
          <w:vertAlign w:val="baseline"/>
          <w:lang w:val="en-US" w:eastAsia="zh-CN"/>
        </w:rPr>
        <w:t xml:space="preserve"> 法律责任</w:t>
      </w:r>
    </w:p>
    <w:p w14:paraId="52A76EC0">
      <w:pPr>
        <w:keepNext w:val="0"/>
        <w:keepLines w:val="0"/>
        <w:pageBreakBefore w:val="0"/>
        <w:widowControl w:val="0"/>
        <w:shd w:val="clear" w:color="auto" w:fill="FFFFFF"/>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 w:val="0"/>
          <w:bCs/>
          <w:color w:val="auto"/>
          <w:spacing w:val="0"/>
          <w:kern w:val="0"/>
          <w:sz w:val="32"/>
          <w:szCs w:val="32"/>
          <w:u w:val="none" w:color="auto"/>
          <w:shd w:val="clear" w:color="auto" w:fill="FFFFFF"/>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第三十四条</w:t>
      </w:r>
      <w:r>
        <w:rPr>
          <w:rFonts w:hint="eastAsia" w:ascii="Times New Roman" w:hAnsi="Times New Roman" w:eastAsia="仿宋_GB2312" w:cs="仿宋_GB2312"/>
          <w:b w:val="0"/>
          <w:bCs/>
          <w:color w:val="auto"/>
          <w:spacing w:val="0"/>
          <w:kern w:val="0"/>
          <w:sz w:val="32"/>
          <w:szCs w:val="32"/>
          <w:u w:val="none" w:color="auto"/>
          <w:shd w:val="clear" w:color="auto" w:fill="FFFFFF"/>
        </w:rPr>
        <w:t xml:space="preserve"> </w:t>
      </w:r>
      <w:r>
        <w:rPr>
          <w:rFonts w:hint="eastAsia" w:ascii="Times New Roman" w:hAnsi="Times New Roman" w:cs="仿宋_GB2312"/>
          <w:b w:val="0"/>
          <w:bCs/>
          <w:color w:val="auto"/>
          <w:spacing w:val="0"/>
          <w:kern w:val="0"/>
          <w:sz w:val="32"/>
          <w:szCs w:val="32"/>
          <w:u w:val="none" w:color="auto"/>
          <w:shd w:val="clear" w:color="auto" w:fill="FFFFFF"/>
          <w:lang w:val="en-US" w:eastAsia="zh-CN"/>
        </w:rPr>
        <w:t xml:space="preserve"> </w:t>
      </w:r>
      <w:r>
        <w:rPr>
          <w:rFonts w:hint="eastAsia" w:ascii="Times New Roman" w:hAnsi="Times New Roman" w:eastAsia="仿宋_GB2312" w:cs="仿宋_GB2312"/>
          <w:b w:val="0"/>
          <w:bCs/>
          <w:color w:val="auto"/>
          <w:spacing w:val="0"/>
          <w:kern w:val="0"/>
          <w:sz w:val="32"/>
          <w:szCs w:val="32"/>
          <w:u w:val="none" w:color="auto"/>
          <w:shd w:val="clear" w:color="auto" w:fill="FFFFFF"/>
        </w:rPr>
        <w:t>有下列情形之一的，视为竞买人、竞得人违约，按照公告或者合同约定承担相应的违约责任，其信息在自然资源部门户网站、四川省自然资源厅门户网站、全国公共资源交易平台（四川省）网站进行公示，并进行记录、管理、公开：</w:t>
      </w:r>
    </w:p>
    <w:p w14:paraId="422CBE0A">
      <w:pPr>
        <w:keepNext w:val="0"/>
        <w:keepLines w:val="0"/>
        <w:pageBreakBefore w:val="0"/>
        <w:widowControl w:val="0"/>
        <w:shd w:val="clear" w:color="auto" w:fill="FFFFFF"/>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 w:val="0"/>
          <w:bCs/>
          <w:color w:val="auto"/>
          <w:spacing w:val="0"/>
          <w:kern w:val="0"/>
          <w:sz w:val="32"/>
          <w:szCs w:val="32"/>
          <w:u w:val="none" w:color="auto"/>
          <w:shd w:val="clear" w:color="auto" w:fill="FFFFFF"/>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（一）</w:t>
      </w:r>
      <w:r>
        <w:rPr>
          <w:rFonts w:hint="eastAsia" w:ascii="Times New Roman" w:hAnsi="Times New Roman" w:eastAsia="仿宋_GB2312" w:cs="仿宋_GB2312"/>
          <w:b w:val="0"/>
          <w:bCs/>
          <w:color w:val="auto"/>
          <w:spacing w:val="0"/>
          <w:kern w:val="0"/>
          <w:sz w:val="32"/>
          <w:szCs w:val="32"/>
          <w:u w:val="none" w:color="auto"/>
          <w:shd w:val="clear" w:color="auto" w:fill="FFFFFF"/>
        </w:rPr>
        <w:t>竞买人之间串通报价，损害国家利益、社会公共利益或者他人合法权益的；</w:t>
      </w:r>
    </w:p>
    <w:p w14:paraId="375F855C">
      <w:pPr>
        <w:keepNext w:val="0"/>
        <w:keepLines w:val="0"/>
        <w:pageBreakBefore w:val="0"/>
        <w:widowControl w:val="0"/>
        <w:shd w:val="clear" w:color="auto" w:fill="FFFFFF"/>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 w:val="0"/>
          <w:bCs/>
          <w:color w:val="auto"/>
          <w:spacing w:val="0"/>
          <w:kern w:val="0"/>
          <w:sz w:val="32"/>
          <w:szCs w:val="32"/>
          <w:u w:val="none" w:color="auto"/>
          <w:shd w:val="clear" w:color="auto" w:fill="FFFFFF"/>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w:t>
      </w:r>
      <w:r>
        <w:rPr>
          <w:rFonts w:hint="eastAsia" w:ascii="Times New Roman" w:hAnsi="Times New Roman" w:cs="仿宋_GB2312"/>
          <w:bCs/>
          <w:color w:val="auto"/>
          <w:spacing w:val="0"/>
          <w:kern w:val="0"/>
          <w:sz w:val="32"/>
          <w:szCs w:val="32"/>
          <w:u w:val="none" w:color="auto"/>
          <w:shd w:val="clear" w:color="auto" w:fill="FFFFFF"/>
          <w:lang w:val="en-US" w:eastAsia="zh-CN" w:bidi="ar-SA"/>
        </w:rPr>
        <w:t>二</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w:t>
      </w:r>
      <w:r>
        <w:rPr>
          <w:rFonts w:hint="eastAsia" w:ascii="Times New Roman" w:hAnsi="Times New Roman" w:eastAsia="仿宋_GB2312" w:cs="仿宋_GB2312"/>
          <w:b w:val="0"/>
          <w:bCs/>
          <w:color w:val="auto"/>
          <w:spacing w:val="0"/>
          <w:kern w:val="0"/>
          <w:sz w:val="32"/>
          <w:szCs w:val="32"/>
          <w:u w:val="none" w:color="auto"/>
          <w:shd w:val="clear" w:color="auto" w:fill="FFFFFF"/>
        </w:rPr>
        <w:t>竞买人弄虚作假，骗取交易资格或竞得的；</w:t>
      </w:r>
    </w:p>
    <w:p w14:paraId="7C9E8B1F">
      <w:pPr>
        <w:keepNext w:val="0"/>
        <w:keepLines w:val="0"/>
        <w:pageBreakBefore w:val="0"/>
        <w:widowControl w:val="0"/>
        <w:shd w:val="clear" w:color="auto" w:fill="FFFFFF"/>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 w:val="0"/>
          <w:bCs/>
          <w:color w:val="auto"/>
          <w:spacing w:val="0"/>
          <w:kern w:val="0"/>
          <w:sz w:val="32"/>
          <w:szCs w:val="32"/>
          <w:u w:val="none" w:color="auto"/>
          <w:shd w:val="clear" w:color="auto" w:fill="FFFFFF"/>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w:t>
      </w:r>
      <w:r>
        <w:rPr>
          <w:rFonts w:hint="eastAsia" w:ascii="Times New Roman" w:hAnsi="Times New Roman" w:cs="仿宋_GB2312"/>
          <w:bCs/>
          <w:color w:val="auto"/>
          <w:spacing w:val="0"/>
          <w:kern w:val="0"/>
          <w:sz w:val="32"/>
          <w:szCs w:val="32"/>
          <w:u w:val="none" w:color="auto"/>
          <w:shd w:val="clear" w:color="auto" w:fill="FFFFFF"/>
          <w:lang w:val="en-US" w:eastAsia="zh-CN" w:bidi="ar-SA"/>
        </w:rPr>
        <w:t>三</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w:t>
      </w:r>
      <w:r>
        <w:rPr>
          <w:rFonts w:hint="eastAsia" w:ascii="Times New Roman" w:hAnsi="Times New Roman" w:eastAsia="仿宋_GB2312" w:cs="仿宋_GB2312"/>
          <w:b w:val="0"/>
          <w:bCs/>
          <w:color w:val="auto"/>
          <w:spacing w:val="0"/>
          <w:kern w:val="0"/>
          <w:sz w:val="32"/>
          <w:szCs w:val="32"/>
          <w:u w:val="none" w:color="auto"/>
          <w:shd w:val="clear" w:color="auto" w:fill="FFFFFF"/>
        </w:rPr>
        <w:t>竞得人拒绝签订矿业权成交确认书，竞得人逾期不签订或者拒绝签订出让合同的；</w:t>
      </w:r>
    </w:p>
    <w:p w14:paraId="20E9001C">
      <w:pPr>
        <w:keepNext w:val="0"/>
        <w:keepLines w:val="0"/>
        <w:pageBreakBefore w:val="0"/>
        <w:widowControl w:val="0"/>
        <w:shd w:val="clear" w:color="auto" w:fill="FFFFFF"/>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 w:val="0"/>
          <w:bCs/>
          <w:color w:val="auto"/>
          <w:spacing w:val="0"/>
          <w:kern w:val="0"/>
          <w:sz w:val="32"/>
          <w:szCs w:val="32"/>
          <w:u w:val="none" w:color="auto"/>
          <w:shd w:val="clear" w:color="auto" w:fill="FFFFFF"/>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w:t>
      </w:r>
      <w:r>
        <w:rPr>
          <w:rFonts w:hint="eastAsia" w:ascii="Times New Roman" w:hAnsi="Times New Roman" w:cs="仿宋_GB2312"/>
          <w:bCs/>
          <w:color w:val="auto"/>
          <w:spacing w:val="0"/>
          <w:kern w:val="0"/>
          <w:sz w:val="32"/>
          <w:szCs w:val="32"/>
          <w:u w:val="none" w:color="auto"/>
          <w:shd w:val="clear" w:color="auto" w:fill="FFFFFF"/>
          <w:lang w:val="en-US" w:eastAsia="zh-CN" w:bidi="ar-SA"/>
        </w:rPr>
        <w:t>四</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w:t>
      </w:r>
      <w:r>
        <w:rPr>
          <w:rFonts w:hint="eastAsia" w:ascii="Times New Roman" w:hAnsi="Times New Roman" w:eastAsia="仿宋_GB2312" w:cs="仿宋_GB2312"/>
          <w:b w:val="0"/>
          <w:bCs/>
          <w:color w:val="auto"/>
          <w:spacing w:val="0"/>
          <w:kern w:val="0"/>
          <w:sz w:val="32"/>
          <w:szCs w:val="32"/>
          <w:u w:val="none" w:color="auto"/>
          <w:shd w:val="clear" w:color="auto" w:fill="FFFFFF"/>
        </w:rPr>
        <w:t>竞得人未按约定的时间付清约定的矿业权出让收益或者其他相关费用的；</w:t>
      </w:r>
    </w:p>
    <w:p w14:paraId="37965C91">
      <w:pPr>
        <w:keepNext w:val="0"/>
        <w:keepLines w:val="0"/>
        <w:pageBreakBefore w:val="0"/>
        <w:widowControl w:val="0"/>
        <w:shd w:val="clear" w:color="auto" w:fill="FFFFFF"/>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 w:val="0"/>
          <w:bCs/>
          <w:color w:val="auto"/>
          <w:spacing w:val="0"/>
          <w:kern w:val="0"/>
          <w:sz w:val="32"/>
          <w:szCs w:val="32"/>
          <w:u w:val="none" w:color="auto"/>
          <w:shd w:val="clear" w:color="auto" w:fill="FFFFFF"/>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w:t>
      </w:r>
      <w:r>
        <w:rPr>
          <w:rFonts w:hint="eastAsia" w:ascii="Times New Roman" w:hAnsi="Times New Roman" w:cs="仿宋_GB2312"/>
          <w:bCs/>
          <w:color w:val="auto"/>
          <w:spacing w:val="0"/>
          <w:kern w:val="0"/>
          <w:sz w:val="32"/>
          <w:szCs w:val="32"/>
          <w:u w:val="none" w:color="auto"/>
          <w:shd w:val="clear" w:color="auto" w:fill="FFFFFF"/>
          <w:lang w:val="en-US" w:eastAsia="zh-CN" w:bidi="ar-SA"/>
        </w:rPr>
        <w:t>五</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w:t>
      </w:r>
      <w:r>
        <w:rPr>
          <w:rFonts w:hint="eastAsia" w:ascii="Times New Roman" w:hAnsi="Times New Roman" w:eastAsia="仿宋_GB2312" w:cs="仿宋_GB2312"/>
          <w:b w:val="0"/>
          <w:bCs/>
          <w:color w:val="auto"/>
          <w:spacing w:val="0"/>
          <w:kern w:val="0"/>
          <w:sz w:val="32"/>
          <w:szCs w:val="32"/>
          <w:u w:val="none" w:color="auto"/>
          <w:shd w:val="clear" w:color="auto" w:fill="FFFFFF"/>
        </w:rPr>
        <w:t>向主管部门或者评标委员会及其成员行贿或者采取其他不正当手段竞得的；</w:t>
      </w:r>
    </w:p>
    <w:p w14:paraId="6BD29253">
      <w:pPr>
        <w:keepNext w:val="0"/>
        <w:keepLines w:val="0"/>
        <w:pageBreakBefore w:val="0"/>
        <w:widowControl w:val="0"/>
        <w:shd w:val="clear" w:color="auto" w:fill="FFFFFF"/>
        <w:kinsoku/>
        <w:wordWrap/>
        <w:overflowPunct w:val="0"/>
        <w:topLinePunct w:val="0"/>
        <w:autoSpaceDE w:val="0"/>
        <w:autoSpaceDN/>
        <w:bidi w:val="0"/>
        <w:adjustRightInd/>
        <w:snapToGrid/>
        <w:spacing w:line="600" w:lineRule="exact"/>
        <w:ind w:firstLine="640"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w:t>
      </w:r>
      <w:r>
        <w:rPr>
          <w:rFonts w:hint="eastAsia" w:ascii="Times New Roman" w:hAnsi="Times New Roman" w:cs="仿宋_GB2312"/>
          <w:bCs/>
          <w:color w:val="auto"/>
          <w:spacing w:val="0"/>
          <w:kern w:val="0"/>
          <w:sz w:val="32"/>
          <w:szCs w:val="32"/>
          <w:u w:val="none" w:color="auto"/>
          <w:shd w:val="clear" w:color="auto" w:fill="FFFFFF"/>
          <w:lang w:val="en-US" w:eastAsia="zh-CN" w:bidi="ar-SA"/>
        </w:rPr>
        <w:t>六</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t>）</w:t>
      </w:r>
      <w:r>
        <w:rPr>
          <w:rFonts w:hint="eastAsia" w:ascii="Times New Roman" w:hAnsi="Times New Roman" w:eastAsia="仿宋_GB2312" w:cs="仿宋_GB2312"/>
          <w:b w:val="0"/>
          <w:bCs/>
          <w:color w:val="auto"/>
          <w:spacing w:val="0"/>
          <w:kern w:val="0"/>
          <w:sz w:val="32"/>
          <w:szCs w:val="32"/>
          <w:u w:val="none" w:color="auto"/>
          <w:shd w:val="clear" w:color="auto" w:fill="FFFFFF"/>
        </w:rPr>
        <w:t>其他依法应当认定为违约的情形。</w:t>
      </w:r>
    </w:p>
    <w:p w14:paraId="72C043C1">
      <w:pPr>
        <w:keepNext w:val="0"/>
        <w:keepLines w:val="0"/>
        <w:pageBreakBefore w:val="0"/>
        <w:widowControl w:val="0"/>
        <w:shd w:val="clear" w:color="auto" w:fill="FFFFFF"/>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第三十五条</w:t>
      </w:r>
      <w:r>
        <w:rPr>
          <w:rFonts w:hint="eastAsia" w:ascii="Times New Roman" w:hAnsi="Times New Roman" w:eastAsia="仿宋_GB2312" w:cs="仿宋_GB2312"/>
          <w:b w:val="0"/>
          <w:bCs/>
          <w:color w:val="auto"/>
          <w:spacing w:val="0"/>
          <w:kern w:val="0"/>
          <w:sz w:val="32"/>
          <w:szCs w:val="32"/>
          <w:u w:val="none" w:color="auto"/>
          <w:shd w:val="clear" w:color="auto" w:fill="FFFFFF"/>
        </w:rPr>
        <w:t xml:space="preserve"> </w:t>
      </w:r>
      <w:r>
        <w:rPr>
          <w:rFonts w:hint="eastAsia" w:ascii="Times New Roman" w:hAnsi="Times New Roman" w:cs="仿宋_GB2312"/>
          <w:b w:val="0"/>
          <w:bCs/>
          <w:color w:val="auto"/>
          <w:spacing w:val="0"/>
          <w:kern w:val="0"/>
          <w:sz w:val="32"/>
          <w:szCs w:val="32"/>
          <w:u w:val="none" w:color="auto"/>
          <w:shd w:val="clear" w:color="auto" w:fill="FFFFFF"/>
          <w:lang w:val="en-US" w:eastAsia="zh-CN"/>
        </w:rPr>
        <w:t xml:space="preserve"> </w:t>
      </w:r>
      <w:r>
        <w:rPr>
          <w:rFonts w:hint="eastAsia" w:ascii="Times New Roman" w:hAnsi="Times New Roman" w:eastAsia="仿宋_GB2312" w:cs="仿宋_GB2312"/>
          <w:b w:val="0"/>
          <w:bCs/>
          <w:color w:val="auto"/>
          <w:spacing w:val="0"/>
          <w:kern w:val="0"/>
          <w:sz w:val="32"/>
          <w:szCs w:val="32"/>
          <w:u w:val="none" w:color="auto"/>
          <w:shd w:val="clear" w:color="auto" w:fill="FFFFFF"/>
        </w:rPr>
        <w:t>交易过程中发生争议，合同有约定的，按合同执行；合同未约定的，由争议当事人协商解决，协商不成的，可依法向人民法院起诉。</w:t>
      </w:r>
    </w:p>
    <w:p w14:paraId="1067B07A">
      <w:pPr>
        <w:keepNext w:val="0"/>
        <w:keepLines w:val="0"/>
        <w:pageBreakBefore w:val="0"/>
        <w:widowControl w:val="0"/>
        <w:shd w:val="clear" w:color="auto" w:fill="FFFFFF"/>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第三十六条</w:t>
      </w:r>
      <w:r>
        <w:rPr>
          <w:rFonts w:hint="eastAsia" w:ascii="Times New Roman" w:hAnsi="Times New Roman" w:eastAsia="仿宋_GB2312" w:cs="仿宋_GB2312"/>
          <w:b w:val="0"/>
          <w:bCs/>
          <w:color w:val="auto"/>
          <w:spacing w:val="0"/>
          <w:kern w:val="0"/>
          <w:sz w:val="32"/>
          <w:szCs w:val="32"/>
          <w:u w:val="none" w:color="auto"/>
          <w:shd w:val="clear" w:color="auto" w:fill="FFFFFF"/>
        </w:rPr>
        <w:t xml:space="preserve"> </w:t>
      </w:r>
      <w:r>
        <w:rPr>
          <w:rFonts w:hint="eastAsia" w:ascii="Times New Roman" w:hAnsi="Times New Roman" w:cs="仿宋_GB2312"/>
          <w:b w:val="0"/>
          <w:bCs/>
          <w:color w:val="auto"/>
          <w:spacing w:val="0"/>
          <w:kern w:val="0"/>
          <w:sz w:val="32"/>
          <w:szCs w:val="32"/>
          <w:u w:val="none" w:color="auto"/>
          <w:shd w:val="clear" w:color="auto" w:fill="FFFFFF"/>
          <w:lang w:val="en-US" w:eastAsia="zh-CN"/>
        </w:rPr>
        <w:t xml:space="preserve"> </w:t>
      </w:r>
      <w:r>
        <w:rPr>
          <w:rFonts w:hint="eastAsia" w:ascii="Times New Roman" w:hAnsi="Times New Roman" w:eastAsia="仿宋_GB2312" w:cs="仿宋_GB2312"/>
          <w:b w:val="0"/>
          <w:bCs/>
          <w:color w:val="auto"/>
          <w:spacing w:val="0"/>
          <w:kern w:val="0"/>
          <w:sz w:val="32"/>
          <w:szCs w:val="32"/>
          <w:u w:val="none" w:color="auto"/>
          <w:shd w:val="clear" w:color="auto" w:fill="FFFFFF"/>
        </w:rPr>
        <w:t>竞买人、竞得人违反本规则，按照公告或者合同约定承担相应的违约责任。</w:t>
      </w:r>
    </w:p>
    <w:p w14:paraId="420AEB41">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rPr>
      </w:pPr>
      <w:r>
        <w:rPr>
          <w:rFonts w:hint="eastAsia" w:ascii="Times New Roman" w:hAnsi="Times New Roman" w:cs="仿宋_GB2312"/>
          <w:b/>
          <w:bCs w:val="0"/>
          <w:color w:val="auto"/>
          <w:spacing w:val="0"/>
          <w:kern w:val="0"/>
          <w:sz w:val="32"/>
          <w:szCs w:val="32"/>
          <w:u w:val="none" w:color="auto"/>
          <w:shd w:val="clear" w:color="auto" w:fill="FFFFFF"/>
          <w:lang w:val="en-US" w:eastAsia="zh-CN" w:bidi="ar-SA"/>
        </w:rPr>
        <w:t>第三十七条</w:t>
      </w:r>
      <w:r>
        <w:rPr>
          <w:rFonts w:hint="eastAsia" w:ascii="Times New Roman" w:hAnsi="Times New Roman" w:eastAsia="仿宋_GB2312" w:cs="仿宋_GB2312"/>
          <w:b w:val="0"/>
          <w:bCs/>
          <w:color w:val="auto"/>
          <w:spacing w:val="0"/>
          <w:kern w:val="0"/>
          <w:sz w:val="32"/>
          <w:szCs w:val="32"/>
          <w:u w:val="none" w:color="auto"/>
          <w:shd w:val="clear" w:color="auto" w:fill="FFFFFF"/>
        </w:rPr>
        <w:t xml:space="preserve"> </w:t>
      </w:r>
      <w:r>
        <w:rPr>
          <w:rFonts w:hint="eastAsia" w:ascii="Times New Roman" w:hAnsi="Times New Roman" w:cs="仿宋_GB2312"/>
          <w:b w:val="0"/>
          <w:bCs/>
          <w:color w:val="auto"/>
          <w:spacing w:val="0"/>
          <w:kern w:val="0"/>
          <w:sz w:val="32"/>
          <w:szCs w:val="32"/>
          <w:u w:val="none" w:color="auto"/>
          <w:shd w:val="clear" w:color="auto" w:fill="FFFFFF"/>
          <w:lang w:val="en-US" w:eastAsia="zh-CN"/>
        </w:rPr>
        <w:t xml:space="preserve"> </w:t>
      </w:r>
      <w:r>
        <w:rPr>
          <w:rFonts w:hint="eastAsia" w:ascii="Times New Roman" w:hAnsi="Times New Roman" w:eastAsia="仿宋_GB2312" w:cs="仿宋_GB2312"/>
          <w:b w:val="0"/>
          <w:bCs/>
          <w:color w:val="auto"/>
          <w:spacing w:val="0"/>
          <w:kern w:val="0"/>
          <w:sz w:val="32"/>
          <w:szCs w:val="32"/>
          <w:u w:val="none" w:color="auto"/>
          <w:shd w:val="clear" w:color="auto" w:fill="FFFFFF"/>
        </w:rPr>
        <w:t>交易平台及其工作人员有违法、违规行为的，由自然资源主管部门或者交易平台的主管部门依法依规予以处理；造成经济损失的，应当承担经济赔偿责任；情节严重、构成犯罪的，移交司法机关处理。</w:t>
      </w:r>
    </w:p>
    <w:p w14:paraId="6E4D99C3">
      <w:pPr>
        <w:pStyle w:val="3"/>
        <w:keepNext w:val="0"/>
        <w:keepLines w:val="0"/>
        <w:pageBreakBefore w:val="0"/>
        <w:widowControl w:val="0"/>
        <w:numPr>
          <w:ilvl w:val="0"/>
          <w:numId w:val="0"/>
        </w:numPr>
        <w:kinsoku/>
        <w:wordWrap/>
        <w:overflowPunct w:val="0"/>
        <w:topLinePunct w:val="0"/>
        <w:autoSpaceDE w:val="0"/>
        <w:autoSpaceDN/>
        <w:bidi w:val="0"/>
        <w:adjustRightInd/>
        <w:snapToGrid/>
        <w:spacing w:before="0" w:beforeLines="0" w:after="0" w:afterLines="0" w:line="600" w:lineRule="exact"/>
        <w:textAlignment w:val="auto"/>
        <w:rPr>
          <w:rFonts w:hint="eastAsia" w:ascii="Times New Roman" w:hAnsi="Times New Roman"/>
          <w:color w:val="auto"/>
          <w:spacing w:val="0"/>
          <w:u w:val="none" w:color="auto"/>
          <w:lang w:val="en-US" w:eastAsia="zh-CN"/>
        </w:rPr>
      </w:pPr>
    </w:p>
    <w:p w14:paraId="2F5BA60C">
      <w:pPr>
        <w:keepNext w:val="0"/>
        <w:keepLines w:val="0"/>
        <w:pageBreakBefore w:val="0"/>
        <w:widowControl w:val="0"/>
        <w:numPr>
          <w:ilvl w:val="0"/>
          <w:numId w:val="1"/>
        </w:numPr>
        <w:kinsoku/>
        <w:wordWrap/>
        <w:overflowPunct w:val="0"/>
        <w:topLinePunct w:val="0"/>
        <w:autoSpaceDE w:val="0"/>
        <w:autoSpaceDN/>
        <w:bidi w:val="0"/>
        <w:adjustRightInd/>
        <w:snapToGrid/>
        <w:spacing w:line="600" w:lineRule="exact"/>
        <w:ind w:left="0" w:leftChars="0" w:firstLine="0" w:firstLineChars="0"/>
        <w:jc w:val="center"/>
        <w:textAlignment w:val="auto"/>
        <w:outlineLvl w:val="9"/>
        <w:rPr>
          <w:rFonts w:hint="eastAsia" w:ascii="Times New Roman" w:hAnsi="Times New Roman" w:eastAsia="黑体" w:cs="黑体"/>
          <w:b w:val="0"/>
          <w:bCs w:val="0"/>
          <w:color w:val="auto"/>
          <w:spacing w:val="0"/>
          <w:sz w:val="32"/>
          <w:szCs w:val="32"/>
          <w:u w:val="none" w:color="auto"/>
          <w:vertAlign w:val="baseline"/>
          <w:lang w:val="en-US" w:eastAsia="zh-CN"/>
        </w:rPr>
      </w:pPr>
      <w:r>
        <w:rPr>
          <w:rFonts w:hint="eastAsia" w:ascii="Times New Roman" w:hAnsi="Times New Roman" w:eastAsia="黑体" w:cs="黑体"/>
          <w:b w:val="0"/>
          <w:bCs w:val="0"/>
          <w:color w:val="auto"/>
          <w:spacing w:val="0"/>
          <w:sz w:val="32"/>
          <w:szCs w:val="32"/>
          <w:u w:val="none" w:color="auto"/>
          <w:vertAlign w:val="baseline"/>
          <w:lang w:val="en-US" w:eastAsia="zh-CN"/>
        </w:rPr>
        <w:t xml:space="preserve"> 附  则</w:t>
      </w:r>
    </w:p>
    <w:p w14:paraId="50C8A7CD">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bCs w:val="0"/>
          <w:color w:val="auto"/>
          <w:spacing w:val="0"/>
          <w:kern w:val="0"/>
          <w:sz w:val="32"/>
          <w:szCs w:val="32"/>
          <w:u w:val="none" w:color="auto"/>
          <w:shd w:val="clear" w:color="auto" w:fill="FFFFFF"/>
        </w:rPr>
        <w:t>第三十</w:t>
      </w:r>
      <w:r>
        <w:rPr>
          <w:rFonts w:hint="eastAsia" w:ascii="Times New Roman" w:hAnsi="Times New Roman" w:cs="仿宋_GB2312"/>
          <w:b/>
          <w:bCs w:val="0"/>
          <w:color w:val="auto"/>
          <w:spacing w:val="0"/>
          <w:kern w:val="0"/>
          <w:sz w:val="32"/>
          <w:szCs w:val="32"/>
          <w:u w:val="none" w:color="auto"/>
          <w:shd w:val="clear" w:color="auto" w:fill="FFFFFF"/>
          <w:lang w:eastAsia="zh-CN"/>
        </w:rPr>
        <w:t>八</w:t>
      </w:r>
      <w:r>
        <w:rPr>
          <w:rFonts w:hint="eastAsia" w:ascii="Times New Roman" w:hAnsi="Times New Roman" w:eastAsia="仿宋_GB2312" w:cs="仿宋_GB2312"/>
          <w:b/>
          <w:bCs w:val="0"/>
          <w:color w:val="auto"/>
          <w:spacing w:val="0"/>
          <w:kern w:val="0"/>
          <w:sz w:val="32"/>
          <w:szCs w:val="32"/>
          <w:u w:val="none" w:color="auto"/>
          <w:shd w:val="clear" w:color="auto" w:fill="FFFFFF"/>
        </w:rPr>
        <w:t>条</w:t>
      </w:r>
      <w:r>
        <w:rPr>
          <w:rFonts w:hint="eastAsia" w:ascii="Times New Roman" w:hAnsi="Times New Roman" w:cs="仿宋_GB2312"/>
          <w:b/>
          <w:bCs w:val="0"/>
          <w:color w:val="auto"/>
          <w:spacing w:val="0"/>
          <w:kern w:val="0"/>
          <w:sz w:val="32"/>
          <w:szCs w:val="32"/>
          <w:u w:val="none" w:color="auto"/>
          <w:shd w:val="clear" w:color="auto" w:fill="FFFFFF"/>
          <w:lang w:val="en-US" w:eastAsia="zh-CN"/>
        </w:rPr>
        <w:t xml:space="preserve"> </w:t>
      </w:r>
      <w:r>
        <w:rPr>
          <w:rFonts w:hint="eastAsia" w:ascii="Times New Roman" w:hAnsi="Times New Roman" w:eastAsia="仿宋_GB2312" w:cs="仿宋_GB2312"/>
          <w:b w:val="0"/>
          <w:bCs/>
          <w:color w:val="auto"/>
          <w:spacing w:val="0"/>
          <w:kern w:val="0"/>
          <w:sz w:val="32"/>
          <w:szCs w:val="32"/>
          <w:u w:val="none" w:color="auto"/>
          <w:shd w:val="clear" w:color="auto" w:fill="FFFFFF"/>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rPr>
        <w:t>网上交易过程所涉及时间均以网上交易系统服务器时间为准，数据记录时间以数据信息到达网上交易系统服务器的时间为依据。</w:t>
      </w:r>
    </w:p>
    <w:p w14:paraId="106EB654">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default" w:ascii="Times New Roman" w:hAnsi="Times New Roman" w:eastAsia="仿宋_GB2312" w:cs="仿宋_GB2312"/>
          <w:b/>
          <w:bCs w:val="0"/>
          <w:color w:val="auto"/>
          <w:spacing w:val="0"/>
          <w:kern w:val="0"/>
          <w:sz w:val="32"/>
          <w:szCs w:val="32"/>
          <w:u w:val="none" w:color="auto"/>
          <w:shd w:val="clear" w:color="auto" w:fill="FFFFFF"/>
          <w:lang w:val="en-US" w:eastAsia="zh-CN"/>
        </w:rPr>
      </w:pPr>
      <w:r>
        <w:rPr>
          <w:rFonts w:hint="eastAsia" w:ascii="Times New Roman" w:hAnsi="Times New Roman" w:eastAsia="仿宋_GB2312" w:cs="仿宋_GB2312"/>
          <w:b/>
          <w:bCs w:val="0"/>
          <w:color w:val="auto"/>
          <w:spacing w:val="0"/>
          <w:kern w:val="0"/>
          <w:sz w:val="32"/>
          <w:szCs w:val="32"/>
          <w:u w:val="none" w:color="auto"/>
          <w:shd w:val="clear" w:color="auto" w:fill="FFFFFF"/>
        </w:rPr>
        <w:t>第三十</w:t>
      </w:r>
      <w:r>
        <w:rPr>
          <w:rFonts w:hint="eastAsia" w:ascii="Times New Roman" w:hAnsi="Times New Roman" w:cs="仿宋_GB2312"/>
          <w:b/>
          <w:bCs w:val="0"/>
          <w:color w:val="auto"/>
          <w:spacing w:val="0"/>
          <w:kern w:val="0"/>
          <w:sz w:val="32"/>
          <w:szCs w:val="32"/>
          <w:u w:val="none" w:color="auto"/>
          <w:shd w:val="clear" w:color="auto" w:fill="FFFFFF"/>
          <w:lang w:eastAsia="zh-CN"/>
        </w:rPr>
        <w:t>九</w:t>
      </w:r>
      <w:r>
        <w:rPr>
          <w:rFonts w:hint="eastAsia" w:ascii="Times New Roman" w:hAnsi="Times New Roman" w:eastAsia="仿宋_GB2312" w:cs="仿宋_GB2312"/>
          <w:b/>
          <w:bCs w:val="0"/>
          <w:color w:val="auto"/>
          <w:spacing w:val="0"/>
          <w:kern w:val="0"/>
          <w:sz w:val="32"/>
          <w:szCs w:val="32"/>
          <w:u w:val="none" w:color="auto"/>
          <w:shd w:val="clear" w:color="auto" w:fill="FFFFFF"/>
        </w:rPr>
        <w:t>条</w:t>
      </w:r>
      <w:r>
        <w:rPr>
          <w:rFonts w:hint="eastAsia" w:ascii="Times New Roman" w:hAnsi="Times New Roman" w:cs="仿宋_GB2312"/>
          <w:b/>
          <w:bCs w:val="0"/>
          <w:color w:val="auto"/>
          <w:spacing w:val="0"/>
          <w:kern w:val="0"/>
          <w:sz w:val="32"/>
          <w:szCs w:val="32"/>
          <w:u w:val="none" w:color="auto"/>
          <w:shd w:val="clear" w:color="auto" w:fill="FFFFFF"/>
          <w:lang w:val="en-US" w:eastAsia="zh-CN"/>
        </w:rPr>
        <w:t xml:space="preserve">  </w:t>
      </w:r>
      <w:r>
        <w:rPr>
          <w:rFonts w:hint="eastAsia" w:ascii="Times New Roman" w:hAnsi="Times New Roman" w:cs="仿宋_GB2312"/>
          <w:b w:val="0"/>
          <w:bCs/>
          <w:color w:val="auto"/>
          <w:spacing w:val="0"/>
          <w:kern w:val="0"/>
          <w:sz w:val="32"/>
          <w:szCs w:val="32"/>
          <w:u w:val="none" w:color="auto"/>
          <w:shd w:val="clear" w:color="auto" w:fill="FFFFFF"/>
          <w:lang w:val="en-US" w:eastAsia="zh-CN"/>
        </w:rPr>
        <w:t>探索分段设置保证金、熔断报价追加保证金机制。当报价达到熔断价时，网上竞价暂停，竞买人按规定追加保证金后方可参与后续竞价，系统在交易文件规定时间恢复竞价。</w:t>
      </w:r>
    </w:p>
    <w:p w14:paraId="68BF137C">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Cs/>
          <w:color w:val="auto"/>
          <w:spacing w:val="0"/>
          <w:kern w:val="0"/>
          <w:sz w:val="28"/>
          <w:szCs w:val="28"/>
          <w:highlight w:val="none"/>
          <w:u w:val="none" w:color="auto"/>
          <w:shd w:val="clear" w:color="auto" w:fill="FFFFFF"/>
          <w:lang w:eastAsia="zh-CN"/>
        </w:rPr>
      </w:pPr>
      <w:r>
        <w:rPr>
          <w:rFonts w:hint="eastAsia" w:ascii="Times New Roman" w:hAnsi="Times New Roman" w:eastAsia="仿宋_GB2312" w:cs="仿宋_GB2312"/>
          <w:b/>
          <w:bCs w:val="0"/>
          <w:color w:val="auto"/>
          <w:spacing w:val="0"/>
          <w:kern w:val="0"/>
          <w:sz w:val="32"/>
          <w:szCs w:val="32"/>
          <w:u w:val="none" w:color="auto"/>
          <w:shd w:val="clear" w:color="auto" w:fill="FFFFFF"/>
        </w:rPr>
        <w:t>第</w:t>
      </w:r>
      <w:r>
        <w:rPr>
          <w:rFonts w:hint="eastAsia" w:ascii="Times New Roman" w:hAnsi="Times New Roman" w:cs="仿宋_GB2312"/>
          <w:b/>
          <w:bCs w:val="0"/>
          <w:color w:val="auto"/>
          <w:spacing w:val="0"/>
          <w:kern w:val="0"/>
          <w:sz w:val="32"/>
          <w:szCs w:val="32"/>
          <w:u w:val="none" w:color="auto"/>
          <w:shd w:val="clear" w:color="auto" w:fill="FFFFFF"/>
          <w:lang w:eastAsia="zh-CN"/>
        </w:rPr>
        <w:t>四十</w:t>
      </w:r>
      <w:r>
        <w:rPr>
          <w:rFonts w:hint="eastAsia" w:ascii="Times New Roman" w:hAnsi="Times New Roman" w:eastAsia="仿宋_GB2312" w:cs="仿宋_GB2312"/>
          <w:b/>
          <w:bCs w:val="0"/>
          <w:color w:val="auto"/>
          <w:spacing w:val="0"/>
          <w:kern w:val="0"/>
          <w:sz w:val="32"/>
          <w:szCs w:val="32"/>
          <w:u w:val="none" w:color="auto"/>
          <w:shd w:val="clear" w:color="auto" w:fill="FFFFFF"/>
        </w:rPr>
        <w:t>条</w:t>
      </w:r>
      <w:r>
        <w:rPr>
          <w:rFonts w:hint="eastAsia" w:ascii="Times New Roman" w:hAnsi="Times New Roman" w:eastAsia="仿宋_GB2312" w:cs="仿宋_GB2312"/>
          <w:b w:val="0"/>
          <w:bCs/>
          <w:color w:val="auto"/>
          <w:spacing w:val="0"/>
          <w:kern w:val="0"/>
          <w:sz w:val="32"/>
          <w:szCs w:val="32"/>
          <w:u w:val="none" w:color="auto"/>
          <w:shd w:val="clear" w:color="auto" w:fill="FFFFFF"/>
        </w:rPr>
        <w:t xml:space="preserve"> </w:t>
      </w:r>
      <w:r>
        <w:rPr>
          <w:rFonts w:hint="eastAsia" w:ascii="Times New Roman" w:hAnsi="Times New Roman" w:cs="仿宋_GB2312"/>
          <w:b w:val="0"/>
          <w:bCs/>
          <w:color w:val="auto"/>
          <w:spacing w:val="0"/>
          <w:kern w:val="0"/>
          <w:sz w:val="32"/>
          <w:szCs w:val="32"/>
          <w:u w:val="none" w:color="auto"/>
          <w:shd w:val="clear" w:color="auto" w:fill="FFFFFF"/>
          <w:lang w:val="en-US" w:eastAsia="zh-CN"/>
        </w:rPr>
        <w:t xml:space="preserve"> </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rPr>
        <w:t>以</w:t>
      </w:r>
      <w:r>
        <w:rPr>
          <w:rFonts w:hint="eastAsia" w:ascii="Times New Roman" w:hAnsi="Times New Roman" w:eastAsia="仿宋_GB2312" w:cs="仿宋_GB2312"/>
          <w:bCs/>
          <w:color w:val="auto"/>
          <w:spacing w:val="0"/>
          <w:kern w:val="0"/>
          <w:sz w:val="32"/>
          <w:szCs w:val="32"/>
          <w:u w:val="none" w:color="auto"/>
          <w:shd w:val="clear" w:color="auto" w:fill="FFFFFF"/>
          <w:lang w:eastAsia="zh-CN"/>
        </w:rPr>
        <w:t>招标</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rPr>
        <w:t>方式</w:t>
      </w:r>
      <w:r>
        <w:rPr>
          <w:rFonts w:hint="eastAsia" w:ascii="Times New Roman" w:hAnsi="Times New Roman" w:eastAsia="仿宋_GB2312" w:cs="仿宋_GB2312"/>
          <w:bCs/>
          <w:color w:val="auto"/>
          <w:spacing w:val="0"/>
          <w:kern w:val="0"/>
          <w:sz w:val="32"/>
          <w:szCs w:val="32"/>
          <w:u w:val="none" w:color="auto"/>
          <w:shd w:val="clear" w:color="auto" w:fill="FFFFFF"/>
          <w:lang w:eastAsia="zh-CN"/>
        </w:rPr>
        <w:t>出让</w:t>
      </w:r>
      <w:r>
        <w:rPr>
          <w:rFonts w:hint="eastAsia" w:ascii="Times New Roman" w:hAnsi="Times New Roman" w:eastAsia="仿宋_GB2312" w:cs="仿宋_GB2312"/>
          <w:bCs/>
          <w:color w:val="auto"/>
          <w:spacing w:val="0"/>
          <w:kern w:val="0"/>
          <w:sz w:val="32"/>
          <w:szCs w:val="32"/>
          <w:u w:val="none" w:color="auto"/>
          <w:shd w:val="clear" w:color="auto" w:fill="FFFFFF"/>
          <w:lang w:val="en-US" w:eastAsia="zh-CN"/>
        </w:rPr>
        <w:t>矿业权的</w:t>
      </w:r>
      <w:r>
        <w:rPr>
          <w:rFonts w:hint="eastAsia" w:ascii="Times New Roman" w:hAnsi="Times New Roman" w:eastAsia="仿宋_GB2312" w:cs="仿宋_GB2312"/>
          <w:bCs/>
          <w:color w:val="auto"/>
          <w:spacing w:val="0"/>
          <w:kern w:val="0"/>
          <w:sz w:val="32"/>
          <w:szCs w:val="32"/>
          <w:u w:val="none" w:color="auto"/>
          <w:shd w:val="clear" w:color="auto" w:fill="FFFFFF"/>
          <w:lang w:eastAsia="zh-CN"/>
        </w:rPr>
        <w:t>按照有关法律法规等规定执行。</w:t>
      </w:r>
    </w:p>
    <w:p w14:paraId="16A70FF1">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bidi="ar-SA"/>
        </w:rPr>
      </w:pPr>
      <w:r>
        <w:rPr>
          <w:rFonts w:hint="eastAsia" w:ascii="Times New Roman" w:hAnsi="Times New Roman" w:eastAsia="仿宋_GB2312" w:cs="仿宋_GB2312"/>
          <w:b/>
          <w:bCs w:val="0"/>
          <w:color w:val="auto"/>
          <w:spacing w:val="0"/>
          <w:kern w:val="0"/>
          <w:sz w:val="32"/>
          <w:szCs w:val="32"/>
          <w:u w:val="none" w:color="auto"/>
          <w:shd w:val="clear" w:color="auto" w:fill="FFFFFF"/>
        </w:rPr>
        <w:t>第四十</w:t>
      </w:r>
      <w:r>
        <w:rPr>
          <w:rFonts w:hint="eastAsia" w:ascii="Times New Roman" w:hAnsi="Times New Roman" w:cs="仿宋_GB2312"/>
          <w:b/>
          <w:bCs w:val="0"/>
          <w:color w:val="auto"/>
          <w:spacing w:val="0"/>
          <w:kern w:val="0"/>
          <w:sz w:val="32"/>
          <w:szCs w:val="32"/>
          <w:u w:val="none" w:color="auto"/>
          <w:shd w:val="clear" w:color="auto" w:fill="FFFFFF"/>
          <w:lang w:eastAsia="zh-CN"/>
        </w:rPr>
        <w:t>一</w:t>
      </w:r>
      <w:r>
        <w:rPr>
          <w:rFonts w:hint="eastAsia" w:ascii="Times New Roman" w:hAnsi="Times New Roman" w:eastAsia="仿宋_GB2312" w:cs="仿宋_GB2312"/>
          <w:b/>
          <w:bCs w:val="0"/>
          <w:color w:val="auto"/>
          <w:spacing w:val="0"/>
          <w:kern w:val="0"/>
          <w:sz w:val="32"/>
          <w:szCs w:val="32"/>
          <w:u w:val="none" w:color="auto"/>
          <w:shd w:val="clear" w:color="auto" w:fill="FFFFFF"/>
        </w:rPr>
        <w:t>条</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rPr>
        <w:t xml:space="preserve"> </w:t>
      </w:r>
      <w:r>
        <w:rPr>
          <w:rFonts w:hint="eastAsia" w:ascii="Times New Roman" w:hAnsi="Times New Roman" w:cs="仿宋_GB2312"/>
          <w:b w:val="0"/>
          <w:bCs/>
          <w:color w:val="auto"/>
          <w:spacing w:val="0"/>
          <w:kern w:val="0"/>
          <w:sz w:val="32"/>
          <w:szCs w:val="32"/>
          <w:u w:val="none" w:color="auto"/>
          <w:shd w:val="clear" w:color="auto" w:fill="FFFFFF"/>
          <w:lang w:val="en-US" w:eastAsia="zh-CN"/>
        </w:rPr>
        <w:t xml:space="preserve"> </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rPr>
        <w:t>市级、县级自然资源主管部门负责出让登记的矿业权</w:t>
      </w:r>
      <w:r>
        <w:rPr>
          <w:rFonts w:hint="eastAsia" w:ascii="Times New Roman" w:hAnsi="Times New Roman" w:eastAsia="仿宋_GB2312" w:cs="仿宋_GB2312"/>
          <w:b w:val="0"/>
          <w:bCs/>
          <w:color w:val="auto"/>
          <w:spacing w:val="0"/>
          <w:kern w:val="0"/>
          <w:sz w:val="32"/>
          <w:szCs w:val="32"/>
          <w:u w:val="none" w:color="auto"/>
          <w:shd w:val="clear" w:color="auto" w:fill="FFFFFF"/>
        </w:rPr>
        <w:t>进入同级矿业权交易</w:t>
      </w:r>
      <w:r>
        <w:rPr>
          <w:rFonts w:hint="eastAsia" w:ascii="Times New Roman" w:hAnsi="Times New Roman" w:eastAsia="仿宋_GB2312" w:cs="仿宋_GB2312"/>
          <w:b w:val="0"/>
          <w:bCs/>
          <w:color w:val="auto"/>
          <w:spacing w:val="0"/>
          <w:kern w:val="0"/>
          <w:sz w:val="32"/>
          <w:szCs w:val="32"/>
          <w:u w:val="none" w:color="auto"/>
          <w:shd w:val="clear" w:color="auto" w:fill="FFFFFF"/>
          <w:lang w:val="en-US" w:eastAsia="zh-CN"/>
        </w:rPr>
        <w:t>平台</w:t>
      </w:r>
      <w:r>
        <w:rPr>
          <w:rFonts w:hint="eastAsia" w:ascii="Times New Roman" w:hAnsi="Times New Roman" w:eastAsia="仿宋_GB2312" w:cs="仿宋_GB2312"/>
          <w:b w:val="0"/>
          <w:bCs/>
          <w:color w:val="auto"/>
          <w:spacing w:val="0"/>
          <w:kern w:val="0"/>
          <w:sz w:val="32"/>
          <w:szCs w:val="32"/>
          <w:u w:val="none" w:color="auto"/>
          <w:shd w:val="clear" w:color="auto" w:fill="FFFFFF"/>
        </w:rPr>
        <w:t>（公共资源交易中心）进行网上交易，可参照本规则执行。</w:t>
      </w:r>
    </w:p>
    <w:p w14:paraId="77A1F4DC">
      <w:pPr>
        <w:keepNext w:val="0"/>
        <w:keepLines w:val="0"/>
        <w:pageBreakBefore w:val="0"/>
        <w:widowControl w:val="0"/>
        <w:kinsoku/>
        <w:wordWrap/>
        <w:overflowPunct w:val="0"/>
        <w:topLinePunct w:val="0"/>
        <w:autoSpaceDE w:val="0"/>
        <w:autoSpaceDN/>
        <w:bidi w:val="0"/>
        <w:adjustRightInd/>
        <w:snapToGrid/>
        <w:spacing w:line="600" w:lineRule="exact"/>
        <w:ind w:firstLine="643" w:firstLineChars="200"/>
        <w:textAlignment w:val="auto"/>
        <w:outlineLvl w:val="9"/>
        <w:rPr>
          <w:rFonts w:hint="eastAsia" w:ascii="Times New Roman" w:hAnsi="Times New Roman" w:eastAsia="仿宋_GB2312" w:cs="仿宋_GB2312"/>
          <w:b w:val="0"/>
          <w:bCs/>
          <w:color w:val="auto"/>
          <w:spacing w:val="-6"/>
          <w:kern w:val="0"/>
          <w:sz w:val="32"/>
          <w:szCs w:val="32"/>
          <w:u w:val="none" w:color="auto"/>
          <w:shd w:val="clear" w:color="auto" w:fill="FFFFFF"/>
        </w:rPr>
      </w:pPr>
      <w:r>
        <w:rPr>
          <w:rFonts w:hint="eastAsia" w:ascii="Times New Roman" w:hAnsi="Times New Roman" w:eastAsia="仿宋_GB2312" w:cs="仿宋_GB2312"/>
          <w:b/>
          <w:bCs w:val="0"/>
          <w:color w:val="auto"/>
          <w:spacing w:val="0"/>
          <w:kern w:val="0"/>
          <w:sz w:val="32"/>
          <w:szCs w:val="32"/>
          <w:u w:val="none" w:color="auto"/>
          <w:shd w:val="clear" w:color="auto" w:fill="FFFFFF"/>
        </w:rPr>
        <w:t>第四十</w:t>
      </w:r>
      <w:r>
        <w:rPr>
          <w:rFonts w:hint="eastAsia" w:ascii="Times New Roman" w:hAnsi="Times New Roman" w:cs="仿宋_GB2312"/>
          <w:b/>
          <w:bCs w:val="0"/>
          <w:color w:val="auto"/>
          <w:spacing w:val="0"/>
          <w:kern w:val="0"/>
          <w:sz w:val="32"/>
          <w:szCs w:val="32"/>
          <w:u w:val="none" w:color="auto"/>
          <w:shd w:val="clear" w:color="auto" w:fill="FFFFFF"/>
          <w:lang w:eastAsia="zh-CN"/>
        </w:rPr>
        <w:t>二</w:t>
      </w:r>
      <w:r>
        <w:rPr>
          <w:rFonts w:hint="eastAsia" w:ascii="Times New Roman" w:hAnsi="Times New Roman" w:eastAsia="仿宋_GB2312" w:cs="仿宋_GB2312"/>
          <w:b/>
          <w:bCs w:val="0"/>
          <w:color w:val="auto"/>
          <w:spacing w:val="0"/>
          <w:kern w:val="0"/>
          <w:sz w:val="32"/>
          <w:szCs w:val="32"/>
          <w:u w:val="none" w:color="auto"/>
          <w:shd w:val="clear" w:color="auto" w:fill="FFFFFF"/>
        </w:rPr>
        <w:t>条</w:t>
      </w:r>
      <w:r>
        <w:rPr>
          <w:rFonts w:hint="eastAsia" w:ascii="Times New Roman" w:hAnsi="Times New Roman" w:eastAsia="仿宋_GB2312" w:cs="仿宋_GB2312"/>
          <w:b w:val="0"/>
          <w:bCs/>
          <w:color w:val="auto"/>
          <w:spacing w:val="0"/>
          <w:kern w:val="0"/>
          <w:sz w:val="32"/>
          <w:szCs w:val="32"/>
          <w:u w:val="none" w:color="auto"/>
          <w:shd w:val="clear" w:color="auto" w:fill="FFFFFF"/>
        </w:rPr>
        <w:t xml:space="preserve"> </w:t>
      </w:r>
      <w:r>
        <w:rPr>
          <w:rFonts w:hint="eastAsia" w:ascii="Times New Roman" w:hAnsi="Times New Roman" w:cs="仿宋_GB2312"/>
          <w:b w:val="0"/>
          <w:bCs/>
          <w:color w:val="auto"/>
          <w:spacing w:val="0"/>
          <w:kern w:val="0"/>
          <w:sz w:val="32"/>
          <w:szCs w:val="32"/>
          <w:u w:val="none" w:color="auto"/>
          <w:shd w:val="clear" w:color="auto" w:fill="FFFFFF"/>
          <w:lang w:val="en-US" w:eastAsia="zh-CN"/>
        </w:rPr>
        <w:t xml:space="preserve"> </w:t>
      </w:r>
      <w:r>
        <w:rPr>
          <w:rFonts w:hint="eastAsia" w:ascii="Times New Roman" w:hAnsi="Times New Roman" w:eastAsia="仿宋_GB2312" w:cs="仿宋_GB2312"/>
          <w:b w:val="0"/>
          <w:bCs/>
          <w:color w:val="auto"/>
          <w:spacing w:val="-6"/>
          <w:kern w:val="0"/>
          <w:sz w:val="32"/>
          <w:szCs w:val="32"/>
          <w:u w:val="none" w:color="auto"/>
          <w:shd w:val="clear" w:color="auto" w:fill="FFFFFF"/>
        </w:rPr>
        <w:t>本规则</w:t>
      </w:r>
      <w:r>
        <w:rPr>
          <w:rFonts w:hint="eastAsia" w:ascii="Times New Roman" w:hAnsi="Times New Roman" w:cs="仿宋_GB2312"/>
          <w:b w:val="0"/>
          <w:bCs/>
          <w:color w:val="auto"/>
          <w:spacing w:val="-6"/>
          <w:kern w:val="0"/>
          <w:sz w:val="32"/>
          <w:szCs w:val="32"/>
          <w:u w:val="none" w:color="auto"/>
          <w:shd w:val="clear" w:color="auto" w:fill="FFFFFF"/>
          <w:lang w:val="en-US" w:eastAsia="zh-CN"/>
        </w:rPr>
        <w:t>自</w:t>
      </w:r>
      <w:r>
        <w:rPr>
          <w:rFonts w:hint="eastAsia" w:ascii="Times New Roman" w:hAnsi="Times New Roman" w:cs="Times New Roman"/>
          <w:color w:val="auto"/>
          <w:spacing w:val="-6"/>
          <w:sz w:val="32"/>
          <w:highlight w:val="none"/>
          <w:u w:val="none" w:color="auto"/>
          <w:lang w:val="en-US" w:eastAsia="zh-CN"/>
        </w:rPr>
        <w:t>2025年8月1日</w:t>
      </w:r>
      <w:r>
        <w:rPr>
          <w:rFonts w:hint="default" w:ascii="Times New Roman" w:hAnsi="Times New Roman" w:cs="Times New Roman"/>
          <w:color w:val="auto"/>
          <w:spacing w:val="-6"/>
          <w:sz w:val="32"/>
          <w:highlight w:val="none"/>
          <w:u w:val="none" w:color="auto"/>
        </w:rPr>
        <w:t>起施行</w:t>
      </w:r>
      <w:r>
        <w:rPr>
          <w:rFonts w:hint="eastAsia" w:ascii="Times New Roman" w:hAnsi="Times New Roman" w:eastAsia="仿宋_GB2312" w:cs="仿宋_GB2312"/>
          <w:b w:val="0"/>
          <w:bCs/>
          <w:color w:val="auto"/>
          <w:spacing w:val="0"/>
          <w:kern w:val="0"/>
          <w:sz w:val="32"/>
          <w:szCs w:val="32"/>
          <w:u w:val="none" w:color="auto"/>
          <w:shd w:val="clear" w:color="auto" w:fill="FFFFFF"/>
        </w:rPr>
        <w:t>，</w:t>
      </w:r>
      <w:r>
        <w:rPr>
          <w:rFonts w:hint="default" w:ascii="Times New Roman" w:hAnsi="Times New Roman" w:cs="Times New Roman"/>
          <w:color w:val="auto"/>
          <w:spacing w:val="-6"/>
          <w:sz w:val="32"/>
          <w:highlight w:val="none"/>
          <w:u w:val="none" w:color="auto"/>
        </w:rPr>
        <w:t>有效期</w:t>
      </w:r>
      <w:r>
        <w:rPr>
          <w:rFonts w:hint="eastAsia" w:ascii="Times New Roman" w:hAnsi="Times New Roman" w:cs="Times New Roman"/>
          <w:color w:val="auto"/>
          <w:spacing w:val="-6"/>
          <w:sz w:val="32"/>
          <w:highlight w:val="none"/>
          <w:u w:val="none" w:color="auto"/>
          <w:lang w:val="en-US" w:eastAsia="zh-CN"/>
        </w:rPr>
        <w:t>5</w:t>
      </w:r>
      <w:r>
        <w:rPr>
          <w:rFonts w:hint="default" w:ascii="Times New Roman" w:hAnsi="Times New Roman" w:cs="Times New Roman"/>
          <w:color w:val="auto"/>
          <w:spacing w:val="-6"/>
          <w:sz w:val="32"/>
          <w:highlight w:val="none"/>
          <w:u w:val="none" w:color="auto"/>
        </w:rPr>
        <w:t>年</w:t>
      </w:r>
      <w:r>
        <w:rPr>
          <w:rFonts w:hint="eastAsia" w:ascii="Times New Roman" w:hAnsi="Times New Roman" w:eastAsia="仿宋_GB2312" w:cs="仿宋_GB2312"/>
          <w:b w:val="0"/>
          <w:bCs/>
          <w:color w:val="auto"/>
          <w:spacing w:val="-6"/>
          <w:kern w:val="0"/>
          <w:sz w:val="32"/>
          <w:szCs w:val="32"/>
          <w:u w:val="none" w:color="auto"/>
          <w:shd w:val="clear" w:color="auto" w:fill="FFFFFF"/>
        </w:rPr>
        <w:t>。</w:t>
      </w:r>
    </w:p>
    <w:p w14:paraId="4FE49502">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0" w:firstLineChars="0"/>
        <w:jc w:val="left"/>
        <w:textAlignment w:val="auto"/>
        <w:outlineLvl w:val="9"/>
        <w:rPr>
          <w:rFonts w:hint="eastAsia" w:ascii="Times New Roman" w:hAnsi="Times New Roman" w:eastAsia="黑体" w:cs="黑体"/>
          <w:bCs/>
          <w:color w:val="auto"/>
          <w:spacing w:val="0"/>
          <w:kern w:val="0"/>
          <w:sz w:val="32"/>
          <w:szCs w:val="32"/>
          <w:u w:val="none" w:color="auto"/>
          <w:shd w:val="clear" w:color="auto" w:fill="FFFFFF"/>
        </w:rPr>
      </w:pPr>
    </w:p>
    <w:p w14:paraId="5B0D69C9">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108687"/>
    <w:multiLevelType w:val="singleLevel"/>
    <w:tmpl w:val="7F10868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51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Calibri" w:hAnsi="Calibri" w:eastAsia="仿宋_GB2312" w:cs="Times New Roman"/>
      <w:kern w:val="2"/>
      <w:sz w:val="32"/>
      <w:szCs w:val="24"/>
      <w:lang w:val="en-US" w:eastAsia="zh-CN" w:bidi="ar-SA"/>
    </w:rPr>
  </w:style>
  <w:style w:type="paragraph" w:styleId="3">
    <w:name w:val="heading 2"/>
    <w:next w:val="1"/>
    <w:qFormat/>
    <w:uiPriority w:val="0"/>
    <w:pPr>
      <w:keepNext/>
      <w:keepLines/>
      <w:widowControl w:val="0"/>
      <w:spacing w:before="260" w:beforeLines="0" w:after="260" w:afterLines="0" w:line="413" w:lineRule="auto"/>
      <w:ind w:firstLine="640" w:firstLineChars="200"/>
      <w:jc w:val="both"/>
      <w:outlineLvl w:val="1"/>
    </w:pPr>
    <w:rPr>
      <w:rFonts w:ascii="Cambria" w:hAnsi="Calibri" w:eastAsia="仿宋_GB2312" w:cs="Times New Roman"/>
      <w:b/>
      <w:kern w:val="2"/>
      <w:sz w:val="32"/>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adjustRightInd w:val="0"/>
      <w:spacing w:line="480" w:lineRule="auto"/>
      <w:ind w:firstLine="640" w:firstLineChars="200"/>
      <w:jc w:val="center"/>
      <w:textAlignment w:val="baseline"/>
      <w:outlineLvl w:val="0"/>
    </w:pPr>
    <w:rPr>
      <w:rFonts w:ascii="Cambria" w:hAnsi="Cambria" w:eastAsia="仿宋_GB2312" w:cs="Times New Roman"/>
      <w:b/>
      <w:bCs/>
      <w:kern w:val="2"/>
      <w:sz w:val="52"/>
      <w:szCs w:val="32"/>
      <w:lang w:val="en-US" w:eastAsia="zh-CN" w:bidi="ar-SA"/>
    </w:rPr>
  </w:style>
  <w:style w:type="paragraph" w:customStyle="1" w:styleId="6">
    <w:name w:val="列出段落"/>
    <w:qFormat/>
    <w:uiPriority w:val="0"/>
    <w:pPr>
      <w:widowControl w:val="0"/>
      <w:spacing w:line="415" w:lineRule="auto"/>
      <w:ind w:firstLine="420" w:firstLineChars="200"/>
      <w:jc w:val="both"/>
    </w:pPr>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2025-07-10T06:44:39Z</dcterms:created>
  <dc:creator>11131</dc:creator>
  <cp:lastModifiedBy>Dylan</cp:lastModifiedBy>
  <dcterms:modified xsi:type="dcterms:W3CDTF">2025-07-10T06:44:46Z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eyJoZGlkIjoiNmQ0ZWU4ODMxMDBkOTFkM2U5M2Q0YTBhM2I2NmI5YjAiLCJ1c2VySWQiOiI4OTIxMzcxMjkifQ==</vt:lpwstr>
  </property>
  <property fmtid="{D5CDD505-2E9C-101B-9397-08002B2CF9AE}" pid="4" name="ICV">
    <vt:lpwstr>8F9C88B2004C4BDFBEA762360F4D29D5_12</vt:lpwstr>
  </property>
</Properties>
</file>