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Cs/>
          <w:sz w:val="52"/>
          <w:szCs w:val="52"/>
          <w:highlight w:val="none"/>
          <w:lang w:val="en-US" w:eastAsia="zh-CN"/>
        </w:rPr>
      </w:pPr>
    </w:p>
    <w:p>
      <w:pPr>
        <w:jc w:val="center"/>
        <w:rPr>
          <w:rFonts w:hint="eastAsia" w:ascii="宋体" w:hAnsi="宋体"/>
          <w:bCs/>
          <w:sz w:val="52"/>
          <w:szCs w:val="52"/>
          <w:highlight w:val="none"/>
        </w:rPr>
      </w:pPr>
    </w:p>
    <w:p>
      <w:pPr>
        <w:jc w:val="center"/>
        <w:rPr>
          <w:rFonts w:ascii="宋体" w:hAnsi="宋体"/>
          <w:bCs/>
          <w:sz w:val="52"/>
          <w:szCs w:val="52"/>
          <w:highlight w:val="none"/>
        </w:rPr>
      </w:pPr>
      <w:r>
        <w:rPr>
          <w:rFonts w:hint="eastAsia" w:ascii="宋体" w:hAnsi="宋体"/>
          <w:bCs/>
          <w:sz w:val="52"/>
          <w:szCs w:val="52"/>
          <w:highlight w:val="none"/>
        </w:rPr>
        <w:t>四川省省级政府采购计划</w:t>
      </w:r>
    </w:p>
    <w:p>
      <w:pPr>
        <w:jc w:val="center"/>
        <w:rPr>
          <w:rFonts w:ascii="宋体" w:hAnsi="宋体"/>
          <w:bCs/>
          <w:sz w:val="52"/>
          <w:szCs w:val="52"/>
          <w:highlight w:val="none"/>
        </w:rPr>
      </w:pPr>
      <w:r>
        <w:rPr>
          <w:rFonts w:hint="eastAsia" w:ascii="宋体" w:hAnsi="宋体"/>
          <w:bCs/>
          <w:sz w:val="52"/>
          <w:szCs w:val="52"/>
          <w:highlight w:val="none"/>
        </w:rPr>
        <w:t>执行申报书</w:t>
      </w:r>
    </w:p>
    <w:p>
      <w:pPr>
        <w:jc w:val="left"/>
        <w:rPr>
          <w:rFonts w:ascii="宋体" w:hAnsi="宋体"/>
          <w:bCs/>
          <w:sz w:val="44"/>
          <w:szCs w:val="44"/>
          <w:highlight w:val="none"/>
        </w:rPr>
      </w:pPr>
    </w:p>
    <w:p>
      <w:pPr>
        <w:jc w:val="left"/>
        <w:rPr>
          <w:rFonts w:ascii="宋体" w:hAnsi="宋体"/>
          <w:bCs/>
          <w:sz w:val="44"/>
          <w:szCs w:val="44"/>
          <w:highlight w:val="none"/>
        </w:rPr>
      </w:pPr>
    </w:p>
    <w:p>
      <w:pPr>
        <w:jc w:val="left"/>
        <w:rPr>
          <w:rFonts w:ascii="宋体" w:hAnsi="宋体"/>
          <w:bCs/>
          <w:sz w:val="44"/>
          <w:szCs w:val="44"/>
          <w:highlight w:val="none"/>
        </w:rPr>
      </w:pPr>
    </w:p>
    <w:p>
      <w:pPr>
        <w:tabs>
          <w:tab w:val="left" w:pos="4034"/>
        </w:tabs>
        <w:rPr>
          <w:rFonts w:ascii="宋体" w:hAnsi="宋体"/>
          <w:b/>
          <w:sz w:val="72"/>
          <w:szCs w:val="72"/>
          <w:highlight w:val="none"/>
        </w:rPr>
      </w:pPr>
      <w:r>
        <w:rPr>
          <w:rFonts w:hint="eastAsia" w:ascii="宋体" w:hAnsi="宋体"/>
          <w:b/>
          <w:sz w:val="72"/>
          <w:szCs w:val="72"/>
          <w:highlight w:val="none"/>
        </w:rPr>
        <w:tab/>
      </w:r>
    </w:p>
    <w:p>
      <w:pPr>
        <w:jc w:val="center"/>
        <w:rPr>
          <w:rFonts w:ascii="宋体" w:hAnsi="宋体"/>
          <w:b/>
          <w:sz w:val="72"/>
          <w:szCs w:val="72"/>
          <w:highlight w:val="none"/>
        </w:rPr>
      </w:pPr>
    </w:p>
    <w:p>
      <w:pPr>
        <w:ind w:firstLine="640" w:firstLineChars="200"/>
        <w:rPr>
          <w:rFonts w:ascii="宋体" w:hAnsi="宋体"/>
          <w:bCs/>
          <w:sz w:val="32"/>
          <w:szCs w:val="32"/>
          <w:highlight w:val="none"/>
          <w:u w:val="single"/>
        </w:rPr>
      </w:pPr>
      <w:r>
        <w:rPr>
          <w:rFonts w:hint="eastAsia" w:ascii="宋体" w:hAnsi="宋体"/>
          <w:bCs/>
          <w:sz w:val="32"/>
          <w:szCs w:val="32"/>
          <w:highlight w:val="none"/>
        </w:rPr>
        <w:t>采购单位：</w:t>
      </w:r>
      <w:r>
        <w:rPr>
          <w:rFonts w:hint="eastAsia" w:ascii="宋体" w:hAnsi="宋体"/>
          <w:bCs/>
          <w:sz w:val="32"/>
          <w:szCs w:val="32"/>
          <w:highlight w:val="none"/>
          <w:u w:val="single"/>
        </w:rPr>
        <w:t xml:space="preserve">                              </w:t>
      </w:r>
    </w:p>
    <w:p>
      <w:pPr>
        <w:ind w:firstLine="640" w:firstLineChars="200"/>
        <w:rPr>
          <w:rFonts w:ascii="宋体" w:hAnsi="宋体"/>
          <w:bCs/>
          <w:sz w:val="32"/>
          <w:szCs w:val="32"/>
          <w:highlight w:val="none"/>
        </w:rPr>
      </w:pPr>
      <w:r>
        <w:rPr>
          <w:rFonts w:hint="eastAsia" w:ascii="宋体" w:hAnsi="宋体"/>
          <w:bCs/>
          <w:sz w:val="32"/>
          <w:szCs w:val="32"/>
          <w:highlight w:val="none"/>
        </w:rPr>
        <w:t>项目名称：</w:t>
      </w:r>
      <w:r>
        <w:rPr>
          <w:rFonts w:hint="eastAsia" w:ascii="宋体" w:hAnsi="宋体"/>
          <w:bCs/>
          <w:sz w:val="32"/>
          <w:szCs w:val="32"/>
          <w:highlight w:val="none"/>
          <w:u w:val="single"/>
        </w:rPr>
        <w:t xml:space="preserve">                              </w:t>
      </w:r>
    </w:p>
    <w:p>
      <w:pPr>
        <w:ind w:firstLine="640" w:firstLineChars="200"/>
        <w:rPr>
          <w:rFonts w:ascii="宋体" w:hAnsi="宋体"/>
          <w:bCs/>
          <w:sz w:val="32"/>
          <w:szCs w:val="32"/>
          <w:highlight w:val="none"/>
        </w:rPr>
      </w:pPr>
      <w:r>
        <w:rPr>
          <w:rFonts w:hint="eastAsia" w:ascii="宋体" w:hAnsi="宋体"/>
          <w:bCs/>
          <w:sz w:val="32"/>
          <w:szCs w:val="32"/>
          <w:highlight w:val="none"/>
        </w:rPr>
        <w:t>采购方式：</w:t>
      </w:r>
      <w:r>
        <w:rPr>
          <w:rFonts w:hint="eastAsia" w:ascii="宋体" w:hAnsi="宋体"/>
          <w:bCs/>
          <w:sz w:val="32"/>
          <w:szCs w:val="32"/>
          <w:highlight w:val="none"/>
          <w:u w:val="single"/>
        </w:rPr>
        <w:t xml:space="preserve">                              </w:t>
      </w:r>
    </w:p>
    <w:p>
      <w:pPr>
        <w:ind w:right="-210" w:rightChars="-100" w:firstLine="640" w:firstLineChars="200"/>
        <w:rPr>
          <w:rFonts w:ascii="宋体" w:hAnsi="宋体"/>
          <w:bCs/>
          <w:sz w:val="32"/>
          <w:szCs w:val="32"/>
          <w:highlight w:val="none"/>
        </w:rPr>
      </w:pPr>
      <w:r>
        <w:rPr>
          <w:rFonts w:hint="eastAsia" w:ascii="宋体" w:hAnsi="宋体"/>
          <w:bCs/>
          <w:sz w:val="32"/>
          <w:szCs w:val="32"/>
          <w:highlight w:val="none"/>
        </w:rPr>
        <w:t>采购预算：</w:t>
      </w:r>
      <w:r>
        <w:rPr>
          <w:rFonts w:hint="eastAsia" w:ascii="宋体" w:hAnsi="宋体"/>
          <w:bCs/>
          <w:sz w:val="32"/>
          <w:szCs w:val="32"/>
          <w:highlight w:val="none"/>
          <w:u w:val="single"/>
        </w:rPr>
        <w:t xml:space="preserve">                              </w:t>
      </w:r>
    </w:p>
    <w:p>
      <w:pPr>
        <w:rPr>
          <w:rFonts w:ascii="宋体" w:hAnsi="宋体"/>
          <w:b/>
          <w:sz w:val="44"/>
          <w:szCs w:val="44"/>
          <w:highlight w:val="none"/>
          <w:u w:val="single"/>
        </w:rPr>
      </w:pPr>
    </w:p>
    <w:p>
      <w:pPr>
        <w:jc w:val="center"/>
        <w:rPr>
          <w:rFonts w:ascii="宋体" w:hAnsi="宋体"/>
          <w:bCs/>
          <w:sz w:val="44"/>
          <w:szCs w:val="44"/>
          <w:highlight w:val="none"/>
        </w:rPr>
      </w:pPr>
    </w:p>
    <w:p>
      <w:pPr>
        <w:jc w:val="center"/>
        <w:rPr>
          <w:rFonts w:ascii="宋体" w:hAnsi="宋体"/>
          <w:bCs/>
          <w:sz w:val="32"/>
          <w:szCs w:val="32"/>
          <w:highlight w:val="none"/>
        </w:rPr>
      </w:pPr>
      <w:r>
        <w:rPr>
          <w:rFonts w:hint="eastAsia" w:ascii="宋体" w:hAnsi="宋体"/>
          <w:bCs/>
          <w:sz w:val="32"/>
          <w:szCs w:val="32"/>
          <w:highlight w:val="none"/>
        </w:rPr>
        <w:t>202</w:t>
      </w:r>
      <w:r>
        <w:rPr>
          <w:rFonts w:hint="eastAsia" w:ascii="宋体" w:hAnsi="宋体"/>
          <w:bCs/>
          <w:sz w:val="32"/>
          <w:szCs w:val="32"/>
          <w:highlight w:val="none"/>
          <w:lang w:val="en-US" w:eastAsia="zh-CN"/>
        </w:rPr>
        <w:t>2</w:t>
      </w:r>
      <w:r>
        <w:rPr>
          <w:rFonts w:hint="eastAsia" w:ascii="宋体" w:hAnsi="宋体"/>
          <w:bCs/>
          <w:sz w:val="32"/>
          <w:szCs w:val="32"/>
          <w:highlight w:val="none"/>
        </w:rPr>
        <w:t xml:space="preserve">年  月 </w:t>
      </w:r>
    </w:p>
    <w:p>
      <w:pPr>
        <w:rPr>
          <w:rFonts w:ascii="宋体" w:hAnsi="宋体"/>
          <w:bCs/>
          <w:sz w:val="44"/>
          <w:szCs w:val="44"/>
          <w:highlight w:val="none"/>
        </w:rPr>
      </w:pPr>
    </w:p>
    <w:p>
      <w:pPr>
        <w:ind w:right="480"/>
        <w:jc w:val="right"/>
        <w:rPr>
          <w:rFonts w:ascii="宋体" w:hAnsi="宋体"/>
          <w:bCs/>
          <w:sz w:val="24"/>
          <w:highlight w:val="none"/>
        </w:rPr>
        <w:sectPr>
          <w:footerReference r:id="rId4" w:type="first"/>
          <w:footerReference r:id="rId3" w:type="default"/>
          <w:pgSz w:w="11905" w:h="16838"/>
          <w:pgMar w:top="1417" w:right="1134" w:bottom="1417" w:left="1701" w:header="850" w:footer="992" w:gutter="0"/>
          <w:pgNumType w:start="1"/>
          <w:cols w:space="0" w:num="1"/>
          <w:titlePg/>
          <w:docGrid w:type="lines" w:linePitch="318" w:charSpace="0"/>
        </w:sectPr>
      </w:pPr>
      <w:r>
        <w:rPr>
          <w:rFonts w:hint="eastAsia" w:ascii="宋体" w:hAnsi="宋体"/>
          <w:bCs/>
          <w:sz w:val="24"/>
          <w:highlight w:val="none"/>
        </w:rPr>
        <w:t>四川省政府采购中心制</w:t>
      </w:r>
    </w:p>
    <w:p>
      <w:pPr>
        <w:rPr>
          <w:rFonts w:hint="eastAsia" w:ascii="宋体" w:hAnsi="宋体"/>
          <w:b/>
          <w:color w:val="auto"/>
          <w:sz w:val="44"/>
          <w:szCs w:val="44"/>
          <w:highlight w:val="none"/>
        </w:rPr>
      </w:pPr>
    </w:p>
    <w:p>
      <w:pPr>
        <w:spacing w:line="640" w:lineRule="exact"/>
        <w:jc w:val="center"/>
        <w:rPr>
          <w:rFonts w:hint="eastAsia" w:ascii="宋体" w:hAnsi="宋体" w:cs="宋体"/>
          <w:b/>
          <w:bCs/>
          <w:color w:val="auto"/>
          <w:kern w:val="36"/>
          <w:sz w:val="44"/>
          <w:szCs w:val="44"/>
          <w:highlight w:val="none"/>
        </w:rPr>
      </w:pPr>
      <w:bookmarkStart w:id="0" w:name="OLE_LINK3"/>
      <w:r>
        <w:rPr>
          <w:rFonts w:hint="eastAsia" w:ascii="宋体" w:hAnsi="宋体" w:cs="宋体"/>
          <w:b/>
          <w:bCs/>
          <w:color w:val="auto"/>
          <w:kern w:val="36"/>
          <w:sz w:val="44"/>
          <w:szCs w:val="44"/>
          <w:highlight w:val="none"/>
        </w:rPr>
        <w:t>四川省政府采购中心电子化交易</w:t>
      </w:r>
    </w:p>
    <w:p>
      <w:pPr>
        <w:spacing w:line="640" w:lineRule="exact"/>
        <w:jc w:val="center"/>
        <w:rPr>
          <w:rFonts w:hint="eastAsia" w:ascii="宋体" w:hAnsi="宋体" w:cs="宋体"/>
          <w:b/>
          <w:bCs/>
          <w:color w:val="auto"/>
          <w:kern w:val="36"/>
          <w:sz w:val="44"/>
          <w:szCs w:val="44"/>
          <w:highlight w:val="none"/>
        </w:rPr>
      </w:pPr>
      <w:r>
        <w:rPr>
          <w:rFonts w:hint="eastAsia" w:ascii="宋体" w:hAnsi="宋体" w:cs="宋体"/>
          <w:b/>
          <w:bCs/>
          <w:color w:val="auto"/>
          <w:kern w:val="36"/>
          <w:sz w:val="44"/>
          <w:szCs w:val="44"/>
          <w:highlight w:val="none"/>
        </w:rPr>
        <w:t>平台受理政府集中采购项目指南</w:t>
      </w:r>
    </w:p>
    <w:bookmarkEnd w:id="0"/>
    <w:p>
      <w:pPr>
        <w:spacing w:line="640" w:lineRule="exact"/>
        <w:jc w:val="center"/>
        <w:rPr>
          <w:rFonts w:hint="eastAsia" w:ascii="宋体" w:hAnsi="宋体" w:cs="宋体"/>
          <w:b/>
          <w:bCs/>
          <w:color w:val="auto"/>
          <w:kern w:val="36"/>
          <w:sz w:val="44"/>
          <w:szCs w:val="44"/>
          <w:highlight w:val="none"/>
        </w:rPr>
      </w:pPr>
      <w:r>
        <w:rPr>
          <w:rFonts w:hint="eastAsia" w:ascii="宋体" w:hAnsi="宋体" w:cs="宋体"/>
          <w:b/>
          <w:bCs/>
          <w:color w:val="auto"/>
          <w:kern w:val="36"/>
          <w:sz w:val="44"/>
          <w:szCs w:val="44"/>
          <w:highlight w:val="none"/>
        </w:rPr>
        <w:t xml:space="preserve">   </w:t>
      </w:r>
    </w:p>
    <w:p>
      <w:pPr>
        <w:tabs>
          <w:tab w:val="left" w:pos="1276"/>
          <w:tab w:val="left" w:pos="1418"/>
        </w:tabs>
        <w:spacing w:line="360" w:lineRule="auto"/>
        <w:ind w:firstLine="643" w:firstLineChars="200"/>
        <w:outlineLvl w:val="0"/>
        <w:rPr>
          <w:rFonts w:ascii="仿宋" w:hAnsi="仿宋" w:eastAsia="仿宋"/>
          <w:b/>
          <w:color w:val="auto"/>
          <w:sz w:val="32"/>
          <w:szCs w:val="32"/>
          <w:highlight w:val="none"/>
        </w:rPr>
      </w:pPr>
      <w:r>
        <w:rPr>
          <w:rFonts w:hint="eastAsia" w:ascii="仿宋" w:hAnsi="仿宋" w:eastAsia="仿宋"/>
          <w:b/>
          <w:color w:val="auto"/>
          <w:sz w:val="32"/>
          <w:szCs w:val="32"/>
          <w:highlight w:val="none"/>
        </w:rPr>
        <w:t>一、计划推送</w:t>
      </w:r>
    </w:p>
    <w:p>
      <w:pPr>
        <w:widowControl/>
        <w:shd w:val="clear" w:color="auto" w:fill="FFFFFF"/>
        <w:spacing w:line="600" w:lineRule="exact"/>
        <w:ind w:firstLine="640"/>
        <w:rPr>
          <w:rFonts w:hint="eastAsia" w:ascii="仿宋" w:hAnsi="仿宋" w:eastAsia="仿宋"/>
          <w:color w:val="auto"/>
          <w:kern w:val="0"/>
          <w:sz w:val="32"/>
          <w:szCs w:val="32"/>
          <w:highlight w:val="none"/>
        </w:rPr>
      </w:pPr>
      <w:r>
        <w:rPr>
          <w:rFonts w:hint="eastAsia" w:ascii="仿宋" w:hAnsi="仿宋" w:eastAsia="仿宋"/>
          <w:color w:val="auto"/>
          <w:kern w:val="0"/>
          <w:sz w:val="32"/>
          <w:szCs w:val="32"/>
          <w:highlight w:val="none"/>
        </w:rPr>
        <w:t>采购人</w:t>
      </w:r>
      <w:r>
        <w:rPr>
          <w:rFonts w:hint="eastAsia" w:ascii="仿宋" w:hAnsi="仿宋" w:eastAsia="仿宋"/>
          <w:color w:val="auto"/>
          <w:kern w:val="0"/>
          <w:sz w:val="32"/>
          <w:szCs w:val="32"/>
          <w:highlight w:val="none"/>
          <w:lang w:val="en-US" w:eastAsia="zh-CN"/>
        </w:rPr>
        <w:t>按四川省财政厅《关于开展政府采购意向公开工作的通知》（川财采</w:t>
      </w:r>
      <w:r>
        <w:rPr>
          <w:rFonts w:hint="eastAsia" w:ascii="仿宋" w:hAnsi="仿宋" w:eastAsia="仿宋"/>
          <w:color w:val="auto"/>
          <w:kern w:val="0"/>
          <w:sz w:val="32"/>
          <w:szCs w:val="32"/>
          <w:highlight w:val="none"/>
          <w:lang w:eastAsia="zh-CN"/>
        </w:rPr>
        <w:t>〔20</w:t>
      </w:r>
      <w:r>
        <w:rPr>
          <w:rFonts w:hint="eastAsia" w:ascii="仿宋" w:hAnsi="仿宋" w:eastAsia="仿宋"/>
          <w:color w:val="auto"/>
          <w:kern w:val="0"/>
          <w:sz w:val="32"/>
          <w:szCs w:val="32"/>
          <w:highlight w:val="none"/>
          <w:lang w:val="en-US" w:eastAsia="zh-CN"/>
        </w:rPr>
        <w:t>21</w:t>
      </w:r>
      <w:r>
        <w:rPr>
          <w:rFonts w:hint="eastAsia" w:ascii="仿宋" w:hAnsi="仿宋" w:eastAsia="仿宋"/>
          <w:color w:val="auto"/>
          <w:kern w:val="0"/>
          <w:sz w:val="32"/>
          <w:szCs w:val="32"/>
          <w:highlight w:val="none"/>
          <w:lang w:eastAsia="zh-CN"/>
        </w:rPr>
        <w:t>〕</w:t>
      </w:r>
      <w:r>
        <w:rPr>
          <w:rFonts w:hint="eastAsia" w:ascii="仿宋" w:hAnsi="仿宋" w:eastAsia="仿宋"/>
          <w:color w:val="auto"/>
          <w:kern w:val="0"/>
          <w:sz w:val="32"/>
          <w:szCs w:val="32"/>
          <w:highlight w:val="none"/>
          <w:lang w:val="en-US" w:eastAsia="zh-CN"/>
        </w:rPr>
        <w:t>153</w:t>
      </w:r>
      <w:r>
        <w:rPr>
          <w:rFonts w:hint="eastAsia" w:ascii="仿宋" w:hAnsi="仿宋" w:eastAsia="仿宋"/>
          <w:color w:val="auto"/>
          <w:kern w:val="0"/>
          <w:sz w:val="32"/>
          <w:szCs w:val="32"/>
          <w:highlight w:val="none"/>
          <w:lang w:eastAsia="zh-CN"/>
        </w:rPr>
        <w:t>号</w:t>
      </w:r>
      <w:r>
        <w:rPr>
          <w:rFonts w:hint="eastAsia" w:ascii="仿宋" w:hAnsi="仿宋" w:eastAsia="仿宋"/>
          <w:color w:val="auto"/>
          <w:kern w:val="0"/>
          <w:sz w:val="32"/>
          <w:szCs w:val="32"/>
          <w:highlight w:val="none"/>
          <w:lang w:val="en-US" w:eastAsia="zh-CN"/>
        </w:rPr>
        <w:t>）</w:t>
      </w:r>
      <w:r>
        <w:rPr>
          <w:rFonts w:hint="eastAsia" w:ascii="仿宋" w:hAnsi="仿宋" w:eastAsia="仿宋"/>
          <w:color w:val="auto"/>
          <w:kern w:val="0"/>
          <w:sz w:val="32"/>
          <w:szCs w:val="32"/>
          <w:highlight w:val="none"/>
          <w:lang w:eastAsia="zh-CN"/>
        </w:rPr>
        <w:t>规定进行意向公开后，</w:t>
      </w:r>
      <w:r>
        <w:rPr>
          <w:rFonts w:hint="eastAsia" w:ascii="仿宋" w:hAnsi="仿宋" w:eastAsia="仿宋"/>
          <w:color w:val="auto"/>
          <w:kern w:val="0"/>
          <w:sz w:val="32"/>
          <w:szCs w:val="32"/>
          <w:highlight w:val="none"/>
        </w:rPr>
        <w:t>在四川政府采购网省级采购执行系统中将备案采购计划详细信息推送至四川省政府采购中心电子化交易平台。</w:t>
      </w:r>
    </w:p>
    <w:p>
      <w:pPr>
        <w:numPr>
          <w:ilvl w:val="0"/>
          <w:numId w:val="1"/>
        </w:numPr>
        <w:tabs>
          <w:tab w:val="left" w:pos="1276"/>
          <w:tab w:val="left" w:pos="1418"/>
        </w:tabs>
        <w:spacing w:line="360" w:lineRule="auto"/>
        <w:ind w:firstLine="643" w:firstLineChars="200"/>
        <w:outlineLvl w:val="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资料清单</w:t>
      </w:r>
    </w:p>
    <w:p>
      <w:pPr>
        <w:widowControl/>
        <w:shd w:val="clear" w:color="auto" w:fill="FFFFFF"/>
        <w:spacing w:line="600" w:lineRule="exact"/>
        <w:ind w:firstLine="640"/>
        <w:rPr>
          <w:rFonts w:hint="eastAsia" w:ascii="仿宋" w:hAnsi="仿宋" w:eastAsia="仿宋"/>
          <w:color w:val="auto"/>
          <w:kern w:val="0"/>
          <w:sz w:val="32"/>
          <w:szCs w:val="32"/>
          <w:highlight w:val="none"/>
        </w:rPr>
      </w:pPr>
      <w:r>
        <w:rPr>
          <w:rFonts w:hint="eastAsia" w:ascii="仿宋" w:hAnsi="仿宋" w:eastAsia="仿宋"/>
          <w:color w:val="auto"/>
          <w:kern w:val="0"/>
          <w:sz w:val="32"/>
          <w:szCs w:val="32"/>
          <w:highlight w:val="none"/>
        </w:rPr>
        <w:t>以下资料在四川省政府采购中心电子化交易平台（http://202.61.89.70:81/TPBidder/memberLogin?type=zfcg）提交。</w:t>
      </w:r>
    </w:p>
    <w:tbl>
      <w:tblPr>
        <w:tblStyle w:val="7"/>
        <w:tblW w:w="0" w:type="auto"/>
        <w:jc w:val="center"/>
        <w:tblBorders>
          <w:top w:val="double" w:color="000000" w:sz="4" w:space="0"/>
          <w:left w:val="double" w:color="000000" w:sz="4" w:space="0"/>
          <w:bottom w:val="double" w:color="000000" w:sz="4" w:space="0"/>
          <w:right w:val="double" w:color="000000" w:sz="4" w:space="0"/>
          <w:insideH w:val="single" w:color="000000" w:sz="8" w:space="0"/>
          <w:insideV w:val="single" w:color="000000" w:sz="8" w:space="0"/>
        </w:tblBorders>
        <w:tblLayout w:type="autofit"/>
        <w:tblCellMar>
          <w:top w:w="0" w:type="dxa"/>
          <w:left w:w="108" w:type="dxa"/>
          <w:bottom w:w="0" w:type="dxa"/>
          <w:right w:w="108" w:type="dxa"/>
        </w:tblCellMar>
      </w:tblPr>
      <w:tblGrid>
        <w:gridCol w:w="546"/>
        <w:gridCol w:w="2567"/>
        <w:gridCol w:w="5628"/>
      </w:tblGrid>
      <w:tr>
        <w:tblPrEx>
          <w:tblBorders>
            <w:top w:val="double" w:color="000000" w:sz="4" w:space="0"/>
            <w:left w:val="double" w:color="000000" w:sz="4" w:space="0"/>
            <w:bottom w:val="double" w:color="000000" w:sz="4" w:space="0"/>
            <w:right w:val="double" w:color="000000" w:sz="4" w:space="0"/>
            <w:insideH w:val="single" w:color="000000" w:sz="8" w:space="0"/>
            <w:insideV w:val="single" w:color="000000" w:sz="8" w:space="0"/>
          </w:tblBorders>
          <w:tblCellMar>
            <w:top w:w="0" w:type="dxa"/>
            <w:left w:w="108" w:type="dxa"/>
            <w:bottom w:w="0" w:type="dxa"/>
            <w:right w:w="108" w:type="dxa"/>
          </w:tblCellMar>
        </w:tblPrEx>
        <w:trPr>
          <w:jc w:val="center"/>
        </w:trPr>
        <w:tc>
          <w:tcPr>
            <w:tcW w:w="546" w:type="dxa"/>
            <w:shd w:val="clear" w:color="auto" w:fill="FFFFFF"/>
            <w:noWrap w:val="0"/>
            <w:vAlign w:val="center"/>
          </w:tcPr>
          <w:p>
            <w:pPr>
              <w:widowControl/>
              <w:shd w:val="clear" w:color="auto" w:fill="FFFFFF"/>
              <w:spacing w:line="600" w:lineRule="exact"/>
              <w:jc w:val="center"/>
              <w:rPr>
                <w:rFonts w:ascii="仿宋" w:hAnsi="仿宋" w:eastAsia="仿宋"/>
                <w:b/>
                <w:bCs/>
                <w:color w:val="auto"/>
                <w:kern w:val="0"/>
                <w:sz w:val="24"/>
                <w:highlight w:val="none"/>
              </w:rPr>
            </w:pPr>
            <w:r>
              <w:rPr>
                <w:rFonts w:hint="eastAsia" w:ascii="仿宋" w:hAnsi="仿宋" w:eastAsia="仿宋"/>
                <w:b/>
                <w:bCs/>
                <w:color w:val="auto"/>
                <w:kern w:val="0"/>
                <w:sz w:val="24"/>
                <w:highlight w:val="none"/>
              </w:rPr>
              <w:t>序号</w:t>
            </w:r>
          </w:p>
        </w:tc>
        <w:tc>
          <w:tcPr>
            <w:tcW w:w="2567" w:type="dxa"/>
            <w:shd w:val="clear" w:color="auto" w:fill="FFFFFF"/>
            <w:noWrap w:val="0"/>
            <w:vAlign w:val="center"/>
          </w:tcPr>
          <w:p>
            <w:pPr>
              <w:widowControl/>
              <w:shd w:val="clear" w:color="auto" w:fill="FFFFFF"/>
              <w:spacing w:line="600" w:lineRule="exact"/>
              <w:ind w:firstLine="241" w:firstLineChars="100"/>
              <w:jc w:val="center"/>
              <w:rPr>
                <w:rFonts w:ascii="仿宋" w:hAnsi="仿宋" w:eastAsia="仿宋"/>
                <w:b/>
                <w:bCs/>
                <w:color w:val="auto"/>
                <w:kern w:val="0"/>
                <w:sz w:val="24"/>
                <w:highlight w:val="none"/>
              </w:rPr>
            </w:pPr>
            <w:r>
              <w:rPr>
                <w:rFonts w:hint="eastAsia" w:ascii="仿宋" w:hAnsi="仿宋" w:eastAsia="仿宋"/>
                <w:b/>
                <w:bCs/>
                <w:color w:val="auto"/>
                <w:kern w:val="0"/>
                <w:sz w:val="24"/>
                <w:highlight w:val="none"/>
              </w:rPr>
              <w:t>资料名称</w:t>
            </w:r>
          </w:p>
        </w:tc>
        <w:tc>
          <w:tcPr>
            <w:tcW w:w="5628" w:type="dxa"/>
            <w:shd w:val="clear" w:color="auto" w:fill="FFFFFF"/>
            <w:noWrap w:val="0"/>
            <w:vAlign w:val="center"/>
          </w:tcPr>
          <w:p>
            <w:pPr>
              <w:widowControl/>
              <w:shd w:val="clear" w:color="auto" w:fill="FFFFFF"/>
              <w:spacing w:line="600" w:lineRule="exact"/>
              <w:jc w:val="center"/>
              <w:rPr>
                <w:rFonts w:ascii="仿宋" w:hAnsi="仿宋" w:eastAsia="仿宋"/>
                <w:b/>
                <w:bCs/>
                <w:color w:val="auto"/>
                <w:kern w:val="0"/>
                <w:sz w:val="24"/>
                <w:highlight w:val="none"/>
              </w:rPr>
            </w:pPr>
            <w:r>
              <w:rPr>
                <w:rFonts w:hint="eastAsia" w:ascii="仿宋" w:hAnsi="仿宋" w:eastAsia="仿宋"/>
                <w:b/>
                <w:bCs/>
                <w:color w:val="auto"/>
                <w:kern w:val="0"/>
                <w:sz w:val="24"/>
                <w:highlight w:val="none"/>
              </w:rPr>
              <w:t>资料说明</w:t>
            </w:r>
          </w:p>
        </w:tc>
      </w:tr>
      <w:tr>
        <w:tblPrEx>
          <w:tblBorders>
            <w:top w:val="double" w:color="000000" w:sz="4" w:space="0"/>
            <w:left w:val="double" w:color="000000" w:sz="4" w:space="0"/>
            <w:bottom w:val="double" w:color="000000" w:sz="4" w:space="0"/>
            <w:right w:val="double" w:color="000000" w:sz="4"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546" w:type="dxa"/>
            <w:shd w:val="clear" w:color="auto" w:fill="FFFFFF"/>
            <w:noWrap w:val="0"/>
            <w:vAlign w:val="center"/>
          </w:tcPr>
          <w:p>
            <w:pPr>
              <w:widowControl/>
              <w:shd w:val="clear" w:color="auto" w:fill="FFFFFF"/>
              <w:spacing w:line="600" w:lineRule="exact"/>
              <w:jc w:val="center"/>
              <w:rPr>
                <w:rFonts w:ascii="仿宋" w:hAnsi="仿宋" w:eastAsia="仿宋"/>
                <w:color w:val="auto"/>
                <w:kern w:val="0"/>
                <w:sz w:val="24"/>
                <w:highlight w:val="none"/>
              </w:rPr>
            </w:pPr>
            <w:r>
              <w:rPr>
                <w:rFonts w:hint="eastAsia" w:ascii="仿宋" w:hAnsi="仿宋" w:eastAsia="仿宋"/>
                <w:color w:val="auto"/>
                <w:kern w:val="0"/>
                <w:sz w:val="24"/>
                <w:highlight w:val="none"/>
              </w:rPr>
              <w:t>1</w:t>
            </w:r>
          </w:p>
        </w:tc>
        <w:tc>
          <w:tcPr>
            <w:tcW w:w="2567" w:type="dxa"/>
            <w:shd w:val="clear" w:color="auto" w:fill="FFFFFF"/>
            <w:noWrap w:val="0"/>
            <w:vAlign w:val="center"/>
          </w:tcPr>
          <w:p>
            <w:pPr>
              <w:widowControl/>
              <w:shd w:val="clear" w:color="auto" w:fill="FFFFFF"/>
              <w:spacing w:line="600" w:lineRule="exact"/>
              <w:jc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202</w:t>
            </w:r>
            <w:r>
              <w:rPr>
                <w:rFonts w:hint="eastAsia" w:ascii="仿宋" w:hAnsi="仿宋" w:eastAsia="仿宋"/>
                <w:color w:val="auto"/>
                <w:kern w:val="0"/>
                <w:sz w:val="24"/>
                <w:highlight w:val="none"/>
                <w:lang w:val="en-US" w:eastAsia="zh-CN"/>
              </w:rPr>
              <w:t>2</w:t>
            </w:r>
            <w:r>
              <w:rPr>
                <w:rFonts w:hint="eastAsia" w:ascii="仿宋" w:hAnsi="仿宋" w:eastAsia="仿宋"/>
                <w:color w:val="auto"/>
                <w:kern w:val="0"/>
                <w:sz w:val="24"/>
                <w:highlight w:val="none"/>
              </w:rPr>
              <w:t>年政府采购委托代理协议(年度协议)</w:t>
            </w:r>
          </w:p>
        </w:tc>
        <w:tc>
          <w:tcPr>
            <w:tcW w:w="5628" w:type="dxa"/>
            <w:shd w:val="clear" w:color="auto" w:fill="FFFFFF"/>
            <w:noWrap w:val="0"/>
            <w:vAlign w:val="center"/>
          </w:tcPr>
          <w:p>
            <w:pPr>
              <w:widowControl/>
              <w:shd w:val="clear" w:color="auto" w:fill="FFFFFF"/>
              <w:spacing w:line="600" w:lineRule="exact"/>
              <w:jc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在线签章或提交签字盖章的原件原色电子件。</w:t>
            </w:r>
          </w:p>
        </w:tc>
      </w:tr>
      <w:tr>
        <w:tblPrEx>
          <w:tblBorders>
            <w:top w:val="double" w:color="000000" w:sz="4" w:space="0"/>
            <w:left w:val="double" w:color="000000" w:sz="4" w:space="0"/>
            <w:bottom w:val="double" w:color="000000" w:sz="4" w:space="0"/>
            <w:right w:val="double" w:color="000000" w:sz="4" w:space="0"/>
            <w:insideH w:val="single" w:color="000000" w:sz="8" w:space="0"/>
            <w:insideV w:val="single" w:color="000000" w:sz="8" w:space="0"/>
          </w:tblBorders>
          <w:tblCellMar>
            <w:top w:w="0" w:type="dxa"/>
            <w:left w:w="108" w:type="dxa"/>
            <w:bottom w:w="0" w:type="dxa"/>
            <w:right w:w="108" w:type="dxa"/>
          </w:tblCellMar>
        </w:tblPrEx>
        <w:trPr>
          <w:trHeight w:val="1642" w:hRule="atLeast"/>
          <w:jc w:val="center"/>
        </w:trPr>
        <w:tc>
          <w:tcPr>
            <w:tcW w:w="546" w:type="dxa"/>
            <w:shd w:val="clear" w:color="auto" w:fill="FFFFFF"/>
            <w:noWrap w:val="0"/>
            <w:vAlign w:val="center"/>
          </w:tcPr>
          <w:p>
            <w:pPr>
              <w:widowControl/>
              <w:shd w:val="clear" w:color="auto" w:fill="FFFFFF"/>
              <w:spacing w:line="600" w:lineRule="exact"/>
              <w:jc w:val="center"/>
              <w:rPr>
                <w:rFonts w:ascii="仿宋" w:hAnsi="仿宋" w:eastAsia="仿宋"/>
                <w:color w:val="auto"/>
                <w:kern w:val="0"/>
                <w:sz w:val="24"/>
                <w:highlight w:val="none"/>
              </w:rPr>
            </w:pPr>
            <w:r>
              <w:rPr>
                <w:rFonts w:hint="eastAsia" w:ascii="仿宋" w:hAnsi="仿宋" w:eastAsia="仿宋"/>
                <w:color w:val="auto"/>
                <w:kern w:val="0"/>
                <w:sz w:val="24"/>
                <w:highlight w:val="none"/>
              </w:rPr>
              <w:t>2</w:t>
            </w:r>
          </w:p>
        </w:tc>
        <w:tc>
          <w:tcPr>
            <w:tcW w:w="2567" w:type="dxa"/>
            <w:shd w:val="clear" w:color="auto" w:fill="FFFFFF"/>
            <w:noWrap w:val="0"/>
            <w:vAlign w:val="center"/>
          </w:tcPr>
          <w:p>
            <w:pPr>
              <w:widowControl/>
              <w:shd w:val="clear" w:color="auto" w:fill="FFFFFF"/>
              <w:spacing w:line="600" w:lineRule="exact"/>
              <w:jc w:val="center"/>
              <w:rPr>
                <w:rFonts w:ascii="仿宋" w:hAnsi="仿宋" w:eastAsia="仿宋"/>
                <w:color w:val="auto"/>
                <w:kern w:val="0"/>
                <w:sz w:val="24"/>
                <w:highlight w:val="none"/>
              </w:rPr>
            </w:pPr>
            <w:r>
              <w:rPr>
                <w:rFonts w:hint="eastAsia" w:ascii="仿宋" w:hAnsi="仿宋" w:eastAsia="仿宋"/>
                <w:color w:val="auto"/>
                <w:kern w:val="0"/>
                <w:sz w:val="24"/>
                <w:highlight w:val="none"/>
              </w:rPr>
              <w:t>四川省省级政府采购计划执行申报书</w:t>
            </w:r>
          </w:p>
        </w:tc>
        <w:tc>
          <w:tcPr>
            <w:tcW w:w="5628" w:type="dxa"/>
            <w:shd w:val="clear" w:color="auto" w:fill="FFFFFF"/>
            <w:noWrap w:val="0"/>
            <w:vAlign w:val="center"/>
          </w:tcPr>
          <w:p>
            <w:pPr>
              <w:widowControl/>
              <w:shd w:val="clear" w:color="auto" w:fill="FFFFFF"/>
              <w:spacing w:line="600" w:lineRule="exact"/>
              <w:jc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在线签章或提交加盖公章的原件原色电子件。</w:t>
            </w:r>
          </w:p>
        </w:tc>
      </w:tr>
      <w:tr>
        <w:tblPrEx>
          <w:tblBorders>
            <w:top w:val="double" w:color="000000" w:sz="4" w:space="0"/>
            <w:left w:val="double" w:color="000000" w:sz="4" w:space="0"/>
            <w:bottom w:val="double" w:color="000000" w:sz="4" w:space="0"/>
            <w:right w:val="double" w:color="000000" w:sz="4" w:space="0"/>
            <w:insideH w:val="single" w:color="000000" w:sz="8" w:space="0"/>
            <w:insideV w:val="single" w:color="000000" w:sz="8" w:space="0"/>
          </w:tblBorders>
          <w:tblCellMar>
            <w:top w:w="0" w:type="dxa"/>
            <w:left w:w="108" w:type="dxa"/>
            <w:bottom w:w="0" w:type="dxa"/>
            <w:right w:w="108" w:type="dxa"/>
          </w:tblCellMar>
        </w:tblPrEx>
        <w:trPr>
          <w:trHeight w:val="187" w:hRule="atLeast"/>
          <w:jc w:val="center"/>
        </w:trPr>
        <w:tc>
          <w:tcPr>
            <w:tcW w:w="546" w:type="dxa"/>
            <w:shd w:val="clear" w:color="auto" w:fill="FFFFFF"/>
            <w:noWrap w:val="0"/>
            <w:vAlign w:val="center"/>
          </w:tcPr>
          <w:p>
            <w:pPr>
              <w:widowControl/>
              <w:shd w:val="clear" w:color="auto" w:fill="FFFFFF"/>
              <w:spacing w:line="600" w:lineRule="exact"/>
              <w:jc w:val="center"/>
              <w:rPr>
                <w:rFonts w:ascii="仿宋" w:hAnsi="仿宋" w:eastAsia="仿宋"/>
                <w:color w:val="auto"/>
                <w:kern w:val="0"/>
                <w:sz w:val="24"/>
                <w:highlight w:val="none"/>
              </w:rPr>
            </w:pPr>
            <w:r>
              <w:rPr>
                <w:rFonts w:hint="eastAsia" w:ascii="仿宋" w:hAnsi="仿宋" w:eastAsia="仿宋"/>
                <w:color w:val="auto"/>
                <w:kern w:val="0"/>
                <w:sz w:val="24"/>
                <w:highlight w:val="none"/>
              </w:rPr>
              <w:t>3</w:t>
            </w:r>
          </w:p>
        </w:tc>
        <w:tc>
          <w:tcPr>
            <w:tcW w:w="2567" w:type="dxa"/>
            <w:shd w:val="clear" w:color="auto" w:fill="FFFFFF"/>
            <w:noWrap w:val="0"/>
            <w:vAlign w:val="center"/>
          </w:tcPr>
          <w:p>
            <w:pPr>
              <w:widowControl/>
              <w:shd w:val="clear" w:color="auto" w:fill="FFFFFF"/>
              <w:spacing w:line="600" w:lineRule="exact"/>
              <w:jc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财政批准的变更政府采购方式申请表</w:t>
            </w:r>
          </w:p>
          <w:p>
            <w:pPr>
              <w:widowControl/>
              <w:shd w:val="clear" w:color="auto" w:fill="FFFFFF"/>
              <w:spacing w:line="600" w:lineRule="exact"/>
              <w:jc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（如有）</w:t>
            </w:r>
          </w:p>
        </w:tc>
        <w:tc>
          <w:tcPr>
            <w:tcW w:w="5628" w:type="dxa"/>
            <w:shd w:val="clear" w:color="auto" w:fill="FFFFFF"/>
            <w:noWrap w:val="0"/>
            <w:vAlign w:val="center"/>
          </w:tcPr>
          <w:p>
            <w:pPr>
              <w:widowControl/>
              <w:shd w:val="clear" w:color="auto" w:fill="FFFFFF"/>
              <w:spacing w:line="600" w:lineRule="exact"/>
              <w:jc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达到公开招标数额标准以上的项目，需变更为公开招标以外采购方式的，提交原件原色电子件。</w:t>
            </w:r>
          </w:p>
        </w:tc>
      </w:tr>
      <w:tr>
        <w:tblPrEx>
          <w:tblBorders>
            <w:top w:val="double" w:color="000000" w:sz="4" w:space="0"/>
            <w:left w:val="double" w:color="000000" w:sz="4" w:space="0"/>
            <w:bottom w:val="double" w:color="000000" w:sz="4" w:space="0"/>
            <w:right w:val="double" w:color="000000" w:sz="4" w:space="0"/>
            <w:insideH w:val="single" w:color="000000" w:sz="8" w:space="0"/>
            <w:insideV w:val="single" w:color="000000" w:sz="8" w:space="0"/>
          </w:tblBorders>
          <w:tblCellMar>
            <w:top w:w="0" w:type="dxa"/>
            <w:left w:w="108" w:type="dxa"/>
            <w:bottom w:w="0" w:type="dxa"/>
            <w:right w:w="108" w:type="dxa"/>
          </w:tblCellMar>
        </w:tblPrEx>
        <w:trPr>
          <w:jc w:val="center"/>
        </w:trPr>
        <w:tc>
          <w:tcPr>
            <w:tcW w:w="546" w:type="dxa"/>
            <w:shd w:val="clear" w:color="auto" w:fill="FFFFFF"/>
            <w:noWrap w:val="0"/>
            <w:vAlign w:val="center"/>
          </w:tcPr>
          <w:p>
            <w:pPr>
              <w:widowControl/>
              <w:shd w:val="clear" w:color="auto" w:fill="FFFFFF"/>
              <w:spacing w:line="600" w:lineRule="exact"/>
              <w:jc w:val="center"/>
              <w:rPr>
                <w:rFonts w:ascii="仿宋" w:hAnsi="仿宋" w:eastAsia="仿宋"/>
                <w:color w:val="auto"/>
                <w:kern w:val="0"/>
                <w:sz w:val="24"/>
                <w:highlight w:val="none"/>
              </w:rPr>
            </w:pPr>
            <w:r>
              <w:rPr>
                <w:rFonts w:hint="eastAsia" w:ascii="仿宋" w:hAnsi="仿宋" w:eastAsia="仿宋"/>
                <w:color w:val="auto"/>
                <w:kern w:val="0"/>
                <w:sz w:val="24"/>
                <w:highlight w:val="none"/>
              </w:rPr>
              <w:t>4</w:t>
            </w:r>
          </w:p>
        </w:tc>
        <w:tc>
          <w:tcPr>
            <w:tcW w:w="2567" w:type="dxa"/>
            <w:shd w:val="clear" w:color="auto" w:fill="FFFFFF"/>
            <w:noWrap w:val="0"/>
            <w:vAlign w:val="center"/>
          </w:tcPr>
          <w:p>
            <w:pPr>
              <w:widowControl/>
              <w:shd w:val="clear" w:color="auto" w:fill="FFFFFF"/>
              <w:spacing w:line="600" w:lineRule="exact"/>
              <w:jc w:val="center"/>
              <w:rPr>
                <w:rFonts w:ascii="仿宋" w:hAnsi="仿宋" w:eastAsia="仿宋"/>
                <w:color w:val="auto"/>
                <w:kern w:val="0"/>
                <w:sz w:val="24"/>
                <w:highlight w:val="none"/>
              </w:rPr>
            </w:pPr>
            <w:r>
              <w:rPr>
                <w:rFonts w:hint="eastAsia" w:ascii="仿宋" w:hAnsi="仿宋" w:eastAsia="仿宋"/>
                <w:color w:val="auto"/>
                <w:kern w:val="0"/>
                <w:sz w:val="24"/>
                <w:highlight w:val="none"/>
              </w:rPr>
              <w:t>单一来源项目网站公示页面（如有）</w:t>
            </w:r>
          </w:p>
        </w:tc>
        <w:tc>
          <w:tcPr>
            <w:tcW w:w="5628" w:type="dxa"/>
            <w:shd w:val="clear" w:color="auto" w:fill="FFFFFF"/>
            <w:noWrap w:val="0"/>
            <w:vAlign w:val="top"/>
          </w:tcPr>
          <w:p>
            <w:pPr>
              <w:widowControl/>
              <w:shd w:val="clear" w:color="auto" w:fill="FFFFFF"/>
              <w:spacing w:line="600" w:lineRule="exact"/>
              <w:rPr>
                <w:rFonts w:hint="eastAsia" w:ascii="仿宋" w:hAnsi="仿宋" w:eastAsia="仿宋"/>
                <w:color w:val="auto"/>
                <w:kern w:val="0"/>
                <w:sz w:val="24"/>
                <w:highlight w:val="none"/>
              </w:rPr>
            </w:pPr>
            <w:r>
              <w:rPr>
                <w:rFonts w:hint="eastAsia" w:ascii="仿宋" w:hAnsi="仿宋" w:eastAsia="仿宋"/>
                <w:color w:val="auto"/>
                <w:kern w:val="0"/>
                <w:sz w:val="24"/>
                <w:highlight w:val="none"/>
              </w:rPr>
              <w:t>提交网站公示打印页面，公章位置签署“公示期间无异议”字样的原件原色电子件。</w:t>
            </w:r>
          </w:p>
        </w:tc>
      </w:tr>
      <w:tr>
        <w:tblPrEx>
          <w:tblBorders>
            <w:top w:val="double" w:color="000000" w:sz="4" w:space="0"/>
            <w:left w:val="double" w:color="000000" w:sz="4" w:space="0"/>
            <w:bottom w:val="double" w:color="000000" w:sz="4" w:space="0"/>
            <w:right w:val="double" w:color="000000" w:sz="4" w:space="0"/>
            <w:insideH w:val="single" w:color="000000" w:sz="8" w:space="0"/>
            <w:insideV w:val="single" w:color="000000" w:sz="8" w:space="0"/>
          </w:tblBorders>
          <w:tblCellMar>
            <w:top w:w="0" w:type="dxa"/>
            <w:left w:w="108" w:type="dxa"/>
            <w:bottom w:w="0" w:type="dxa"/>
            <w:right w:w="108" w:type="dxa"/>
          </w:tblCellMar>
        </w:tblPrEx>
        <w:trPr>
          <w:trHeight w:val="1153" w:hRule="atLeast"/>
          <w:jc w:val="center"/>
        </w:trPr>
        <w:tc>
          <w:tcPr>
            <w:tcW w:w="546" w:type="dxa"/>
            <w:shd w:val="clear" w:color="auto" w:fill="FFFFFF"/>
            <w:noWrap w:val="0"/>
            <w:vAlign w:val="center"/>
          </w:tcPr>
          <w:p>
            <w:pPr>
              <w:widowControl/>
              <w:shd w:val="clear" w:color="auto" w:fill="FFFFFF"/>
              <w:spacing w:line="600" w:lineRule="exact"/>
              <w:jc w:val="center"/>
              <w:rPr>
                <w:rFonts w:hint="eastAsia" w:ascii="仿宋" w:hAnsi="仿宋" w:eastAsia="仿宋"/>
                <w:color w:val="auto"/>
                <w:kern w:val="0"/>
                <w:sz w:val="24"/>
                <w:highlight w:val="none"/>
                <w:lang w:val="en-US" w:eastAsia="zh-CN"/>
              </w:rPr>
            </w:pPr>
            <w:r>
              <w:rPr>
                <w:rFonts w:hint="eastAsia" w:ascii="仿宋" w:hAnsi="仿宋" w:eastAsia="仿宋"/>
                <w:color w:val="auto"/>
                <w:kern w:val="0"/>
                <w:sz w:val="24"/>
                <w:highlight w:val="none"/>
                <w:lang w:val="en-US" w:eastAsia="zh-CN"/>
              </w:rPr>
              <w:t>5</w:t>
            </w:r>
          </w:p>
        </w:tc>
        <w:tc>
          <w:tcPr>
            <w:tcW w:w="2567" w:type="dxa"/>
            <w:shd w:val="clear" w:color="auto" w:fill="FFFFFF"/>
            <w:noWrap w:val="0"/>
            <w:vAlign w:val="center"/>
          </w:tcPr>
          <w:p>
            <w:pPr>
              <w:widowControl/>
              <w:shd w:val="clear" w:color="auto" w:fill="FFFFFF"/>
              <w:spacing w:line="600" w:lineRule="exact"/>
              <w:jc w:val="center"/>
              <w:rPr>
                <w:rFonts w:hint="eastAsia" w:ascii="仿宋" w:hAnsi="仿宋" w:eastAsia="仿宋"/>
                <w:color w:val="auto"/>
                <w:kern w:val="0"/>
                <w:sz w:val="24"/>
                <w:highlight w:val="none"/>
              </w:rPr>
            </w:pPr>
            <w:r>
              <w:rPr>
                <w:rFonts w:hint="eastAsia" w:ascii="仿宋" w:hAnsi="仿宋" w:eastAsia="仿宋"/>
                <w:color w:val="auto"/>
                <w:kern w:val="0"/>
                <w:sz w:val="24"/>
                <w:highlight w:val="none"/>
              </w:rPr>
              <w:t>一招两年</w:t>
            </w:r>
            <w:r>
              <w:rPr>
                <w:rFonts w:hint="eastAsia" w:ascii="仿宋" w:hAnsi="仿宋" w:eastAsia="仿宋"/>
                <w:color w:val="auto"/>
                <w:kern w:val="0"/>
                <w:sz w:val="24"/>
                <w:highlight w:val="none"/>
                <w:lang w:eastAsia="zh-CN"/>
              </w:rPr>
              <w:t>或三年</w:t>
            </w:r>
            <w:r>
              <w:rPr>
                <w:rFonts w:hint="eastAsia" w:ascii="仿宋" w:hAnsi="仿宋" w:eastAsia="仿宋"/>
                <w:color w:val="auto"/>
                <w:kern w:val="0"/>
                <w:sz w:val="24"/>
                <w:highlight w:val="none"/>
              </w:rPr>
              <w:t>函</w:t>
            </w:r>
          </w:p>
          <w:p>
            <w:pPr>
              <w:widowControl/>
              <w:shd w:val="clear" w:color="auto" w:fill="FFFFFF"/>
              <w:spacing w:line="600" w:lineRule="exact"/>
              <w:jc w:val="center"/>
              <w:rPr>
                <w:rFonts w:ascii="仿宋" w:hAnsi="仿宋" w:eastAsia="仿宋"/>
                <w:color w:val="auto"/>
                <w:kern w:val="0"/>
                <w:sz w:val="24"/>
                <w:highlight w:val="none"/>
              </w:rPr>
            </w:pPr>
            <w:r>
              <w:rPr>
                <w:rFonts w:hint="eastAsia" w:ascii="仿宋" w:hAnsi="仿宋" w:eastAsia="仿宋"/>
                <w:color w:val="auto"/>
                <w:kern w:val="0"/>
                <w:sz w:val="24"/>
                <w:highlight w:val="none"/>
              </w:rPr>
              <w:t>（如有）</w:t>
            </w:r>
          </w:p>
        </w:tc>
        <w:tc>
          <w:tcPr>
            <w:tcW w:w="5628" w:type="dxa"/>
            <w:shd w:val="clear" w:color="auto" w:fill="FFFFFF"/>
            <w:noWrap w:val="0"/>
            <w:vAlign w:val="top"/>
          </w:tcPr>
          <w:p>
            <w:pPr>
              <w:widowControl/>
              <w:shd w:val="clear" w:color="auto" w:fill="FFFFFF"/>
              <w:spacing w:line="600" w:lineRule="exact"/>
              <w:rPr>
                <w:rFonts w:hint="eastAsia" w:ascii="仿宋" w:hAnsi="仿宋" w:eastAsia="仿宋"/>
                <w:color w:val="auto"/>
                <w:kern w:val="0"/>
                <w:sz w:val="24"/>
                <w:highlight w:val="none"/>
              </w:rPr>
            </w:pPr>
            <w:r>
              <w:rPr>
                <w:rFonts w:hint="eastAsia" w:ascii="仿宋" w:hAnsi="仿宋" w:eastAsia="仿宋"/>
                <w:color w:val="auto"/>
                <w:kern w:val="0"/>
                <w:sz w:val="24"/>
                <w:highlight w:val="none"/>
              </w:rPr>
              <w:t>服务类项目如服务期为三年，提交一招三年函原件原色电子件。</w:t>
            </w:r>
          </w:p>
        </w:tc>
      </w:tr>
      <w:tr>
        <w:tblPrEx>
          <w:tblBorders>
            <w:top w:val="double" w:color="000000" w:sz="4" w:space="0"/>
            <w:left w:val="double" w:color="000000" w:sz="4" w:space="0"/>
            <w:bottom w:val="double" w:color="000000" w:sz="4" w:space="0"/>
            <w:right w:val="double" w:color="000000" w:sz="4" w:space="0"/>
            <w:insideH w:val="single" w:color="000000" w:sz="8" w:space="0"/>
            <w:insideV w:val="single" w:color="000000" w:sz="8" w:space="0"/>
          </w:tblBorders>
          <w:tblCellMar>
            <w:top w:w="0" w:type="dxa"/>
            <w:left w:w="108" w:type="dxa"/>
            <w:bottom w:w="0" w:type="dxa"/>
            <w:right w:w="108" w:type="dxa"/>
          </w:tblCellMar>
        </w:tblPrEx>
        <w:trPr>
          <w:trHeight w:val="2513" w:hRule="atLeast"/>
          <w:jc w:val="center"/>
        </w:trPr>
        <w:tc>
          <w:tcPr>
            <w:tcW w:w="546" w:type="dxa"/>
            <w:shd w:val="clear" w:color="auto" w:fill="FFFFFF"/>
            <w:noWrap w:val="0"/>
            <w:vAlign w:val="center"/>
          </w:tcPr>
          <w:p>
            <w:pPr>
              <w:widowControl/>
              <w:shd w:val="clear" w:color="auto" w:fill="FFFFFF"/>
              <w:spacing w:line="600" w:lineRule="exact"/>
              <w:jc w:val="center"/>
              <w:rPr>
                <w:rFonts w:hint="eastAsia" w:ascii="仿宋" w:hAnsi="仿宋" w:eastAsia="仿宋"/>
                <w:color w:val="auto"/>
                <w:kern w:val="0"/>
                <w:sz w:val="24"/>
                <w:highlight w:val="none"/>
                <w:lang w:val="en-US" w:eastAsia="zh-CN"/>
              </w:rPr>
            </w:pPr>
            <w:r>
              <w:rPr>
                <w:rFonts w:hint="eastAsia" w:ascii="仿宋" w:hAnsi="仿宋" w:eastAsia="仿宋"/>
                <w:color w:val="auto"/>
                <w:kern w:val="0"/>
                <w:sz w:val="24"/>
                <w:highlight w:val="none"/>
                <w:lang w:val="en-US" w:eastAsia="zh-CN"/>
              </w:rPr>
              <w:t>6</w:t>
            </w:r>
          </w:p>
        </w:tc>
        <w:tc>
          <w:tcPr>
            <w:tcW w:w="2567" w:type="dxa"/>
            <w:shd w:val="clear" w:color="auto" w:fill="FFFFFF"/>
            <w:noWrap w:val="0"/>
            <w:vAlign w:val="center"/>
          </w:tcPr>
          <w:p>
            <w:pPr>
              <w:widowControl/>
              <w:shd w:val="clear" w:color="auto" w:fill="FFFFFF"/>
              <w:spacing w:line="600" w:lineRule="exact"/>
              <w:jc w:val="center"/>
              <w:rPr>
                <w:rFonts w:ascii="仿宋" w:hAnsi="仿宋" w:eastAsia="仿宋"/>
                <w:color w:val="auto"/>
                <w:kern w:val="0"/>
                <w:sz w:val="24"/>
                <w:highlight w:val="none"/>
              </w:rPr>
            </w:pPr>
            <w:r>
              <w:rPr>
                <w:rFonts w:hint="eastAsia" w:ascii="仿宋" w:hAnsi="仿宋" w:eastAsia="仿宋"/>
                <w:color w:val="auto"/>
                <w:kern w:val="0"/>
                <w:sz w:val="24"/>
                <w:highlight w:val="none"/>
              </w:rPr>
              <w:t>批量采购品目的说明（如有）</w:t>
            </w:r>
          </w:p>
        </w:tc>
        <w:tc>
          <w:tcPr>
            <w:tcW w:w="5628" w:type="dxa"/>
            <w:shd w:val="clear" w:color="auto" w:fill="FFFFFF"/>
            <w:noWrap w:val="0"/>
            <w:vAlign w:val="top"/>
          </w:tcPr>
          <w:p>
            <w:pPr>
              <w:widowControl/>
              <w:shd w:val="clear" w:color="auto" w:fill="FFFFFF"/>
              <w:spacing w:line="600" w:lineRule="exact"/>
              <w:rPr>
                <w:rFonts w:hint="eastAsia" w:ascii="仿宋" w:hAnsi="仿宋" w:eastAsia="仿宋"/>
                <w:color w:val="auto"/>
                <w:kern w:val="0"/>
                <w:sz w:val="24"/>
                <w:highlight w:val="none"/>
              </w:rPr>
            </w:pPr>
            <w:r>
              <w:rPr>
                <w:rFonts w:hint="eastAsia" w:ascii="仿宋" w:hAnsi="仿宋" w:eastAsia="仿宋"/>
                <w:color w:val="auto"/>
                <w:kern w:val="0"/>
                <w:sz w:val="24"/>
                <w:highlight w:val="none"/>
              </w:rPr>
              <w:t>政府集中采购委托项目技术需求部分如涉及批量集中采购的计算机、空调</w:t>
            </w:r>
            <w:r>
              <w:rPr>
                <w:rFonts w:hint="eastAsia" w:ascii="仿宋" w:hAnsi="仿宋" w:eastAsia="仿宋"/>
                <w:color w:val="auto"/>
                <w:kern w:val="0"/>
                <w:sz w:val="24"/>
                <w:highlight w:val="none"/>
                <w:lang w:eastAsia="zh-CN"/>
              </w:rPr>
              <w:t>两</w:t>
            </w:r>
            <w:r>
              <w:rPr>
                <w:rFonts w:hint="eastAsia" w:ascii="仿宋" w:hAnsi="仿宋" w:eastAsia="仿宋"/>
                <w:color w:val="auto"/>
                <w:kern w:val="0"/>
                <w:sz w:val="24"/>
                <w:highlight w:val="none"/>
              </w:rPr>
              <w:t>个品目，采购人需另作出说明，表述前述三个品目为项目不可分割部分并附专家论证资料，提交加盖公章的原件原色电子件。</w:t>
            </w:r>
          </w:p>
        </w:tc>
      </w:tr>
    </w:tbl>
    <w:p>
      <w:pPr>
        <w:widowControl/>
        <w:shd w:val="clear" w:color="auto" w:fill="FFFFFF"/>
        <w:spacing w:line="600" w:lineRule="exact"/>
        <w:ind w:firstLine="640"/>
        <w:rPr>
          <w:rFonts w:hint="eastAsia" w:ascii="仿宋" w:hAnsi="仿宋" w:eastAsia="仿宋"/>
          <w:color w:val="auto"/>
          <w:kern w:val="0"/>
          <w:sz w:val="32"/>
          <w:szCs w:val="32"/>
          <w:highlight w:val="none"/>
        </w:rPr>
      </w:pPr>
      <w:r>
        <w:rPr>
          <w:rFonts w:hint="eastAsia" w:ascii="仿宋" w:hAnsi="仿宋" w:eastAsia="仿宋"/>
          <w:color w:val="auto"/>
          <w:kern w:val="0"/>
          <w:sz w:val="32"/>
          <w:szCs w:val="32"/>
          <w:highlight w:val="none"/>
        </w:rPr>
        <w:t>注：</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600" w:lineRule="exact"/>
        <w:ind w:firstLine="641"/>
        <w:textAlignment w:val="auto"/>
        <w:rPr>
          <w:rFonts w:hint="eastAsia" w:ascii="仿宋" w:hAnsi="仿宋" w:eastAsia="仿宋"/>
          <w:color w:val="auto"/>
          <w:kern w:val="0"/>
          <w:sz w:val="32"/>
          <w:szCs w:val="32"/>
          <w:highlight w:val="none"/>
        </w:rPr>
      </w:pPr>
      <w:r>
        <w:rPr>
          <w:rFonts w:hint="eastAsia" w:ascii="仿宋" w:hAnsi="仿宋" w:eastAsia="仿宋"/>
          <w:color w:val="auto"/>
          <w:kern w:val="0"/>
          <w:sz w:val="32"/>
          <w:szCs w:val="32"/>
          <w:highlight w:val="none"/>
        </w:rPr>
        <w:t>《采购人业务系统操作手册》在</w:t>
      </w:r>
      <w:r>
        <w:rPr>
          <w:rFonts w:hint="eastAsia" w:ascii="仿宋" w:hAnsi="仿宋" w:eastAsia="仿宋"/>
          <w:color w:val="auto"/>
          <w:kern w:val="0"/>
          <w:sz w:val="32"/>
          <w:szCs w:val="32"/>
          <w:highlight w:val="none"/>
        </w:rPr>
        <w:fldChar w:fldCharType="begin"/>
      </w:r>
      <w:r>
        <w:rPr>
          <w:rFonts w:hint="eastAsia" w:ascii="仿宋" w:hAnsi="仿宋" w:eastAsia="仿宋"/>
          <w:color w:val="auto"/>
          <w:kern w:val="0"/>
          <w:sz w:val="32"/>
          <w:szCs w:val="32"/>
          <w:highlight w:val="none"/>
        </w:rPr>
        <w:instrText xml:space="preserve"> HYPERLINK "http://www.so.com/link?m=aV35oTWDBEnA8jd14uCqg5AhyLDuq2gz4XpHBBQ/IYHtXOocR9m5Ij/iMNxgIOfARv7KcYdho7t7jLoVjUDJ4s/AB7Tafmbs1jTdnL6Ba4DIJeNga/Gdh1gSt65ziwex1dpOXT+IPDNb6fdPWV1kWZf1P+6y7IsNiMuu7ysEHESWYEo8KAqAUYEwh+Zovy3DSoiIWDUpAOMzh9mEx" \t "https://www.so.com/_blank" </w:instrText>
      </w:r>
      <w:r>
        <w:rPr>
          <w:rFonts w:hint="eastAsia" w:ascii="仿宋" w:hAnsi="仿宋" w:eastAsia="仿宋"/>
          <w:color w:val="auto"/>
          <w:kern w:val="0"/>
          <w:sz w:val="32"/>
          <w:szCs w:val="32"/>
          <w:highlight w:val="none"/>
        </w:rPr>
        <w:fldChar w:fldCharType="separate"/>
      </w:r>
      <w:r>
        <w:rPr>
          <w:rFonts w:hint="eastAsia" w:ascii="仿宋" w:hAnsi="仿宋" w:eastAsia="仿宋"/>
          <w:color w:val="auto"/>
          <w:kern w:val="0"/>
          <w:sz w:val="32"/>
          <w:szCs w:val="32"/>
          <w:highlight w:val="none"/>
        </w:rPr>
        <w:t>全国公共资源交易平台(四川省)</w:t>
      </w:r>
      <w:r>
        <w:rPr>
          <w:rFonts w:hint="eastAsia" w:ascii="仿宋" w:hAnsi="仿宋" w:eastAsia="仿宋"/>
          <w:color w:val="auto"/>
          <w:kern w:val="0"/>
          <w:sz w:val="32"/>
          <w:szCs w:val="32"/>
          <w:highlight w:val="none"/>
        </w:rPr>
        <w:fldChar w:fldCharType="end"/>
      </w:r>
      <w:r>
        <w:rPr>
          <w:rFonts w:hint="eastAsia"/>
          <w:color w:val="auto"/>
          <w:sz w:val="28"/>
          <w:szCs w:val="36"/>
          <w:highlight w:val="none"/>
        </w:rPr>
        <w:t>（http://ggzyjy.sc.gov.cn/bszn/bsznnotice.html</w:t>
      </w:r>
      <w:r>
        <w:rPr>
          <w:rFonts w:hint="eastAsia" w:ascii="仿宋" w:hAnsi="仿宋" w:eastAsia="仿宋"/>
          <w:color w:val="auto"/>
          <w:kern w:val="0"/>
          <w:sz w:val="44"/>
          <w:szCs w:val="44"/>
          <w:highlight w:val="none"/>
        </w:rPr>
        <w:t>)</w:t>
      </w:r>
      <w:r>
        <w:rPr>
          <w:rFonts w:hint="eastAsia" w:ascii="仿宋" w:hAnsi="仿宋" w:eastAsia="仿宋"/>
          <w:color w:val="auto"/>
          <w:kern w:val="0"/>
          <w:sz w:val="32"/>
          <w:szCs w:val="32"/>
          <w:highlight w:val="none"/>
        </w:rPr>
        <w:t>办事指南类别中下载。电子化平台咨询电话：028-86744466。</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600" w:lineRule="exact"/>
        <w:ind w:firstLine="641"/>
        <w:textAlignment w:val="auto"/>
        <w:rPr>
          <w:rFonts w:hint="eastAsia" w:ascii="仿宋" w:hAnsi="仿宋" w:eastAsia="仿宋"/>
          <w:color w:val="auto"/>
          <w:kern w:val="0"/>
          <w:sz w:val="32"/>
          <w:szCs w:val="32"/>
          <w:highlight w:val="none"/>
        </w:rPr>
      </w:pPr>
      <w:r>
        <w:rPr>
          <w:rFonts w:hint="eastAsia" w:ascii="仿宋" w:hAnsi="仿宋" w:eastAsia="仿宋"/>
          <w:color w:val="auto"/>
          <w:kern w:val="0"/>
          <w:sz w:val="32"/>
          <w:szCs w:val="32"/>
          <w:highlight w:val="none"/>
          <w:lang w:eastAsia="zh-CN"/>
        </w:rPr>
        <w:t>请各采购单位严格按照《四川省政府采购中心关于印发</w:t>
      </w:r>
      <w:r>
        <w:rPr>
          <w:rFonts w:hint="eastAsia" w:ascii="宋体" w:hAnsi="宋体" w:eastAsia="宋体" w:cs="宋体"/>
          <w:color w:val="auto"/>
          <w:kern w:val="0"/>
          <w:sz w:val="32"/>
          <w:szCs w:val="32"/>
          <w:highlight w:val="none"/>
          <w:lang w:eastAsia="zh-CN"/>
        </w:rPr>
        <w:t>&lt;</w:t>
      </w:r>
      <w:r>
        <w:rPr>
          <w:rFonts w:hint="eastAsia" w:ascii="仿宋" w:hAnsi="仿宋" w:eastAsia="仿宋"/>
          <w:color w:val="auto"/>
          <w:kern w:val="0"/>
          <w:sz w:val="32"/>
          <w:szCs w:val="32"/>
          <w:highlight w:val="none"/>
          <w:lang w:eastAsia="zh-CN"/>
        </w:rPr>
        <w:t>四川省</w:t>
      </w:r>
      <w:r>
        <w:rPr>
          <w:rFonts w:hint="eastAsia" w:ascii="仿宋" w:hAnsi="仿宋" w:eastAsia="仿宋"/>
          <w:color w:val="auto"/>
          <w:kern w:val="0"/>
          <w:sz w:val="32"/>
          <w:szCs w:val="32"/>
          <w:highlight w:val="none"/>
          <w:lang w:val="en-US" w:eastAsia="zh-CN"/>
        </w:rPr>
        <w:t>2020版省级政府集中采购目录实施方案</w:t>
      </w:r>
      <w:r>
        <w:rPr>
          <w:rFonts w:hint="eastAsia" w:ascii="宋体" w:hAnsi="宋体" w:eastAsia="宋体" w:cs="宋体"/>
          <w:color w:val="auto"/>
          <w:kern w:val="0"/>
          <w:sz w:val="32"/>
          <w:szCs w:val="32"/>
          <w:highlight w:val="none"/>
          <w:lang w:val="en-US" w:eastAsia="zh-CN"/>
        </w:rPr>
        <w:t>&gt;</w:t>
      </w:r>
      <w:r>
        <w:rPr>
          <w:rFonts w:hint="eastAsia" w:ascii="仿宋" w:hAnsi="仿宋" w:eastAsia="仿宋"/>
          <w:color w:val="auto"/>
          <w:kern w:val="0"/>
          <w:sz w:val="32"/>
          <w:szCs w:val="32"/>
          <w:highlight w:val="none"/>
          <w:lang w:eastAsia="zh-CN"/>
        </w:rPr>
        <w:t>的通知》要求执行。</w:t>
      </w:r>
    </w:p>
    <w:p>
      <w:pPr>
        <w:widowControl/>
        <w:shd w:val="clear" w:color="auto" w:fill="FFFFFF"/>
        <w:spacing w:line="600" w:lineRule="exact"/>
        <w:ind w:firstLine="640" w:firstLineChars="200"/>
        <w:rPr>
          <w:rFonts w:hint="eastAsia" w:ascii="仿宋" w:hAnsi="仿宋" w:eastAsia="仿宋"/>
          <w:color w:val="auto"/>
          <w:kern w:val="0"/>
          <w:sz w:val="32"/>
          <w:szCs w:val="32"/>
          <w:highlight w:val="none"/>
        </w:rPr>
      </w:pPr>
      <w:r>
        <w:rPr>
          <w:rFonts w:hint="eastAsia" w:ascii="仿宋" w:hAnsi="仿宋" w:eastAsia="仿宋"/>
          <w:color w:val="auto"/>
          <w:kern w:val="0"/>
          <w:sz w:val="32"/>
          <w:szCs w:val="32"/>
          <w:highlight w:val="none"/>
          <w:lang w:val="en-US" w:eastAsia="zh-CN"/>
        </w:rPr>
        <w:t>3</w:t>
      </w:r>
      <w:r>
        <w:rPr>
          <w:rFonts w:hint="eastAsia" w:ascii="仿宋" w:hAnsi="仿宋" w:eastAsia="仿宋"/>
          <w:color w:val="auto"/>
          <w:kern w:val="0"/>
          <w:sz w:val="32"/>
          <w:szCs w:val="32"/>
          <w:highlight w:val="none"/>
        </w:rPr>
        <w:t>、采购品目划分参照《四川省政府集中采购目录及标准（2020年版）》。</w:t>
      </w:r>
    </w:p>
    <w:p>
      <w:pPr>
        <w:widowControl/>
        <w:shd w:val="clear" w:color="auto" w:fill="FFFFFF"/>
        <w:spacing w:line="600" w:lineRule="exact"/>
        <w:ind w:firstLine="640"/>
        <w:rPr>
          <w:rFonts w:hint="eastAsia" w:ascii="仿宋" w:hAnsi="仿宋" w:eastAsia="仿宋"/>
          <w:color w:val="auto"/>
          <w:kern w:val="0"/>
          <w:sz w:val="32"/>
          <w:szCs w:val="32"/>
          <w:highlight w:val="none"/>
        </w:rPr>
      </w:pPr>
      <w:r>
        <w:rPr>
          <w:rFonts w:hint="eastAsia" w:ascii="仿宋" w:hAnsi="仿宋" w:eastAsia="仿宋"/>
          <w:color w:val="auto"/>
          <w:kern w:val="0"/>
          <w:sz w:val="32"/>
          <w:szCs w:val="32"/>
          <w:highlight w:val="none"/>
          <w:lang w:val="en-US" w:eastAsia="zh-CN"/>
        </w:rPr>
        <w:t>4</w:t>
      </w:r>
      <w:r>
        <w:rPr>
          <w:rFonts w:hint="eastAsia" w:ascii="仿宋" w:hAnsi="仿宋" w:eastAsia="仿宋"/>
          <w:color w:val="auto"/>
          <w:kern w:val="0"/>
          <w:sz w:val="32"/>
          <w:szCs w:val="32"/>
          <w:highlight w:val="none"/>
        </w:rPr>
        <w:t>、四川省政府采购中心原则上只受理四川省政府集中采购目录及标准（2020年版）》中政府集中采购目录内项目（http://www.ccgp-sichuan.gov.cn/view/staticpags/sjzytz/2c9240ea76917783017692e7866b02ee.html）。</w:t>
      </w:r>
    </w:p>
    <w:p>
      <w:pPr>
        <w:widowControl/>
        <w:shd w:val="clear" w:color="auto" w:fill="FFFFFF"/>
        <w:spacing w:line="600" w:lineRule="exact"/>
        <w:ind w:firstLine="640"/>
        <w:rPr>
          <w:rFonts w:ascii="仿宋" w:hAnsi="仿宋" w:eastAsia="仿宋"/>
          <w:color w:val="auto"/>
          <w:kern w:val="0"/>
          <w:sz w:val="32"/>
          <w:szCs w:val="32"/>
          <w:highlight w:val="none"/>
        </w:rPr>
        <w:sectPr>
          <w:footerReference r:id="rId6" w:type="first"/>
          <w:footerReference r:id="rId5" w:type="default"/>
          <w:pgSz w:w="11905" w:h="16838"/>
          <w:pgMar w:top="1417" w:right="1134" w:bottom="1417" w:left="1701" w:header="850" w:footer="992" w:gutter="0"/>
          <w:pgBorders>
            <w:top w:val="none" w:sz="0" w:space="0"/>
            <w:left w:val="none" w:sz="0" w:space="0"/>
            <w:bottom w:val="none" w:sz="0" w:space="0"/>
            <w:right w:val="none" w:sz="0" w:space="0"/>
          </w:pgBorders>
          <w:pgNumType w:start="1"/>
          <w:cols w:space="0" w:num="1"/>
          <w:titlePg/>
          <w:rtlGutter w:val="0"/>
          <w:docGrid w:type="lines" w:linePitch="318" w:charSpace="0"/>
        </w:sectPr>
      </w:pPr>
      <w:r>
        <w:rPr>
          <w:rFonts w:hint="eastAsia" w:ascii="仿宋" w:hAnsi="仿宋" w:eastAsia="仿宋"/>
          <w:color w:val="auto"/>
          <w:kern w:val="0"/>
          <w:sz w:val="32"/>
          <w:szCs w:val="32"/>
          <w:highlight w:val="none"/>
          <w:lang w:val="en-US" w:eastAsia="zh-CN"/>
        </w:rPr>
        <w:t>5</w:t>
      </w:r>
      <w:r>
        <w:rPr>
          <w:rFonts w:hint="eastAsia" w:ascii="仿宋" w:hAnsi="仿宋" w:eastAsia="仿宋"/>
          <w:color w:val="auto"/>
          <w:kern w:val="0"/>
          <w:sz w:val="32"/>
          <w:szCs w:val="32"/>
          <w:highlight w:val="none"/>
        </w:rPr>
        <w:t>、受理项目咨询电话：雷老师、杨老师  028-61323079。</w:t>
      </w:r>
    </w:p>
    <w:p>
      <w:pPr>
        <w:rPr>
          <w:rFonts w:hint="eastAsia" w:ascii="宋体" w:hAnsi="宋体"/>
          <w:b/>
          <w:color w:val="auto"/>
          <w:sz w:val="24"/>
          <w:highlight w:val="none"/>
        </w:rPr>
      </w:pPr>
    </w:p>
    <w:p>
      <w:pPr>
        <w:jc w:val="center"/>
        <w:rPr>
          <w:rFonts w:hint="eastAsia" w:ascii="宋体" w:hAnsi="宋体"/>
          <w:b/>
          <w:color w:val="auto"/>
          <w:sz w:val="32"/>
          <w:szCs w:val="32"/>
          <w:highlight w:val="none"/>
        </w:rPr>
      </w:pPr>
      <w:bookmarkStart w:id="1" w:name="OLE_LINK4"/>
      <w:r>
        <w:rPr>
          <w:rFonts w:hint="eastAsia" w:ascii="宋体" w:hAnsi="宋体"/>
          <w:b/>
          <w:color w:val="auto"/>
          <w:sz w:val="32"/>
          <w:szCs w:val="32"/>
          <w:highlight w:val="none"/>
        </w:rPr>
        <w:t>一、资格条件设置注意事项</w:t>
      </w:r>
    </w:p>
    <w:p>
      <w:pPr>
        <w:jc w:val="center"/>
        <w:rPr>
          <w:rFonts w:hint="eastAsia" w:ascii="宋体" w:hAnsi="宋体"/>
          <w:b/>
          <w:color w:val="auto"/>
          <w:sz w:val="32"/>
          <w:szCs w:val="32"/>
          <w:highlight w:val="none"/>
        </w:rPr>
      </w:pPr>
    </w:p>
    <w:bookmarkEnd w:id="1"/>
    <w:p>
      <w:pPr>
        <w:spacing w:line="600" w:lineRule="exact"/>
        <w:rPr>
          <w:rFonts w:hint="eastAsia" w:ascii="宋体" w:hAnsi="宋体"/>
          <w:color w:val="auto"/>
          <w:sz w:val="24"/>
          <w:highlight w:val="none"/>
        </w:rPr>
      </w:pPr>
      <w:r>
        <w:rPr>
          <w:rFonts w:hint="eastAsia" w:ascii="宋体" w:hAnsi="宋体"/>
          <w:color w:val="auto"/>
          <w:sz w:val="24"/>
          <w:highlight w:val="none"/>
        </w:rPr>
        <w:t>（1）应当结合具体的政府采购项目确定，不得设置与本采购项目没有直接联系的资格条件。</w:t>
      </w:r>
    </w:p>
    <w:p>
      <w:pPr>
        <w:spacing w:line="600" w:lineRule="exact"/>
        <w:rPr>
          <w:rFonts w:hint="eastAsia" w:ascii="宋体" w:hAnsi="宋体"/>
          <w:color w:val="auto"/>
          <w:sz w:val="24"/>
          <w:highlight w:val="none"/>
        </w:rPr>
      </w:pPr>
      <w:r>
        <w:rPr>
          <w:rFonts w:hint="eastAsia" w:ascii="宋体" w:hAnsi="宋体"/>
          <w:color w:val="auto"/>
          <w:sz w:val="24"/>
          <w:highlight w:val="none"/>
        </w:rPr>
        <w:t>（2）除本采购项目所涉及行业有明确的强制性规定外，不得以制造商家的条件作为参加政府采购活动的供应商资格条件。</w:t>
      </w:r>
    </w:p>
    <w:p>
      <w:pPr>
        <w:spacing w:line="600" w:lineRule="exact"/>
        <w:rPr>
          <w:rFonts w:hint="eastAsia" w:ascii="宋体" w:hAnsi="宋体"/>
          <w:color w:val="auto"/>
          <w:sz w:val="24"/>
          <w:highlight w:val="none"/>
        </w:rPr>
      </w:pPr>
      <w:r>
        <w:rPr>
          <w:rFonts w:hint="eastAsia" w:ascii="宋体" w:hAnsi="宋体"/>
          <w:color w:val="auto"/>
          <w:sz w:val="24"/>
          <w:highlight w:val="none"/>
        </w:rPr>
        <w:t>（3）不得以满足具体的几家供应商参与作为衡量资格条件设置合法的标准。</w:t>
      </w:r>
    </w:p>
    <w:p>
      <w:pPr>
        <w:spacing w:line="600" w:lineRule="exact"/>
        <w:rPr>
          <w:rFonts w:ascii="宋体" w:hAnsi="宋体"/>
          <w:color w:val="auto"/>
          <w:sz w:val="24"/>
          <w:highlight w:val="none"/>
        </w:rPr>
      </w:pPr>
      <w:r>
        <w:rPr>
          <w:rFonts w:hint="eastAsia" w:ascii="宋体" w:hAnsi="宋体"/>
          <w:color w:val="auto"/>
          <w:sz w:val="24"/>
          <w:highlight w:val="none"/>
        </w:rPr>
        <w:t>（4）不得以注册资本金、资产总额、营业收入、从业人员、利润、纳税额等供应商的规模条件作为资格条件。</w:t>
      </w:r>
    </w:p>
    <w:p>
      <w:pPr>
        <w:spacing w:line="600" w:lineRule="exact"/>
        <w:rPr>
          <w:rFonts w:hint="eastAsia" w:ascii="宋体" w:hAnsi="宋体"/>
          <w:color w:val="auto"/>
          <w:sz w:val="24"/>
          <w:highlight w:val="none"/>
        </w:rPr>
      </w:pPr>
      <w:r>
        <w:rPr>
          <w:rFonts w:hint="eastAsia" w:ascii="宋体" w:hAnsi="宋体"/>
          <w:color w:val="auto"/>
          <w:sz w:val="24"/>
          <w:highlight w:val="none"/>
        </w:rPr>
        <w:t>（5）不得将只有进口产品能够满足的事项作为资格条件。</w:t>
      </w:r>
    </w:p>
    <w:p>
      <w:pPr>
        <w:spacing w:line="600" w:lineRule="exact"/>
        <w:rPr>
          <w:rFonts w:hint="eastAsia" w:ascii="宋体" w:hAnsi="宋体"/>
          <w:color w:val="auto"/>
          <w:sz w:val="24"/>
          <w:highlight w:val="none"/>
        </w:rPr>
      </w:pPr>
      <w:r>
        <w:rPr>
          <w:rFonts w:hint="eastAsia" w:ascii="宋体" w:hAnsi="宋体"/>
          <w:color w:val="auto"/>
          <w:sz w:val="24"/>
          <w:highlight w:val="none"/>
        </w:rPr>
        <w:t xml:space="preserve">（6）设置的资格条件，不得作为或者变相作为评分因素。                                                                             </w:t>
      </w:r>
    </w:p>
    <w:p>
      <w:pPr>
        <w:spacing w:line="600" w:lineRule="exact"/>
        <w:rPr>
          <w:rFonts w:hint="eastAsia" w:ascii="宋体" w:hAnsi="宋体"/>
          <w:b/>
          <w:color w:val="auto"/>
          <w:sz w:val="24"/>
          <w:highlight w:val="none"/>
        </w:rPr>
      </w:pPr>
      <w:r>
        <w:rPr>
          <w:rFonts w:hint="eastAsia" w:ascii="宋体" w:hAnsi="宋体"/>
          <w:color w:val="auto"/>
          <w:sz w:val="24"/>
          <w:highlight w:val="none"/>
        </w:rPr>
        <w:t>（7）</w:t>
      </w:r>
      <w:r>
        <w:rPr>
          <w:rFonts w:hint="eastAsia" w:ascii="宋体" w:hAnsi="宋体" w:cs="Arial"/>
          <w:color w:val="auto"/>
          <w:kern w:val="0"/>
          <w:sz w:val="24"/>
          <w:highlight w:val="none"/>
        </w:rPr>
        <w:t>不得通过将除进口货物以外的生产厂家授权、承诺、证明、背书等作为资格要求。</w:t>
      </w:r>
    </w:p>
    <w:p>
      <w:pPr>
        <w:spacing w:line="600" w:lineRule="exact"/>
        <w:jc w:val="left"/>
        <w:rPr>
          <w:rFonts w:ascii="宋体" w:hAnsi="宋体" w:cs="宋体"/>
          <w:color w:val="auto"/>
          <w:kern w:val="0"/>
          <w:sz w:val="24"/>
          <w:highlight w:val="none"/>
        </w:rPr>
      </w:pPr>
      <w:r>
        <w:rPr>
          <w:rFonts w:hint="eastAsia" w:ascii="宋体" w:hAnsi="宋体"/>
          <w:color w:val="auto"/>
          <w:sz w:val="24"/>
          <w:highlight w:val="none"/>
        </w:rPr>
        <w:t>（8）</w:t>
      </w:r>
      <w:r>
        <w:rPr>
          <w:rFonts w:ascii="宋体" w:hAnsi="宋体" w:cs="宋体"/>
          <w:color w:val="auto"/>
          <w:kern w:val="0"/>
          <w:sz w:val="24"/>
          <w:highlight w:val="none"/>
        </w:rPr>
        <w:t>不得将国务院明令取消或下放至行业协会的资质认证，政府部门已经禁止或者停止进行的称号、排序、奖项等内容，作为资格要求或者符合性审查事项。</w:t>
      </w:r>
    </w:p>
    <w:p>
      <w:pPr>
        <w:numPr>
          <w:ilvl w:val="0"/>
          <w:numId w:val="3"/>
        </w:numPr>
        <w:spacing w:line="6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根据《四川省人民政府关于印发进一步规范政府采购监管和执行若干规定的通知》川府发〔2018〕14号精神采购人应尽量精简供应商提供其证明材料的要求，供应商依法缴纳税收和社会保障资金、重大违法行为记录、良好商业信誉、重大信用信息记录等，能够通过部门信息共享、供应商书面承诺、信用记录查询及社会监督等方式查验的，可不再要求供应商提供相关材料或者证明，禁止要求供应商提供证照原件。</w:t>
      </w:r>
    </w:p>
    <w:p>
      <w:pPr>
        <w:numPr>
          <w:ilvl w:val="0"/>
          <w:numId w:val="3"/>
        </w:numPr>
        <w:spacing w:line="6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政府采购法律法规和相关政策规定的其他事项。 </w:t>
      </w:r>
    </w:p>
    <w:p>
      <w:pPr>
        <w:spacing w:line="600" w:lineRule="exact"/>
        <w:rPr>
          <w:rFonts w:hint="eastAsia" w:ascii="宋体" w:hAnsi="宋体" w:eastAsia="宋体"/>
          <w:b/>
          <w:color w:val="auto"/>
          <w:sz w:val="32"/>
          <w:szCs w:val="32"/>
          <w:highlight w:val="none"/>
          <w:lang w:eastAsia="zh-CN"/>
        </w:rPr>
      </w:pPr>
    </w:p>
    <w:p>
      <w:pPr>
        <w:spacing w:line="600" w:lineRule="exact"/>
        <w:rPr>
          <w:rFonts w:hint="eastAsia" w:ascii="宋体" w:hAnsi="宋体" w:eastAsia="宋体"/>
          <w:b/>
          <w:color w:val="auto"/>
          <w:sz w:val="32"/>
          <w:szCs w:val="32"/>
          <w:highlight w:val="none"/>
          <w:lang w:eastAsia="zh-CN"/>
        </w:rPr>
        <w:sectPr>
          <w:pgSz w:w="11905" w:h="16838"/>
          <w:pgMar w:top="1417" w:right="1134" w:bottom="1417" w:left="1701" w:header="850" w:footer="992" w:gutter="0"/>
          <w:pgBorders>
            <w:top w:val="none" w:sz="0" w:space="0"/>
            <w:left w:val="none" w:sz="0" w:space="0"/>
            <w:bottom w:val="none" w:sz="0" w:space="0"/>
            <w:right w:val="none" w:sz="0" w:space="0"/>
          </w:pgBorders>
          <w:cols w:space="0" w:num="1"/>
          <w:titlePg/>
          <w:rtlGutter w:val="0"/>
          <w:docGrid w:type="lines" w:linePitch="318" w:charSpace="0"/>
        </w:sectPr>
      </w:pPr>
    </w:p>
    <w:p>
      <w:pPr>
        <w:spacing w:line="600" w:lineRule="exact"/>
        <w:rPr>
          <w:rFonts w:hint="eastAsia" w:ascii="宋体" w:hAnsi="宋体"/>
          <w:b/>
          <w:color w:val="auto"/>
          <w:sz w:val="24"/>
          <w:highlight w:val="none"/>
        </w:rPr>
      </w:pPr>
    </w:p>
    <w:p>
      <w:pPr>
        <w:spacing w:line="600" w:lineRule="exact"/>
        <w:jc w:val="center"/>
        <w:rPr>
          <w:rFonts w:hint="eastAsia" w:ascii="宋体" w:hAnsi="宋体"/>
          <w:b/>
          <w:color w:val="auto"/>
          <w:sz w:val="32"/>
          <w:szCs w:val="32"/>
          <w:highlight w:val="none"/>
        </w:rPr>
      </w:pPr>
      <w:bookmarkStart w:id="2" w:name="OLE_LINK5"/>
      <w:r>
        <w:rPr>
          <w:rFonts w:hint="eastAsia" w:ascii="宋体" w:hAnsi="宋体"/>
          <w:b/>
          <w:color w:val="auto"/>
          <w:sz w:val="32"/>
          <w:szCs w:val="32"/>
          <w:highlight w:val="none"/>
        </w:rPr>
        <w:t>二、技术需求设置注意事项</w:t>
      </w:r>
    </w:p>
    <w:p>
      <w:pPr>
        <w:spacing w:line="600" w:lineRule="exact"/>
        <w:jc w:val="center"/>
        <w:rPr>
          <w:rFonts w:hint="eastAsia" w:ascii="宋体" w:hAnsi="宋体"/>
          <w:b/>
          <w:color w:val="auto"/>
          <w:sz w:val="32"/>
          <w:szCs w:val="32"/>
          <w:highlight w:val="none"/>
        </w:rPr>
      </w:pPr>
    </w:p>
    <w:bookmarkEnd w:id="2"/>
    <w:p>
      <w:pPr>
        <w:spacing w:line="600" w:lineRule="exact"/>
        <w:rPr>
          <w:rFonts w:hint="eastAsia" w:ascii="宋体" w:hAnsi="宋体"/>
          <w:color w:val="auto"/>
          <w:sz w:val="24"/>
          <w:highlight w:val="none"/>
        </w:rPr>
      </w:pPr>
      <w:r>
        <w:rPr>
          <w:rFonts w:hint="eastAsia" w:ascii="宋体" w:hAnsi="宋体"/>
          <w:color w:val="auto"/>
          <w:sz w:val="24"/>
          <w:highlight w:val="none"/>
        </w:rPr>
        <w:t>（1）除政府采购法律制度明确规定以外，不得以任何方式和理由指定或变相指定品牌、型号、产地等。</w:t>
      </w:r>
    </w:p>
    <w:p>
      <w:pPr>
        <w:spacing w:line="600" w:lineRule="exact"/>
        <w:rPr>
          <w:rFonts w:hint="eastAsia" w:ascii="宋体" w:hAnsi="宋体"/>
          <w:color w:val="auto"/>
          <w:sz w:val="24"/>
          <w:highlight w:val="none"/>
        </w:rPr>
      </w:pPr>
      <w:r>
        <w:rPr>
          <w:rFonts w:hint="eastAsia" w:ascii="宋体" w:hAnsi="宋体"/>
          <w:color w:val="auto"/>
          <w:sz w:val="24"/>
          <w:highlight w:val="none"/>
        </w:rPr>
        <w:t>（2）技术参数、性能指标要求，不得以供应商产品独一无二的技术参数、性能指标作为实质性响应内容，不得通过技术参数、性能指标设置逐项排斥供应商公平参与竞争，不得照搬照抄个别供应商产品的技术参数、性能指标。</w:t>
      </w:r>
    </w:p>
    <w:p>
      <w:pPr>
        <w:spacing w:line="600" w:lineRule="exact"/>
        <w:rPr>
          <w:rFonts w:hint="eastAsia" w:ascii="宋体" w:hAnsi="宋体"/>
          <w:color w:val="auto"/>
          <w:sz w:val="24"/>
          <w:highlight w:val="none"/>
        </w:rPr>
      </w:pPr>
      <w:r>
        <w:rPr>
          <w:rFonts w:hint="eastAsia" w:ascii="宋体" w:hAnsi="宋体"/>
          <w:color w:val="auto"/>
          <w:sz w:val="24"/>
          <w:highlight w:val="none"/>
        </w:rPr>
        <w:t>（3）经财政部门审核同意采购进口产品的，不得以此排斥或者歧视国货参加政府采购活动，不得在技术参数、性能指标中标明“进口产品”、“原装进口产品”等要求，不得完全或者大部分以进口产品的参数指标作为采购项目的技术参数、性能指标要求。</w:t>
      </w:r>
    </w:p>
    <w:p>
      <w:pPr>
        <w:spacing w:line="600" w:lineRule="exact"/>
        <w:rPr>
          <w:rFonts w:hint="eastAsia" w:ascii="宋体" w:hAnsi="宋体"/>
          <w:color w:val="auto"/>
          <w:sz w:val="24"/>
          <w:highlight w:val="none"/>
        </w:rPr>
      </w:pPr>
      <w:r>
        <w:rPr>
          <w:rFonts w:hint="eastAsia" w:ascii="宋体" w:hAnsi="宋体"/>
          <w:color w:val="auto"/>
          <w:sz w:val="24"/>
          <w:highlight w:val="none"/>
        </w:rPr>
        <w:t>（4）购买需要软件才能正常运转的硬件，必须同时购买正版软件。</w:t>
      </w:r>
    </w:p>
    <w:p>
      <w:pPr>
        <w:spacing w:line="600" w:lineRule="exact"/>
        <w:rPr>
          <w:rFonts w:ascii="宋体" w:hAnsi="宋体"/>
          <w:color w:val="auto"/>
          <w:sz w:val="24"/>
          <w:highlight w:val="none"/>
        </w:rPr>
      </w:pPr>
      <w:r>
        <w:rPr>
          <w:rFonts w:hint="eastAsia" w:ascii="宋体" w:hAnsi="宋体"/>
          <w:color w:val="auto"/>
          <w:sz w:val="24"/>
          <w:highlight w:val="none"/>
        </w:rPr>
        <w:t>（5）技术参数中不得包含资格性条件。</w:t>
      </w:r>
    </w:p>
    <w:p>
      <w:pPr>
        <w:spacing w:line="600" w:lineRule="exact"/>
        <w:rPr>
          <w:rFonts w:hint="eastAsia" w:ascii="宋体" w:hAnsi="宋体"/>
          <w:color w:val="auto"/>
          <w:sz w:val="24"/>
          <w:highlight w:val="none"/>
        </w:rPr>
      </w:pPr>
      <w:r>
        <w:rPr>
          <w:rFonts w:hint="eastAsia" w:ascii="宋体" w:hAnsi="宋体"/>
          <w:color w:val="auto"/>
          <w:sz w:val="24"/>
          <w:highlight w:val="none"/>
        </w:rPr>
        <w:t>（6）采购需求中的技术、服务等要求不得指向特定供应商、特定产品。</w:t>
      </w:r>
    </w:p>
    <w:p>
      <w:pPr>
        <w:spacing w:line="600" w:lineRule="exact"/>
        <w:rPr>
          <w:rFonts w:hint="eastAsia" w:ascii="宋体" w:hAnsi="宋体"/>
          <w:color w:val="auto"/>
          <w:sz w:val="24"/>
          <w:highlight w:val="none"/>
        </w:rPr>
      </w:pPr>
      <w:r>
        <w:rPr>
          <w:rFonts w:hint="eastAsia" w:ascii="宋体" w:hAnsi="宋体"/>
          <w:color w:val="auto"/>
          <w:sz w:val="24"/>
          <w:highlight w:val="none"/>
        </w:rPr>
        <w:t>（7）不得以特定行政区域或者特定行业的业绩、奖项作为加分条件或者中标、成交条件。</w:t>
      </w:r>
    </w:p>
    <w:p>
      <w:pPr>
        <w:spacing w:line="600" w:lineRule="exact"/>
        <w:rPr>
          <w:rFonts w:hint="eastAsia" w:ascii="宋体" w:hAnsi="宋体"/>
          <w:color w:val="auto"/>
          <w:sz w:val="24"/>
          <w:highlight w:val="none"/>
        </w:rPr>
      </w:pPr>
      <w:r>
        <w:rPr>
          <w:rFonts w:hint="eastAsia" w:ascii="宋体" w:hAnsi="宋体"/>
          <w:color w:val="auto"/>
          <w:sz w:val="24"/>
          <w:highlight w:val="none"/>
        </w:rPr>
        <w:t>（8）不得限定或者指定特定的专利、商标、品牌或者供应商。</w:t>
      </w:r>
    </w:p>
    <w:p>
      <w:pPr>
        <w:spacing w:line="600" w:lineRule="exact"/>
        <w:rPr>
          <w:rFonts w:hint="eastAsia" w:ascii="宋体" w:hAnsi="宋体"/>
          <w:color w:val="auto"/>
          <w:sz w:val="24"/>
          <w:highlight w:val="none"/>
        </w:rPr>
      </w:pPr>
      <w:r>
        <w:rPr>
          <w:rFonts w:hint="eastAsia" w:ascii="宋体" w:hAnsi="宋体"/>
          <w:color w:val="auto"/>
          <w:sz w:val="24"/>
          <w:highlight w:val="none"/>
        </w:rPr>
        <w:t>（9）不得非法限定供应商的所有制形式、组织形式或者所在地。</w:t>
      </w:r>
    </w:p>
    <w:p>
      <w:pPr>
        <w:spacing w:line="600" w:lineRule="exact"/>
        <w:rPr>
          <w:rFonts w:hint="eastAsia" w:ascii="宋体" w:hAnsi="宋体"/>
          <w:color w:val="auto"/>
          <w:sz w:val="24"/>
          <w:highlight w:val="none"/>
        </w:rPr>
      </w:pPr>
      <w:r>
        <w:rPr>
          <w:rFonts w:hint="eastAsia" w:ascii="宋体" w:hAnsi="宋体"/>
          <w:color w:val="auto"/>
          <w:sz w:val="24"/>
          <w:highlight w:val="none"/>
        </w:rPr>
        <w:t>（10）设置其它不合理条款，影响采购活动公平竞争的情形。</w:t>
      </w:r>
    </w:p>
    <w:p>
      <w:pPr>
        <w:numPr>
          <w:ilvl w:val="0"/>
          <w:numId w:val="3"/>
        </w:numPr>
        <w:spacing w:line="6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政府采购法律法规和相关政策规定的其他事项。 </w:t>
      </w:r>
    </w:p>
    <w:p>
      <w:pPr>
        <w:spacing w:line="600" w:lineRule="exact"/>
        <w:rPr>
          <w:rFonts w:hint="eastAsia" w:ascii="宋体" w:hAnsi="宋体"/>
          <w:color w:val="auto"/>
          <w:sz w:val="24"/>
          <w:highlight w:val="none"/>
        </w:rPr>
      </w:pPr>
    </w:p>
    <w:p>
      <w:pPr>
        <w:spacing w:line="400" w:lineRule="exact"/>
        <w:ind w:left="1" w:firstLine="354" w:firstLineChars="147"/>
        <w:rPr>
          <w:rFonts w:hint="eastAsia" w:ascii="宋体" w:hAnsi="宋体"/>
          <w:b/>
          <w:color w:val="auto"/>
          <w:sz w:val="24"/>
          <w:highlight w:val="none"/>
        </w:rPr>
      </w:pPr>
    </w:p>
    <w:p>
      <w:pPr>
        <w:spacing w:line="600" w:lineRule="exact"/>
        <w:jc w:val="center"/>
        <w:rPr>
          <w:rFonts w:hint="eastAsia" w:ascii="宋体" w:hAnsi="宋体"/>
          <w:b/>
          <w:color w:val="auto"/>
          <w:sz w:val="32"/>
          <w:szCs w:val="32"/>
          <w:highlight w:val="none"/>
        </w:rPr>
      </w:pPr>
    </w:p>
    <w:p>
      <w:pPr>
        <w:spacing w:line="600" w:lineRule="exact"/>
        <w:jc w:val="center"/>
        <w:rPr>
          <w:rFonts w:hint="eastAsia" w:ascii="宋体" w:hAnsi="宋体"/>
          <w:b/>
          <w:color w:val="auto"/>
          <w:sz w:val="32"/>
          <w:szCs w:val="32"/>
          <w:highlight w:val="none"/>
        </w:rPr>
        <w:sectPr>
          <w:pgSz w:w="11905" w:h="16838"/>
          <w:pgMar w:top="1417" w:right="1134" w:bottom="1417" w:left="1701" w:header="850" w:footer="992" w:gutter="0"/>
          <w:pgBorders>
            <w:top w:val="none" w:sz="0" w:space="0"/>
            <w:left w:val="none" w:sz="0" w:space="0"/>
            <w:bottom w:val="none" w:sz="0" w:space="0"/>
            <w:right w:val="none" w:sz="0" w:space="0"/>
          </w:pgBorders>
          <w:cols w:space="0" w:num="1"/>
          <w:titlePg/>
          <w:rtlGutter w:val="0"/>
          <w:docGrid w:type="lines" w:linePitch="318" w:charSpace="0"/>
        </w:sectPr>
      </w:pPr>
    </w:p>
    <w:p>
      <w:pPr>
        <w:spacing w:line="600" w:lineRule="exact"/>
        <w:jc w:val="both"/>
        <w:rPr>
          <w:rFonts w:hint="eastAsia" w:ascii="宋体" w:hAnsi="宋体"/>
          <w:b/>
          <w:color w:val="auto"/>
          <w:sz w:val="32"/>
          <w:szCs w:val="32"/>
          <w:highlight w:val="none"/>
        </w:rPr>
      </w:pPr>
      <w:bookmarkStart w:id="3" w:name="OLE_LINK6"/>
    </w:p>
    <w:p>
      <w:pPr>
        <w:spacing w:line="6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三、样品要求设置注意事项</w:t>
      </w:r>
    </w:p>
    <w:p>
      <w:pPr>
        <w:spacing w:line="600" w:lineRule="exact"/>
        <w:jc w:val="center"/>
        <w:rPr>
          <w:rFonts w:hint="eastAsia" w:ascii="宋体" w:hAnsi="宋体"/>
          <w:b/>
          <w:color w:val="auto"/>
          <w:sz w:val="32"/>
          <w:szCs w:val="32"/>
          <w:highlight w:val="none"/>
        </w:rPr>
      </w:pPr>
    </w:p>
    <w:bookmarkEnd w:id="3"/>
    <w:p>
      <w:pPr>
        <w:spacing w:line="400" w:lineRule="exact"/>
        <w:ind w:left="1" w:firstLine="592" w:firstLineChars="247"/>
        <w:rPr>
          <w:rFonts w:ascii="宋体" w:hAnsi="宋体"/>
          <w:color w:val="auto"/>
          <w:sz w:val="24"/>
          <w:highlight w:val="none"/>
        </w:rPr>
      </w:pPr>
      <w:r>
        <w:rPr>
          <w:rFonts w:hint="eastAsia" w:ascii="宋体" w:hAnsi="宋体" w:cs="Arial"/>
          <w:color w:val="auto"/>
          <w:kern w:val="0"/>
          <w:sz w:val="24"/>
          <w:highlight w:val="none"/>
        </w:rPr>
        <w:t>一般不得要求投标人提供样品，仅凭书面方式不能准确描述采购需求或者需要对样品进行主观判断以确认是否满足采购需求等特殊情况除外。</w:t>
      </w:r>
    </w:p>
    <w:p>
      <w:pPr>
        <w:spacing w:line="6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　   要求投标人提供样品的，应当明确规定样品制作的标准和要求、是否需要随样品提交相关检测报告、样品的评审方法以及评审标准。需要随样品提交检测报告的，还应当规定检测机构的要求、检测内容等。采购人应于</w:t>
      </w:r>
      <w:r>
        <w:rPr>
          <w:rFonts w:hint="eastAsia" w:ascii="宋体" w:hAnsi="宋体" w:cs="Arial"/>
          <w:color w:val="auto"/>
          <w:kern w:val="0"/>
          <w:sz w:val="24"/>
          <w:highlight w:val="none"/>
          <w:lang w:eastAsia="zh-CN"/>
        </w:rPr>
        <w:t>评审活动结束后</w:t>
      </w:r>
      <w:r>
        <w:rPr>
          <w:rFonts w:hint="eastAsia" w:ascii="宋体" w:hAnsi="宋体" w:cs="Arial"/>
          <w:color w:val="auto"/>
          <w:kern w:val="0"/>
          <w:sz w:val="24"/>
          <w:highlight w:val="none"/>
        </w:rPr>
        <w:t>当日起自行保管，未中标（成交）供应商提供的样品，采购人应当及时退还或者经未中标（成交）供应商同意后自行处理；中标（成交）供应商提供的样品，采购人应当自行保管、封存，并作为履约验收依据。样品采用现场盲样方式进行评审，待其他评审因素汇总后再由采购人监督代表交由评审小组进行汇总排序。</w:t>
      </w:r>
    </w:p>
    <w:p>
      <w:pPr>
        <w:spacing w:line="600" w:lineRule="exact"/>
        <w:jc w:val="center"/>
        <w:rPr>
          <w:rFonts w:hint="eastAsia" w:ascii="宋体" w:hAnsi="宋体"/>
          <w:b/>
          <w:color w:val="auto"/>
          <w:sz w:val="32"/>
          <w:szCs w:val="32"/>
          <w:highlight w:val="none"/>
        </w:rPr>
        <w:sectPr>
          <w:pgSz w:w="11905" w:h="16838"/>
          <w:pgMar w:top="1417" w:right="1134" w:bottom="1417" w:left="1701" w:header="850" w:footer="992" w:gutter="0"/>
          <w:pgBorders>
            <w:top w:val="none" w:sz="0" w:space="0"/>
            <w:left w:val="none" w:sz="0" w:space="0"/>
            <w:bottom w:val="none" w:sz="0" w:space="0"/>
            <w:right w:val="none" w:sz="0" w:space="0"/>
          </w:pgBorders>
          <w:cols w:space="0" w:num="1"/>
          <w:titlePg/>
          <w:rtlGutter w:val="0"/>
          <w:docGrid w:type="lines" w:linePitch="318" w:charSpace="0"/>
        </w:sectPr>
      </w:pPr>
    </w:p>
    <w:p>
      <w:pPr>
        <w:spacing w:line="600" w:lineRule="exact"/>
        <w:jc w:val="center"/>
        <w:rPr>
          <w:rFonts w:hint="eastAsia" w:ascii="宋体" w:hAnsi="宋体"/>
          <w:b/>
          <w:color w:val="auto"/>
          <w:sz w:val="32"/>
          <w:szCs w:val="32"/>
          <w:highlight w:val="none"/>
        </w:rPr>
      </w:pPr>
    </w:p>
    <w:p>
      <w:pPr>
        <w:spacing w:line="6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四、综合评分明细表填写注意事项</w:t>
      </w:r>
    </w:p>
    <w:p>
      <w:pPr>
        <w:spacing w:line="600" w:lineRule="exact"/>
        <w:jc w:val="center"/>
        <w:rPr>
          <w:rFonts w:hint="eastAsia" w:ascii="宋体" w:hAnsi="宋体"/>
          <w:b/>
          <w:color w:val="auto"/>
          <w:sz w:val="32"/>
          <w:szCs w:val="32"/>
          <w:highlight w:val="none"/>
        </w:rPr>
      </w:pPr>
    </w:p>
    <w:p>
      <w:pPr>
        <w:pStyle w:val="6"/>
        <w:shd w:val="clear" w:color="auto" w:fill="FFFFFF"/>
        <w:spacing w:line="450" w:lineRule="atLeast"/>
        <w:rPr>
          <w:rFonts w:hint="eastAsia" w:cs="Arial"/>
          <w:color w:val="auto"/>
          <w:highlight w:val="none"/>
        </w:rPr>
      </w:pPr>
      <w:r>
        <w:rPr>
          <w:rFonts w:hint="eastAsia" w:cs="Arial"/>
          <w:color w:val="auto"/>
          <w:highlight w:val="none"/>
        </w:rPr>
        <w:t xml:space="preserve">    1、评审因素的设定应当与投标人所提供货物（服务）的质量相关，包括投标报价、技术或者服务水平、履约能力、售后服务、业绩等。资格条件不得作为评审因素。评审因素应当细化和量化，且与相应的商务条件和采购需求对应。商务条件和采购需求指标有区间规定的，评审因素应当量化到相应区间，并设置各区间对应的不同分值。　　</w:t>
      </w:r>
    </w:p>
    <w:p>
      <w:pPr>
        <w:pStyle w:val="6"/>
        <w:shd w:val="clear" w:color="auto" w:fill="FFFFFF"/>
        <w:spacing w:line="450" w:lineRule="atLeast"/>
        <w:rPr>
          <w:rFonts w:hint="eastAsia" w:cs="Arial"/>
          <w:color w:val="auto"/>
          <w:highlight w:val="none"/>
        </w:rPr>
      </w:pPr>
      <w:r>
        <w:rPr>
          <w:rFonts w:hint="eastAsia" w:cs="Arial"/>
          <w:color w:val="auto"/>
          <w:highlight w:val="none"/>
        </w:rPr>
        <w:t xml:space="preserve">    2、 确定评分因素和评分标准应当与采购项目有直接联系，无直接联系的事项不得作为评分因素和评分标准； 对于技术参数、性能指标、商务、服务等要求中未明确的事项，不得作为评分因素和评分标准。注册资本金、资产总额、营业收入、从业人员、利润、纳税额等供应商的规模条件，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pPr>
        <w:pStyle w:val="6"/>
        <w:shd w:val="clear" w:color="auto" w:fill="FFFFFF"/>
        <w:spacing w:line="450" w:lineRule="atLeast"/>
        <w:rPr>
          <w:rFonts w:hint="eastAsia" w:cs="Arial"/>
          <w:color w:val="auto"/>
          <w:highlight w:val="none"/>
        </w:rPr>
      </w:pPr>
      <w:r>
        <w:rPr>
          <w:rFonts w:hint="eastAsia" w:cs="Arial"/>
          <w:color w:val="auto"/>
          <w:highlight w:val="none"/>
        </w:rPr>
        <w:t xml:space="preserve">    3、按财政部87号令要求货物项目价格分值占总分值的比重不得低于30%；服务项目价格分值占总分值的比重不得低于10%。执行国家统一定价标准和采用固定价格采购的项目，其价格不列为评审因素。</w:t>
      </w:r>
    </w:p>
    <w:p>
      <w:pPr>
        <w:pStyle w:val="6"/>
        <w:shd w:val="clear" w:color="auto" w:fill="FFFFFF"/>
        <w:spacing w:line="450" w:lineRule="atLeast"/>
        <w:ind w:firstLine="480" w:firstLineChars="200"/>
        <w:rPr>
          <w:rFonts w:hint="eastAsia" w:cs="Arial"/>
          <w:color w:val="auto"/>
          <w:highlight w:val="none"/>
        </w:rPr>
      </w:pPr>
      <w:r>
        <w:rPr>
          <w:rFonts w:hint="eastAsia" w:cs="Arial"/>
          <w:color w:val="auto"/>
          <w:highlight w:val="none"/>
        </w:rPr>
        <w:t>4、根据财库〔2017〕210号《政务信息系统政府采购管理暂行办法》的规定，除单一来源采购方式外，政务信息系统采购货物的，价格分值占总分值比重应当为30%；采购服务的，价格分值占总分值比重应当为10%。无法确定项目属于货物或服务的，由采购人按照有利于采购项目实施的原则确定项目属性。</w:t>
      </w:r>
    </w:p>
    <w:p>
      <w:pPr>
        <w:spacing w:line="600" w:lineRule="exact"/>
        <w:ind w:firstLine="480" w:firstLineChars="200"/>
        <w:rPr>
          <w:rFonts w:hint="eastAsia" w:cs="Arial"/>
          <w:color w:val="auto"/>
          <w:highlight w:val="none"/>
        </w:rPr>
        <w:sectPr>
          <w:pgSz w:w="11905" w:h="16838"/>
          <w:pgMar w:top="1417" w:right="1134" w:bottom="1417" w:left="1701" w:header="850" w:footer="992" w:gutter="0"/>
          <w:pgBorders>
            <w:top w:val="none" w:sz="0" w:space="0"/>
            <w:left w:val="none" w:sz="0" w:space="0"/>
            <w:bottom w:val="none" w:sz="0" w:space="0"/>
            <w:right w:val="none" w:sz="0" w:space="0"/>
          </w:pgBorders>
          <w:cols w:space="0" w:num="1"/>
          <w:titlePg/>
          <w:rtlGutter w:val="0"/>
          <w:docGrid w:type="lines" w:linePitch="318" w:charSpace="0"/>
        </w:sectPr>
      </w:pPr>
      <w:r>
        <w:rPr>
          <w:rFonts w:hint="eastAsia" w:ascii="宋体" w:hAnsi="宋体" w:cs="宋体"/>
          <w:color w:val="auto"/>
          <w:kern w:val="0"/>
          <w:sz w:val="24"/>
          <w:highlight w:val="none"/>
        </w:rPr>
        <w:t>5、政府采购法律法规和相关政策规定的其他事项。</w:t>
      </w:r>
    </w:p>
    <w:p>
      <w:pPr>
        <w:pStyle w:val="6"/>
        <w:shd w:val="clear" w:color="auto" w:fill="FFFFFF"/>
        <w:spacing w:line="450" w:lineRule="atLeast"/>
        <w:jc w:val="center"/>
        <w:rPr>
          <w:rFonts w:hint="eastAsia" w:cs="Times New Roman"/>
          <w:b/>
          <w:color w:val="auto"/>
          <w:kern w:val="2"/>
          <w:sz w:val="32"/>
          <w:szCs w:val="32"/>
          <w:highlight w:val="none"/>
        </w:rPr>
      </w:pPr>
      <w:r>
        <w:rPr>
          <w:rFonts w:hint="eastAsia" w:cs="Times New Roman"/>
          <w:b/>
          <w:color w:val="auto"/>
          <w:kern w:val="2"/>
          <w:sz w:val="32"/>
          <w:szCs w:val="32"/>
          <w:highlight w:val="none"/>
        </w:rPr>
        <w:t>五、节能产品政府采购相关政策</w:t>
      </w:r>
    </w:p>
    <w:p>
      <w:pPr>
        <w:pStyle w:val="6"/>
        <w:shd w:val="clear" w:color="auto" w:fill="FFFFFF"/>
        <w:spacing w:line="450" w:lineRule="atLeast"/>
        <w:ind w:firstLine="480" w:firstLineChars="200"/>
        <w:rPr>
          <w:rFonts w:hint="eastAsia" w:cs="Arial"/>
          <w:color w:val="auto"/>
          <w:highlight w:val="none"/>
        </w:rPr>
      </w:pPr>
      <w:r>
        <w:rPr>
          <w:rFonts w:hint="eastAsia" w:cs="Arial"/>
          <w:color w:val="auto"/>
          <w:highlight w:val="none"/>
        </w:rPr>
        <w:t>具体要求详见四川政府采购网政策法规中：</w:t>
      </w:r>
    </w:p>
    <w:tbl>
      <w:tblPr>
        <w:tblStyle w:val="7"/>
        <w:tblW w:w="5000" w:type="pct"/>
        <w:tblInd w:w="0" w:type="dxa"/>
        <w:shd w:val="clear" w:color="auto" w:fill="auto"/>
        <w:tblLayout w:type="fixed"/>
        <w:tblCellMar>
          <w:top w:w="0" w:type="dxa"/>
          <w:left w:w="0" w:type="dxa"/>
          <w:bottom w:w="0" w:type="dxa"/>
          <w:right w:w="0" w:type="dxa"/>
        </w:tblCellMar>
      </w:tblPr>
      <w:tblGrid>
        <w:gridCol w:w="509"/>
        <w:gridCol w:w="1087"/>
        <w:gridCol w:w="1707"/>
        <w:gridCol w:w="1709"/>
        <w:gridCol w:w="4088"/>
      </w:tblGrid>
      <w:tr>
        <w:tblPrEx>
          <w:shd w:val="clear" w:color="auto" w:fill="auto"/>
          <w:tblCellMar>
            <w:top w:w="0" w:type="dxa"/>
            <w:left w:w="0" w:type="dxa"/>
            <w:bottom w:w="0" w:type="dxa"/>
            <w:right w:w="0" w:type="dxa"/>
          </w:tblCellMar>
        </w:tblPrEx>
        <w:trPr>
          <w:trHeight w:val="600" w:hRule="atLeast"/>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36"/>
                <w:szCs w:val="36"/>
                <w:highlight w:val="none"/>
                <w:u w:val="none"/>
              </w:rPr>
            </w:pPr>
            <w:r>
              <w:rPr>
                <w:rFonts w:hint="eastAsia" w:ascii="宋体" w:hAnsi="宋体" w:eastAsia="宋体" w:cs="宋体"/>
                <w:b/>
                <w:i w:val="0"/>
                <w:color w:val="auto"/>
                <w:kern w:val="0"/>
                <w:sz w:val="24"/>
                <w:szCs w:val="24"/>
                <w:highlight w:val="none"/>
                <w:u w:val="none"/>
                <w:lang w:val="en-US" w:eastAsia="zh-CN" w:bidi="ar"/>
              </w:rPr>
              <w:t>节能产品政府采购品目清单</w:t>
            </w:r>
          </w:p>
        </w:tc>
      </w:tr>
      <w:tr>
        <w:tblPrEx>
          <w:shd w:val="clear" w:color="auto" w:fill="auto"/>
          <w:tblCellMar>
            <w:top w:w="0" w:type="dxa"/>
            <w:left w:w="0" w:type="dxa"/>
            <w:bottom w:w="0" w:type="dxa"/>
            <w:right w:w="0" w:type="dxa"/>
          </w:tblCellMar>
        </w:tblPrEx>
        <w:trPr>
          <w:trHeight w:val="6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品目</w:t>
            </w:r>
          </w:p>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序号</w:t>
            </w:r>
          </w:p>
        </w:tc>
        <w:tc>
          <w:tcPr>
            <w:tcW w:w="247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名称</w:t>
            </w:r>
          </w:p>
        </w:tc>
        <w:tc>
          <w:tcPr>
            <w:tcW w:w="2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依据的标准</w:t>
            </w:r>
          </w:p>
        </w:tc>
      </w:tr>
      <w:tr>
        <w:tblPrEx>
          <w:shd w:val="clear" w:color="auto" w:fill="auto"/>
          <w:tblCellMar>
            <w:top w:w="0" w:type="dxa"/>
            <w:left w:w="0" w:type="dxa"/>
            <w:bottom w:w="0" w:type="dxa"/>
            <w:right w:w="0" w:type="dxa"/>
          </w:tblCellMar>
        </w:tblPrEx>
        <w:trPr>
          <w:trHeight w:val="500" w:hRule="atLeast"/>
        </w:trPr>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A020101 计算机设备</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★A02010104 台式计算计</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18"/>
                <w:szCs w:val="18"/>
                <w:highlight w:val="none"/>
                <w:u w:val="none"/>
              </w:rPr>
            </w:pPr>
          </w:p>
        </w:tc>
        <w:tc>
          <w:tcPr>
            <w:tcW w:w="2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《微型计算机能效限定值及能效等级》（GB 28380）</w:t>
            </w:r>
          </w:p>
        </w:tc>
      </w:tr>
      <w:tr>
        <w:tblPrEx>
          <w:shd w:val="clear" w:color="auto" w:fill="auto"/>
          <w:tblCellMar>
            <w:top w:w="0" w:type="dxa"/>
            <w:left w:w="0" w:type="dxa"/>
            <w:bottom w:w="0" w:type="dxa"/>
            <w:right w:w="0" w:type="dxa"/>
          </w:tblCellMar>
        </w:tblPrEx>
        <w:trPr>
          <w:trHeight w:val="500" w:hRule="atLeast"/>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★A02010105 便携式计算机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18"/>
                <w:szCs w:val="18"/>
                <w:highlight w:val="none"/>
                <w:u w:val="none"/>
              </w:rPr>
            </w:pPr>
          </w:p>
        </w:tc>
        <w:tc>
          <w:tcPr>
            <w:tcW w:w="2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《微型计算机能效限定值及能效等级》（GB 28380）</w:t>
            </w:r>
          </w:p>
        </w:tc>
      </w:tr>
      <w:tr>
        <w:tblPrEx>
          <w:shd w:val="clear" w:color="auto" w:fill="auto"/>
          <w:tblCellMar>
            <w:top w:w="0" w:type="dxa"/>
            <w:left w:w="0" w:type="dxa"/>
            <w:bottom w:w="0" w:type="dxa"/>
            <w:right w:w="0" w:type="dxa"/>
          </w:tblCellMar>
        </w:tblPrEx>
        <w:trPr>
          <w:trHeight w:val="500" w:hRule="atLeast"/>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★A02010107 平板式计算机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18"/>
                <w:szCs w:val="18"/>
                <w:highlight w:val="none"/>
                <w:u w:val="none"/>
              </w:rPr>
            </w:pPr>
          </w:p>
        </w:tc>
        <w:tc>
          <w:tcPr>
            <w:tcW w:w="2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《微型计算机能效限定值及能效等级》（GB 28380）</w:t>
            </w:r>
          </w:p>
        </w:tc>
      </w:tr>
      <w:tr>
        <w:tblPrEx>
          <w:shd w:val="clear" w:color="auto" w:fill="auto"/>
          <w:tblCellMar>
            <w:top w:w="0" w:type="dxa"/>
            <w:left w:w="0" w:type="dxa"/>
            <w:bottom w:w="0" w:type="dxa"/>
            <w:right w:w="0" w:type="dxa"/>
          </w:tblCellMar>
        </w:tblPrEx>
        <w:trPr>
          <w:trHeight w:val="500" w:hRule="atLeast"/>
        </w:trPr>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A020106 输入</w:t>
            </w:r>
          </w:p>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输出设备</w:t>
            </w:r>
          </w:p>
        </w:tc>
        <w:tc>
          <w:tcPr>
            <w:tcW w:w="93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A02010601 打印设备</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A0201060101 喷墨打印机</w:t>
            </w:r>
          </w:p>
        </w:tc>
        <w:tc>
          <w:tcPr>
            <w:tcW w:w="2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《复印机、打印机和传真机能效限定值及能效等级》（GB 21521）</w:t>
            </w:r>
          </w:p>
        </w:tc>
      </w:tr>
      <w:tr>
        <w:tblPrEx>
          <w:shd w:val="clear" w:color="auto" w:fill="auto"/>
          <w:tblCellMar>
            <w:top w:w="0" w:type="dxa"/>
            <w:left w:w="0" w:type="dxa"/>
            <w:bottom w:w="0" w:type="dxa"/>
            <w:right w:w="0" w:type="dxa"/>
          </w:tblCellMar>
        </w:tblPrEx>
        <w:trPr>
          <w:trHeight w:val="500" w:hRule="atLeast"/>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3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18"/>
                <w:szCs w:val="18"/>
                <w:highlight w:val="none"/>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★A0201060102 激光打印机</w:t>
            </w:r>
          </w:p>
        </w:tc>
        <w:tc>
          <w:tcPr>
            <w:tcW w:w="2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《复印机、打印机和传真机能效限定值及能效等级》（GB 21521）</w:t>
            </w:r>
          </w:p>
        </w:tc>
      </w:tr>
      <w:tr>
        <w:tblPrEx>
          <w:shd w:val="clear" w:color="auto" w:fill="auto"/>
          <w:tblCellMar>
            <w:top w:w="0" w:type="dxa"/>
            <w:left w:w="0" w:type="dxa"/>
            <w:bottom w:w="0" w:type="dxa"/>
            <w:right w:w="0" w:type="dxa"/>
          </w:tblCellMar>
        </w:tblPrEx>
        <w:trPr>
          <w:trHeight w:val="500" w:hRule="atLeast"/>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3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18"/>
                <w:szCs w:val="18"/>
                <w:highlight w:val="none"/>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★A0201060104 针式打印机</w:t>
            </w:r>
          </w:p>
        </w:tc>
        <w:tc>
          <w:tcPr>
            <w:tcW w:w="2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《复印机、打印机和传真机能效限定值及能效等级》（GB 21521）</w:t>
            </w:r>
          </w:p>
        </w:tc>
      </w:tr>
      <w:tr>
        <w:tblPrEx>
          <w:shd w:val="clear" w:color="auto" w:fill="auto"/>
          <w:tblCellMar>
            <w:top w:w="0" w:type="dxa"/>
            <w:left w:w="0" w:type="dxa"/>
            <w:bottom w:w="0" w:type="dxa"/>
            <w:right w:w="0" w:type="dxa"/>
          </w:tblCellMar>
        </w:tblPrEx>
        <w:trPr>
          <w:trHeight w:val="500" w:hRule="atLeast"/>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A02010604 显示设备</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★A0201060401 液晶显示器</w:t>
            </w:r>
          </w:p>
        </w:tc>
        <w:tc>
          <w:tcPr>
            <w:tcW w:w="2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《计算机显示器能效限定值及能效等级》（GB 21520）</w:t>
            </w:r>
          </w:p>
        </w:tc>
      </w:tr>
      <w:tr>
        <w:tblPrEx>
          <w:shd w:val="clear" w:color="auto" w:fill="auto"/>
          <w:tblCellMar>
            <w:top w:w="0" w:type="dxa"/>
            <w:left w:w="0" w:type="dxa"/>
            <w:bottom w:w="0" w:type="dxa"/>
            <w:right w:w="0" w:type="dxa"/>
          </w:tblCellMar>
        </w:tblPrEx>
        <w:trPr>
          <w:trHeight w:val="600" w:hRule="atLeast"/>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A02010609 图形图像</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输入设备</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A0201060901 扫描仪</w:t>
            </w:r>
          </w:p>
        </w:tc>
        <w:tc>
          <w:tcPr>
            <w:tcW w:w="2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参照《复印机、打印机和传真机能效限定值及能效等级》（GB</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 21521）中打印速度为 15 页/分的针式打印机相关要求</w:t>
            </w:r>
          </w:p>
        </w:tc>
      </w:tr>
      <w:tr>
        <w:tblPrEx>
          <w:shd w:val="clear" w:color="auto" w:fill="auto"/>
          <w:tblCellMar>
            <w:top w:w="0" w:type="dxa"/>
            <w:left w:w="0" w:type="dxa"/>
            <w:bottom w:w="0" w:type="dxa"/>
            <w:right w:w="0" w:type="dxa"/>
          </w:tblCellMar>
        </w:tblPrEx>
        <w:trPr>
          <w:trHeight w:val="5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A020202 投影仪</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18"/>
                <w:szCs w:val="18"/>
                <w:highlight w:val="none"/>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18"/>
                <w:szCs w:val="18"/>
                <w:highlight w:val="none"/>
                <w:u w:val="none"/>
              </w:rPr>
            </w:pPr>
          </w:p>
        </w:tc>
        <w:tc>
          <w:tcPr>
            <w:tcW w:w="2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《投影机能效限定值及能效等级》（GB 32028）</w:t>
            </w:r>
          </w:p>
        </w:tc>
      </w:tr>
      <w:tr>
        <w:tblPrEx>
          <w:shd w:val="clear" w:color="auto" w:fill="auto"/>
          <w:tblCellMar>
            <w:top w:w="0" w:type="dxa"/>
            <w:left w:w="0" w:type="dxa"/>
            <w:bottom w:w="0" w:type="dxa"/>
            <w:right w:w="0" w:type="dxa"/>
          </w:tblCellMar>
        </w:tblPrEx>
        <w:trPr>
          <w:trHeight w:val="5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A020204 多功能一体机</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18"/>
                <w:szCs w:val="18"/>
                <w:highlight w:val="none"/>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18"/>
                <w:szCs w:val="18"/>
                <w:highlight w:val="none"/>
                <w:u w:val="none"/>
              </w:rPr>
            </w:pPr>
          </w:p>
        </w:tc>
        <w:tc>
          <w:tcPr>
            <w:tcW w:w="2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《复印机、打印机和传真机能效限定值及能效等级》（GB 21521）</w:t>
            </w:r>
          </w:p>
        </w:tc>
      </w:tr>
      <w:tr>
        <w:tblPrEx>
          <w:shd w:val="clear" w:color="auto" w:fill="auto"/>
          <w:tblCellMar>
            <w:top w:w="0" w:type="dxa"/>
            <w:left w:w="0" w:type="dxa"/>
            <w:bottom w:w="0" w:type="dxa"/>
            <w:right w:w="0" w:type="dxa"/>
          </w:tblCellMar>
        </w:tblPrEx>
        <w:trPr>
          <w:trHeight w:val="5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A020519 泵</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A02051901 离心泵</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18"/>
                <w:szCs w:val="18"/>
                <w:highlight w:val="none"/>
                <w:u w:val="none"/>
              </w:rPr>
            </w:pPr>
          </w:p>
        </w:tc>
        <w:tc>
          <w:tcPr>
            <w:tcW w:w="2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《清水离心泵能效限定值及节能评价值》（GB 19762）</w:t>
            </w:r>
          </w:p>
        </w:tc>
      </w:tr>
      <w:tr>
        <w:tblPrEx>
          <w:shd w:val="clear" w:color="auto" w:fill="auto"/>
          <w:tblCellMar>
            <w:top w:w="0" w:type="dxa"/>
            <w:left w:w="0" w:type="dxa"/>
            <w:bottom w:w="0" w:type="dxa"/>
            <w:right w:w="0" w:type="dxa"/>
          </w:tblCellMar>
        </w:tblPrEx>
        <w:trPr>
          <w:trHeight w:val="640" w:hRule="atLeast"/>
        </w:trPr>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A020523 制冷空调设备</w:t>
            </w:r>
          </w:p>
        </w:tc>
        <w:tc>
          <w:tcPr>
            <w:tcW w:w="9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★A02052301 制冷</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压缩机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冷水机组</w:t>
            </w:r>
          </w:p>
        </w:tc>
        <w:tc>
          <w:tcPr>
            <w:tcW w:w="2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《冷水机组能效限定值及能效等级》（GB 19577），《低环境温度空</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气源热泵（冷水）机组能效限定值及能效等级》（GB 37480）</w:t>
            </w:r>
          </w:p>
        </w:tc>
      </w:tr>
      <w:tr>
        <w:tblPrEx>
          <w:shd w:val="clear" w:color="auto" w:fill="auto"/>
          <w:tblCellMar>
            <w:top w:w="0" w:type="dxa"/>
            <w:left w:w="0" w:type="dxa"/>
            <w:bottom w:w="0" w:type="dxa"/>
            <w:right w:w="0" w:type="dxa"/>
          </w:tblCellMar>
        </w:tblPrEx>
        <w:trPr>
          <w:trHeight w:val="500" w:hRule="atLeast"/>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highlight w:val="none"/>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水源热泵机组</w:t>
            </w:r>
          </w:p>
        </w:tc>
        <w:tc>
          <w:tcPr>
            <w:tcW w:w="2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《水（地）源热泵机组能效限定值及能效等级》（GB 30721）</w:t>
            </w:r>
          </w:p>
        </w:tc>
      </w:tr>
      <w:tr>
        <w:tblPrEx>
          <w:shd w:val="clear" w:color="auto" w:fill="auto"/>
          <w:tblCellMar>
            <w:top w:w="0" w:type="dxa"/>
            <w:left w:w="0" w:type="dxa"/>
            <w:bottom w:w="0" w:type="dxa"/>
            <w:right w:w="0" w:type="dxa"/>
          </w:tblCellMar>
        </w:tblPrEx>
        <w:trPr>
          <w:trHeight w:val="500" w:hRule="atLeast"/>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highlight w:val="none"/>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溴化锂吸收式冷水机组</w:t>
            </w:r>
          </w:p>
        </w:tc>
        <w:tc>
          <w:tcPr>
            <w:tcW w:w="2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《溴化锂吸收式冷水机组能效限定值及能效等级》（GB 29540）</w:t>
            </w:r>
          </w:p>
        </w:tc>
      </w:tr>
      <w:tr>
        <w:tblPrEx>
          <w:shd w:val="clear" w:color="auto" w:fill="auto"/>
          <w:tblCellMar>
            <w:top w:w="0" w:type="dxa"/>
            <w:left w:w="0" w:type="dxa"/>
            <w:bottom w:w="0" w:type="dxa"/>
            <w:right w:w="0" w:type="dxa"/>
          </w:tblCellMar>
        </w:tblPrEx>
        <w:trPr>
          <w:trHeight w:val="540" w:hRule="atLeast"/>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3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★A02052305 空调机组</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多联式空调（热泵）机组</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(制冷量&gt;14000W)</w:t>
            </w:r>
          </w:p>
        </w:tc>
        <w:tc>
          <w:tcPr>
            <w:tcW w:w="2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《多联式空调（热泵）机组能效限定值及能源效率等级》（GB 21454）</w:t>
            </w:r>
          </w:p>
        </w:tc>
      </w:tr>
      <w:tr>
        <w:tblPrEx>
          <w:shd w:val="clear" w:color="auto" w:fill="auto"/>
          <w:tblCellMar>
            <w:top w:w="0" w:type="dxa"/>
            <w:left w:w="0" w:type="dxa"/>
            <w:bottom w:w="0" w:type="dxa"/>
            <w:right w:w="0" w:type="dxa"/>
          </w:tblCellMar>
        </w:tblPrEx>
        <w:trPr>
          <w:trHeight w:val="740" w:hRule="atLeast"/>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3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18"/>
                <w:szCs w:val="18"/>
                <w:highlight w:val="none"/>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单元式空气调节机</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(制冷量&gt;14000W)</w:t>
            </w:r>
          </w:p>
        </w:tc>
        <w:tc>
          <w:tcPr>
            <w:tcW w:w="2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《单元式空气调节机能效限定值及能效等级》（GB 19576）</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《风管送风式空调机组能效限定值及能效等级》（GB 37479）</w:t>
            </w:r>
          </w:p>
        </w:tc>
      </w:tr>
      <w:tr>
        <w:tblPrEx>
          <w:shd w:val="clear" w:color="auto" w:fill="auto"/>
          <w:tblCellMar>
            <w:top w:w="0" w:type="dxa"/>
            <w:left w:w="0" w:type="dxa"/>
            <w:bottom w:w="0" w:type="dxa"/>
            <w:right w:w="0" w:type="dxa"/>
          </w:tblCellMar>
        </w:tblPrEx>
        <w:trPr>
          <w:trHeight w:val="560" w:hRule="atLeast"/>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★A02052309 专用</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制冷、空调设备</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机房空调</w:t>
            </w:r>
          </w:p>
        </w:tc>
        <w:tc>
          <w:tcPr>
            <w:tcW w:w="2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《单元式空气调节机能效限定值及能效等级》（GB 19576）</w:t>
            </w:r>
          </w:p>
        </w:tc>
      </w:tr>
      <w:tr>
        <w:tblPrEx>
          <w:shd w:val="clear" w:color="auto" w:fill="auto"/>
          <w:tblCellMar>
            <w:top w:w="0" w:type="dxa"/>
            <w:left w:w="0" w:type="dxa"/>
            <w:bottom w:w="0" w:type="dxa"/>
            <w:right w:w="0" w:type="dxa"/>
          </w:tblCellMar>
        </w:tblPrEx>
        <w:trPr>
          <w:trHeight w:val="560" w:hRule="atLeast"/>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A02052399 其他制</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冷空调设备</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冷却塔</w:t>
            </w:r>
          </w:p>
        </w:tc>
        <w:tc>
          <w:tcPr>
            <w:tcW w:w="2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《机械通风冷却塔 第1部分：中小型开式冷却塔》（GB /T 7190.1）</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；《机械通风冷却塔第2部分：大型开式冷却塔》（GB /T 7190.2）</w:t>
            </w:r>
          </w:p>
        </w:tc>
      </w:tr>
      <w:tr>
        <w:tblPrEx>
          <w:shd w:val="clear" w:color="auto" w:fill="auto"/>
          <w:tblCellMar>
            <w:top w:w="0" w:type="dxa"/>
            <w:left w:w="0" w:type="dxa"/>
            <w:bottom w:w="0" w:type="dxa"/>
            <w:right w:w="0" w:type="dxa"/>
          </w:tblCellMar>
        </w:tblPrEx>
        <w:trPr>
          <w:trHeight w:val="5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A020601 电机</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18"/>
                <w:szCs w:val="18"/>
                <w:highlight w:val="none"/>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18"/>
                <w:szCs w:val="18"/>
                <w:highlight w:val="none"/>
                <w:u w:val="none"/>
              </w:rPr>
            </w:pPr>
          </w:p>
        </w:tc>
        <w:tc>
          <w:tcPr>
            <w:tcW w:w="2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《中小型三相异步电动机能效限定值及能效等级》（GB 18613）</w:t>
            </w:r>
          </w:p>
        </w:tc>
      </w:tr>
      <w:tr>
        <w:tblPrEx>
          <w:shd w:val="clear" w:color="auto" w:fill="auto"/>
          <w:tblCellMar>
            <w:top w:w="0" w:type="dxa"/>
            <w:left w:w="0" w:type="dxa"/>
            <w:bottom w:w="0" w:type="dxa"/>
            <w:right w:w="0" w:type="dxa"/>
          </w:tblCellMar>
        </w:tblPrEx>
        <w:trPr>
          <w:trHeight w:val="5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A020602 变压器</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配电变压器 </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18"/>
                <w:szCs w:val="18"/>
                <w:highlight w:val="none"/>
                <w:u w:val="none"/>
              </w:rPr>
            </w:pPr>
          </w:p>
        </w:tc>
        <w:tc>
          <w:tcPr>
            <w:tcW w:w="2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《三相配电变压器能效限定值及能效等级》（GB 20052）</w:t>
            </w:r>
          </w:p>
        </w:tc>
      </w:tr>
      <w:tr>
        <w:tblPrEx>
          <w:shd w:val="clear" w:color="auto" w:fill="auto"/>
          <w:tblCellMar>
            <w:top w:w="0" w:type="dxa"/>
            <w:left w:w="0" w:type="dxa"/>
            <w:bottom w:w="0" w:type="dxa"/>
            <w:right w:w="0" w:type="dxa"/>
          </w:tblCellMar>
        </w:tblPrEx>
        <w:trPr>
          <w:trHeight w:val="5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★A020609 镇流器</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管型荧光灯镇流器</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18"/>
                <w:szCs w:val="18"/>
                <w:highlight w:val="none"/>
                <w:u w:val="none"/>
              </w:rPr>
            </w:pPr>
          </w:p>
        </w:tc>
        <w:tc>
          <w:tcPr>
            <w:tcW w:w="2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《管形荧光灯镇流器能效限定值及能效等级》（GB 17896）</w:t>
            </w:r>
          </w:p>
        </w:tc>
      </w:tr>
      <w:tr>
        <w:tblPrEx>
          <w:shd w:val="clear" w:color="auto" w:fill="auto"/>
          <w:tblCellMar>
            <w:top w:w="0" w:type="dxa"/>
            <w:left w:w="0" w:type="dxa"/>
            <w:bottom w:w="0" w:type="dxa"/>
            <w:right w:w="0" w:type="dxa"/>
          </w:tblCellMar>
        </w:tblPrEx>
        <w:trPr>
          <w:trHeight w:val="500" w:hRule="atLeast"/>
        </w:trPr>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A020618 生活用电器</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A0206180101 电冰箱</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18"/>
                <w:szCs w:val="18"/>
                <w:highlight w:val="none"/>
                <w:u w:val="none"/>
              </w:rPr>
            </w:pPr>
          </w:p>
        </w:tc>
        <w:tc>
          <w:tcPr>
            <w:tcW w:w="2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《家用电冰箱耗电量限定值及能效等级》（GB 12021.2）</w:t>
            </w:r>
          </w:p>
        </w:tc>
      </w:tr>
      <w:tr>
        <w:tblPrEx>
          <w:shd w:val="clear" w:color="auto" w:fill="auto"/>
          <w:tblCellMar>
            <w:top w:w="0" w:type="dxa"/>
            <w:left w:w="0" w:type="dxa"/>
            <w:bottom w:w="0" w:type="dxa"/>
            <w:right w:w="0" w:type="dxa"/>
          </w:tblCellMar>
        </w:tblPrEx>
        <w:trPr>
          <w:trHeight w:val="960" w:hRule="atLeast"/>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3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★A0206180203 空调机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房间空气调节器</w:t>
            </w:r>
          </w:p>
        </w:tc>
        <w:tc>
          <w:tcPr>
            <w:tcW w:w="2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《转速可控型房间空气调节器能效限定值及能效等级 》</w:t>
            </w:r>
          </w:p>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GB21455-2013），待 2019 年修订发布后，按《房间空气调节器</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能效限定值及能效等级》（GB21455-2019）实施。</w:t>
            </w:r>
          </w:p>
        </w:tc>
      </w:tr>
      <w:tr>
        <w:tblPrEx>
          <w:shd w:val="clear" w:color="auto" w:fill="auto"/>
          <w:tblCellMar>
            <w:top w:w="0" w:type="dxa"/>
            <w:left w:w="0" w:type="dxa"/>
            <w:bottom w:w="0" w:type="dxa"/>
            <w:right w:w="0" w:type="dxa"/>
          </w:tblCellMar>
        </w:tblPrEx>
        <w:trPr>
          <w:trHeight w:val="560" w:hRule="atLeast"/>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3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多联式空调（热泵）机组</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（制冷量 ≤14000W）</w:t>
            </w:r>
          </w:p>
        </w:tc>
        <w:tc>
          <w:tcPr>
            <w:tcW w:w="2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《多联式空调（热泵）机组能效限定值及能源效率等级》</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（GB 21454）</w:t>
            </w:r>
          </w:p>
        </w:tc>
      </w:tr>
      <w:tr>
        <w:tblPrEx>
          <w:shd w:val="clear" w:color="auto" w:fill="auto"/>
          <w:tblCellMar>
            <w:top w:w="0" w:type="dxa"/>
            <w:left w:w="0" w:type="dxa"/>
            <w:bottom w:w="0" w:type="dxa"/>
            <w:right w:w="0" w:type="dxa"/>
          </w:tblCellMar>
        </w:tblPrEx>
        <w:trPr>
          <w:trHeight w:val="700" w:hRule="atLeast"/>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3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单元式空气调节机</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(制冷量≤14000W)</w:t>
            </w:r>
          </w:p>
        </w:tc>
        <w:tc>
          <w:tcPr>
            <w:tcW w:w="2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《单元式空气调节机能效限定值及能源效率等级》（GB 19576）</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《风管送风式空调机组能效限定值及能效等级》（GB 37479）</w:t>
            </w:r>
          </w:p>
        </w:tc>
      </w:tr>
      <w:tr>
        <w:tblPrEx>
          <w:shd w:val="clear" w:color="auto" w:fill="auto"/>
          <w:tblCellMar>
            <w:top w:w="0" w:type="dxa"/>
            <w:left w:w="0" w:type="dxa"/>
            <w:bottom w:w="0" w:type="dxa"/>
            <w:right w:w="0" w:type="dxa"/>
          </w:tblCellMar>
        </w:tblPrEx>
        <w:trPr>
          <w:trHeight w:val="500" w:hRule="atLeast"/>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A0206180301 洗衣机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18"/>
                <w:szCs w:val="18"/>
                <w:highlight w:val="none"/>
                <w:u w:val="none"/>
              </w:rPr>
            </w:pPr>
          </w:p>
        </w:tc>
        <w:tc>
          <w:tcPr>
            <w:tcW w:w="2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《电动洗衣机能效水效限定值及等级》（GB 12021.4）</w:t>
            </w:r>
          </w:p>
        </w:tc>
      </w:tr>
      <w:tr>
        <w:tblPrEx>
          <w:shd w:val="clear" w:color="auto" w:fill="auto"/>
          <w:tblCellMar>
            <w:top w:w="0" w:type="dxa"/>
            <w:left w:w="0" w:type="dxa"/>
            <w:bottom w:w="0" w:type="dxa"/>
            <w:right w:w="0" w:type="dxa"/>
          </w:tblCellMar>
        </w:tblPrEx>
        <w:trPr>
          <w:trHeight w:val="500" w:hRule="atLeast"/>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3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A02061808 热水器</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★电热水器</w:t>
            </w:r>
          </w:p>
        </w:tc>
        <w:tc>
          <w:tcPr>
            <w:tcW w:w="2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《储水式电热水器能效限定值及能效等级》（GB 21519）</w:t>
            </w:r>
          </w:p>
        </w:tc>
      </w:tr>
      <w:tr>
        <w:tblPrEx>
          <w:shd w:val="clear" w:color="auto" w:fill="auto"/>
          <w:tblCellMar>
            <w:top w:w="0" w:type="dxa"/>
            <w:left w:w="0" w:type="dxa"/>
            <w:bottom w:w="0" w:type="dxa"/>
            <w:right w:w="0" w:type="dxa"/>
          </w:tblCellMar>
        </w:tblPrEx>
        <w:trPr>
          <w:trHeight w:val="600" w:hRule="atLeast"/>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3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18"/>
                <w:szCs w:val="18"/>
                <w:highlight w:val="none"/>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燃气热水器</w:t>
            </w:r>
          </w:p>
        </w:tc>
        <w:tc>
          <w:tcPr>
            <w:tcW w:w="2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《家用燃气快速热水器和燃气采暖热水炉能效限定值及能效等级》</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（GB 20665）</w:t>
            </w:r>
          </w:p>
        </w:tc>
      </w:tr>
      <w:tr>
        <w:tblPrEx>
          <w:shd w:val="clear" w:color="auto" w:fill="auto"/>
          <w:tblCellMar>
            <w:top w:w="0" w:type="dxa"/>
            <w:left w:w="0" w:type="dxa"/>
            <w:bottom w:w="0" w:type="dxa"/>
            <w:right w:w="0" w:type="dxa"/>
          </w:tblCellMar>
        </w:tblPrEx>
        <w:trPr>
          <w:trHeight w:val="500" w:hRule="atLeast"/>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3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18"/>
                <w:szCs w:val="18"/>
                <w:highlight w:val="none"/>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热泵热水器</w:t>
            </w:r>
          </w:p>
        </w:tc>
        <w:tc>
          <w:tcPr>
            <w:tcW w:w="2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《热泵热水机（器）能效限定值及能效等级》（GB 29541）</w:t>
            </w:r>
          </w:p>
        </w:tc>
      </w:tr>
      <w:tr>
        <w:tblPrEx>
          <w:shd w:val="clear" w:color="auto" w:fill="auto"/>
          <w:tblCellMar>
            <w:top w:w="0" w:type="dxa"/>
            <w:left w:w="0" w:type="dxa"/>
            <w:bottom w:w="0" w:type="dxa"/>
            <w:right w:w="0" w:type="dxa"/>
          </w:tblCellMar>
        </w:tblPrEx>
        <w:trPr>
          <w:trHeight w:val="500" w:hRule="atLeast"/>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3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18"/>
                <w:szCs w:val="18"/>
                <w:highlight w:val="none"/>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太阳能热水系统</w:t>
            </w:r>
          </w:p>
        </w:tc>
        <w:tc>
          <w:tcPr>
            <w:tcW w:w="2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《家用太阳能热水系统能效限定值及能效等级》（GB 26969）</w:t>
            </w:r>
          </w:p>
        </w:tc>
      </w:tr>
      <w:tr>
        <w:tblPrEx>
          <w:shd w:val="clear" w:color="auto" w:fill="auto"/>
          <w:tblCellMar>
            <w:top w:w="0" w:type="dxa"/>
            <w:left w:w="0" w:type="dxa"/>
            <w:bottom w:w="0" w:type="dxa"/>
            <w:right w:w="0" w:type="dxa"/>
          </w:tblCellMar>
        </w:tblPrEx>
        <w:trPr>
          <w:trHeight w:val="560" w:hRule="atLeast"/>
        </w:trPr>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A020619 照明设备</w:t>
            </w: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★普通照明用双端荧光灯</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18"/>
                <w:szCs w:val="18"/>
                <w:highlight w:val="none"/>
                <w:u w:val="none"/>
              </w:rPr>
            </w:pPr>
          </w:p>
        </w:tc>
        <w:tc>
          <w:tcPr>
            <w:tcW w:w="2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《普通照明用双端荧光灯能效限定值及能效等级》（GB 19043）</w:t>
            </w:r>
          </w:p>
        </w:tc>
      </w:tr>
      <w:tr>
        <w:tblPrEx>
          <w:shd w:val="clear" w:color="auto" w:fill="auto"/>
          <w:tblCellMar>
            <w:top w:w="0" w:type="dxa"/>
            <w:left w:w="0" w:type="dxa"/>
            <w:bottom w:w="0" w:type="dxa"/>
            <w:right w:w="0" w:type="dxa"/>
          </w:tblCellMar>
        </w:tblPrEx>
        <w:trPr>
          <w:trHeight w:val="600" w:hRule="atLeast"/>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LED 道路/隧道</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照明产品</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18"/>
                <w:szCs w:val="18"/>
                <w:highlight w:val="none"/>
                <w:u w:val="none"/>
              </w:rPr>
            </w:pPr>
          </w:p>
        </w:tc>
        <w:tc>
          <w:tcPr>
            <w:tcW w:w="2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《道路和隧道照明用 LED 灯具能效限定值及能效等级》</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（GB 37478）</w:t>
            </w:r>
          </w:p>
        </w:tc>
      </w:tr>
      <w:tr>
        <w:tblPrEx>
          <w:shd w:val="clear" w:color="auto" w:fill="auto"/>
          <w:tblCellMar>
            <w:top w:w="0" w:type="dxa"/>
            <w:left w:w="0" w:type="dxa"/>
            <w:bottom w:w="0" w:type="dxa"/>
            <w:right w:w="0" w:type="dxa"/>
          </w:tblCellMar>
        </w:tblPrEx>
        <w:trPr>
          <w:trHeight w:val="500" w:hRule="atLeast"/>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LED 筒灯</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18"/>
                <w:szCs w:val="18"/>
                <w:highlight w:val="none"/>
                <w:u w:val="none"/>
              </w:rPr>
            </w:pPr>
          </w:p>
        </w:tc>
        <w:tc>
          <w:tcPr>
            <w:tcW w:w="2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《室内照明用 LED 产品能效限定值及能效等级》（GB 30255）</w:t>
            </w:r>
          </w:p>
        </w:tc>
      </w:tr>
      <w:tr>
        <w:tblPrEx>
          <w:shd w:val="clear" w:color="auto" w:fill="auto"/>
          <w:tblCellMar>
            <w:top w:w="0" w:type="dxa"/>
            <w:left w:w="0" w:type="dxa"/>
            <w:bottom w:w="0" w:type="dxa"/>
            <w:right w:w="0" w:type="dxa"/>
          </w:tblCellMar>
        </w:tblPrEx>
        <w:trPr>
          <w:trHeight w:val="600" w:hRule="atLeast"/>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普通照明用非定向自镇流 LED 灯</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18"/>
                <w:szCs w:val="18"/>
                <w:highlight w:val="none"/>
                <w:u w:val="none"/>
              </w:rPr>
            </w:pPr>
          </w:p>
        </w:tc>
        <w:tc>
          <w:tcPr>
            <w:tcW w:w="2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《室内照明用 LED 产品能效限定值及能效等级》（GB 30255）</w:t>
            </w:r>
          </w:p>
        </w:tc>
      </w:tr>
      <w:tr>
        <w:tblPrEx>
          <w:shd w:val="clear" w:color="auto" w:fill="auto"/>
          <w:tblCellMar>
            <w:top w:w="0" w:type="dxa"/>
            <w:left w:w="0" w:type="dxa"/>
            <w:bottom w:w="0" w:type="dxa"/>
            <w:right w:w="0" w:type="dxa"/>
          </w:tblCellMar>
        </w:tblPrEx>
        <w:trPr>
          <w:trHeight w:val="58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★A020910 电视设备</w:t>
            </w: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A02091001 普通电视设备（电视机）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18"/>
                <w:szCs w:val="18"/>
                <w:highlight w:val="none"/>
                <w:u w:val="none"/>
              </w:rPr>
            </w:pPr>
          </w:p>
        </w:tc>
        <w:tc>
          <w:tcPr>
            <w:tcW w:w="2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《平板电视能效限定值及能效等级》（GB 24850)</w:t>
            </w:r>
          </w:p>
        </w:tc>
      </w:tr>
      <w:tr>
        <w:tblPrEx>
          <w:shd w:val="clear" w:color="auto" w:fill="auto"/>
          <w:tblCellMar>
            <w:top w:w="0" w:type="dxa"/>
            <w:left w:w="0" w:type="dxa"/>
            <w:bottom w:w="0" w:type="dxa"/>
            <w:right w:w="0" w:type="dxa"/>
          </w:tblCellMar>
        </w:tblPrEx>
        <w:trPr>
          <w:trHeight w:val="98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★A020911 视频设备</w:t>
            </w: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A02091107 视频</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监控设备</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监视器</w:t>
            </w:r>
          </w:p>
        </w:tc>
        <w:tc>
          <w:tcPr>
            <w:tcW w:w="2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以射频信号为主要信号输入的监视器应符合《平板电视能效限定值及</w:t>
            </w:r>
          </w:p>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能效等级》（GB 24850），以数字信号为主要信号输入的监视器应</w:t>
            </w:r>
          </w:p>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符合《计算机显示器能效限定值及能效等级》（GB 21520）</w:t>
            </w:r>
          </w:p>
        </w:tc>
      </w:tr>
      <w:tr>
        <w:tblPrEx>
          <w:shd w:val="clear" w:color="auto" w:fill="auto"/>
          <w:tblCellMar>
            <w:top w:w="0" w:type="dxa"/>
            <w:left w:w="0" w:type="dxa"/>
            <w:bottom w:w="0" w:type="dxa"/>
            <w:right w:w="0" w:type="dxa"/>
          </w:tblCellMar>
        </w:tblPrEx>
        <w:trPr>
          <w:trHeight w:val="5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A031210 饮食炊事机械</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商用燃气灶具</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18"/>
                <w:szCs w:val="18"/>
                <w:highlight w:val="none"/>
                <w:u w:val="none"/>
              </w:rPr>
            </w:pPr>
          </w:p>
        </w:tc>
        <w:tc>
          <w:tcPr>
            <w:tcW w:w="2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《商用燃气灶具能效限定值及能效等级》（GB 30531）</w:t>
            </w:r>
          </w:p>
        </w:tc>
      </w:tr>
      <w:tr>
        <w:tblPrEx>
          <w:shd w:val="clear" w:color="auto" w:fill="auto"/>
          <w:tblCellMar>
            <w:top w:w="0" w:type="dxa"/>
            <w:left w:w="0" w:type="dxa"/>
            <w:bottom w:w="0" w:type="dxa"/>
            <w:right w:w="0" w:type="dxa"/>
          </w:tblCellMar>
        </w:tblPrEx>
        <w:trPr>
          <w:trHeight w:val="600" w:hRule="atLeast"/>
        </w:trPr>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★A060805 便器</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坐便器</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18"/>
                <w:szCs w:val="18"/>
                <w:highlight w:val="none"/>
                <w:u w:val="none"/>
              </w:rPr>
            </w:pPr>
          </w:p>
        </w:tc>
        <w:tc>
          <w:tcPr>
            <w:tcW w:w="2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《坐便器水效限定值及水效等级》（GB 25502）</w:t>
            </w:r>
          </w:p>
        </w:tc>
      </w:tr>
      <w:tr>
        <w:tblPrEx>
          <w:shd w:val="clear" w:color="auto" w:fill="auto"/>
          <w:tblCellMar>
            <w:top w:w="0" w:type="dxa"/>
            <w:left w:w="0" w:type="dxa"/>
            <w:bottom w:w="0" w:type="dxa"/>
            <w:right w:w="0" w:type="dxa"/>
          </w:tblCellMar>
        </w:tblPrEx>
        <w:trPr>
          <w:trHeight w:val="600" w:hRule="atLeast"/>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蹲便器</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18"/>
                <w:szCs w:val="18"/>
                <w:highlight w:val="none"/>
                <w:u w:val="none"/>
              </w:rPr>
            </w:pPr>
          </w:p>
        </w:tc>
        <w:tc>
          <w:tcPr>
            <w:tcW w:w="2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《蹲便器用水效率限定值及用水效率等级》（GB 30717）</w:t>
            </w:r>
          </w:p>
        </w:tc>
      </w:tr>
      <w:tr>
        <w:tblPrEx>
          <w:shd w:val="clear" w:color="auto" w:fill="auto"/>
          <w:tblCellMar>
            <w:top w:w="0" w:type="dxa"/>
            <w:left w:w="0" w:type="dxa"/>
            <w:bottom w:w="0" w:type="dxa"/>
            <w:right w:w="0" w:type="dxa"/>
          </w:tblCellMar>
        </w:tblPrEx>
        <w:trPr>
          <w:trHeight w:val="600" w:hRule="atLeast"/>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小便器 </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18"/>
                <w:szCs w:val="18"/>
                <w:highlight w:val="none"/>
                <w:u w:val="none"/>
              </w:rPr>
            </w:pPr>
          </w:p>
        </w:tc>
        <w:tc>
          <w:tcPr>
            <w:tcW w:w="2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《小便器用水效率限定值及用水效率等级》（GB 28377）</w:t>
            </w:r>
          </w:p>
        </w:tc>
      </w:tr>
      <w:tr>
        <w:tblPrEx>
          <w:shd w:val="clear" w:color="auto" w:fill="auto"/>
          <w:tblCellMar>
            <w:top w:w="0" w:type="dxa"/>
            <w:left w:w="0" w:type="dxa"/>
            <w:bottom w:w="0" w:type="dxa"/>
            <w:right w:w="0" w:type="dxa"/>
          </w:tblCellMar>
        </w:tblPrEx>
        <w:trPr>
          <w:trHeight w:val="6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★A060806 水嘴</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18"/>
                <w:szCs w:val="18"/>
                <w:highlight w:val="none"/>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18"/>
                <w:szCs w:val="18"/>
                <w:highlight w:val="none"/>
                <w:u w:val="none"/>
              </w:rPr>
            </w:pPr>
          </w:p>
        </w:tc>
        <w:tc>
          <w:tcPr>
            <w:tcW w:w="2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《水嘴用水效率限定值及用水效率等级》（GB 25501）</w:t>
            </w:r>
          </w:p>
        </w:tc>
      </w:tr>
      <w:tr>
        <w:tblPrEx>
          <w:shd w:val="clear" w:color="auto" w:fill="auto"/>
          <w:tblCellMar>
            <w:top w:w="0" w:type="dxa"/>
            <w:left w:w="0" w:type="dxa"/>
            <w:bottom w:w="0" w:type="dxa"/>
            <w:right w:w="0" w:type="dxa"/>
          </w:tblCellMar>
        </w:tblPrEx>
        <w:trPr>
          <w:trHeight w:val="6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17</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A060807 便器冲洗阀</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val="0"/>
                <w:bCs w:val="0"/>
                <w:i w:val="0"/>
                <w:color w:val="auto"/>
                <w:sz w:val="18"/>
                <w:szCs w:val="18"/>
                <w:highlight w:val="none"/>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val="0"/>
                <w:bCs w:val="0"/>
                <w:i w:val="0"/>
                <w:color w:val="auto"/>
                <w:sz w:val="18"/>
                <w:szCs w:val="18"/>
                <w:highlight w:val="none"/>
                <w:u w:val="none"/>
              </w:rPr>
            </w:pPr>
          </w:p>
        </w:tc>
        <w:tc>
          <w:tcPr>
            <w:tcW w:w="2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《便器冲洗阀用水效率限定值及用水效率等级》（GB 28379）</w:t>
            </w:r>
          </w:p>
        </w:tc>
      </w:tr>
      <w:tr>
        <w:tblPrEx>
          <w:shd w:val="clear" w:color="auto" w:fill="auto"/>
          <w:tblCellMar>
            <w:top w:w="0" w:type="dxa"/>
            <w:left w:w="0" w:type="dxa"/>
            <w:bottom w:w="0" w:type="dxa"/>
            <w:right w:w="0" w:type="dxa"/>
          </w:tblCellMar>
        </w:tblPrEx>
        <w:trPr>
          <w:trHeight w:val="6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18</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A060810 淋浴器</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val="0"/>
                <w:bCs w:val="0"/>
                <w:i w:val="0"/>
                <w:color w:val="auto"/>
                <w:sz w:val="18"/>
                <w:szCs w:val="18"/>
                <w:highlight w:val="none"/>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val="0"/>
                <w:bCs w:val="0"/>
                <w:i w:val="0"/>
                <w:color w:val="auto"/>
                <w:sz w:val="18"/>
                <w:szCs w:val="18"/>
                <w:highlight w:val="none"/>
                <w:u w:val="none"/>
              </w:rPr>
            </w:pPr>
          </w:p>
        </w:tc>
        <w:tc>
          <w:tcPr>
            <w:tcW w:w="2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《淋浴器用水效率限定值及用水效率等级》（GB 28378）</w:t>
            </w:r>
          </w:p>
        </w:tc>
      </w:tr>
      <w:tr>
        <w:tblPrEx>
          <w:shd w:val="clear" w:color="auto" w:fill="auto"/>
          <w:tblCellMar>
            <w:top w:w="0" w:type="dxa"/>
            <w:left w:w="0" w:type="dxa"/>
            <w:bottom w:w="0" w:type="dxa"/>
            <w:right w:w="0" w:type="dxa"/>
          </w:tblCellMar>
        </w:tblPrEx>
        <w:trPr>
          <w:trHeight w:val="25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注：1.节能产品认证应依据相关国家标准的最新版本，依据国家标准中二级能效（水效）指标。</w:t>
            </w:r>
          </w:p>
          <w:p>
            <w:pPr>
              <w:keepNext w:val="0"/>
              <w:keepLines w:val="0"/>
              <w:widowControl/>
              <w:suppressLineNumbers w:val="0"/>
              <w:jc w:val="left"/>
              <w:textAlignment w:val="center"/>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2.上述产品中认证标准发生变更的，依据原认证标准获得的、仍在有效期内的认证证书可使用至 2019 年 6 月 1 日。</w:t>
            </w:r>
          </w:p>
          <w:p>
            <w:pPr>
              <w:keepNext w:val="0"/>
              <w:keepLines w:val="0"/>
              <w:widowControl/>
              <w:suppressLineNumbers w:val="0"/>
              <w:jc w:val="left"/>
              <w:textAlignment w:val="center"/>
              <w:rPr>
                <w:rFonts w:hint="eastAsia" w:ascii="宋体" w:hAnsi="宋体" w:eastAsia="宋体" w:cs="宋体"/>
                <w:b w:val="0"/>
                <w:bCs w:val="0"/>
                <w:i w:val="0"/>
                <w:color w:val="auto"/>
                <w:sz w:val="18"/>
                <w:szCs w:val="18"/>
                <w:highlight w:val="none"/>
                <w:u w:val="none"/>
              </w:rPr>
            </w:pPr>
            <w:r>
              <w:rPr>
                <w:rFonts w:hint="eastAsia" w:ascii="宋体" w:hAnsi="宋体" w:eastAsia="宋体" w:cs="宋体"/>
                <w:b w:val="0"/>
                <w:bCs w:val="0"/>
                <w:i w:val="0"/>
                <w:color w:val="auto"/>
                <w:kern w:val="0"/>
                <w:sz w:val="18"/>
                <w:szCs w:val="18"/>
                <w:highlight w:val="none"/>
                <w:u w:val="none"/>
                <w:lang w:val="en-US" w:eastAsia="zh-CN" w:bidi="ar"/>
              </w:rPr>
              <w:t>3.以“★”标注的为政府强制采购产品。</w:t>
            </w:r>
          </w:p>
        </w:tc>
      </w:tr>
    </w:tbl>
    <w:p>
      <w:pPr>
        <w:pStyle w:val="6"/>
        <w:shd w:val="clear" w:color="auto" w:fill="FFFFFF"/>
        <w:spacing w:line="450" w:lineRule="atLeast"/>
        <w:ind w:firstLine="480" w:firstLineChars="200"/>
        <w:jc w:val="both"/>
        <w:rPr>
          <w:rFonts w:hint="eastAsia" w:cs="Arial"/>
          <w:color w:val="auto"/>
          <w:highlight w:val="none"/>
        </w:rPr>
        <w:sectPr>
          <w:pgSz w:w="11905" w:h="16838"/>
          <w:pgMar w:top="1417" w:right="1134" w:bottom="1417" w:left="1701" w:header="850" w:footer="992" w:gutter="0"/>
          <w:pgBorders>
            <w:top w:val="none" w:sz="0" w:space="0"/>
            <w:left w:val="none" w:sz="0" w:space="0"/>
            <w:bottom w:val="none" w:sz="0" w:space="0"/>
            <w:right w:val="none" w:sz="0" w:space="0"/>
          </w:pgBorders>
          <w:cols w:space="0" w:num="1"/>
          <w:titlePg/>
          <w:rtlGutter w:val="0"/>
          <w:docGrid w:type="lines" w:linePitch="318" w:charSpace="0"/>
        </w:sectPr>
      </w:pPr>
    </w:p>
    <w:p>
      <w:pPr>
        <w:pStyle w:val="6"/>
        <w:shd w:val="clear" w:color="auto" w:fill="FFFFFF"/>
        <w:spacing w:line="450" w:lineRule="atLeast"/>
        <w:jc w:val="both"/>
        <w:rPr>
          <w:rFonts w:hint="eastAsia" w:cs="Times New Roman"/>
          <w:b/>
          <w:color w:val="auto"/>
          <w:kern w:val="2"/>
          <w:sz w:val="32"/>
          <w:szCs w:val="32"/>
          <w:highlight w:val="none"/>
        </w:rPr>
      </w:pPr>
    </w:p>
    <w:p>
      <w:pPr>
        <w:pStyle w:val="6"/>
        <w:shd w:val="clear" w:color="auto" w:fill="FFFFFF"/>
        <w:spacing w:line="450" w:lineRule="atLeast"/>
        <w:jc w:val="center"/>
        <w:rPr>
          <w:rFonts w:hint="eastAsia" w:cs="Times New Roman"/>
          <w:b/>
          <w:color w:val="auto"/>
          <w:kern w:val="2"/>
          <w:sz w:val="32"/>
          <w:szCs w:val="32"/>
          <w:highlight w:val="none"/>
        </w:rPr>
      </w:pPr>
      <w:r>
        <w:rPr>
          <w:rFonts w:hint="eastAsia" w:cs="Times New Roman"/>
          <w:b/>
          <w:color w:val="auto"/>
          <w:kern w:val="2"/>
          <w:sz w:val="32"/>
          <w:szCs w:val="32"/>
          <w:highlight w:val="none"/>
        </w:rPr>
        <w:t>六、信息安全产品强制性认证目录</w:t>
      </w:r>
    </w:p>
    <w:p>
      <w:pPr>
        <w:pStyle w:val="6"/>
        <w:shd w:val="clear" w:color="auto" w:fill="FFFFFF"/>
        <w:spacing w:line="450" w:lineRule="atLeast"/>
        <w:rPr>
          <w:rFonts w:hint="eastAsia" w:cs="Arial"/>
          <w:color w:val="auto"/>
          <w:highlight w:val="none"/>
        </w:rPr>
      </w:pPr>
    </w:p>
    <w:p>
      <w:pPr>
        <w:pStyle w:val="6"/>
        <w:shd w:val="clear" w:color="auto" w:fill="FFFFFF"/>
        <w:spacing w:line="450" w:lineRule="atLeast"/>
        <w:rPr>
          <w:rFonts w:hint="eastAsia" w:cs="Arial"/>
          <w:color w:val="auto"/>
          <w:highlight w:val="none"/>
        </w:rPr>
      </w:pPr>
    </w:p>
    <w:tbl>
      <w:tblPr>
        <w:tblStyle w:val="7"/>
        <w:tblW w:w="8835" w:type="dxa"/>
        <w:tblCellSpacing w:w="0" w:type="dxa"/>
        <w:tblInd w:w="9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20"/>
        <w:gridCol w:w="1780"/>
        <w:gridCol w:w="63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720" w:type="dxa"/>
            <w:noWrap w:val="0"/>
            <w:vAlign w:val="center"/>
          </w:tcPr>
          <w:p>
            <w:pPr>
              <w:widowControl/>
              <w:jc w:val="center"/>
              <w:rPr>
                <w:rFonts w:ascii="Arial" w:hAnsi="Arial" w:cs="Arial"/>
                <w:color w:val="auto"/>
                <w:sz w:val="18"/>
                <w:szCs w:val="18"/>
                <w:highlight w:val="none"/>
              </w:rPr>
            </w:pPr>
            <w:r>
              <w:rPr>
                <w:rFonts w:ascii="Arial" w:hAnsi="Arial" w:cs="Arial"/>
                <w:color w:val="auto"/>
                <w:kern w:val="0"/>
                <w:sz w:val="18"/>
                <w:szCs w:val="18"/>
                <w:highlight w:val="none"/>
                <w:lang w:bidi="ar"/>
              </w:rPr>
              <w:t>产品类别</w:t>
            </w:r>
          </w:p>
        </w:tc>
        <w:tc>
          <w:tcPr>
            <w:tcW w:w="1780" w:type="dxa"/>
            <w:noWrap w:val="0"/>
            <w:vAlign w:val="center"/>
          </w:tcPr>
          <w:p>
            <w:pPr>
              <w:widowControl/>
              <w:jc w:val="center"/>
              <w:rPr>
                <w:rFonts w:ascii="Arial" w:hAnsi="Arial" w:cs="Arial"/>
                <w:color w:val="auto"/>
                <w:sz w:val="18"/>
                <w:szCs w:val="18"/>
                <w:highlight w:val="none"/>
              </w:rPr>
            </w:pPr>
            <w:r>
              <w:rPr>
                <w:rFonts w:ascii="Arial" w:hAnsi="Arial" w:cs="Arial"/>
                <w:color w:val="auto"/>
                <w:kern w:val="0"/>
                <w:sz w:val="18"/>
                <w:szCs w:val="18"/>
                <w:highlight w:val="none"/>
                <w:lang w:bidi="ar"/>
              </w:rPr>
              <w:t>产品名称</w:t>
            </w:r>
          </w:p>
        </w:tc>
        <w:tc>
          <w:tcPr>
            <w:tcW w:w="6335" w:type="dxa"/>
            <w:noWrap w:val="0"/>
            <w:vAlign w:val="center"/>
          </w:tcPr>
          <w:p>
            <w:pPr>
              <w:widowControl/>
              <w:jc w:val="center"/>
              <w:rPr>
                <w:rFonts w:ascii="Arial" w:hAnsi="Arial" w:cs="Arial"/>
                <w:color w:val="auto"/>
                <w:sz w:val="18"/>
                <w:szCs w:val="18"/>
                <w:highlight w:val="none"/>
              </w:rPr>
            </w:pPr>
            <w:r>
              <w:rPr>
                <w:rFonts w:ascii="Arial" w:hAnsi="Arial" w:cs="Arial"/>
                <w:color w:val="auto"/>
                <w:kern w:val="0"/>
                <w:sz w:val="18"/>
                <w:szCs w:val="18"/>
                <w:highlight w:val="none"/>
                <w:lang w:bidi="ar"/>
              </w:rPr>
              <w:t>产品的定义和适用范围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20" w:type="dxa"/>
            <w:vMerge w:val="restart"/>
            <w:noWrap w:val="0"/>
            <w:vAlign w:val="center"/>
          </w:tcPr>
          <w:p>
            <w:pPr>
              <w:widowControl/>
              <w:jc w:val="center"/>
              <w:rPr>
                <w:rFonts w:ascii="Arial" w:hAnsi="Arial" w:cs="Arial"/>
                <w:color w:val="auto"/>
                <w:sz w:val="18"/>
                <w:szCs w:val="18"/>
                <w:highlight w:val="none"/>
              </w:rPr>
            </w:pPr>
            <w:r>
              <w:rPr>
                <w:rFonts w:ascii="Arial" w:hAnsi="Arial" w:cs="Arial"/>
                <w:color w:val="auto"/>
                <w:kern w:val="0"/>
                <w:sz w:val="18"/>
                <w:szCs w:val="18"/>
                <w:highlight w:val="none"/>
                <w:lang w:bidi="ar"/>
              </w:rPr>
              <w:t>1、边界安全</w:t>
            </w:r>
          </w:p>
        </w:tc>
        <w:tc>
          <w:tcPr>
            <w:tcW w:w="1780" w:type="dxa"/>
            <w:noWrap w:val="0"/>
            <w:vAlign w:val="center"/>
          </w:tcPr>
          <w:p>
            <w:pPr>
              <w:widowControl/>
              <w:jc w:val="center"/>
              <w:rPr>
                <w:rFonts w:ascii="Arial" w:hAnsi="Arial" w:cs="Arial"/>
                <w:color w:val="auto"/>
                <w:sz w:val="18"/>
                <w:szCs w:val="18"/>
                <w:highlight w:val="none"/>
              </w:rPr>
            </w:pPr>
            <w:r>
              <w:rPr>
                <w:rFonts w:ascii="Arial" w:hAnsi="Arial" w:cs="Arial"/>
                <w:color w:val="auto"/>
                <w:kern w:val="0"/>
                <w:sz w:val="18"/>
                <w:szCs w:val="18"/>
                <w:highlight w:val="none"/>
                <w:lang w:bidi="ar"/>
              </w:rPr>
              <w:t>1）防火墙</w:t>
            </w:r>
          </w:p>
        </w:tc>
        <w:tc>
          <w:tcPr>
            <w:tcW w:w="6335" w:type="dxa"/>
            <w:noWrap w:val="0"/>
            <w:vAlign w:val="center"/>
          </w:tcPr>
          <w:p>
            <w:pPr>
              <w:widowControl/>
              <w:jc w:val="left"/>
              <w:rPr>
                <w:rFonts w:ascii="Arial" w:hAnsi="Arial" w:cs="Arial"/>
                <w:color w:val="auto"/>
                <w:sz w:val="18"/>
                <w:szCs w:val="18"/>
                <w:highlight w:val="none"/>
              </w:rPr>
            </w:pPr>
            <w:r>
              <w:rPr>
                <w:rFonts w:ascii="Arial" w:hAnsi="Arial" w:cs="Arial"/>
                <w:color w:val="auto"/>
                <w:kern w:val="0"/>
                <w:sz w:val="18"/>
                <w:szCs w:val="18"/>
                <w:highlight w:val="none"/>
                <w:lang w:bidi="ar"/>
              </w:rPr>
              <w:t>防火墙产品是指一个或一组在不同安全策略的网络或安全域之间实施网络访问控制的系统。</w:t>
            </w:r>
          </w:p>
          <w:p>
            <w:pPr>
              <w:widowControl/>
              <w:jc w:val="left"/>
              <w:rPr>
                <w:rFonts w:ascii="Arial" w:hAnsi="Arial" w:cs="Arial"/>
                <w:color w:val="auto"/>
                <w:sz w:val="18"/>
                <w:szCs w:val="18"/>
                <w:highlight w:val="none"/>
              </w:rPr>
            </w:pPr>
            <w:r>
              <w:rPr>
                <w:rFonts w:ascii="Arial" w:hAnsi="Arial" w:cs="Arial"/>
                <w:color w:val="auto"/>
                <w:kern w:val="0"/>
                <w:sz w:val="18"/>
                <w:szCs w:val="18"/>
                <w:highlight w:val="none"/>
                <w:lang w:bidi="ar"/>
              </w:rPr>
              <w:t>适用的产品范围为：（1）以防火墙功能为主体的软件或软硬件组合；（2）其它网络产品中的防火墙模块；不适用个人防火墙产品。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720" w:type="dxa"/>
            <w:vMerge w:val="continue"/>
            <w:noWrap w:val="0"/>
            <w:vAlign w:val="center"/>
          </w:tcPr>
          <w:p>
            <w:pPr>
              <w:jc w:val="center"/>
              <w:rPr>
                <w:rFonts w:ascii="Arial" w:hAnsi="Arial" w:cs="Arial"/>
                <w:color w:val="auto"/>
                <w:sz w:val="18"/>
                <w:szCs w:val="18"/>
                <w:highlight w:val="none"/>
              </w:rPr>
            </w:pPr>
          </w:p>
        </w:tc>
        <w:tc>
          <w:tcPr>
            <w:tcW w:w="1780" w:type="dxa"/>
            <w:noWrap w:val="0"/>
            <w:vAlign w:val="center"/>
          </w:tcPr>
          <w:p>
            <w:pPr>
              <w:widowControl/>
              <w:jc w:val="center"/>
              <w:rPr>
                <w:rFonts w:ascii="Arial" w:hAnsi="Arial" w:cs="Arial"/>
                <w:color w:val="auto"/>
                <w:sz w:val="18"/>
                <w:szCs w:val="18"/>
                <w:highlight w:val="none"/>
              </w:rPr>
            </w:pPr>
            <w:r>
              <w:rPr>
                <w:rFonts w:ascii="Arial" w:hAnsi="Arial" w:cs="Arial"/>
                <w:color w:val="auto"/>
                <w:kern w:val="0"/>
                <w:sz w:val="18"/>
                <w:szCs w:val="18"/>
                <w:highlight w:val="none"/>
                <w:lang w:bidi="ar"/>
              </w:rPr>
              <w:t>2）网络安全隔离卡与线路选择器</w:t>
            </w:r>
          </w:p>
        </w:tc>
        <w:tc>
          <w:tcPr>
            <w:tcW w:w="6335" w:type="dxa"/>
            <w:noWrap w:val="0"/>
            <w:vAlign w:val="center"/>
          </w:tcPr>
          <w:p>
            <w:pPr>
              <w:widowControl/>
              <w:jc w:val="left"/>
              <w:rPr>
                <w:rFonts w:ascii="Arial" w:hAnsi="Arial" w:cs="Arial"/>
                <w:color w:val="auto"/>
                <w:sz w:val="18"/>
                <w:szCs w:val="18"/>
                <w:highlight w:val="none"/>
              </w:rPr>
            </w:pPr>
            <w:r>
              <w:rPr>
                <w:rFonts w:ascii="Arial" w:hAnsi="Arial" w:cs="Arial"/>
                <w:color w:val="auto"/>
                <w:kern w:val="0"/>
                <w:sz w:val="18"/>
                <w:szCs w:val="18"/>
                <w:highlight w:val="none"/>
                <w:lang w:bidi="ar"/>
              </w:rPr>
              <w:t>网络安全隔离卡是指安装在计算机内部，能够使连接该计算机的多个独立的网络之间仍然保持物理隔离的设备。安全隔离线路选择器是与配套的安全隔离卡一起使用，适用于单网布线环境下，使同一计算机能够访问多个独立的网络，并且各网络仍然保持物理隔离的设备。</w:t>
            </w:r>
          </w:p>
          <w:p>
            <w:pPr>
              <w:widowControl/>
              <w:jc w:val="left"/>
              <w:rPr>
                <w:rFonts w:ascii="Arial" w:hAnsi="Arial" w:cs="Arial"/>
                <w:color w:val="auto"/>
                <w:sz w:val="18"/>
                <w:szCs w:val="18"/>
                <w:highlight w:val="none"/>
              </w:rPr>
            </w:pPr>
            <w:r>
              <w:rPr>
                <w:rFonts w:ascii="Arial" w:hAnsi="Arial" w:cs="Arial"/>
                <w:color w:val="auto"/>
                <w:kern w:val="0"/>
                <w:sz w:val="18"/>
                <w:szCs w:val="18"/>
                <w:highlight w:val="none"/>
                <w:lang w:bidi="ar"/>
              </w:rPr>
              <w:t>适用的产品范围为：（1）安全隔离计算机；（2）安全隔离卡；（3）安全隔离线路选择器。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720" w:type="dxa"/>
            <w:vMerge w:val="continue"/>
            <w:noWrap w:val="0"/>
            <w:vAlign w:val="center"/>
          </w:tcPr>
          <w:p>
            <w:pPr>
              <w:jc w:val="center"/>
              <w:rPr>
                <w:rFonts w:ascii="Arial" w:hAnsi="Arial" w:cs="Arial"/>
                <w:color w:val="auto"/>
                <w:sz w:val="18"/>
                <w:szCs w:val="18"/>
                <w:highlight w:val="none"/>
              </w:rPr>
            </w:pPr>
          </w:p>
        </w:tc>
        <w:tc>
          <w:tcPr>
            <w:tcW w:w="1780" w:type="dxa"/>
            <w:noWrap w:val="0"/>
            <w:vAlign w:val="center"/>
          </w:tcPr>
          <w:p>
            <w:pPr>
              <w:widowControl/>
              <w:jc w:val="center"/>
              <w:rPr>
                <w:rFonts w:ascii="Arial" w:hAnsi="Arial" w:cs="Arial"/>
                <w:color w:val="auto"/>
                <w:sz w:val="18"/>
                <w:szCs w:val="18"/>
                <w:highlight w:val="none"/>
              </w:rPr>
            </w:pPr>
            <w:r>
              <w:rPr>
                <w:rFonts w:ascii="Arial" w:hAnsi="Arial" w:cs="Arial"/>
                <w:color w:val="auto"/>
                <w:kern w:val="0"/>
                <w:sz w:val="18"/>
                <w:szCs w:val="18"/>
                <w:highlight w:val="none"/>
                <w:lang w:bidi="ar"/>
              </w:rPr>
              <w:t>3）安全隔离与信息交换产品</w:t>
            </w:r>
          </w:p>
        </w:tc>
        <w:tc>
          <w:tcPr>
            <w:tcW w:w="6335" w:type="dxa"/>
            <w:noWrap w:val="0"/>
            <w:vAlign w:val="center"/>
          </w:tcPr>
          <w:p>
            <w:pPr>
              <w:widowControl/>
              <w:jc w:val="left"/>
              <w:rPr>
                <w:rFonts w:ascii="Arial" w:hAnsi="Arial" w:cs="Arial"/>
                <w:color w:val="auto"/>
                <w:sz w:val="18"/>
                <w:szCs w:val="18"/>
                <w:highlight w:val="none"/>
              </w:rPr>
            </w:pPr>
            <w:r>
              <w:rPr>
                <w:rFonts w:ascii="Arial" w:hAnsi="Arial" w:cs="Arial"/>
                <w:color w:val="auto"/>
                <w:kern w:val="0"/>
                <w:sz w:val="18"/>
                <w:szCs w:val="18"/>
                <w:highlight w:val="none"/>
                <w:lang w:bidi="ar"/>
              </w:rPr>
              <w:t>安全隔离与信息交换产品是指能够保证不同网络之间在网络协议终止的基础上，通过安全通道在实现网络隔离的同时进行安全数据交换的软硬件组合。</w:t>
            </w:r>
          </w:p>
          <w:p>
            <w:pPr>
              <w:widowControl/>
              <w:jc w:val="left"/>
              <w:rPr>
                <w:rFonts w:ascii="Arial" w:hAnsi="Arial" w:cs="Arial"/>
                <w:color w:val="auto"/>
                <w:sz w:val="18"/>
                <w:szCs w:val="18"/>
                <w:highlight w:val="none"/>
              </w:rPr>
            </w:pPr>
            <w:r>
              <w:rPr>
                <w:rFonts w:ascii="Arial" w:hAnsi="Arial" w:cs="Arial"/>
                <w:color w:val="auto"/>
                <w:kern w:val="0"/>
                <w:sz w:val="18"/>
                <w:szCs w:val="18"/>
                <w:highlight w:val="none"/>
                <w:lang w:bidi="ar"/>
              </w:rPr>
              <w:t>适用的产品范围为：（1）安全隔离与信息交换产品；（2）安全隔离与文件单向传输产品。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720" w:type="dxa"/>
            <w:noWrap w:val="0"/>
            <w:vAlign w:val="center"/>
          </w:tcPr>
          <w:p>
            <w:pPr>
              <w:widowControl/>
              <w:jc w:val="center"/>
              <w:rPr>
                <w:rFonts w:ascii="Arial" w:hAnsi="Arial" w:cs="Arial"/>
                <w:color w:val="auto"/>
                <w:sz w:val="18"/>
                <w:szCs w:val="18"/>
                <w:highlight w:val="none"/>
              </w:rPr>
            </w:pPr>
            <w:r>
              <w:rPr>
                <w:rFonts w:ascii="Arial" w:hAnsi="Arial" w:cs="Arial"/>
                <w:color w:val="auto"/>
                <w:kern w:val="0"/>
                <w:sz w:val="18"/>
                <w:szCs w:val="18"/>
                <w:highlight w:val="none"/>
                <w:lang w:bidi="ar"/>
              </w:rPr>
              <w:t>2、通信安全</w:t>
            </w:r>
          </w:p>
        </w:tc>
        <w:tc>
          <w:tcPr>
            <w:tcW w:w="1780" w:type="dxa"/>
            <w:noWrap w:val="0"/>
            <w:vAlign w:val="center"/>
          </w:tcPr>
          <w:p>
            <w:pPr>
              <w:widowControl/>
              <w:jc w:val="center"/>
              <w:rPr>
                <w:rFonts w:ascii="Arial" w:hAnsi="Arial" w:cs="Arial"/>
                <w:color w:val="auto"/>
                <w:sz w:val="18"/>
                <w:szCs w:val="18"/>
                <w:highlight w:val="none"/>
              </w:rPr>
            </w:pPr>
            <w:r>
              <w:rPr>
                <w:rFonts w:ascii="Arial" w:hAnsi="Arial" w:cs="Arial"/>
                <w:color w:val="auto"/>
                <w:kern w:val="0"/>
                <w:sz w:val="18"/>
                <w:szCs w:val="18"/>
                <w:highlight w:val="none"/>
                <w:lang w:bidi="ar"/>
              </w:rPr>
              <w:t>4）安全路由器</w:t>
            </w:r>
          </w:p>
        </w:tc>
        <w:tc>
          <w:tcPr>
            <w:tcW w:w="6335" w:type="dxa"/>
            <w:noWrap w:val="0"/>
            <w:vAlign w:val="center"/>
          </w:tcPr>
          <w:p>
            <w:pPr>
              <w:widowControl/>
              <w:jc w:val="left"/>
              <w:rPr>
                <w:rFonts w:ascii="Arial" w:hAnsi="Arial" w:cs="Arial"/>
                <w:color w:val="auto"/>
                <w:sz w:val="18"/>
                <w:szCs w:val="18"/>
                <w:highlight w:val="none"/>
              </w:rPr>
            </w:pPr>
            <w:r>
              <w:rPr>
                <w:rFonts w:ascii="Arial" w:hAnsi="Arial" w:cs="Arial"/>
                <w:color w:val="auto"/>
                <w:kern w:val="0"/>
                <w:sz w:val="18"/>
                <w:szCs w:val="18"/>
                <w:highlight w:val="none"/>
                <w:lang w:bidi="ar"/>
              </w:rPr>
              <w:t>安全路由器是指为保障所传输数据完整性、机密性、可用性，应用于重要信息系统的，具备IKE密钥协商能力，端口IPSec硬件线速加密能力的路由器。 </w:t>
            </w:r>
          </w:p>
          <w:p>
            <w:pPr>
              <w:widowControl/>
              <w:jc w:val="left"/>
              <w:rPr>
                <w:rFonts w:ascii="Arial" w:hAnsi="Arial" w:cs="Arial"/>
                <w:color w:val="auto"/>
                <w:sz w:val="18"/>
                <w:szCs w:val="18"/>
                <w:highlight w:val="none"/>
              </w:rPr>
            </w:pPr>
            <w:r>
              <w:rPr>
                <w:rFonts w:ascii="Arial" w:hAnsi="Arial" w:cs="Arial"/>
                <w:color w:val="auto"/>
                <w:kern w:val="0"/>
                <w:sz w:val="18"/>
                <w:szCs w:val="18"/>
                <w:highlight w:val="none"/>
                <w:lang w:bidi="ar"/>
              </w:rPr>
              <w:t>适用的产品范围为分：集成了IPSec/SSL，以及防火墙、入侵检测、安全审计等一种或多种安全模块的路由器，仅接入公用电信网的路由器除外。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720" w:type="dxa"/>
            <w:noWrap w:val="0"/>
            <w:vAlign w:val="center"/>
          </w:tcPr>
          <w:p>
            <w:pPr>
              <w:widowControl/>
              <w:jc w:val="center"/>
              <w:rPr>
                <w:rFonts w:ascii="Arial" w:hAnsi="Arial" w:cs="Arial"/>
                <w:color w:val="auto"/>
                <w:sz w:val="18"/>
                <w:szCs w:val="18"/>
                <w:highlight w:val="none"/>
              </w:rPr>
            </w:pPr>
            <w:r>
              <w:rPr>
                <w:rFonts w:ascii="Arial" w:hAnsi="Arial" w:cs="Arial"/>
                <w:color w:val="auto"/>
                <w:kern w:val="0"/>
                <w:sz w:val="18"/>
                <w:szCs w:val="18"/>
                <w:highlight w:val="none"/>
                <w:lang w:bidi="ar"/>
              </w:rPr>
              <w:t>3、身份鉴别与访问控制</w:t>
            </w:r>
          </w:p>
        </w:tc>
        <w:tc>
          <w:tcPr>
            <w:tcW w:w="1780" w:type="dxa"/>
            <w:noWrap w:val="0"/>
            <w:vAlign w:val="center"/>
          </w:tcPr>
          <w:p>
            <w:pPr>
              <w:widowControl/>
              <w:jc w:val="center"/>
              <w:rPr>
                <w:rFonts w:ascii="Arial" w:hAnsi="Arial" w:cs="Arial"/>
                <w:color w:val="auto"/>
                <w:sz w:val="18"/>
                <w:szCs w:val="18"/>
                <w:highlight w:val="none"/>
              </w:rPr>
            </w:pPr>
            <w:r>
              <w:rPr>
                <w:rFonts w:ascii="Arial" w:hAnsi="Arial" w:cs="Arial"/>
                <w:color w:val="auto"/>
                <w:kern w:val="0"/>
                <w:sz w:val="18"/>
                <w:szCs w:val="18"/>
                <w:highlight w:val="none"/>
                <w:lang w:bidi="ar"/>
              </w:rPr>
              <w:t>5）智能卡COS</w:t>
            </w:r>
          </w:p>
        </w:tc>
        <w:tc>
          <w:tcPr>
            <w:tcW w:w="6335" w:type="dxa"/>
            <w:noWrap w:val="0"/>
            <w:vAlign w:val="center"/>
          </w:tcPr>
          <w:p>
            <w:pPr>
              <w:widowControl/>
              <w:jc w:val="left"/>
              <w:rPr>
                <w:rFonts w:ascii="Arial" w:hAnsi="Arial" w:cs="Arial"/>
                <w:color w:val="auto"/>
                <w:sz w:val="18"/>
                <w:szCs w:val="18"/>
                <w:highlight w:val="none"/>
              </w:rPr>
            </w:pPr>
            <w:r>
              <w:rPr>
                <w:rFonts w:ascii="Arial" w:hAnsi="Arial" w:cs="Arial"/>
                <w:color w:val="auto"/>
                <w:kern w:val="0"/>
                <w:sz w:val="18"/>
                <w:szCs w:val="18"/>
                <w:highlight w:val="none"/>
                <w:lang w:bidi="ar"/>
              </w:rPr>
              <w:t>智能卡芯片操作系统(COS-Chip Operating System)是指在智能卡芯片中存储和运行的、以保护存储在非易失性存储器中的应用数据或程序的机密性和完整性、控制智能卡芯片与外界信息交换为目的的嵌入式软件。</w:t>
            </w:r>
          </w:p>
          <w:p>
            <w:pPr>
              <w:widowControl/>
              <w:jc w:val="left"/>
              <w:rPr>
                <w:rFonts w:ascii="Arial" w:hAnsi="Arial" w:cs="Arial"/>
                <w:color w:val="auto"/>
                <w:sz w:val="18"/>
                <w:szCs w:val="18"/>
                <w:highlight w:val="none"/>
              </w:rPr>
            </w:pPr>
            <w:r>
              <w:rPr>
                <w:rFonts w:ascii="Arial" w:hAnsi="Arial" w:cs="Arial"/>
                <w:color w:val="auto"/>
                <w:kern w:val="0"/>
                <w:sz w:val="18"/>
                <w:szCs w:val="18"/>
                <w:highlight w:val="none"/>
                <w:lang w:bidi="ar"/>
              </w:rPr>
              <w:t>适用的产品范围为：（1）采用接触或/和非接触工作方式的智能卡的COS；（2）其它被集成或内置了的COS。</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720" w:type="dxa"/>
            <w:noWrap w:val="0"/>
            <w:vAlign w:val="center"/>
          </w:tcPr>
          <w:p>
            <w:pPr>
              <w:widowControl/>
              <w:jc w:val="center"/>
              <w:rPr>
                <w:rFonts w:ascii="Arial" w:hAnsi="Arial" w:cs="Arial"/>
                <w:color w:val="auto"/>
                <w:sz w:val="18"/>
                <w:szCs w:val="18"/>
                <w:highlight w:val="none"/>
              </w:rPr>
            </w:pPr>
            <w:r>
              <w:rPr>
                <w:rFonts w:ascii="Arial" w:hAnsi="Arial" w:cs="Arial"/>
                <w:color w:val="auto"/>
                <w:kern w:val="0"/>
                <w:sz w:val="18"/>
                <w:szCs w:val="18"/>
                <w:highlight w:val="none"/>
                <w:lang w:bidi="ar"/>
              </w:rPr>
              <w:t>4、数据安全</w:t>
            </w:r>
          </w:p>
        </w:tc>
        <w:tc>
          <w:tcPr>
            <w:tcW w:w="1780" w:type="dxa"/>
            <w:noWrap w:val="0"/>
            <w:vAlign w:val="center"/>
          </w:tcPr>
          <w:p>
            <w:pPr>
              <w:widowControl/>
              <w:jc w:val="center"/>
              <w:rPr>
                <w:rFonts w:ascii="Arial" w:hAnsi="Arial" w:cs="Arial"/>
                <w:color w:val="auto"/>
                <w:sz w:val="18"/>
                <w:szCs w:val="18"/>
                <w:highlight w:val="none"/>
              </w:rPr>
            </w:pPr>
            <w:r>
              <w:rPr>
                <w:rFonts w:ascii="Arial" w:hAnsi="Arial" w:cs="Arial"/>
                <w:color w:val="auto"/>
                <w:kern w:val="0"/>
                <w:sz w:val="18"/>
                <w:szCs w:val="18"/>
                <w:highlight w:val="none"/>
                <w:lang w:bidi="ar"/>
              </w:rPr>
              <w:t>6）数据备份与恢复产品</w:t>
            </w:r>
          </w:p>
        </w:tc>
        <w:tc>
          <w:tcPr>
            <w:tcW w:w="6335" w:type="dxa"/>
            <w:noWrap w:val="0"/>
            <w:vAlign w:val="center"/>
          </w:tcPr>
          <w:p>
            <w:pPr>
              <w:widowControl/>
              <w:jc w:val="left"/>
              <w:rPr>
                <w:rFonts w:ascii="Arial" w:hAnsi="Arial" w:cs="Arial"/>
                <w:color w:val="auto"/>
                <w:sz w:val="18"/>
                <w:szCs w:val="18"/>
                <w:highlight w:val="none"/>
              </w:rPr>
            </w:pPr>
            <w:r>
              <w:rPr>
                <w:rFonts w:ascii="Arial" w:hAnsi="Arial" w:cs="Arial"/>
                <w:color w:val="auto"/>
                <w:kern w:val="0"/>
                <w:sz w:val="18"/>
                <w:szCs w:val="18"/>
                <w:highlight w:val="none"/>
                <w:lang w:bidi="ar"/>
              </w:rPr>
              <w:t>数据备份与恢复产品是指实现和管理信息系统数据的备份和恢复过程的软件。</w:t>
            </w:r>
          </w:p>
          <w:p>
            <w:pPr>
              <w:widowControl/>
              <w:jc w:val="left"/>
              <w:rPr>
                <w:rFonts w:ascii="Arial" w:hAnsi="Arial" w:cs="Arial"/>
                <w:color w:val="auto"/>
                <w:sz w:val="18"/>
                <w:szCs w:val="18"/>
                <w:highlight w:val="none"/>
              </w:rPr>
            </w:pPr>
            <w:r>
              <w:rPr>
                <w:rFonts w:ascii="Arial" w:hAnsi="Arial" w:cs="Arial"/>
                <w:color w:val="auto"/>
                <w:kern w:val="0"/>
                <w:sz w:val="18"/>
                <w:szCs w:val="18"/>
                <w:highlight w:val="none"/>
                <w:lang w:bidi="ar"/>
              </w:rPr>
              <w:t>适用的产品范围为：独立的数据备份与恢复管理软件产品，不包括数据复制产品和持续数据保护产品。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720" w:type="dxa"/>
            <w:vMerge w:val="restart"/>
            <w:noWrap w:val="0"/>
            <w:vAlign w:val="center"/>
          </w:tcPr>
          <w:p>
            <w:pPr>
              <w:widowControl/>
              <w:jc w:val="center"/>
              <w:rPr>
                <w:rFonts w:ascii="Arial" w:hAnsi="Arial" w:cs="Arial"/>
                <w:color w:val="auto"/>
                <w:sz w:val="18"/>
                <w:szCs w:val="18"/>
                <w:highlight w:val="none"/>
              </w:rPr>
            </w:pPr>
            <w:r>
              <w:rPr>
                <w:rFonts w:ascii="Arial" w:hAnsi="Arial" w:cs="Arial"/>
                <w:color w:val="auto"/>
                <w:kern w:val="0"/>
                <w:sz w:val="18"/>
                <w:szCs w:val="18"/>
                <w:highlight w:val="none"/>
                <w:lang w:bidi="ar"/>
              </w:rPr>
              <w:t>5、基础平台</w:t>
            </w:r>
          </w:p>
          <w:p>
            <w:pPr>
              <w:widowControl/>
              <w:jc w:val="center"/>
              <w:rPr>
                <w:rFonts w:ascii="Arial" w:hAnsi="Arial" w:cs="Arial"/>
                <w:color w:val="auto"/>
                <w:sz w:val="18"/>
                <w:szCs w:val="18"/>
                <w:highlight w:val="none"/>
              </w:rPr>
            </w:pPr>
          </w:p>
        </w:tc>
        <w:tc>
          <w:tcPr>
            <w:tcW w:w="1780" w:type="dxa"/>
            <w:noWrap w:val="0"/>
            <w:vAlign w:val="center"/>
          </w:tcPr>
          <w:p>
            <w:pPr>
              <w:widowControl/>
              <w:jc w:val="center"/>
              <w:rPr>
                <w:rFonts w:ascii="Arial" w:hAnsi="Arial" w:cs="Arial"/>
                <w:color w:val="auto"/>
                <w:sz w:val="18"/>
                <w:szCs w:val="18"/>
                <w:highlight w:val="none"/>
              </w:rPr>
            </w:pPr>
            <w:r>
              <w:rPr>
                <w:rFonts w:ascii="Arial" w:hAnsi="Arial" w:cs="Arial"/>
                <w:color w:val="auto"/>
                <w:kern w:val="0"/>
                <w:sz w:val="18"/>
                <w:szCs w:val="18"/>
                <w:highlight w:val="none"/>
                <w:lang w:bidi="ar"/>
              </w:rPr>
              <w:t>7）安全操作系统</w:t>
            </w:r>
          </w:p>
        </w:tc>
        <w:tc>
          <w:tcPr>
            <w:tcW w:w="6335" w:type="dxa"/>
            <w:noWrap w:val="0"/>
            <w:vAlign w:val="center"/>
          </w:tcPr>
          <w:p>
            <w:pPr>
              <w:widowControl/>
              <w:jc w:val="left"/>
              <w:rPr>
                <w:rFonts w:ascii="Arial" w:hAnsi="Arial" w:cs="Arial"/>
                <w:color w:val="auto"/>
                <w:sz w:val="18"/>
                <w:szCs w:val="18"/>
                <w:highlight w:val="none"/>
              </w:rPr>
            </w:pPr>
            <w:r>
              <w:rPr>
                <w:rFonts w:ascii="Arial" w:hAnsi="Arial" w:cs="Arial"/>
                <w:color w:val="auto"/>
                <w:kern w:val="0"/>
                <w:sz w:val="18"/>
                <w:szCs w:val="18"/>
                <w:highlight w:val="none"/>
                <w:lang w:bidi="ar"/>
              </w:rPr>
              <w:t>安全操作系统是指从系统设计、实现、使用和管理等各个阶段都遵循一套完整的系统安全策略，并实现了GB 17859-1999 《计算机信息系统等级保护划分准则》所确定的安全等级三级（含）以上的操作系统。</w:t>
            </w:r>
          </w:p>
          <w:p>
            <w:pPr>
              <w:widowControl/>
              <w:jc w:val="left"/>
              <w:rPr>
                <w:rFonts w:ascii="Arial" w:hAnsi="Arial" w:cs="Arial"/>
                <w:color w:val="auto"/>
                <w:sz w:val="18"/>
                <w:szCs w:val="18"/>
                <w:highlight w:val="none"/>
              </w:rPr>
            </w:pPr>
            <w:r>
              <w:rPr>
                <w:rFonts w:ascii="Arial" w:hAnsi="Arial" w:cs="Arial"/>
                <w:color w:val="auto"/>
                <w:kern w:val="0"/>
                <w:sz w:val="18"/>
                <w:szCs w:val="18"/>
                <w:highlight w:val="none"/>
                <w:lang w:bidi="ar"/>
              </w:rPr>
              <w:t>适用的产品范围为：（1）独立的安全操作系统软件产品；（2）集成或内置了安全操作系统的产品。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720" w:type="dxa"/>
            <w:vMerge w:val="continue"/>
            <w:noWrap w:val="0"/>
            <w:vAlign w:val="center"/>
          </w:tcPr>
          <w:p>
            <w:pPr>
              <w:jc w:val="center"/>
              <w:rPr>
                <w:rFonts w:ascii="Arial" w:hAnsi="Arial" w:cs="Arial"/>
                <w:color w:val="auto"/>
                <w:sz w:val="18"/>
                <w:szCs w:val="18"/>
                <w:highlight w:val="none"/>
              </w:rPr>
            </w:pPr>
          </w:p>
        </w:tc>
        <w:tc>
          <w:tcPr>
            <w:tcW w:w="1780" w:type="dxa"/>
            <w:noWrap w:val="0"/>
            <w:vAlign w:val="center"/>
          </w:tcPr>
          <w:p>
            <w:pPr>
              <w:widowControl/>
              <w:jc w:val="center"/>
              <w:rPr>
                <w:rFonts w:ascii="Arial" w:hAnsi="Arial" w:cs="Arial"/>
                <w:color w:val="auto"/>
                <w:sz w:val="18"/>
                <w:szCs w:val="18"/>
                <w:highlight w:val="none"/>
              </w:rPr>
            </w:pPr>
            <w:r>
              <w:rPr>
                <w:rFonts w:ascii="Arial" w:hAnsi="Arial" w:cs="Arial"/>
                <w:color w:val="auto"/>
                <w:kern w:val="0"/>
                <w:sz w:val="18"/>
                <w:szCs w:val="18"/>
                <w:highlight w:val="none"/>
                <w:lang w:bidi="ar"/>
              </w:rPr>
              <w:t>8）安全数据库系统</w:t>
            </w:r>
          </w:p>
        </w:tc>
        <w:tc>
          <w:tcPr>
            <w:tcW w:w="6335" w:type="dxa"/>
            <w:noWrap w:val="0"/>
            <w:vAlign w:val="center"/>
          </w:tcPr>
          <w:p>
            <w:pPr>
              <w:widowControl/>
              <w:jc w:val="left"/>
              <w:rPr>
                <w:rFonts w:ascii="Arial" w:hAnsi="Arial" w:cs="Arial"/>
                <w:color w:val="auto"/>
                <w:sz w:val="18"/>
                <w:szCs w:val="18"/>
                <w:highlight w:val="none"/>
              </w:rPr>
            </w:pPr>
            <w:r>
              <w:rPr>
                <w:rFonts w:ascii="Arial" w:hAnsi="Arial" w:cs="Arial"/>
                <w:color w:val="auto"/>
                <w:kern w:val="0"/>
                <w:sz w:val="18"/>
                <w:szCs w:val="18"/>
                <w:highlight w:val="none"/>
                <w:lang w:bidi="ar"/>
              </w:rPr>
              <w:t>安全数据库系统是指从系统设计、实现、使用和管理等各个阶段都遵循一套完整的系统安全策略，并实现GB 17859-1999 《计算机信息系统等级保护划分准则》所确定的安全等级三级（含）以上的数据库系统。</w:t>
            </w:r>
          </w:p>
          <w:p>
            <w:pPr>
              <w:widowControl/>
              <w:jc w:val="left"/>
              <w:rPr>
                <w:rFonts w:ascii="Arial" w:hAnsi="Arial" w:cs="Arial"/>
                <w:color w:val="auto"/>
                <w:sz w:val="18"/>
                <w:szCs w:val="18"/>
                <w:highlight w:val="none"/>
              </w:rPr>
            </w:pPr>
            <w:r>
              <w:rPr>
                <w:rFonts w:ascii="Arial" w:hAnsi="Arial" w:cs="Arial"/>
                <w:color w:val="auto"/>
                <w:kern w:val="0"/>
                <w:sz w:val="18"/>
                <w:szCs w:val="18"/>
                <w:highlight w:val="none"/>
                <w:lang w:bidi="ar"/>
              </w:rPr>
              <w:t>适用的产品范围为：（1）独立的安全数据库系统软件产品；（2）集成或内置了安全数据库系统的产品。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720" w:type="dxa"/>
            <w:noWrap w:val="0"/>
            <w:vAlign w:val="center"/>
          </w:tcPr>
          <w:p>
            <w:pPr>
              <w:widowControl/>
              <w:jc w:val="center"/>
              <w:rPr>
                <w:rFonts w:ascii="Arial" w:hAnsi="Arial" w:cs="Arial"/>
                <w:color w:val="auto"/>
                <w:sz w:val="18"/>
                <w:szCs w:val="18"/>
                <w:highlight w:val="none"/>
              </w:rPr>
            </w:pPr>
            <w:r>
              <w:rPr>
                <w:rFonts w:ascii="Arial" w:hAnsi="Arial" w:cs="Arial"/>
                <w:color w:val="auto"/>
                <w:kern w:val="0"/>
                <w:sz w:val="18"/>
                <w:szCs w:val="18"/>
                <w:highlight w:val="none"/>
                <w:lang w:bidi="ar"/>
              </w:rPr>
              <w:t>6、内容安全</w:t>
            </w:r>
          </w:p>
        </w:tc>
        <w:tc>
          <w:tcPr>
            <w:tcW w:w="1780" w:type="dxa"/>
            <w:noWrap w:val="0"/>
            <w:vAlign w:val="center"/>
          </w:tcPr>
          <w:p>
            <w:pPr>
              <w:widowControl/>
              <w:jc w:val="center"/>
              <w:rPr>
                <w:rFonts w:ascii="Arial" w:hAnsi="Arial" w:cs="Arial"/>
                <w:color w:val="auto"/>
                <w:sz w:val="18"/>
                <w:szCs w:val="18"/>
                <w:highlight w:val="none"/>
              </w:rPr>
            </w:pPr>
            <w:r>
              <w:rPr>
                <w:rFonts w:ascii="Arial" w:hAnsi="Arial" w:cs="Arial"/>
                <w:color w:val="auto"/>
                <w:kern w:val="0"/>
                <w:sz w:val="18"/>
                <w:szCs w:val="18"/>
                <w:highlight w:val="none"/>
                <w:lang w:bidi="ar"/>
              </w:rPr>
              <w:t>9）反垃圾邮件产品</w:t>
            </w:r>
          </w:p>
        </w:tc>
        <w:tc>
          <w:tcPr>
            <w:tcW w:w="6335" w:type="dxa"/>
            <w:noWrap w:val="0"/>
            <w:vAlign w:val="center"/>
          </w:tcPr>
          <w:p>
            <w:pPr>
              <w:widowControl/>
              <w:jc w:val="left"/>
              <w:rPr>
                <w:rFonts w:ascii="Arial" w:hAnsi="Arial" w:cs="Arial"/>
                <w:color w:val="auto"/>
                <w:sz w:val="18"/>
                <w:szCs w:val="18"/>
                <w:highlight w:val="none"/>
              </w:rPr>
            </w:pPr>
            <w:r>
              <w:rPr>
                <w:rFonts w:ascii="Arial" w:hAnsi="Arial" w:cs="Arial"/>
                <w:color w:val="auto"/>
                <w:kern w:val="0"/>
                <w:sz w:val="18"/>
                <w:szCs w:val="18"/>
                <w:highlight w:val="none"/>
                <w:lang w:bidi="ar"/>
              </w:rPr>
              <w:t>反垃圾邮件产品是指对按照电子邮件标准协议实现的电子邮件系统中传递的垃圾邮件进行识别、过滤的软件或软硬件组合。</w:t>
            </w:r>
          </w:p>
          <w:p>
            <w:pPr>
              <w:widowControl/>
              <w:jc w:val="left"/>
              <w:rPr>
                <w:rFonts w:ascii="Arial" w:hAnsi="Arial" w:cs="Arial"/>
                <w:color w:val="auto"/>
                <w:sz w:val="18"/>
                <w:szCs w:val="18"/>
                <w:highlight w:val="none"/>
              </w:rPr>
            </w:pPr>
            <w:r>
              <w:rPr>
                <w:rFonts w:ascii="Arial" w:hAnsi="Arial" w:cs="Arial"/>
                <w:color w:val="auto"/>
                <w:kern w:val="0"/>
                <w:sz w:val="18"/>
                <w:szCs w:val="18"/>
                <w:highlight w:val="none"/>
                <w:lang w:bidi="ar"/>
              </w:rPr>
              <w:t>适用的产品范围为：（1）透明的反垃圾邮件网关；（2）基于转发的反垃圾邮件系统；（3）与邮件服务器一体的反垃圾邮件的邮件服务器；(4) 安装于有邮件服务器上反垃圾邮件软件。已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720" w:type="dxa"/>
            <w:vMerge w:val="restart"/>
            <w:noWrap w:val="0"/>
            <w:vAlign w:val="center"/>
          </w:tcPr>
          <w:p>
            <w:pPr>
              <w:widowControl/>
              <w:jc w:val="center"/>
              <w:rPr>
                <w:rFonts w:ascii="Arial" w:hAnsi="Arial" w:cs="Arial"/>
                <w:color w:val="auto"/>
                <w:sz w:val="18"/>
                <w:szCs w:val="18"/>
                <w:highlight w:val="none"/>
              </w:rPr>
            </w:pPr>
            <w:r>
              <w:rPr>
                <w:rFonts w:ascii="Arial" w:hAnsi="Arial" w:cs="Arial"/>
                <w:color w:val="auto"/>
                <w:kern w:val="0"/>
                <w:sz w:val="18"/>
                <w:szCs w:val="18"/>
                <w:highlight w:val="none"/>
                <w:lang w:bidi="ar"/>
              </w:rPr>
              <w:t>7、评估审计与监控</w:t>
            </w:r>
          </w:p>
        </w:tc>
        <w:tc>
          <w:tcPr>
            <w:tcW w:w="1780" w:type="dxa"/>
            <w:noWrap w:val="0"/>
            <w:vAlign w:val="center"/>
          </w:tcPr>
          <w:p>
            <w:pPr>
              <w:widowControl/>
              <w:jc w:val="center"/>
              <w:rPr>
                <w:rFonts w:ascii="Arial" w:hAnsi="Arial" w:cs="Arial"/>
                <w:color w:val="auto"/>
                <w:sz w:val="18"/>
                <w:szCs w:val="18"/>
                <w:highlight w:val="none"/>
              </w:rPr>
            </w:pPr>
            <w:r>
              <w:rPr>
                <w:rFonts w:ascii="Arial" w:hAnsi="Arial" w:cs="Arial"/>
                <w:color w:val="auto"/>
                <w:kern w:val="0"/>
                <w:sz w:val="18"/>
                <w:szCs w:val="18"/>
                <w:highlight w:val="none"/>
                <w:lang w:bidi="ar"/>
              </w:rPr>
              <w:t>10）入侵检测系统（IDS）</w:t>
            </w:r>
          </w:p>
        </w:tc>
        <w:tc>
          <w:tcPr>
            <w:tcW w:w="6335" w:type="dxa"/>
            <w:noWrap w:val="0"/>
            <w:vAlign w:val="center"/>
          </w:tcPr>
          <w:p>
            <w:pPr>
              <w:widowControl/>
              <w:jc w:val="left"/>
              <w:rPr>
                <w:rFonts w:ascii="Arial" w:hAnsi="Arial" w:cs="Arial"/>
                <w:color w:val="auto"/>
                <w:sz w:val="18"/>
                <w:szCs w:val="18"/>
                <w:highlight w:val="none"/>
              </w:rPr>
            </w:pPr>
            <w:r>
              <w:rPr>
                <w:rFonts w:ascii="Arial" w:hAnsi="Arial" w:cs="Arial"/>
                <w:color w:val="auto"/>
                <w:kern w:val="0"/>
                <w:sz w:val="18"/>
                <w:szCs w:val="18"/>
                <w:highlight w:val="none"/>
                <w:lang w:bidi="ar"/>
              </w:rPr>
              <w:t>入侵检测系统指通过对计算机网络或计算机系统中的若干关键点收集信息并对其进行分析，发现违反安全策略的行为和被攻击迹象的软件或软硬件组合。</w:t>
            </w:r>
          </w:p>
          <w:p>
            <w:pPr>
              <w:widowControl/>
              <w:jc w:val="left"/>
              <w:rPr>
                <w:rFonts w:ascii="Arial" w:hAnsi="Arial" w:cs="Arial"/>
                <w:color w:val="auto"/>
                <w:sz w:val="18"/>
                <w:szCs w:val="18"/>
                <w:highlight w:val="none"/>
              </w:rPr>
            </w:pPr>
            <w:r>
              <w:rPr>
                <w:rFonts w:ascii="Arial" w:hAnsi="Arial" w:cs="Arial"/>
                <w:color w:val="auto"/>
                <w:kern w:val="0"/>
                <w:sz w:val="18"/>
                <w:szCs w:val="18"/>
                <w:highlight w:val="none"/>
                <w:lang w:bidi="ar"/>
              </w:rPr>
              <w:t>适用的产品范围为：（1）网络型入侵检测系统；（2）主机型入侵检测系统。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720" w:type="dxa"/>
            <w:vMerge w:val="continue"/>
            <w:noWrap w:val="0"/>
            <w:vAlign w:val="center"/>
          </w:tcPr>
          <w:p>
            <w:pPr>
              <w:jc w:val="center"/>
              <w:rPr>
                <w:rFonts w:ascii="Arial" w:hAnsi="Arial" w:cs="Arial"/>
                <w:color w:val="auto"/>
                <w:sz w:val="18"/>
                <w:szCs w:val="18"/>
                <w:highlight w:val="none"/>
              </w:rPr>
            </w:pPr>
          </w:p>
        </w:tc>
        <w:tc>
          <w:tcPr>
            <w:tcW w:w="1780" w:type="dxa"/>
            <w:noWrap w:val="0"/>
            <w:vAlign w:val="center"/>
          </w:tcPr>
          <w:p>
            <w:pPr>
              <w:widowControl/>
              <w:jc w:val="center"/>
              <w:rPr>
                <w:rFonts w:ascii="Arial" w:hAnsi="Arial" w:cs="Arial"/>
                <w:color w:val="auto"/>
                <w:sz w:val="18"/>
                <w:szCs w:val="18"/>
                <w:highlight w:val="none"/>
              </w:rPr>
            </w:pPr>
            <w:r>
              <w:rPr>
                <w:rFonts w:ascii="Arial" w:hAnsi="Arial" w:cs="Arial"/>
                <w:color w:val="auto"/>
                <w:kern w:val="0"/>
                <w:sz w:val="18"/>
                <w:szCs w:val="18"/>
                <w:highlight w:val="none"/>
                <w:lang w:bidi="ar"/>
              </w:rPr>
              <w:t>11）网络脆弱性扫描产品</w:t>
            </w:r>
          </w:p>
        </w:tc>
        <w:tc>
          <w:tcPr>
            <w:tcW w:w="6335" w:type="dxa"/>
            <w:noWrap w:val="0"/>
            <w:vAlign w:val="center"/>
          </w:tcPr>
          <w:p>
            <w:pPr>
              <w:widowControl/>
              <w:jc w:val="left"/>
              <w:rPr>
                <w:rFonts w:ascii="Arial" w:hAnsi="Arial" w:cs="Arial"/>
                <w:color w:val="auto"/>
                <w:sz w:val="18"/>
                <w:szCs w:val="18"/>
                <w:highlight w:val="none"/>
              </w:rPr>
            </w:pPr>
            <w:r>
              <w:rPr>
                <w:rFonts w:ascii="Arial" w:hAnsi="Arial" w:cs="Arial"/>
                <w:color w:val="auto"/>
                <w:kern w:val="0"/>
                <w:sz w:val="18"/>
                <w:szCs w:val="18"/>
                <w:highlight w:val="none"/>
                <w:lang w:bidi="ar"/>
              </w:rPr>
              <w:t>网络脆弱性扫描产品指利用扫描手段检测目标网络系统中可能被入侵者利用的脆弱性的软件或软硬件组合。</w:t>
            </w:r>
          </w:p>
          <w:p>
            <w:pPr>
              <w:widowControl/>
              <w:jc w:val="left"/>
              <w:rPr>
                <w:rFonts w:ascii="Arial" w:hAnsi="Arial" w:cs="Arial"/>
                <w:color w:val="auto"/>
                <w:sz w:val="18"/>
                <w:szCs w:val="18"/>
                <w:highlight w:val="none"/>
              </w:rPr>
            </w:pPr>
            <w:r>
              <w:rPr>
                <w:rFonts w:ascii="Arial" w:hAnsi="Arial" w:cs="Arial"/>
                <w:color w:val="auto"/>
                <w:kern w:val="0"/>
                <w:sz w:val="18"/>
                <w:szCs w:val="18"/>
                <w:highlight w:val="none"/>
                <w:lang w:bidi="ar"/>
              </w:rPr>
              <w:t>适用的产品范围为：网络型脆弱性扫描产品；不适用：主机型脆弱性扫描产品；数据库的脆弱性扫描产品；WEB应用的脆弱性扫描产品。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720" w:type="dxa"/>
            <w:vMerge w:val="continue"/>
            <w:noWrap w:val="0"/>
            <w:vAlign w:val="center"/>
          </w:tcPr>
          <w:p>
            <w:pPr>
              <w:jc w:val="center"/>
              <w:rPr>
                <w:rFonts w:ascii="Arial" w:hAnsi="Arial" w:cs="Arial"/>
                <w:color w:val="auto"/>
                <w:sz w:val="18"/>
                <w:szCs w:val="18"/>
                <w:highlight w:val="none"/>
              </w:rPr>
            </w:pPr>
          </w:p>
        </w:tc>
        <w:tc>
          <w:tcPr>
            <w:tcW w:w="1780" w:type="dxa"/>
            <w:noWrap w:val="0"/>
            <w:vAlign w:val="center"/>
          </w:tcPr>
          <w:p>
            <w:pPr>
              <w:widowControl/>
              <w:jc w:val="center"/>
              <w:rPr>
                <w:rFonts w:ascii="Arial" w:hAnsi="Arial" w:cs="Arial"/>
                <w:color w:val="auto"/>
                <w:sz w:val="18"/>
                <w:szCs w:val="18"/>
                <w:highlight w:val="none"/>
              </w:rPr>
            </w:pPr>
            <w:r>
              <w:rPr>
                <w:rFonts w:ascii="Arial" w:hAnsi="Arial" w:cs="Arial"/>
                <w:color w:val="auto"/>
                <w:kern w:val="0"/>
                <w:sz w:val="18"/>
                <w:szCs w:val="18"/>
                <w:highlight w:val="none"/>
                <w:lang w:bidi="ar"/>
              </w:rPr>
              <w:t>12）安全审计产品</w:t>
            </w:r>
          </w:p>
        </w:tc>
        <w:tc>
          <w:tcPr>
            <w:tcW w:w="6335" w:type="dxa"/>
            <w:noWrap w:val="0"/>
            <w:vAlign w:val="center"/>
          </w:tcPr>
          <w:p>
            <w:pPr>
              <w:widowControl/>
              <w:jc w:val="left"/>
              <w:rPr>
                <w:rFonts w:ascii="Arial" w:hAnsi="Arial" w:cs="Arial"/>
                <w:color w:val="auto"/>
                <w:sz w:val="18"/>
                <w:szCs w:val="18"/>
                <w:highlight w:val="none"/>
              </w:rPr>
            </w:pPr>
            <w:r>
              <w:rPr>
                <w:rFonts w:ascii="Arial" w:hAnsi="Arial" w:cs="Arial"/>
                <w:color w:val="auto"/>
                <w:kern w:val="0"/>
                <w:sz w:val="18"/>
                <w:szCs w:val="18"/>
                <w:highlight w:val="none"/>
                <w:lang w:bidi="ar"/>
              </w:rPr>
              <w:t>安全审计产品指能够对网络应用行为或信息系统的各种日志实行采集、分析，形成审计记录的软件或软硬件组合。</w:t>
            </w:r>
          </w:p>
          <w:p>
            <w:pPr>
              <w:widowControl/>
              <w:jc w:val="left"/>
              <w:rPr>
                <w:rFonts w:ascii="Arial" w:hAnsi="Arial" w:cs="Arial"/>
                <w:color w:val="auto"/>
                <w:sz w:val="18"/>
                <w:szCs w:val="18"/>
                <w:highlight w:val="none"/>
              </w:rPr>
            </w:pPr>
            <w:r>
              <w:rPr>
                <w:rFonts w:ascii="Arial" w:hAnsi="Arial" w:cs="Arial"/>
                <w:color w:val="auto"/>
                <w:kern w:val="0"/>
                <w:sz w:val="18"/>
                <w:szCs w:val="18"/>
                <w:highlight w:val="none"/>
                <w:lang w:bidi="ar"/>
              </w:rPr>
              <w:t>适用的产品范围为：将主机、服务器、网络、数据库及其它应用系统等一类或多类作为审计对象的产品。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720" w:type="dxa"/>
            <w:noWrap w:val="0"/>
            <w:vAlign w:val="center"/>
          </w:tcPr>
          <w:p>
            <w:pPr>
              <w:widowControl/>
              <w:jc w:val="center"/>
              <w:rPr>
                <w:rFonts w:ascii="Arial" w:hAnsi="Arial" w:cs="Arial"/>
                <w:color w:val="auto"/>
                <w:sz w:val="18"/>
                <w:szCs w:val="18"/>
                <w:highlight w:val="none"/>
              </w:rPr>
            </w:pPr>
            <w:r>
              <w:rPr>
                <w:rFonts w:ascii="Arial" w:hAnsi="Arial" w:cs="Arial"/>
                <w:color w:val="auto"/>
                <w:kern w:val="0"/>
                <w:sz w:val="18"/>
                <w:szCs w:val="18"/>
                <w:highlight w:val="none"/>
                <w:lang w:bidi="ar"/>
              </w:rPr>
              <w:t>8、应用安全</w:t>
            </w:r>
          </w:p>
        </w:tc>
        <w:tc>
          <w:tcPr>
            <w:tcW w:w="1780" w:type="dxa"/>
            <w:noWrap w:val="0"/>
            <w:vAlign w:val="center"/>
          </w:tcPr>
          <w:p>
            <w:pPr>
              <w:widowControl/>
              <w:jc w:val="center"/>
              <w:rPr>
                <w:rFonts w:ascii="Arial" w:hAnsi="Arial" w:cs="Arial"/>
                <w:color w:val="auto"/>
                <w:sz w:val="18"/>
                <w:szCs w:val="18"/>
                <w:highlight w:val="none"/>
              </w:rPr>
            </w:pPr>
            <w:r>
              <w:rPr>
                <w:rFonts w:ascii="Arial" w:hAnsi="Arial" w:cs="Arial"/>
                <w:color w:val="auto"/>
                <w:kern w:val="0"/>
                <w:sz w:val="18"/>
                <w:szCs w:val="18"/>
                <w:highlight w:val="none"/>
                <w:lang w:bidi="ar"/>
              </w:rPr>
              <w:t>13）网站恢复产品</w:t>
            </w:r>
          </w:p>
        </w:tc>
        <w:tc>
          <w:tcPr>
            <w:tcW w:w="6335" w:type="dxa"/>
            <w:noWrap w:val="0"/>
            <w:vAlign w:val="center"/>
          </w:tcPr>
          <w:p>
            <w:pPr>
              <w:widowControl/>
              <w:jc w:val="left"/>
              <w:rPr>
                <w:rFonts w:ascii="Arial" w:hAnsi="Arial" w:cs="Arial"/>
                <w:color w:val="auto"/>
                <w:sz w:val="18"/>
                <w:szCs w:val="18"/>
                <w:highlight w:val="none"/>
              </w:rPr>
            </w:pPr>
            <w:r>
              <w:rPr>
                <w:rFonts w:ascii="Arial" w:hAnsi="Arial" w:cs="Arial"/>
                <w:color w:val="auto"/>
                <w:kern w:val="0"/>
                <w:sz w:val="18"/>
                <w:szCs w:val="18"/>
                <w:highlight w:val="none"/>
                <w:lang w:bidi="ar"/>
              </w:rPr>
              <w:t>网站恢复产品是对受保护的静态网页文件、动态脚本文件及目录的未授权更改及时地进行自动恢复的软件或软硬件组合。适用的产品范围为：针对静态网页文件、动态脚本文件及目录进行自动恢复的产品。</w:t>
            </w:r>
          </w:p>
        </w:tc>
      </w:tr>
    </w:tbl>
    <w:p>
      <w:pPr>
        <w:pStyle w:val="6"/>
        <w:shd w:val="clear" w:color="auto" w:fill="FFFFFF"/>
        <w:spacing w:line="450" w:lineRule="atLeast"/>
        <w:rPr>
          <w:rFonts w:hint="eastAsia" w:cs="Arial"/>
          <w:color w:val="auto"/>
          <w:highlight w:val="none"/>
        </w:rPr>
        <w:sectPr>
          <w:pgSz w:w="11905" w:h="16838"/>
          <w:pgMar w:top="1417" w:right="1134" w:bottom="1417" w:left="1701" w:header="850" w:footer="992" w:gutter="0"/>
          <w:pgBorders>
            <w:top w:val="none" w:sz="0" w:space="0"/>
            <w:left w:val="none" w:sz="0" w:space="0"/>
            <w:bottom w:val="none" w:sz="0" w:space="0"/>
            <w:right w:val="none" w:sz="0" w:space="0"/>
          </w:pgBorders>
          <w:cols w:space="0" w:num="1"/>
          <w:titlePg/>
          <w:rtlGutter w:val="0"/>
          <w:docGrid w:type="lines" w:linePitch="318" w:charSpace="0"/>
        </w:sectPr>
      </w:pPr>
    </w:p>
    <w:p>
      <w:pPr>
        <w:pStyle w:val="4"/>
        <w:jc w:val="center"/>
        <w:rPr>
          <w:rFonts w:hint="eastAsia" w:ascii="宋体" w:hAnsi="宋体" w:eastAsia="宋体" w:cs="宋体"/>
          <w:b/>
          <w:bCs/>
          <w:color w:val="auto"/>
          <w:sz w:val="32"/>
          <w:szCs w:val="32"/>
          <w:highlight w:val="none"/>
        </w:rPr>
      </w:pPr>
    </w:p>
    <w:p>
      <w:pPr>
        <w:pStyle w:val="4"/>
        <w:jc w:val="center"/>
        <w:rPr>
          <w:rFonts w:hint="eastAsia" w:ascii="宋体" w:hAnsi="宋体" w:eastAsia="宋体" w:cs="宋体"/>
          <w:color w:val="auto"/>
          <w:sz w:val="24"/>
          <w:szCs w:val="24"/>
          <w:highlight w:val="none"/>
        </w:rPr>
      </w:pPr>
      <w:r>
        <w:rPr>
          <w:rFonts w:hint="eastAsia" w:ascii="宋体" w:hAnsi="宋体" w:eastAsia="宋体" w:cs="宋体"/>
          <w:b/>
          <w:bCs/>
          <w:color w:val="auto"/>
          <w:sz w:val="32"/>
          <w:szCs w:val="32"/>
          <w:highlight w:val="none"/>
        </w:rPr>
        <w:t>七、四川省政府采购面向中小企业采购品目指导目录（2021年版）</w:t>
      </w:r>
    </w:p>
    <w:p>
      <w:pPr>
        <w:pStyle w:val="4"/>
        <w:spacing w:line="360" w:lineRule="auto"/>
        <w:ind w:firstLine="640" w:firstLineChars="200"/>
        <w:jc w:val="left"/>
        <w:rPr>
          <w:rFonts w:hint="eastAsia" w:ascii="宋体" w:hAnsi="宋体" w:eastAsia="宋体" w:cs="宋体"/>
          <w:color w:val="auto"/>
          <w:sz w:val="32"/>
          <w:szCs w:val="32"/>
          <w:highlight w:val="none"/>
        </w:rPr>
      </w:pPr>
    </w:p>
    <w:p>
      <w:pPr>
        <w:pStyle w:val="4"/>
        <w:spacing w:line="360" w:lineRule="auto"/>
        <w:jc w:val="left"/>
        <w:rPr>
          <w:rFonts w:hint="eastAsia" w:ascii="宋体" w:hAnsi="宋体" w:eastAsia="宋体" w:cs="宋体"/>
          <w:color w:val="auto"/>
          <w:sz w:val="24"/>
          <w:szCs w:val="24"/>
          <w:highlight w:val="none"/>
        </w:rPr>
        <w:sectPr>
          <w:pgSz w:w="11905" w:h="16838"/>
          <w:pgMar w:top="1417" w:right="1134" w:bottom="1417" w:left="1701" w:header="850" w:footer="992" w:gutter="0"/>
          <w:pgBorders>
            <w:top w:val="none" w:sz="0" w:space="0"/>
            <w:left w:val="none" w:sz="0" w:space="0"/>
            <w:bottom w:val="none" w:sz="0" w:space="0"/>
            <w:right w:val="none" w:sz="0" w:space="0"/>
          </w:pgBorders>
          <w:cols w:space="0" w:num="1"/>
          <w:titlePg/>
          <w:rtlGutter w:val="0"/>
          <w:docGrid w:type="lines" w:linePitch="318" w:charSpace="0"/>
        </w:sectPr>
      </w:pPr>
      <w:r>
        <w:rPr>
          <w:rFonts w:hint="eastAsia" w:ascii="宋体" w:hAnsi="宋体" w:eastAsia="宋体" w:cs="宋体"/>
          <w:color w:val="auto"/>
          <w:sz w:val="24"/>
          <w:szCs w:val="24"/>
          <w:highlight w:val="none"/>
        </w:rPr>
        <w:t>四川省财政厅关于印发《四川省政府采购面向中小企业采购品目指导目录（2021年版）》的通知（http://www.ccgp-sichuan.gov.cn/view/staticpags/sjzytz/2c9240ae788f2f10017890c1af8701a1.html）</w:t>
      </w:r>
    </w:p>
    <w:p>
      <w:pPr>
        <w:pStyle w:val="4"/>
        <w:numPr>
          <w:ilvl w:val="0"/>
          <w:numId w:val="0"/>
        </w:numPr>
        <w:jc w:val="both"/>
        <w:rPr>
          <w:rFonts w:hint="eastAsia" w:ascii="宋体" w:hAnsi="宋体" w:eastAsia="宋体" w:cs="宋体"/>
          <w:b/>
          <w:bCs/>
          <w:color w:val="auto"/>
          <w:sz w:val="32"/>
          <w:szCs w:val="32"/>
          <w:highlight w:val="none"/>
          <w:lang w:eastAsia="zh-CN"/>
        </w:rPr>
      </w:pPr>
    </w:p>
    <w:p>
      <w:pPr>
        <w:pStyle w:val="4"/>
        <w:numPr>
          <w:ilvl w:val="0"/>
          <w:numId w:val="0"/>
        </w:numPr>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八、合同价格形式（适用政府采购工程项目）</w:t>
      </w:r>
    </w:p>
    <w:p>
      <w:pPr>
        <w:pStyle w:val="4"/>
        <w:numPr>
          <w:ilvl w:val="0"/>
          <w:numId w:val="0"/>
        </w:numPr>
        <w:spacing w:line="360" w:lineRule="auto"/>
        <w:jc w:val="left"/>
        <w:rPr>
          <w:rFonts w:hint="eastAsia" w:ascii="宋体" w:hAnsi="宋体" w:eastAsia="宋体" w:cs="宋体"/>
          <w:color w:val="auto"/>
          <w:sz w:val="24"/>
          <w:szCs w:val="24"/>
          <w:highlight w:val="none"/>
          <w:lang w:eastAsia="zh-CN"/>
        </w:rPr>
      </w:pP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□项目包干价。适用于设计施工图纸详尽完善（即工程量固定），投资规模较小、施工工期较短且施工内容相对简单的工程项目。</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参加采购活动的供应商应当全部响应采购人提供的工程量清单，供应商直接给出其完成本项目全部工作内容所需的总价，不再提供已标价工程量清单。</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说明：采购人选择采用此种报价方式的，应当科学测算项目工程量，避免工程量调整造成履约纠纷。</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□项目单价。适用于工程量事先无法准确确定的工程项目。</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供应商在首次提交的响应文件中的报价（即首次报价）应按磋商</w:t>
      </w:r>
      <w:r>
        <w:rPr>
          <w:rFonts w:hint="eastAsia" w:ascii="宋体" w:hAnsi="宋体" w:cs="宋体"/>
          <w:color w:val="auto"/>
          <w:kern w:val="2"/>
          <w:sz w:val="24"/>
          <w:szCs w:val="24"/>
          <w:highlight w:val="none"/>
          <w:lang w:val="en-US" w:eastAsia="zh-CN" w:bidi="ar-SA"/>
        </w:rPr>
        <w:t>/谈判</w:t>
      </w:r>
      <w:r>
        <w:rPr>
          <w:rFonts w:hint="eastAsia" w:ascii="宋体" w:hAnsi="宋体" w:eastAsia="宋体" w:cs="宋体"/>
          <w:color w:val="auto"/>
          <w:kern w:val="2"/>
          <w:sz w:val="24"/>
          <w:szCs w:val="24"/>
          <w:highlight w:val="none"/>
          <w:lang w:val="en-US" w:eastAsia="zh-CN" w:bidi="ar-SA"/>
        </w:rPr>
        <w:t>文件及工程量清单编制要求，逐一列出报价的构成及明细，并提供已标价工程量清单。已标价工程量清单的扉页（仅指报价总价扉页）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供应商提交的已标价工程量清单应符合本项目工程量清单以及清单说明的要求。当供应商的已标价工程量清单有下列情形之一的，应按照无效响应文件处理。</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（一）供应商对工程量清单中的分部分项工程量清单项目（说明：根据建筑、水利、交通等确定具体表述）的单价未填报或填报为零的；</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（二）已标价工程量清单的项目编码、项目名称、项目特征（与采购人提供的工程量清单中的项目特征的实质性内容一致的除外）、计量单位、工程量与采购人提供的工程量清单不一致的；</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（三）磋商</w:t>
      </w:r>
      <w:r>
        <w:rPr>
          <w:rFonts w:hint="eastAsia" w:ascii="宋体" w:hAnsi="宋体" w:cs="宋体"/>
          <w:color w:val="auto"/>
          <w:kern w:val="2"/>
          <w:sz w:val="24"/>
          <w:szCs w:val="24"/>
          <w:highlight w:val="none"/>
          <w:lang w:val="en-US" w:eastAsia="zh-CN" w:bidi="ar-SA"/>
        </w:rPr>
        <w:t>/谈判</w:t>
      </w:r>
      <w:r>
        <w:rPr>
          <w:rFonts w:hint="eastAsia" w:ascii="宋体" w:hAnsi="宋体" w:eastAsia="宋体" w:cs="宋体"/>
          <w:color w:val="auto"/>
          <w:kern w:val="2"/>
          <w:sz w:val="24"/>
          <w:szCs w:val="24"/>
          <w:highlight w:val="none"/>
          <w:lang w:val="en-US" w:eastAsia="zh-CN" w:bidi="ar-SA"/>
        </w:rPr>
        <w:t>文件已明确各单位工程安全文明施工费中的环境保护费、文明施工费、安全施工费、临时设施费金额并要求按此金额填报而供应商填报错误或未填报的，或供应商未按相关计价规定计取安全文明施工费的；</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（四）磋商</w:t>
      </w:r>
      <w:r>
        <w:rPr>
          <w:rFonts w:hint="eastAsia" w:ascii="宋体" w:hAnsi="宋体" w:cs="宋体"/>
          <w:color w:val="auto"/>
          <w:kern w:val="2"/>
          <w:sz w:val="24"/>
          <w:szCs w:val="24"/>
          <w:highlight w:val="none"/>
          <w:lang w:val="en-US" w:eastAsia="zh-CN" w:bidi="ar-SA"/>
        </w:rPr>
        <w:t>/谈判</w:t>
      </w:r>
      <w:r>
        <w:rPr>
          <w:rFonts w:hint="eastAsia" w:ascii="宋体" w:hAnsi="宋体" w:eastAsia="宋体" w:cs="宋体"/>
          <w:color w:val="auto"/>
          <w:kern w:val="2"/>
          <w:sz w:val="24"/>
          <w:szCs w:val="24"/>
          <w:highlight w:val="none"/>
          <w:lang w:val="en-US" w:eastAsia="zh-CN" w:bidi="ar-SA"/>
        </w:rPr>
        <w:t>文件已明确各单位工程规费金额并要求按此金额填报而供应商填报错误或未填报的，或供应商未按相关计价规定计取规费的；</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（五）磋商</w:t>
      </w:r>
      <w:r>
        <w:rPr>
          <w:rFonts w:hint="eastAsia" w:ascii="宋体" w:hAnsi="宋体" w:cs="宋体"/>
          <w:color w:val="auto"/>
          <w:kern w:val="2"/>
          <w:sz w:val="24"/>
          <w:szCs w:val="24"/>
          <w:highlight w:val="none"/>
          <w:lang w:val="en-US" w:eastAsia="zh-CN" w:bidi="ar-SA"/>
        </w:rPr>
        <w:t>/谈判</w:t>
      </w:r>
      <w:r>
        <w:rPr>
          <w:rFonts w:hint="eastAsia" w:ascii="宋体" w:hAnsi="宋体" w:eastAsia="宋体" w:cs="宋体"/>
          <w:color w:val="auto"/>
          <w:kern w:val="2"/>
          <w:sz w:val="24"/>
          <w:szCs w:val="24"/>
          <w:highlight w:val="none"/>
          <w:lang w:val="en-US" w:eastAsia="zh-CN" w:bidi="ar-SA"/>
        </w:rPr>
        <w:t>文件若已明确创优质工程奖补偿奖励费金额并要求按此金额填报而供应商填报错误或未填报的；</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（六）已标价工程量清单中暂列金额未按工程量清单中列明的金额填报的；</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（七）已标价工程量清单中材料、工程设备暂估价未按工程量清单中列出的单价计入综合单价的；</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（八）已标价工程量清单中专业工程暂估价未按工程量清单中列明的金额填写的；</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（九）已标价工程量清单中计日工未按工程量清单中列明的数量进行报价的；</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（十）单价、合价或总价，不论其大写金额或小写金额均只能有一个，否则，作无效处理。</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若供应商的报价相对首次报价有调整，则供应商应当提交相应调整部分的报价构成及明细，并结合首次报价提供的已标价工程量清单，重新计算总报价。</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供应商报价超过政府采购预算或最高限价（金额详见“供应商须知附表”）的，其响应文件按无效处理。</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□采购人固定价。主要适用于工程量相对固定，分部分项工程相对简单的工程项目。</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在依法编制的工程量清单（控制价）基础上，直接确定分部分项工程量清单项目的单价，并汇总形成本项目总价。供应商的响应文件中不再提供已标价工程量清单，只需响应采购人确定的采购价格即可，未响应作无效处理。采购人确定的项目总价作为本项目的成交价，最终以采购人确定的项目单价及实际发生的工程量作为本项目的结算依据。</w:t>
      </w:r>
    </w:p>
    <w:p>
      <w:pPr>
        <w:spacing w:line="360" w:lineRule="auto"/>
        <w:ind w:firstLine="480" w:firstLineChars="200"/>
        <w:rPr>
          <w:rFonts w:hint="eastAsia" w:ascii="宋体" w:hAnsi="宋体" w:eastAsia="宋体" w:cs="宋体"/>
          <w:b/>
          <w:bCs/>
          <w:color w:val="auto"/>
          <w:sz w:val="32"/>
          <w:szCs w:val="32"/>
          <w:highlight w:val="none"/>
          <w:lang w:eastAsia="zh-CN"/>
        </w:rPr>
        <w:sectPr>
          <w:pgSz w:w="11905" w:h="16838"/>
          <w:pgMar w:top="1417" w:right="1134" w:bottom="1417" w:left="1701" w:header="850" w:footer="992" w:gutter="0"/>
          <w:pgBorders>
            <w:top w:val="none" w:sz="0" w:space="0"/>
            <w:left w:val="none" w:sz="0" w:space="0"/>
            <w:bottom w:val="none" w:sz="0" w:space="0"/>
            <w:right w:val="none" w:sz="0" w:space="0"/>
          </w:pgBorders>
          <w:cols w:space="0" w:num="1"/>
          <w:titlePg/>
          <w:rtlGutter w:val="0"/>
          <w:docGrid w:type="lines" w:linePitch="318" w:charSpace="0"/>
        </w:sectPr>
      </w:pPr>
      <w:r>
        <w:rPr>
          <w:rFonts w:hint="eastAsia" w:ascii="宋体" w:hAnsi="宋体" w:eastAsia="宋体" w:cs="宋体"/>
          <w:color w:val="auto"/>
          <w:kern w:val="2"/>
          <w:sz w:val="24"/>
          <w:szCs w:val="24"/>
          <w:highlight w:val="none"/>
          <w:lang w:val="en-US" w:eastAsia="zh-CN" w:bidi="ar-SA"/>
        </w:rPr>
        <w:t>说明：采购人选择采用此种报价方式的，应当科学测算项目的单价，避免确定的单价虚高，造成财政资金浪费</w:t>
      </w:r>
      <w:r>
        <w:rPr>
          <w:rFonts w:hint="eastAsia" w:ascii="宋体" w:hAnsi="宋体" w:cs="宋体"/>
          <w:color w:val="auto"/>
          <w:kern w:val="2"/>
          <w:sz w:val="24"/>
          <w:szCs w:val="24"/>
          <w:highlight w:val="none"/>
          <w:lang w:val="en-US" w:eastAsia="zh-CN" w:bidi="ar-SA"/>
        </w:rPr>
        <w:t>。</w:t>
      </w:r>
    </w:p>
    <w:p>
      <w:pPr>
        <w:jc w:val="center"/>
        <w:rPr>
          <w:rFonts w:hint="eastAsia" w:ascii="宋体" w:hAnsi="宋体"/>
          <w:b/>
          <w:color w:val="auto"/>
          <w:sz w:val="44"/>
          <w:szCs w:val="44"/>
          <w:highlight w:val="none"/>
        </w:rPr>
      </w:pPr>
      <w:r>
        <w:rPr>
          <w:rFonts w:hint="eastAsia" w:ascii="宋体" w:hAnsi="宋体"/>
          <w:b/>
          <w:color w:val="auto"/>
          <w:sz w:val="44"/>
          <w:szCs w:val="44"/>
          <w:highlight w:val="none"/>
        </w:rPr>
        <w:t>四川省省级政府采购计划执行申报书</w:t>
      </w:r>
    </w:p>
    <w:p>
      <w:pPr>
        <w:pStyle w:val="3"/>
        <w:rPr>
          <w:rFonts w:hint="eastAsia" w:ascii="宋体" w:hAnsi="宋体"/>
          <w:color w:val="auto"/>
          <w:sz w:val="24"/>
          <w:highlight w:val="none"/>
        </w:rPr>
      </w:pPr>
      <w:r>
        <w:rPr>
          <w:rFonts w:hint="eastAsia" w:ascii="宋体" w:hAnsi="宋体"/>
          <w:color w:val="auto"/>
          <w:sz w:val="24"/>
          <w:highlight w:val="none"/>
        </w:rPr>
        <w:t>填写要求：申报书为编制采购文件法定依据，请完整填写。盖章上传执行申报书内容与系统模块填写内容务必保持一致，否则其不利后果由采购人自行承担。</w:t>
      </w:r>
    </w:p>
    <w:p>
      <w:pPr>
        <w:rPr>
          <w:rFonts w:hint="eastAsia" w:ascii="宋体" w:hAnsi="宋体"/>
          <w:color w:val="auto"/>
          <w:sz w:val="24"/>
          <w:highlight w:val="none"/>
        </w:rPr>
      </w:pPr>
    </w:p>
    <w:p>
      <w:pPr>
        <w:rPr>
          <w:rFonts w:hint="eastAsia" w:ascii="宋体" w:hAnsi="宋体"/>
          <w:color w:val="auto"/>
          <w:sz w:val="24"/>
          <w:highlight w:val="none"/>
        </w:rPr>
      </w:pPr>
      <w:r>
        <w:rPr>
          <w:rFonts w:hint="eastAsia" w:ascii="宋体" w:hAnsi="宋体"/>
          <w:color w:val="auto"/>
          <w:sz w:val="28"/>
          <w:szCs w:val="28"/>
          <w:highlight w:val="none"/>
        </w:rPr>
        <w:t xml:space="preserve">                                              </w:t>
      </w:r>
      <w:r>
        <w:rPr>
          <w:rFonts w:hint="eastAsia" w:ascii="宋体" w:hAnsi="宋体"/>
          <w:color w:val="auto"/>
          <w:szCs w:val="21"/>
          <w:highlight w:val="none"/>
        </w:rPr>
        <w:t>（请在□中勾选所需内容）</w:t>
      </w:r>
    </w:p>
    <w:tbl>
      <w:tblPr>
        <w:tblStyle w:val="7"/>
        <w:tblpPr w:leftFromText="180" w:rightFromText="180" w:vertAnchor="text" w:horzAnchor="page" w:tblpX="1945" w:tblpY="274"/>
        <w:tblOverlap w:val="never"/>
        <w:tblW w:w="9286" w:type="dxa"/>
        <w:tblInd w:w="0" w:type="dxa"/>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1942"/>
        <w:gridCol w:w="2355"/>
        <w:gridCol w:w="2807"/>
      </w:tblGrid>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86" w:type="dxa"/>
            <w:gridSpan w:val="4"/>
            <w:noWrap w:val="0"/>
            <w:vAlign w:val="center"/>
          </w:tcPr>
          <w:p>
            <w:pPr>
              <w:spacing w:line="600" w:lineRule="exact"/>
              <w:jc w:val="center"/>
              <w:rPr>
                <w:rFonts w:hint="eastAsia" w:ascii="宋体" w:hAnsi="宋体"/>
                <w:b/>
                <w:color w:val="auto"/>
                <w:sz w:val="24"/>
                <w:highlight w:val="none"/>
              </w:rPr>
            </w:pPr>
            <w:r>
              <w:rPr>
                <w:rFonts w:hint="eastAsia" w:ascii="宋体" w:hAnsi="宋体"/>
                <w:b/>
                <w:bCs/>
                <w:color w:val="auto"/>
                <w:sz w:val="28"/>
                <w:szCs w:val="28"/>
                <w:highlight w:val="none"/>
              </w:rPr>
              <w:t>一、</w:t>
            </w:r>
            <w:r>
              <w:rPr>
                <w:rFonts w:hint="eastAsia" w:ascii="宋体" w:hAnsi="宋体"/>
                <w:b/>
                <w:bCs/>
                <w:color w:val="auto"/>
                <w:sz w:val="28"/>
                <w:szCs w:val="28"/>
                <w:highlight w:val="none"/>
                <w:lang w:eastAsia="zh-CN"/>
              </w:rPr>
              <w:t>采购项目</w:t>
            </w:r>
            <w:r>
              <w:rPr>
                <w:rFonts w:hint="eastAsia" w:ascii="宋体" w:hAnsi="宋体"/>
                <w:b/>
                <w:bCs/>
                <w:color w:val="auto"/>
                <w:sz w:val="28"/>
                <w:szCs w:val="28"/>
                <w:highlight w:val="none"/>
              </w:rPr>
              <w:t>需求信息</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kern w:val="2"/>
                <w:sz w:val="24"/>
                <w:szCs w:val="24"/>
                <w:highlight w:val="none"/>
                <w:lang w:val="en-US" w:eastAsia="zh-CN" w:bidi="ar-SA"/>
              </w:rPr>
            </w:pPr>
            <w:r>
              <w:rPr>
                <w:rFonts w:hint="eastAsia" w:ascii="宋体" w:hAnsi="宋体" w:eastAsia="宋体" w:cs="宋体"/>
                <w:color w:val="auto"/>
                <w:sz w:val="24"/>
                <w:szCs w:val="24"/>
                <w:highlight w:val="none"/>
              </w:rPr>
              <w:t>采购单位</w:t>
            </w:r>
          </w:p>
        </w:tc>
        <w:tc>
          <w:tcPr>
            <w:tcW w:w="710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highlight w:val="none"/>
                <w:lang w:val="en-US" w:eastAsia="zh-CN" w:bidi="ar-SA"/>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8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采购单位地址</w:t>
            </w:r>
          </w:p>
        </w:tc>
        <w:tc>
          <w:tcPr>
            <w:tcW w:w="710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highlight w:val="none"/>
                <w:lang w:val="en-US" w:eastAsia="zh-CN" w:bidi="ar-SA"/>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8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kern w:val="2"/>
                <w:sz w:val="24"/>
                <w:szCs w:val="24"/>
                <w:highlight w:val="none"/>
                <w:lang w:val="en-US" w:eastAsia="zh-CN" w:bidi="ar-SA"/>
              </w:rPr>
            </w:pPr>
            <w:r>
              <w:rPr>
                <w:rFonts w:hint="eastAsia" w:ascii="宋体" w:hAnsi="宋体" w:eastAsia="宋体" w:cs="宋体"/>
                <w:color w:val="auto"/>
                <w:sz w:val="24"/>
                <w:szCs w:val="24"/>
                <w:highlight w:val="none"/>
              </w:rPr>
              <w:t>采购单位联系人</w:t>
            </w:r>
          </w:p>
        </w:tc>
        <w:tc>
          <w:tcPr>
            <w:tcW w:w="1942" w:type="dxa"/>
            <w:vMerge w:val="restart"/>
            <w:noWrap w:val="0"/>
            <w:vAlign w:val="center"/>
          </w:tcPr>
          <w:p>
            <w:pPr>
              <w:spacing w:line="600" w:lineRule="exact"/>
              <w:rPr>
                <w:rFonts w:hint="eastAsia" w:ascii="宋体" w:hAnsi="宋体"/>
                <w:color w:val="auto"/>
                <w:kern w:val="2"/>
                <w:sz w:val="24"/>
                <w:szCs w:val="24"/>
                <w:highlight w:val="none"/>
                <w:lang w:val="en-US" w:eastAsia="zh-CN" w:bidi="ar-SA"/>
              </w:rPr>
            </w:pPr>
          </w:p>
        </w:tc>
        <w:tc>
          <w:tcPr>
            <w:tcW w:w="23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color w:val="auto"/>
                <w:sz w:val="24"/>
                <w:szCs w:val="24"/>
                <w:highlight w:val="none"/>
              </w:rPr>
              <w:t>座机号码</w:t>
            </w:r>
          </w:p>
        </w:tc>
        <w:tc>
          <w:tcPr>
            <w:tcW w:w="2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p>
        </w:tc>
        <w:tc>
          <w:tcPr>
            <w:tcW w:w="19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p>
        </w:tc>
        <w:tc>
          <w:tcPr>
            <w:tcW w:w="23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手机号码</w:t>
            </w:r>
          </w:p>
        </w:tc>
        <w:tc>
          <w:tcPr>
            <w:tcW w:w="2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kern w:val="2"/>
                <w:sz w:val="24"/>
                <w:szCs w:val="24"/>
                <w:highlight w:val="none"/>
                <w:lang w:val="en-US" w:eastAsia="zh-CN" w:bidi="ar-SA"/>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8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采购人处理询问和质疑的联系人</w:t>
            </w:r>
          </w:p>
        </w:tc>
        <w:tc>
          <w:tcPr>
            <w:tcW w:w="1942"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shd w:val="clear" w:color="auto" w:fill="FFFFFF"/>
                <w:lang w:val="en-US" w:eastAsia="zh-CN" w:bidi="ar"/>
              </w:rPr>
            </w:pPr>
          </w:p>
        </w:tc>
        <w:tc>
          <w:tcPr>
            <w:tcW w:w="2355"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eastAsia="zh-CN" w:bidi="ar"/>
              </w:rPr>
              <w:t>联系方式</w:t>
            </w:r>
          </w:p>
        </w:tc>
        <w:tc>
          <w:tcPr>
            <w:tcW w:w="2807"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shd w:val="clear" w:color="auto" w:fill="FFFFFF"/>
                <w:lang w:bidi="ar"/>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18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项目名称</w:t>
            </w:r>
          </w:p>
        </w:tc>
        <w:tc>
          <w:tcPr>
            <w:tcW w:w="7104" w:type="dxa"/>
            <w:gridSpan w:val="3"/>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格式要求：采购人名称+项目名称+采购方式+政府采购项目</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cs="宋体"/>
                <w:b/>
                <w:bCs/>
                <w:color w:val="auto"/>
                <w:kern w:val="0"/>
                <w:sz w:val="21"/>
                <w:szCs w:val="21"/>
                <w:highlight w:val="none"/>
                <w:shd w:val="clear" w:color="auto" w:fill="FFFFFF"/>
                <w:lang w:eastAsia="zh-CN" w:bidi="ar"/>
              </w:rPr>
              <w:t>提示</w:t>
            </w:r>
            <w:r>
              <w:rPr>
                <w:rFonts w:hint="eastAsia" w:ascii="宋体" w:hAnsi="宋体" w:eastAsia="宋体" w:cs="宋体"/>
                <w:b/>
                <w:bCs/>
                <w:color w:val="auto"/>
                <w:kern w:val="0"/>
                <w:sz w:val="21"/>
                <w:szCs w:val="21"/>
                <w:highlight w:val="none"/>
                <w:shd w:val="clear" w:color="auto" w:fill="FFFFFF"/>
                <w:lang w:bidi="ar"/>
              </w:rPr>
              <w:t>：四川省XX厅办公家具公开招标政府采购项目</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1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执行系统中计划备案编号</w:t>
            </w:r>
          </w:p>
        </w:tc>
        <w:tc>
          <w:tcPr>
            <w:tcW w:w="710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SCZC</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olor w:val="auto"/>
                <w:kern w:val="2"/>
                <w:sz w:val="24"/>
                <w:szCs w:val="24"/>
                <w:highlight w:val="none"/>
                <w:lang w:val="en-US" w:eastAsia="zh-CN" w:bidi="ar-SA"/>
              </w:rPr>
              <w:t>预算总额</w:t>
            </w:r>
            <w:r>
              <w:rPr>
                <w:rFonts w:hint="eastAsia" w:ascii="宋体" w:hAnsi="宋体"/>
                <w:b w:val="0"/>
                <w:bCs w:val="0"/>
                <w:color w:val="auto"/>
                <w:kern w:val="2"/>
                <w:sz w:val="24"/>
                <w:szCs w:val="24"/>
                <w:highlight w:val="none"/>
                <w:lang w:val="en-US" w:eastAsia="zh-CN" w:bidi="ar-SA"/>
              </w:rPr>
              <w:t>（元）</w:t>
            </w:r>
          </w:p>
        </w:tc>
        <w:tc>
          <w:tcPr>
            <w:tcW w:w="1942" w:type="dxa"/>
            <w:noWrap w:val="0"/>
            <w:vAlign w:val="center"/>
          </w:tcPr>
          <w:p>
            <w:pPr>
              <w:spacing w:line="600" w:lineRule="exact"/>
              <w:jc w:val="center"/>
              <w:rPr>
                <w:rFonts w:hint="eastAsia" w:ascii="宋体" w:hAnsi="宋体" w:eastAsia="宋体" w:cs="Times New Roman"/>
                <w:color w:val="auto"/>
                <w:kern w:val="2"/>
                <w:sz w:val="24"/>
                <w:szCs w:val="24"/>
                <w:highlight w:val="none"/>
                <w:lang w:val="en-US" w:eastAsia="zh-CN" w:bidi="ar-SA"/>
              </w:rPr>
            </w:pPr>
          </w:p>
        </w:tc>
        <w:tc>
          <w:tcPr>
            <w:tcW w:w="23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olor w:val="auto"/>
                <w:kern w:val="2"/>
                <w:sz w:val="24"/>
                <w:szCs w:val="24"/>
                <w:highlight w:val="none"/>
                <w:lang w:val="en-US" w:eastAsia="zh-CN" w:bidi="ar-SA"/>
              </w:rPr>
              <w:t>最高限价总额（元）</w:t>
            </w:r>
          </w:p>
        </w:tc>
        <w:tc>
          <w:tcPr>
            <w:tcW w:w="2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拟采用采购方式</w:t>
            </w:r>
          </w:p>
        </w:tc>
        <w:tc>
          <w:tcPr>
            <w:tcW w:w="710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□公开招标    □邀请招标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□竞争性磋商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□竞争性谈判</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□询价       □单一来源采购</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供应商参与采购活动方式</w:t>
            </w:r>
          </w:p>
        </w:tc>
        <w:tc>
          <w:tcPr>
            <w:tcW w:w="710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□在四川政府采购网发布采购公告。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在四川政府采购网发布</w:t>
            </w:r>
            <w:r>
              <w:rPr>
                <w:rFonts w:hint="eastAsia" w:ascii="宋体" w:hAnsi="宋体" w:eastAsia="宋体" w:cs="宋体"/>
                <w:color w:val="auto"/>
                <w:sz w:val="24"/>
                <w:szCs w:val="24"/>
                <w:highlight w:val="none"/>
              </w:rPr>
              <w:t>资格预审</w:t>
            </w:r>
            <w:r>
              <w:rPr>
                <w:rFonts w:hint="eastAsia" w:ascii="宋体" w:hAnsi="宋体" w:cs="宋体"/>
                <w:color w:val="auto"/>
                <w:sz w:val="24"/>
                <w:szCs w:val="24"/>
                <w:highlight w:val="none"/>
                <w:lang w:eastAsia="zh-CN"/>
              </w:rPr>
              <w:t>公告。</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w:t>
            </w:r>
            <w:bookmarkStart w:id="4" w:name="_Hlk76637621"/>
            <w:r>
              <w:rPr>
                <w:rFonts w:hint="eastAsia" w:ascii="宋体" w:hAnsi="宋体" w:eastAsia="宋体" w:cs="宋体"/>
                <w:color w:val="auto"/>
                <w:sz w:val="24"/>
                <w:szCs w:val="24"/>
                <w:highlight w:val="none"/>
              </w:rPr>
              <w:t>从四川省政府采购供应商库中随机抽取</w:t>
            </w:r>
            <w:bookmarkEnd w:id="4"/>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□采购人和评审专家分别书面推荐。</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18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项目类型</w:t>
            </w:r>
          </w:p>
        </w:tc>
        <w:tc>
          <w:tcPr>
            <w:tcW w:w="19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货物类</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服务类</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工程类</w:t>
            </w:r>
            <w:r>
              <w:rPr>
                <w:rFonts w:hint="eastAsia" w:ascii="宋体" w:hAnsi="宋体" w:eastAsia="宋体" w:cs="宋体"/>
                <w:color w:val="auto"/>
                <w:sz w:val="24"/>
                <w:szCs w:val="24"/>
                <w:highlight w:val="none"/>
              </w:rPr>
              <w:t xml:space="preserve"> </w:t>
            </w:r>
          </w:p>
        </w:tc>
        <w:tc>
          <w:tcPr>
            <w:tcW w:w="23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是否是政府购买服务</w:t>
            </w:r>
          </w:p>
        </w:tc>
        <w:tc>
          <w:tcPr>
            <w:tcW w:w="2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是  □ 否</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1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是否分包</w:t>
            </w:r>
          </w:p>
        </w:tc>
        <w:tc>
          <w:tcPr>
            <w:tcW w:w="19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是  □ 否</w:t>
            </w:r>
          </w:p>
        </w:tc>
        <w:tc>
          <w:tcPr>
            <w:tcW w:w="23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项目包个数</w:t>
            </w:r>
          </w:p>
        </w:tc>
        <w:tc>
          <w:tcPr>
            <w:tcW w:w="2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 xml:space="preserve">   </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1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是否联合体投标</w:t>
            </w:r>
          </w:p>
        </w:tc>
        <w:tc>
          <w:tcPr>
            <w:tcW w:w="19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是  □ 否 </w:t>
            </w:r>
          </w:p>
        </w:tc>
        <w:tc>
          <w:tcPr>
            <w:tcW w:w="23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评审过程中各包（单包除外）最高限价是否临时调节</w:t>
            </w:r>
          </w:p>
        </w:tc>
        <w:tc>
          <w:tcPr>
            <w:tcW w:w="2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是  □ 否 </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是否使用四川省政府采购中心电子化交易平台</w:t>
            </w:r>
          </w:p>
        </w:tc>
        <w:tc>
          <w:tcPr>
            <w:tcW w:w="19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是 □ 否 </w:t>
            </w:r>
          </w:p>
        </w:tc>
        <w:tc>
          <w:tcPr>
            <w:tcW w:w="23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是否采用不见面开标</w:t>
            </w:r>
            <w:r>
              <w:rPr>
                <w:rFonts w:hint="eastAsia" w:ascii="宋体" w:hAnsi="宋体" w:cs="宋体"/>
                <w:color w:val="auto"/>
                <w:sz w:val="24"/>
                <w:szCs w:val="24"/>
                <w:highlight w:val="none"/>
                <w:lang w:eastAsia="zh-CN"/>
              </w:rPr>
              <w:t>或不见面递交响应文件</w:t>
            </w:r>
          </w:p>
        </w:tc>
        <w:tc>
          <w:tcPr>
            <w:tcW w:w="2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是  □ 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1"/>
                <w:szCs w:val="21"/>
                <w:highlight w:val="none"/>
                <w:lang w:val="en-US" w:eastAsia="zh-CN"/>
              </w:rPr>
              <w:t>提示：</w:t>
            </w:r>
            <w:r>
              <w:rPr>
                <w:rFonts w:hint="eastAsia" w:ascii="宋体" w:hAnsi="宋体" w:eastAsia="宋体" w:cs="宋体"/>
                <w:b/>
                <w:bCs/>
                <w:color w:val="auto"/>
                <w:sz w:val="21"/>
                <w:szCs w:val="21"/>
                <w:highlight w:val="none"/>
              </w:rPr>
              <w:t>所有项目勾选“是”</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50" w:hRule="atLeast"/>
        </w:trPr>
        <w:tc>
          <w:tcPr>
            <w:tcW w:w="2182" w:type="dxa"/>
            <w:noWrap w:val="0"/>
            <w:vAlign w:val="center"/>
          </w:tcPr>
          <w:p>
            <w:pPr>
              <w:spacing w:line="600" w:lineRule="exact"/>
              <w:jc w:val="center"/>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是否接受合同分包</w:t>
            </w:r>
          </w:p>
        </w:tc>
        <w:tc>
          <w:tcPr>
            <w:tcW w:w="19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是 □ 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1"/>
                <w:szCs w:val="21"/>
                <w:highlight w:val="none"/>
                <w:lang w:eastAsia="zh-CN"/>
              </w:rPr>
              <w:t>提示：</w:t>
            </w:r>
            <w:r>
              <w:rPr>
                <w:rFonts w:hint="eastAsia" w:ascii="宋体" w:hAnsi="宋体"/>
                <w:b/>
                <w:bCs/>
                <w:color w:val="auto"/>
                <w:sz w:val="21"/>
                <w:szCs w:val="21"/>
                <w:highlight w:val="none"/>
              </w:rPr>
              <w:t>是否允许投标人将项目非主体、非关键性工作交由他人完成</w:t>
            </w:r>
          </w:p>
        </w:tc>
        <w:tc>
          <w:tcPr>
            <w:tcW w:w="23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是否符合《政务信息系统政府采购管理暂行办法》的要求</w:t>
            </w:r>
          </w:p>
        </w:tc>
        <w:tc>
          <w:tcPr>
            <w:tcW w:w="2807"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是，货物</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是，服务</w:t>
            </w:r>
          </w:p>
          <w:p>
            <w:pPr>
              <w:keepNext w:val="0"/>
              <w:keepLines w:val="0"/>
              <w:pageBreakBefore w:val="0"/>
              <w:widowControl w:val="0"/>
              <w:kinsoku/>
              <w:wordWrap/>
              <w:overflowPunct/>
              <w:topLinePunct w:val="0"/>
              <w:autoSpaceDE/>
              <w:autoSpaceDN/>
              <w:bidi w:val="0"/>
              <w:adjustRightInd/>
              <w:snapToGrid/>
              <w:spacing w:line="540" w:lineRule="exact"/>
              <w:ind w:firstLine="720" w:firstLineChars="3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b/>
                <w:color w:val="auto"/>
                <w:sz w:val="21"/>
                <w:szCs w:val="21"/>
                <w:highlight w:val="none"/>
              </w:rPr>
            </w:pPr>
            <w:r>
              <w:rPr>
                <w:rFonts w:hint="eastAsia" w:ascii="宋体" w:hAnsi="宋体"/>
                <w:b/>
                <w:color w:val="auto"/>
                <w:sz w:val="21"/>
                <w:szCs w:val="21"/>
                <w:highlight w:val="none"/>
                <w:lang w:eastAsia="zh-CN"/>
              </w:rPr>
              <w:t>提示</w:t>
            </w:r>
            <w:r>
              <w:rPr>
                <w:rFonts w:hint="eastAsia" w:ascii="宋体" w:hAnsi="宋体"/>
                <w:b/>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b/>
                <w:color w:val="auto"/>
                <w:sz w:val="21"/>
                <w:szCs w:val="21"/>
                <w:highlight w:val="none"/>
                <w:lang w:val="en-US" w:eastAsia="zh-CN"/>
              </w:rPr>
              <w:t>1</w:t>
            </w:r>
            <w:r>
              <w:rPr>
                <w:rFonts w:hint="eastAsia" w:ascii="宋体" w:hAnsi="宋体"/>
                <w:b/>
                <w:color w:val="auto"/>
                <w:sz w:val="21"/>
                <w:szCs w:val="21"/>
                <w:highlight w:val="none"/>
              </w:rPr>
              <w:t>.政策参见《关于印发&lt;政务信息系统政府采购管理暂行办法&gt;的通知》财库〔2017〕210号。</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8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是否</w:t>
            </w:r>
            <w:r>
              <w:rPr>
                <w:rFonts w:hint="eastAsia" w:ascii="宋体" w:hAnsi="宋体" w:cs="宋体"/>
                <w:color w:val="auto"/>
                <w:sz w:val="24"/>
                <w:szCs w:val="24"/>
                <w:highlight w:val="none"/>
                <w:lang w:eastAsia="zh-CN"/>
              </w:rPr>
              <w:t>召开</w:t>
            </w:r>
            <w:r>
              <w:rPr>
                <w:rFonts w:hint="eastAsia" w:ascii="宋体" w:hAnsi="宋体" w:eastAsia="宋体" w:cs="宋体"/>
                <w:color w:val="auto"/>
                <w:sz w:val="24"/>
                <w:szCs w:val="24"/>
                <w:highlight w:val="none"/>
              </w:rPr>
              <w:t>标前答疑会</w:t>
            </w:r>
          </w:p>
        </w:tc>
        <w:tc>
          <w:tcPr>
            <w:tcW w:w="19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是 □ 否</w:t>
            </w:r>
          </w:p>
        </w:tc>
        <w:tc>
          <w:tcPr>
            <w:tcW w:w="23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是否</w:t>
            </w:r>
            <w:r>
              <w:rPr>
                <w:rFonts w:hint="eastAsia" w:ascii="宋体" w:hAnsi="宋体" w:cs="宋体"/>
                <w:color w:val="auto"/>
                <w:sz w:val="24"/>
                <w:szCs w:val="24"/>
                <w:highlight w:val="none"/>
                <w:lang w:eastAsia="zh-CN"/>
              </w:rPr>
              <w:t>组织</w:t>
            </w:r>
            <w:r>
              <w:rPr>
                <w:rFonts w:hint="eastAsia" w:ascii="宋体" w:hAnsi="宋体" w:eastAsia="宋体" w:cs="宋体"/>
                <w:color w:val="auto"/>
                <w:sz w:val="24"/>
                <w:szCs w:val="24"/>
                <w:highlight w:val="none"/>
              </w:rPr>
              <w:t>现场考察</w:t>
            </w:r>
          </w:p>
        </w:tc>
        <w:tc>
          <w:tcPr>
            <w:tcW w:w="2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是 □ 否</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8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是否提交样品</w:t>
            </w:r>
          </w:p>
        </w:tc>
        <w:tc>
          <w:tcPr>
            <w:tcW w:w="19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是 □ 否</w:t>
            </w:r>
          </w:p>
        </w:tc>
        <w:tc>
          <w:tcPr>
            <w:tcW w:w="23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是否</w:t>
            </w:r>
            <w:r>
              <w:rPr>
                <w:rFonts w:hint="eastAsia" w:ascii="宋体" w:hAnsi="宋体" w:eastAsia="宋体" w:cs="宋体"/>
                <w:color w:val="auto"/>
                <w:sz w:val="24"/>
                <w:szCs w:val="24"/>
                <w:highlight w:val="none"/>
              </w:rPr>
              <w:t>现场演示</w:t>
            </w:r>
          </w:p>
        </w:tc>
        <w:tc>
          <w:tcPr>
            <w:tcW w:w="2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是 □ 否</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218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是否采购进口产品</w:t>
            </w:r>
          </w:p>
        </w:tc>
        <w:tc>
          <w:tcPr>
            <w:tcW w:w="7104" w:type="dxa"/>
            <w:gridSpan w:val="3"/>
            <w:noWrap w:val="0"/>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□是 </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允许参与的进口产品：</w:t>
            </w:r>
            <w:r>
              <w:rPr>
                <w:rFonts w:hint="eastAsia" w:ascii="宋体" w:hAnsi="宋体" w:eastAsia="宋体" w:cs="宋体"/>
                <w:color w:val="auto"/>
                <w:sz w:val="24"/>
                <w:szCs w:val="24"/>
                <w:highlight w:val="none"/>
                <w:u w:val="single"/>
                <w:lang w:eastAsia="zh-CN"/>
              </w:rPr>
              <w:t>XXX、XXX、……</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b/>
                <w:color w:val="auto"/>
                <w:sz w:val="21"/>
                <w:szCs w:val="21"/>
                <w:highlight w:val="none"/>
                <w:lang w:eastAsia="zh-CN"/>
              </w:rPr>
              <w:t>提示：进口产品是指通过中国海关报关验放进入中国境内且产自关境外的产品。</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否 </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8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本项目核心产品</w:t>
            </w:r>
          </w:p>
        </w:tc>
        <w:tc>
          <w:tcPr>
            <w:tcW w:w="7104" w:type="dxa"/>
            <w:gridSpan w:val="3"/>
            <w:noWrap w:val="0"/>
            <w:vAlign w:val="center"/>
          </w:tcPr>
          <w:p>
            <w:pPr>
              <w:jc w:val="both"/>
              <w:rPr>
                <w:rFonts w:hint="eastAsia" w:ascii="Times New Roman" w:hAnsi="Times New Roman" w:cs="Times New Roman"/>
                <w:bCs/>
                <w:color w:val="auto"/>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有：</w:t>
            </w:r>
            <w:r>
              <w:rPr>
                <w:rFonts w:hint="eastAsia" w:ascii="Times New Roman" w:hAnsi="Times New Roman" w:cs="Times New Roman"/>
                <w:bCs/>
                <w:color w:val="auto"/>
                <w:highlight w:val="none"/>
                <w:u w:val="single"/>
                <w:lang w:val="en-US" w:eastAsia="zh-CN"/>
              </w:rPr>
              <w:t>XXX、XXX、……</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cs="Times New Roman"/>
                <w:b/>
                <w:bCs w:val="0"/>
                <w:color w:val="auto"/>
                <w:highlight w:val="none"/>
                <w:lang w:eastAsia="zh-CN"/>
              </w:rPr>
              <w:t>提示</w:t>
            </w:r>
            <w:r>
              <w:rPr>
                <w:rFonts w:hint="eastAsia" w:ascii="Times New Roman" w:hAnsi="Times New Roman" w:cs="Times New Roman"/>
                <w:b/>
                <w:bCs w:val="0"/>
                <w:color w:val="auto"/>
                <w:highlight w:val="none"/>
                <w:lang w:eastAsia="zh-CN"/>
              </w:rPr>
              <w:t>：</w:t>
            </w:r>
            <w:r>
              <w:rPr>
                <w:rFonts w:hint="eastAsia" w:ascii="宋体" w:hAnsi="宋体" w:cs="宋体"/>
                <w:b/>
                <w:bCs/>
                <w:color w:val="auto"/>
                <w:sz w:val="21"/>
                <w:szCs w:val="21"/>
                <w:highlight w:val="none"/>
                <w:lang w:eastAsia="zh-CN"/>
              </w:rPr>
              <w:t>货物产品采购需填写</w:t>
            </w:r>
            <w:r>
              <w:rPr>
                <w:rFonts w:hint="eastAsia" w:ascii="宋体" w:hAnsi="宋体" w:cs="宋体"/>
                <w:color w:val="auto"/>
                <w:sz w:val="24"/>
                <w:szCs w:val="24"/>
                <w:highlight w:val="none"/>
                <w:lang w:eastAsia="zh-CN"/>
              </w:rPr>
              <w:t>；</w:t>
            </w:r>
            <w:r>
              <w:rPr>
                <w:rFonts w:ascii="Times New Roman" w:hAnsi="Times New Roman" w:cs="Times New Roman"/>
                <w:b/>
                <w:bCs w:val="0"/>
                <w:color w:val="auto"/>
                <w:highlight w:val="none"/>
              </w:rPr>
              <w:t>非单一产品采购项目中，多家投标人提供的部分或所有核心产品品牌相同的，视为提供相同品牌产品。</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82" w:type="dxa"/>
            <w:noWrap w:val="0"/>
            <w:vAlign w:val="center"/>
          </w:tcPr>
          <w:p>
            <w:pPr>
              <w:spacing w:line="6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本项目符合此规定的供应商是</w:t>
            </w:r>
          </w:p>
        </w:tc>
        <w:tc>
          <w:tcPr>
            <w:tcW w:w="710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为采购项目提供整体设计、规范编制或者项目管理、监理、检测等服务的供应商，不得再参加该采购项目的其他采购活动。供应商为采购人、省采购中心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□本项目属于上述规定的供应商是：</w:t>
            </w:r>
            <w:r>
              <w:rPr>
                <w:rFonts w:hint="eastAsia" w:ascii="宋体" w:hAnsi="宋体" w:eastAsia="宋体" w:cs="宋体"/>
                <w:color w:val="auto"/>
                <w:sz w:val="24"/>
                <w:szCs w:val="24"/>
                <w:highlight w:val="none"/>
                <w:u w:val="single"/>
              </w:rPr>
              <w:t>XXX。</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b/>
                <w:bCs/>
                <w:color w:val="auto"/>
                <w:sz w:val="21"/>
                <w:szCs w:val="21"/>
                <w:highlight w:val="none"/>
                <w:lang w:val="en-US" w:eastAsia="zh-CN"/>
              </w:rPr>
              <w:t>（提示：此处列出供应商名单，多包采购请明确包号）。</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color w:val="auto"/>
                <w:sz w:val="21"/>
                <w:szCs w:val="21"/>
                <w:highlight w:val="none"/>
                <w:lang w:val="en-US" w:eastAsia="zh-CN"/>
              </w:rPr>
            </w:pPr>
            <w:r>
              <w:rPr>
                <w:rFonts w:hint="eastAsia" w:ascii="宋体" w:hAnsi="宋体" w:eastAsia="宋体" w:cs="宋体"/>
                <w:color w:val="auto"/>
                <w:sz w:val="24"/>
                <w:szCs w:val="24"/>
                <w:highlight w:val="none"/>
              </w:rPr>
              <w:t>□本项目无上述情形。</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82" w:type="dxa"/>
            <w:noWrap w:val="0"/>
            <w:vAlign w:val="center"/>
          </w:tcPr>
          <w:p>
            <w:pPr>
              <w:spacing w:line="600" w:lineRule="exact"/>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eastAsia="zh-CN"/>
              </w:rPr>
              <w:t>技术指标</w:t>
            </w:r>
            <w:r>
              <w:rPr>
                <w:rFonts w:hint="eastAsia" w:ascii="宋体" w:hAnsi="宋体"/>
                <w:color w:val="auto"/>
                <w:sz w:val="24"/>
                <w:highlight w:val="none"/>
                <w:lang w:val="en-US" w:eastAsia="zh-CN"/>
              </w:rPr>
              <w:t>(仅磋商采购方式填写）</w:t>
            </w:r>
          </w:p>
        </w:tc>
        <w:tc>
          <w:tcPr>
            <w:tcW w:w="710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4"/>
                <w:highlight w:val="none"/>
                <w:lang w:val="en-US" w:eastAsia="zh-CN"/>
              </w:rPr>
            </w:pPr>
            <w:r>
              <w:rPr>
                <w:rFonts w:hint="eastAsia" w:ascii="宋体" w:hAnsi="宋体"/>
                <w:color w:val="auto"/>
                <w:sz w:val="24"/>
                <w:highlight w:val="none"/>
                <w:u w:val="single"/>
                <w:lang w:val="en-US" w:eastAsia="zh-CN"/>
              </w:rPr>
              <w:t>XXX、XXX、……。</w:t>
            </w:r>
            <w:r>
              <w:rPr>
                <w:rFonts w:hint="eastAsia" w:ascii="宋体" w:hAnsi="宋体"/>
                <w:b/>
                <w:bCs/>
                <w:color w:val="auto"/>
                <w:sz w:val="21"/>
                <w:szCs w:val="21"/>
                <w:highlight w:val="none"/>
                <w:lang w:val="en-US" w:eastAsia="zh-CN"/>
              </w:rPr>
              <w:t>（提示：当</w:t>
            </w:r>
            <w:r>
              <w:rPr>
                <w:rFonts w:ascii="Times New Roman" w:hAnsi="Times New Roman" w:cs="Times New Roman"/>
                <w:b/>
                <w:bCs/>
                <w:color w:val="auto"/>
                <w:sz w:val="21"/>
                <w:szCs w:val="21"/>
                <w:highlight w:val="none"/>
              </w:rPr>
              <w:t>评审得分且最后报价相同的，按照技术指标优劣顺序推荐</w:t>
            </w:r>
            <w:r>
              <w:rPr>
                <w:rFonts w:hint="eastAsia" w:cs="Times New Roman"/>
                <w:b/>
                <w:bCs/>
                <w:color w:val="auto"/>
                <w:sz w:val="21"/>
                <w:szCs w:val="21"/>
                <w:highlight w:val="none"/>
                <w:lang w:eastAsia="zh-CN"/>
              </w:rPr>
              <w:t>；</w:t>
            </w:r>
            <w:r>
              <w:rPr>
                <w:rFonts w:hint="eastAsia" w:ascii="Times New Roman" w:hAnsi="Times New Roman" w:cs="Times New Roman"/>
                <w:b/>
                <w:bCs/>
                <w:color w:val="auto"/>
                <w:sz w:val="21"/>
                <w:szCs w:val="21"/>
                <w:highlight w:val="none"/>
                <w:lang w:val="en-US" w:eastAsia="zh-CN"/>
              </w:rPr>
              <w:t>多包采购请明确包号</w:t>
            </w:r>
            <w:r>
              <w:rPr>
                <w:rFonts w:hint="eastAsia" w:cs="Times New Roman"/>
                <w:b/>
                <w:bCs/>
                <w:color w:val="auto"/>
                <w:sz w:val="21"/>
                <w:szCs w:val="21"/>
                <w:highlight w:val="none"/>
                <w:lang w:val="en-US" w:eastAsia="zh-CN"/>
              </w:rPr>
              <w:t>。</w:t>
            </w:r>
            <w:r>
              <w:rPr>
                <w:rFonts w:hint="eastAsia" w:ascii="宋体" w:hAnsi="宋体"/>
                <w:b/>
                <w:bCs/>
                <w:color w:val="auto"/>
                <w:sz w:val="21"/>
                <w:szCs w:val="21"/>
                <w:highlight w:val="none"/>
                <w:lang w:val="en-US" w:eastAsia="zh-CN"/>
              </w:rPr>
              <w:t>）</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928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 w:val="24"/>
                <w:highlight w:val="none"/>
              </w:rPr>
            </w:pPr>
            <w:r>
              <w:rPr>
                <w:rFonts w:ascii="宋体" w:hAnsi="宋体"/>
                <w:color w:val="auto"/>
                <w:sz w:val="24"/>
                <w:highlight w:val="none"/>
              </w:rPr>
              <w:t>本项目采购工程对应的中小企业划分标准属于</w:t>
            </w:r>
            <w:sdt>
              <w:sdtPr>
                <w:rPr>
                  <w:rFonts w:hint="eastAsia" w:ascii="宋体" w:hAnsi="宋体" w:eastAsia="宋体" w:cs="宋体"/>
                  <w:bCs/>
                  <w:color w:val="auto"/>
                  <w:kern w:val="2"/>
                  <w:sz w:val="24"/>
                  <w:szCs w:val="24"/>
                  <w:highlight w:val="none"/>
                  <w:lang w:val="en-US" w:eastAsia="zh-CN" w:bidi="ar-SA"/>
                </w:rPr>
                <w:alias w:val="所属行业"/>
                <w:id w:val="147450882"/>
                <w:placeholder>
                  <w:docPart w:val="{bb7b572c-8ee4-4ebe-9cc4-9fd2fea55853}"/>
                </w:placeholder>
                <w:showingPlcHdr/>
                <w:dropDownList>
                  <w:listItem w:displayText="农" w:value="农"/>
                  <w:listItem w:displayText="林" w:value="林"/>
                  <w:listItem w:displayText="牧" w:value="牧"/>
                  <w:listItem w:displayText="渔业" w:value="渔业"/>
                  <w:listItem w:displayText="工业（包括采矿业、制造业、电力、热力、燃气及水生产和供应业）" w:value="工业（包括采矿业、制造业、电力、热力、燃气及水生产和供应业）"/>
                  <w:listItem w:displayText="建筑业" w:value="建筑业"/>
                  <w:listItem w:displayText="批发业" w:value="批发业"/>
                  <w:listItem w:displayText="零售业" w:value="零售业"/>
                  <w:listItem w:displayText="交通运输业（不含铁路运输业）" w:value="交通运输业（不含铁路运输业）"/>
                  <w:listItem w:displayText="仓储业" w:value="仓储业"/>
                  <w:listItem w:displayText="邮政业" w:value="邮政业"/>
                  <w:listItem w:displayText="住宿业" w:value="住宿业"/>
                  <w:listItem w:displayText="餐饮业" w:value="餐饮业"/>
                  <w:listItem w:displayText="信息传输业（包括电信、互联网和相关服务）" w:value="信息传输业（包括电信、互联网和相关服务）"/>
                  <w:listItem w:displayText="软件和信息技术服务业" w:value="软件和信息技术服务业"/>
                  <w:listItem w:displayText="房地产开发经营" w:value="房地产开发经营"/>
                  <w:listItem w:displayText="物业管理" w:value="物业管理"/>
                  <w:listItem w:displayText="租赁和商务服务业" w:value="租赁和商务服务业"/>
                  <w:listItem w:displayText="其他未列明行业（包括科学研究和技术服务业，水利、环境和公共设施管理业，居民服务、修理和其他服务业，社会工作，文化，体育，和娱乐业等）" w:value="其他未列明行业（包括科学研究和技术服务业，水利、环境和公共设施管理业，居民服务、修理和其他服务业，社会工作，文化，体育，和娱乐业等）"/>
                </w:dropDownList>
              </w:sdtPr>
              <w:sdtEndPr>
                <w:rPr>
                  <w:rFonts w:hint="eastAsia" w:ascii="宋体" w:hAnsi="宋体" w:eastAsia="宋体" w:cs="宋体"/>
                  <w:bCs/>
                  <w:color w:val="auto"/>
                  <w:kern w:val="2"/>
                  <w:sz w:val="24"/>
                  <w:szCs w:val="24"/>
                  <w:highlight w:val="none"/>
                  <w:lang w:val="en-US" w:eastAsia="zh-CN" w:bidi="ar-SA"/>
                </w:rPr>
              </w:sdtEndPr>
              <w:sdtContent>
                <w:r>
                  <w:rPr>
                    <w:color w:val="auto"/>
                    <w:highlight w:val="none"/>
                    <w:u w:val="single"/>
                  </w:rPr>
                  <w:t>选择一项。</w:t>
                </w:r>
              </w:sdtContent>
            </w:sdt>
            <w:r>
              <w:rPr>
                <w:rFonts w:ascii="宋体" w:hAnsi="宋体"/>
                <w:color w:val="auto"/>
                <w:sz w:val="24"/>
                <w:highlight w:val="none"/>
              </w:rPr>
              <w:t>行业。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4"/>
                <w:highlight w:val="none"/>
                <w:lang w:eastAsia="zh-CN"/>
              </w:rPr>
            </w:pPr>
            <w:r>
              <w:rPr>
                <w:rFonts w:hint="eastAsia" w:ascii="宋体" w:hAnsi="宋体"/>
                <w:sz w:val="24"/>
                <w:highlight w:val="none"/>
                <w:lang w:val="en-US" w:eastAsia="zh-CN"/>
              </w:rPr>
              <w:t>(</w:t>
            </w:r>
            <w:r>
              <w:rPr>
                <w:rFonts w:hint="eastAsia"/>
                <w:b/>
                <w:bCs/>
                <w:szCs w:val="21"/>
                <w:highlight w:val="none"/>
                <w:lang w:val="en-US" w:eastAsia="zh-CN"/>
              </w:rPr>
              <w:t>提示：仅工程类采购项目填写）</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82" w:type="dxa"/>
            <w:noWrap w:val="0"/>
            <w:vAlign w:val="center"/>
          </w:tcPr>
          <w:p>
            <w:pPr>
              <w:spacing w:line="600" w:lineRule="exact"/>
              <w:jc w:val="center"/>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中标（成交）供应商的确定原则</w:t>
            </w:r>
          </w:p>
        </w:tc>
        <w:tc>
          <w:tcPr>
            <w:tcW w:w="710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4"/>
                <w:highlight w:val="none"/>
              </w:rPr>
            </w:pPr>
            <w:r>
              <w:rPr>
                <w:rFonts w:hint="eastAsia" w:ascii="宋体" w:hAnsi="宋体"/>
                <w:color w:val="auto"/>
                <w:sz w:val="24"/>
                <w:highlight w:val="none"/>
              </w:rPr>
              <w:t>□授权评审小组直接确定中标（成交）供应商；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4"/>
                <w:highlight w:val="none"/>
              </w:rPr>
            </w:pPr>
            <w:r>
              <w:rPr>
                <w:rFonts w:hint="eastAsia" w:ascii="宋体" w:hAnsi="宋体"/>
                <w:color w:val="auto"/>
                <w:sz w:val="24"/>
                <w:highlight w:val="none"/>
              </w:rPr>
              <w:t>□由评审小组确定____（家）中标（成交）候选供应商,采购人按顺序确定中标（成交）供应商。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b/>
                <w:color w:val="auto"/>
                <w:szCs w:val="21"/>
                <w:highlight w:val="none"/>
                <w:lang w:val="en-US" w:eastAsia="zh-CN"/>
              </w:rPr>
            </w:pPr>
            <w:r>
              <w:rPr>
                <w:rFonts w:hint="eastAsia" w:ascii="宋体" w:hAnsi="宋体"/>
                <w:color w:val="auto"/>
                <w:sz w:val="24"/>
                <w:highlight w:val="none"/>
                <w:lang w:eastAsia="zh-CN"/>
              </w:rPr>
              <w:t>提示</w:t>
            </w:r>
            <w:r>
              <w:rPr>
                <w:rFonts w:hint="eastAsia" w:ascii="宋体" w:hAnsi="宋体"/>
                <w:color w:val="auto"/>
                <w:sz w:val="24"/>
                <w:highlight w:val="none"/>
              </w:rPr>
              <w:t>：B项推荐数量不应少于3家，部分项目有特殊要求可推荐更多候选供应商。</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82" w:type="dxa"/>
            <w:noWrap w:val="0"/>
            <w:vAlign w:val="center"/>
          </w:tcPr>
          <w:p>
            <w:pPr>
              <w:spacing w:line="600" w:lineRule="exact"/>
              <w:jc w:val="both"/>
              <w:rPr>
                <w:rFonts w:hint="eastAsia" w:ascii="宋体" w:hAnsi="宋体" w:eastAsia="宋体"/>
                <w:color w:val="auto"/>
                <w:sz w:val="24"/>
                <w:highlight w:val="none"/>
                <w:lang w:eastAsia="zh-CN"/>
              </w:rPr>
            </w:pPr>
            <w:r>
              <w:rPr>
                <w:rFonts w:hint="eastAsia" w:ascii="宋体" w:hAnsi="宋体"/>
                <w:color w:val="auto"/>
                <w:sz w:val="24"/>
                <w:highlight w:val="none"/>
                <w:lang w:eastAsia="zh-CN"/>
              </w:rPr>
              <w:t>评</w:t>
            </w:r>
            <w:r>
              <w:rPr>
                <w:rFonts w:hint="eastAsia" w:ascii="宋体" w:hAnsi="宋体"/>
                <w:color w:val="auto"/>
                <w:sz w:val="24"/>
                <w:highlight w:val="none"/>
              </w:rPr>
              <w:t>审专家</w:t>
            </w:r>
            <w:r>
              <w:rPr>
                <w:rFonts w:hint="eastAsia" w:ascii="宋体" w:hAnsi="宋体"/>
                <w:color w:val="auto"/>
                <w:sz w:val="24"/>
                <w:highlight w:val="none"/>
                <w:lang w:eastAsia="zh-CN"/>
              </w:rPr>
              <w:t>的选定</w:t>
            </w:r>
          </w:p>
        </w:tc>
        <w:tc>
          <w:tcPr>
            <w:tcW w:w="710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4"/>
                <w:highlight w:val="none"/>
              </w:rPr>
            </w:pPr>
            <w:r>
              <w:rPr>
                <w:rFonts w:hint="eastAsia" w:ascii="宋体" w:hAnsi="宋体"/>
                <w:color w:val="auto"/>
                <w:sz w:val="24"/>
                <w:highlight w:val="none"/>
              </w:rPr>
              <w:t>□采取随机方式在四川省政府采购评审专家库系统抽取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□由采购人根据《四川省政府采购评审专家管理实施办法》（川财采〔2017〕62号）的规定，报主管部门同意后自行选定。</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2182" w:type="dxa"/>
            <w:noWrap w:val="0"/>
            <w:vAlign w:val="center"/>
          </w:tcPr>
          <w:p>
            <w:pPr>
              <w:spacing w:line="600" w:lineRule="exact"/>
              <w:jc w:val="center"/>
              <w:rPr>
                <w:rFonts w:hint="eastAsia" w:ascii="宋体" w:hAnsi="宋体"/>
                <w:color w:val="auto"/>
                <w:sz w:val="24"/>
                <w:highlight w:val="none"/>
              </w:rPr>
            </w:pPr>
            <w:r>
              <w:rPr>
                <w:rFonts w:hint="eastAsia" w:ascii="宋体" w:hAnsi="宋体"/>
                <w:color w:val="auto"/>
                <w:sz w:val="24"/>
                <w:highlight w:val="none"/>
              </w:rPr>
              <w:t>履约保证金</w:t>
            </w:r>
          </w:p>
        </w:tc>
        <w:tc>
          <w:tcPr>
            <w:tcW w:w="710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4"/>
                <w:highlight w:val="none"/>
              </w:rPr>
            </w:pPr>
            <w:r>
              <w:rPr>
                <w:rFonts w:hint="eastAsia" w:ascii="宋体" w:hAnsi="宋体"/>
                <w:color w:val="auto"/>
                <w:sz w:val="24"/>
                <w:highlight w:val="none"/>
              </w:rPr>
              <w:t>根据《中华人民共和国政府采购法实施条列》第四十八条“采购文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4"/>
                <w:highlight w:val="none"/>
              </w:rPr>
            </w:pPr>
            <w:r>
              <w:rPr>
                <w:rFonts w:hint="eastAsia" w:ascii="宋体" w:hAnsi="宋体"/>
                <w:color w:val="auto"/>
                <w:sz w:val="24"/>
                <w:highlight w:val="none"/>
              </w:rPr>
              <w:t>件要求成交供应商提交履约保证金的，供应商应当以支票、汇票、本票或者金融机构、担保机构出具的保函等非现金形式提交……”和《四川省人民政府关于印发进一步规范政府采购监管和执行若干规定的通知》（川府发〔2018〕14号）第一条第（四）款“规范采购保证金收取及退还。能够通过信用评价或者检验检测等手段保障自身合法权益的，采购人或者采购代理机构原则上不再向供应商收取保证金……”的规定，原则上不再收取履约保证金；如果采购人与成交供应商在签订政府采购合同过程中，因项目特殊，采购人不能通过信用评价或者检验检测等手段保障自身合法权益的，由采购人和成交供应商双方依法自行约定，并由采购人自行收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4"/>
                <w:highlight w:val="none"/>
              </w:rPr>
            </w:pPr>
            <w:r>
              <w:rPr>
                <w:rFonts w:hint="eastAsia" w:ascii="宋体" w:hAnsi="宋体"/>
                <w:color w:val="auto"/>
                <w:sz w:val="24"/>
                <w:highlight w:val="none"/>
              </w:rPr>
              <w:t>本项目是否收取：□不收取   □收取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4"/>
                <w:highlight w:val="none"/>
              </w:rPr>
            </w:pPr>
            <w:r>
              <w:rPr>
                <w:rFonts w:hint="eastAsia" w:ascii="宋体" w:hAnsi="宋体"/>
                <w:color w:val="auto"/>
                <w:sz w:val="24"/>
                <w:highlight w:val="none"/>
              </w:rPr>
              <w:t>（若选择收取，请按以下格式填写）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4"/>
                <w:highlight w:val="none"/>
              </w:rPr>
            </w:pPr>
            <w:r>
              <w:rPr>
                <w:rFonts w:hint="eastAsia" w:ascii="宋体" w:hAnsi="宋体"/>
                <w:color w:val="auto"/>
                <w:sz w:val="24"/>
                <w:highlight w:val="none"/>
              </w:rPr>
              <w:t>履约保证金：本项目收取政府采购合同金额X%履约保证金。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4"/>
                <w:highlight w:val="none"/>
              </w:rPr>
            </w:pPr>
            <w:r>
              <w:rPr>
                <w:rFonts w:hint="eastAsia" w:ascii="宋体" w:hAnsi="宋体"/>
                <w:color w:val="auto"/>
                <w:sz w:val="24"/>
                <w:highlight w:val="none"/>
              </w:rPr>
              <w:t>交款方式：网银转账、支票、汇票、本票、金融机构或担保机构出具的保函等非现金方式。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4"/>
                <w:highlight w:val="none"/>
              </w:rPr>
            </w:pPr>
            <w:r>
              <w:rPr>
                <w:rFonts w:hint="eastAsia" w:ascii="宋体" w:hAnsi="宋体"/>
                <w:color w:val="auto"/>
                <w:sz w:val="24"/>
                <w:highlight w:val="none"/>
              </w:rPr>
              <w:t>注：出具保函的主体应当是金融机构、保险机构、担保机构等依法成立且具有相关资质和偿付能力的机构，否则将取消成交供应商的成交资格，采购人将重新确定成交供应商，并依法追究法律责任。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4"/>
                <w:highlight w:val="none"/>
              </w:rPr>
            </w:pPr>
            <w:r>
              <w:rPr>
                <w:rFonts w:hint="eastAsia" w:ascii="宋体" w:hAnsi="宋体"/>
                <w:color w:val="auto"/>
                <w:sz w:val="24"/>
                <w:highlight w:val="none"/>
              </w:rPr>
              <w:t>收款单位：XXX（采购人）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4"/>
                <w:highlight w:val="none"/>
              </w:rPr>
            </w:pPr>
            <w:r>
              <w:rPr>
                <w:rFonts w:hint="eastAsia" w:ascii="宋体" w:hAnsi="宋体"/>
                <w:color w:val="auto"/>
                <w:sz w:val="24"/>
                <w:highlight w:val="none"/>
              </w:rPr>
              <w:t>开户银行：XXX</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4"/>
                <w:highlight w:val="none"/>
              </w:rPr>
            </w:pPr>
            <w:r>
              <w:rPr>
                <w:rFonts w:hint="eastAsia" w:ascii="宋体" w:hAnsi="宋体"/>
                <w:color w:val="auto"/>
                <w:sz w:val="24"/>
                <w:highlight w:val="none"/>
              </w:rPr>
              <w:t>银行账号：XXX</w:t>
            </w:r>
          </w:p>
          <w:sdt>
            <w:sdtPr>
              <w:rPr>
                <w:rFonts w:hint="eastAsia" w:ascii="宋体" w:hAnsi="宋体" w:eastAsia="宋体" w:cs="Times New Roman"/>
                <w:color w:val="auto"/>
                <w:kern w:val="2"/>
                <w:sz w:val="24"/>
                <w:szCs w:val="24"/>
                <w:highlight w:val="none"/>
                <w:lang w:val="en-US" w:eastAsia="zh-CN" w:bidi="ar-SA"/>
              </w:rPr>
              <w:id w:val="147455380"/>
              <w:placeholder>
                <w:docPart w:val="{7963bfd7-5017-4b09-9272-13d5498d1f84}"/>
              </w:placeholder>
              <w:dropDownList>
                <w:listItem w:displayText="交款时间：成交通知书发出后，政府采购合同签订前。" w:value="交款时间：成交通知书发出后，政府采购合同签订前。"/>
              </w:dropDownList>
            </w:sdtPr>
            <w:sdtEndPr>
              <w:rPr>
                <w:rFonts w:hint="eastAsia" w:ascii="宋体" w:hAnsi="宋体" w:eastAsia="宋体" w:cs="Times New Roman"/>
                <w:color w:val="auto"/>
                <w:kern w:val="2"/>
                <w:sz w:val="24"/>
                <w:szCs w:val="24"/>
                <w:highlight w:val="none"/>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4"/>
                    <w:highlight w:val="none"/>
                  </w:rPr>
                </w:pPr>
                <w:r>
                  <w:rPr>
                    <w:rFonts w:hint="eastAsia" w:ascii="宋体" w:hAnsi="宋体" w:eastAsia="宋体" w:cs="Times New Roman"/>
                    <w:color w:val="auto"/>
                    <w:kern w:val="2"/>
                    <w:sz w:val="24"/>
                    <w:szCs w:val="24"/>
                    <w:highlight w:val="none"/>
                    <w:lang w:val="en-US" w:eastAsia="zh-CN" w:bidi="ar-SA"/>
                  </w:rPr>
                  <w:t>交款时间：成交通知书发出后，政府采购合同签订前。</w:t>
                </w:r>
              </w:p>
            </w:sdtContent>
          </w:sdt>
          <w:sdt>
            <w:sdtPr>
              <w:rPr>
                <w:rFonts w:hint="eastAsia" w:ascii="宋体" w:hAnsi="宋体" w:eastAsia="宋体" w:cs="Times New Roman"/>
                <w:color w:val="auto"/>
                <w:kern w:val="2"/>
                <w:sz w:val="24"/>
                <w:szCs w:val="24"/>
                <w:highlight w:val="none"/>
                <w:lang w:val="en-US" w:eastAsia="zh-CN" w:bidi="ar-SA"/>
              </w:rPr>
              <w:id w:val="147455226"/>
              <w:placeholder>
                <w:docPart w:val="{8b413c27-18fe-41e7-86d6-da8f5d3e0c3f}"/>
              </w:placeholder>
              <w:dropDownList>
                <w:listItem w:displayText="退款方式：履约验收合格后一次性及时退还。" w:value="退款方式：履约验收合格后一次性及时退还。"/>
              </w:dropDownList>
            </w:sdtPr>
            <w:sdtEndPr>
              <w:rPr>
                <w:rFonts w:hint="eastAsia" w:ascii="宋体" w:hAnsi="宋体" w:eastAsia="宋体" w:cs="Times New Roman"/>
                <w:color w:val="auto"/>
                <w:kern w:val="2"/>
                <w:sz w:val="24"/>
                <w:szCs w:val="24"/>
                <w:highlight w:val="none"/>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4"/>
                    <w:highlight w:val="none"/>
                  </w:rPr>
                </w:pPr>
                <w:r>
                  <w:rPr>
                    <w:rFonts w:hint="eastAsia" w:ascii="宋体" w:hAnsi="宋体" w:eastAsia="宋体" w:cs="Times New Roman"/>
                    <w:color w:val="auto"/>
                    <w:kern w:val="2"/>
                    <w:sz w:val="24"/>
                    <w:szCs w:val="24"/>
                    <w:highlight w:val="none"/>
                    <w:lang w:val="en-US" w:eastAsia="zh-CN" w:bidi="ar-SA"/>
                  </w:rPr>
                  <w:t>退款方式：履约验收合格后一次性及时退还。</w:t>
                </w:r>
              </w:p>
            </w:sdtContent>
          </w:sd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4"/>
                <w:highlight w:val="none"/>
              </w:rPr>
            </w:pPr>
            <w:r>
              <w:rPr>
                <w:rFonts w:hint="eastAsia" w:ascii="宋体" w:hAnsi="宋体"/>
                <w:color w:val="auto"/>
                <w:sz w:val="24"/>
                <w:highlight w:val="none"/>
              </w:rPr>
              <w:t>履约保证金不予退还情形：未按政府采购合同履约的。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b/>
                <w:color w:val="auto"/>
                <w:szCs w:val="21"/>
                <w:highlight w:val="none"/>
              </w:rPr>
            </w:pPr>
            <w:r>
              <w:rPr>
                <w:rFonts w:hint="eastAsia" w:ascii="宋体" w:hAnsi="宋体"/>
                <w:color w:val="auto"/>
                <w:sz w:val="24"/>
                <w:highlight w:val="none"/>
              </w:rPr>
              <w:t>履约保证金不予退还的，将按照有关规定上缴国库。逾期退还履约保证金的，将依法承担法律责任，并赔偿供应商损失。</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2182" w:type="dxa"/>
            <w:noWrap w:val="0"/>
            <w:vAlign w:val="center"/>
          </w:tcPr>
          <w:p>
            <w:pPr>
              <w:spacing w:line="740" w:lineRule="exact"/>
              <w:jc w:val="both"/>
              <w:rPr>
                <w:rFonts w:hint="eastAsia" w:ascii="宋体" w:hAnsi="宋体" w:eastAsia="微软雅黑"/>
                <w:b/>
                <w:color w:val="auto"/>
                <w:sz w:val="28"/>
                <w:szCs w:val="28"/>
                <w:highlight w:val="none"/>
                <w:lang w:val="en-US" w:eastAsia="zh-CN"/>
              </w:rPr>
            </w:pPr>
            <w:r>
              <w:rPr>
                <w:rFonts w:hint="eastAsia" w:ascii="宋体" w:hAnsi="宋体"/>
                <w:color w:val="auto"/>
                <w:sz w:val="24"/>
                <w:highlight w:val="none"/>
              </w:rPr>
              <w:t>合同履行期限</w:t>
            </w:r>
            <w:r>
              <w:rPr>
                <w:rFonts w:hint="eastAsia" w:ascii="宋体" w:hAnsi="宋体"/>
                <w:color w:val="auto"/>
                <w:sz w:val="24"/>
                <w:highlight w:val="none"/>
                <w:lang w:val="en-US" w:eastAsia="zh-CN"/>
              </w:rPr>
              <w:t>(天）</w:t>
            </w:r>
          </w:p>
        </w:tc>
        <w:tc>
          <w:tcPr>
            <w:tcW w:w="7104" w:type="dxa"/>
            <w:gridSpan w:val="3"/>
            <w:noWrap w:val="0"/>
            <w:vAlign w:val="center"/>
          </w:tcPr>
          <w:p>
            <w:pPr>
              <w:spacing w:line="740" w:lineRule="exact"/>
              <w:ind w:firstLine="562" w:firstLineChars="200"/>
              <w:jc w:val="center"/>
              <w:rPr>
                <w:rFonts w:hint="eastAsia" w:ascii="宋体" w:hAnsi="宋体"/>
                <w:b/>
                <w:color w:val="auto"/>
                <w:sz w:val="28"/>
                <w:szCs w:val="28"/>
                <w:highlight w:val="none"/>
                <w:lang w:val="en-US" w:eastAsia="zh-CN"/>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9286" w:type="dxa"/>
            <w:gridSpan w:val="4"/>
            <w:noWrap w:val="0"/>
            <w:vAlign w:val="center"/>
          </w:tcPr>
          <w:p>
            <w:pPr>
              <w:spacing w:line="740" w:lineRule="exact"/>
              <w:ind w:firstLine="562" w:firstLineChars="200"/>
              <w:jc w:val="center"/>
              <w:rPr>
                <w:rFonts w:hint="eastAsia" w:ascii="宋体" w:hAnsi="宋体"/>
                <w:color w:val="auto"/>
                <w:sz w:val="24"/>
                <w:highlight w:val="none"/>
              </w:rPr>
            </w:pPr>
            <w:r>
              <w:rPr>
                <w:rFonts w:hint="eastAsia" w:ascii="宋体" w:hAnsi="宋体"/>
                <w:b/>
                <w:color w:val="auto"/>
                <w:sz w:val="28"/>
                <w:szCs w:val="28"/>
                <w:highlight w:val="none"/>
                <w:lang w:val="en-US" w:eastAsia="zh-CN"/>
              </w:rPr>
              <w:t>二、各包供应商资格条件</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286"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b/>
                <w:bCs/>
                <w:color w:val="auto"/>
                <w:sz w:val="24"/>
                <w:highlight w:val="none"/>
              </w:rPr>
            </w:pPr>
            <w:r>
              <w:rPr>
                <w:rFonts w:hint="eastAsia" w:ascii="宋体" w:hAnsi="宋体"/>
                <w:b/>
                <w:bCs/>
                <w:color w:val="auto"/>
                <w:sz w:val="24"/>
                <w:highlight w:val="none"/>
              </w:rPr>
              <w:t>（一）《中华人民共和国政府采购法》</w:t>
            </w:r>
            <w:r>
              <w:rPr>
                <w:rFonts w:ascii="宋体" w:hAnsi="宋体"/>
                <w:b/>
                <w:bCs/>
                <w:color w:val="auto"/>
                <w:sz w:val="24"/>
                <w:highlight w:val="none"/>
              </w:rPr>
              <w:t>第二十二条 供应商参加政府采购活动应当具备下列条件：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b/>
                <w:bCs/>
                <w:color w:val="auto"/>
                <w:sz w:val="21"/>
                <w:szCs w:val="21"/>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b/>
                <w:bCs/>
                <w:color w:val="auto"/>
                <w:sz w:val="24"/>
                <w:szCs w:val="24"/>
                <w:highlight w:val="none"/>
              </w:rPr>
            </w:pPr>
            <w:r>
              <w:rPr>
                <w:rFonts w:hint="eastAsia" w:ascii="宋体" w:hAnsi="宋体"/>
                <w:b/>
                <w:bCs/>
                <w:color w:val="auto"/>
                <w:sz w:val="24"/>
                <w:szCs w:val="24"/>
                <w:highlight w:val="none"/>
              </w:rPr>
              <w:t>（二）落实政府采购政策的资格条件</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b/>
                <w:bCs/>
                <w:color w:val="auto"/>
                <w:sz w:val="24"/>
                <w:szCs w:val="24"/>
                <w:highlight w:val="none"/>
              </w:rPr>
            </w:pPr>
            <w:r>
              <w:rPr>
                <w:rFonts w:hint="eastAsia" w:ascii="宋体" w:hAnsi="宋体"/>
                <w:b/>
                <w:bCs/>
                <w:color w:val="auto"/>
                <w:sz w:val="24"/>
                <w:szCs w:val="24"/>
                <w:highlight w:val="none"/>
              </w:rPr>
              <w:t>□本项目 □本项目第X、X、……包 整体专门面向中小企业采购，供应商应为中小微企业或者监狱企业或者残疾人福利性单位。</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b/>
                <w:bCs/>
                <w:color w:val="auto"/>
                <w:sz w:val="24"/>
                <w:szCs w:val="24"/>
                <w:highlight w:val="none"/>
              </w:rPr>
            </w:pPr>
            <w:r>
              <w:rPr>
                <w:rFonts w:hint="eastAsia" w:ascii="宋体" w:hAnsi="宋体"/>
                <w:b/>
                <w:bCs/>
                <w:color w:val="auto"/>
                <w:sz w:val="24"/>
                <w:szCs w:val="24"/>
                <w:highlight w:val="none"/>
              </w:rPr>
              <w:t>□本项目 □本项目第X、X、……包 整体专门面向小微企业采购，供应商应为小微企业或者监狱企业或者残疾人福利性单位。</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b/>
                <w:bCs/>
                <w:color w:val="auto"/>
                <w:sz w:val="24"/>
                <w:szCs w:val="24"/>
                <w:highlight w:val="none"/>
              </w:rPr>
            </w:pPr>
            <w:r>
              <w:rPr>
                <w:rFonts w:hint="eastAsia" w:ascii="宋体" w:hAnsi="宋体"/>
                <w:b/>
                <w:bCs/>
                <w:color w:val="auto"/>
                <w:sz w:val="24"/>
                <w:szCs w:val="24"/>
                <w:highlight w:val="none"/>
              </w:rPr>
              <w:t>□本项目 □本项目第X、X、……包 部分面向中小企业采购，联合体中中小企业承担的比例不低于XX%，其中小微企业承担的比例不低于XX%。</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b/>
                <w:bCs/>
                <w:color w:val="auto"/>
                <w:sz w:val="24"/>
                <w:szCs w:val="24"/>
                <w:highlight w:val="none"/>
              </w:rPr>
            </w:pPr>
            <w:r>
              <w:rPr>
                <w:rFonts w:hint="eastAsia" w:ascii="宋体" w:hAnsi="宋体"/>
                <w:b/>
                <w:bCs/>
                <w:color w:val="auto"/>
                <w:sz w:val="24"/>
                <w:szCs w:val="24"/>
                <w:highlight w:val="none"/>
              </w:rPr>
              <w:t>□本项目 □本项目第X、X、……包 部分面向中小企业采购，其中分包给小微企业的比例不低于XX%。</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本项目不专门面向中小企业采购</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rPr>
              <w:t>（</w:t>
            </w:r>
            <w:r>
              <w:rPr>
                <w:rFonts w:hint="eastAsia" w:ascii="宋体" w:hAnsi="宋体"/>
                <w:b/>
                <w:bCs/>
                <w:color w:val="auto"/>
                <w:sz w:val="28"/>
                <w:szCs w:val="28"/>
                <w:highlight w:val="none"/>
                <w:lang w:eastAsia="zh-CN"/>
              </w:rPr>
              <w:t>三</w:t>
            </w:r>
            <w:r>
              <w:rPr>
                <w:rFonts w:hint="eastAsia" w:ascii="宋体" w:hAnsi="宋体"/>
                <w:b/>
                <w:bCs/>
                <w:color w:val="auto"/>
                <w:sz w:val="28"/>
                <w:szCs w:val="28"/>
                <w:highlight w:val="none"/>
              </w:rPr>
              <w:t>）</w:t>
            </w:r>
            <w:bookmarkStart w:id="5" w:name="_Hlk70086529"/>
            <w:r>
              <w:rPr>
                <w:rFonts w:hint="eastAsia" w:ascii="宋体" w:hAnsi="宋体"/>
                <w:b/>
                <w:bCs/>
                <w:color w:val="auto"/>
                <w:sz w:val="28"/>
                <w:szCs w:val="28"/>
                <w:highlight w:val="none"/>
              </w:rPr>
              <w:t>本项目特定资格要求</w:t>
            </w:r>
            <w:bookmarkEnd w:id="5"/>
            <w:r>
              <w:rPr>
                <w:rFonts w:hint="eastAsia" w:ascii="宋体" w:hAnsi="宋体"/>
                <w:b/>
                <w:bCs/>
                <w:color w:val="auto"/>
                <w:sz w:val="21"/>
                <w:szCs w:val="21"/>
                <w:highlight w:val="none"/>
                <w:lang w:eastAsia="zh-CN"/>
              </w:rPr>
              <w:t>（提示：工程采购项目采用从四川省政府采购供应商库中随机抽取方式的，特定资格条件的确定应当符合供应商库中资格条件规定的范畴，详见四川省政府采购中心电子化交易平台申报书模块。</w:t>
            </w:r>
            <w:r>
              <w:rPr>
                <w:rFonts w:hint="eastAsia" w:ascii="宋体" w:hAnsi="宋体"/>
                <w:b/>
                <w:bCs/>
                <w:color w:val="auto"/>
                <w:sz w:val="28"/>
                <w:szCs w:val="28"/>
                <w:highlight w:val="none"/>
                <w:lang w:eastAsia="zh-CN"/>
              </w:rPr>
              <w:t>）</w:t>
            </w:r>
          </w:p>
          <w:p>
            <w:pPr>
              <w:spacing w:line="400" w:lineRule="exact"/>
              <w:ind w:firstLine="480" w:firstLineChars="200"/>
              <w:rPr>
                <w:rFonts w:hint="default" w:ascii="宋体" w:hAnsi="宋体" w:eastAsia="宋体"/>
                <w:sz w:val="24"/>
                <w:highlight w:val="none"/>
                <w:u w:val="none"/>
                <w:lang w:val="en-US" w:eastAsia="zh-CN"/>
              </w:rPr>
            </w:pPr>
            <w:r>
              <w:rPr>
                <w:rFonts w:hint="eastAsia" w:ascii="宋体" w:hAnsi="宋体"/>
                <w:sz w:val="24"/>
                <w:highlight w:val="none"/>
                <w:u w:val="none"/>
                <w:lang w:val="en-US" w:eastAsia="zh-CN"/>
              </w:rPr>
              <w:t>1.</w:t>
            </w:r>
            <w:r>
              <w:rPr>
                <w:rFonts w:hint="eastAsia" w:ascii="宋体" w:hAnsi="宋体"/>
                <w:sz w:val="24"/>
                <w:highlight w:val="none"/>
                <w:u w:val="single"/>
              </w:rPr>
              <w:t>XXX</w:t>
            </w:r>
            <w:r>
              <w:rPr>
                <w:rFonts w:hint="eastAsia" w:ascii="宋体" w:hAnsi="宋体"/>
                <w:sz w:val="24"/>
                <w:highlight w:val="none"/>
                <w:u w:val="single"/>
                <w:lang w:val="en-US" w:eastAsia="zh-CN"/>
              </w:rPr>
              <w:t>XXX</w:t>
            </w:r>
            <w:r>
              <w:rPr>
                <w:rFonts w:hint="eastAsia" w:ascii="宋体" w:hAnsi="宋体"/>
                <w:sz w:val="24"/>
                <w:highlight w:val="none"/>
                <w:u w:val="single"/>
              </w:rPr>
              <w:t>。</w:t>
            </w:r>
            <w:r>
              <w:rPr>
                <w:rFonts w:hint="eastAsia" w:ascii="宋体" w:hAnsi="宋体"/>
                <w:sz w:val="24"/>
                <w:highlight w:val="none"/>
                <w:u w:val="none"/>
                <w:lang w:val="en-US" w:eastAsia="zh-CN"/>
              </w:rPr>
              <w:t xml:space="preserve">  </w:t>
            </w:r>
            <w:r>
              <w:rPr>
                <w:rFonts w:hint="eastAsia" w:ascii="宋体" w:hAnsi="宋体"/>
                <w:b/>
                <w:bCs/>
                <w:szCs w:val="21"/>
                <w:highlight w:val="none"/>
                <w:lang w:val="en-US" w:eastAsia="zh-CN"/>
              </w:rPr>
              <w:t>(提示：如无特定资格要求请填写“无”）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2.</w:t>
            </w:r>
            <w:r>
              <w:rPr>
                <w:rFonts w:hint="eastAsia" w:ascii="宋体" w:hAnsi="宋体"/>
                <w:color w:val="auto"/>
                <w:sz w:val="24"/>
                <w:highlight w:val="none"/>
              </w:rPr>
              <w:t>□</w:t>
            </w:r>
            <w:r>
              <w:rPr>
                <w:rFonts w:hint="eastAsia" w:ascii="宋体" w:hAnsi="宋体"/>
                <w:color w:val="auto"/>
                <w:sz w:val="24"/>
                <w:highlight w:val="none"/>
                <w:lang w:eastAsia="zh-CN"/>
              </w:rPr>
              <w:t>本项目</w:t>
            </w:r>
            <w:r>
              <w:rPr>
                <w:rFonts w:hint="eastAsia" w:ascii="宋体" w:hAnsi="宋体"/>
                <w:color w:val="auto"/>
                <w:sz w:val="24"/>
                <w:highlight w:val="none"/>
              </w:rPr>
              <w:t>接受联合体参加政府采购活动；供应商是联合体的，应当上传联合协议</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color w:val="auto"/>
                <w:sz w:val="24"/>
                <w:highlight w:val="none"/>
              </w:rPr>
            </w:pPr>
            <w:r>
              <w:rPr>
                <w:rFonts w:hint="eastAsia" w:ascii="宋体" w:hAnsi="宋体"/>
                <w:color w:val="auto"/>
                <w:sz w:val="24"/>
                <w:highlight w:val="none"/>
              </w:rPr>
              <w:sym w:font="Wingdings 2" w:char="00A3"/>
            </w:r>
            <w:r>
              <w:rPr>
                <w:rFonts w:hint="eastAsia" w:ascii="宋体" w:hAnsi="宋体"/>
                <w:color w:val="auto"/>
                <w:sz w:val="24"/>
                <w:highlight w:val="none"/>
                <w:lang w:eastAsia="zh-CN"/>
              </w:rPr>
              <w:t>本项目</w:t>
            </w:r>
            <w:r>
              <w:rPr>
                <w:rFonts w:hint="eastAsia" w:ascii="宋体" w:hAnsi="宋体"/>
                <w:color w:val="auto"/>
                <w:sz w:val="24"/>
                <w:highlight w:val="none"/>
              </w:rPr>
              <w:t>不接受联合体参加政府采购活动。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lang w:val="en-US" w:eastAsia="zh-CN"/>
              </w:rPr>
              <w:t>（四）产品的资格、资质性及其他类似效力要求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highlight w:val="none"/>
                <w:u w:val="none"/>
                <w:lang w:val="en-US" w:eastAsia="zh-CN"/>
              </w:rPr>
            </w:pPr>
            <w:r>
              <w:rPr>
                <w:rFonts w:hint="eastAsia" w:ascii="宋体" w:hAnsi="宋体"/>
                <w:color w:val="auto"/>
                <w:sz w:val="24"/>
                <w:highlight w:val="none"/>
                <w:u w:val="none"/>
                <w:lang w:val="en-US" w:eastAsia="zh-CN"/>
              </w:rPr>
              <w:t>1.强制节能产品：</w:t>
            </w:r>
            <w:r>
              <w:rPr>
                <w:rFonts w:hint="eastAsia" w:ascii="宋体" w:hAnsi="宋体"/>
                <w:color w:val="auto"/>
                <w:sz w:val="24"/>
                <w:highlight w:val="none"/>
              </w:rPr>
              <w:t xml:space="preserve"> □</w:t>
            </w:r>
            <w:r>
              <w:rPr>
                <w:rFonts w:hint="eastAsia" w:ascii="宋体" w:hAnsi="宋体"/>
                <w:color w:val="auto"/>
                <w:sz w:val="24"/>
                <w:highlight w:val="none"/>
                <w:u w:val="none"/>
                <w:lang w:val="en-US" w:eastAsia="zh-CN"/>
              </w:rPr>
              <w:t xml:space="preserve"> </w:t>
            </w:r>
            <w:r>
              <w:rPr>
                <w:rFonts w:hint="eastAsia" w:ascii="宋体" w:hAnsi="宋体"/>
                <w:color w:val="auto"/>
                <w:sz w:val="24"/>
                <w:highlight w:val="none"/>
                <w:u w:val="none"/>
              </w:rPr>
              <w:t>是</w:t>
            </w:r>
            <w:r>
              <w:rPr>
                <w:rFonts w:hint="eastAsia" w:ascii="宋体" w:hAnsi="宋体"/>
                <w:color w:val="auto"/>
                <w:sz w:val="24"/>
                <w:highlight w:val="none"/>
                <w:u w:val="none"/>
                <w:lang w:eastAsia="zh-CN"/>
              </w:rPr>
              <w:t>，</w:t>
            </w:r>
            <w:r>
              <w:rPr>
                <w:rFonts w:hint="eastAsia" w:ascii="宋体" w:hAnsi="宋体"/>
                <w:color w:val="auto"/>
                <w:sz w:val="24"/>
                <w:highlight w:val="none"/>
                <w:u w:val="none"/>
              </w:rPr>
              <w:t>本项目强制采购产品是：</w:t>
            </w:r>
            <w:r>
              <w:rPr>
                <w:rFonts w:hint="eastAsia" w:ascii="宋体" w:hAnsi="宋体"/>
                <w:color w:val="auto"/>
                <w:sz w:val="24"/>
                <w:highlight w:val="none"/>
                <w:u w:val="single"/>
                <w:lang w:val="en-US" w:eastAsia="zh-CN"/>
              </w:rPr>
              <w:t>XXX</w:t>
            </w:r>
            <w:r>
              <w:rPr>
                <w:rFonts w:hint="eastAsia" w:ascii="宋体" w:hAnsi="宋体"/>
                <w:color w:val="auto"/>
                <w:sz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2400" w:firstLineChars="1000"/>
              <w:textAlignment w:val="auto"/>
              <w:rPr>
                <w:rFonts w:hint="eastAsia" w:ascii="宋体" w:hAnsi="宋体" w:eastAsia="宋体"/>
                <w:color w:val="auto"/>
                <w:sz w:val="24"/>
                <w:highlight w:val="none"/>
                <w:u w:val="single"/>
                <w:lang w:val="en-US" w:eastAsia="zh-CN"/>
              </w:rPr>
            </w:pPr>
            <w:r>
              <w:rPr>
                <w:rFonts w:hint="eastAsia" w:ascii="宋体" w:hAnsi="宋体"/>
                <w:color w:val="auto"/>
                <w:sz w:val="24"/>
                <w:highlight w:val="none"/>
                <w:u w:val="none"/>
                <w:lang w:val="en-US" w:eastAsia="zh-CN"/>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u w:val="none"/>
              </w:rPr>
              <w:t>否</w:t>
            </w:r>
            <w:r>
              <w:rPr>
                <w:rFonts w:hint="eastAsia" w:ascii="宋体" w:hAnsi="宋体"/>
                <w:color w:val="auto"/>
                <w:sz w:val="24"/>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highlight w:val="none"/>
                <w:u w:val="none"/>
                <w:lang w:val="en-US" w:eastAsia="zh-CN"/>
              </w:rPr>
            </w:pPr>
            <w:r>
              <w:rPr>
                <w:rFonts w:hint="eastAsia" w:ascii="宋体" w:hAnsi="宋体"/>
                <w:color w:val="auto"/>
                <w:sz w:val="24"/>
                <w:highlight w:val="none"/>
                <w:u w:val="none"/>
                <w:lang w:val="en-US" w:eastAsia="zh-CN"/>
              </w:rPr>
              <w:t>2.</w:t>
            </w:r>
            <w:r>
              <w:rPr>
                <w:rFonts w:hint="eastAsia" w:ascii="宋体" w:hAnsi="宋体"/>
                <w:color w:val="auto"/>
                <w:sz w:val="24"/>
                <w:highlight w:val="none"/>
                <w:u w:val="none"/>
              </w:rPr>
              <w:t>信息安全</w:t>
            </w:r>
            <w:r>
              <w:rPr>
                <w:rFonts w:hint="eastAsia" w:ascii="宋体" w:hAnsi="宋体"/>
                <w:color w:val="auto"/>
                <w:sz w:val="24"/>
                <w:highlight w:val="none"/>
                <w:u w:val="none"/>
                <w:lang w:eastAsia="zh-CN"/>
              </w:rPr>
              <w:t>产品</w:t>
            </w:r>
            <w:r>
              <w:rPr>
                <w:rFonts w:hint="eastAsia" w:ascii="宋体" w:hAnsi="宋体"/>
                <w:color w:val="auto"/>
                <w:sz w:val="24"/>
                <w:highlight w:val="none"/>
                <w:u w:val="none"/>
              </w:rPr>
              <w:t>要求</w:t>
            </w:r>
            <w:r>
              <w:rPr>
                <w:rFonts w:hint="eastAsia" w:ascii="宋体" w:hAnsi="宋体"/>
                <w:color w:val="auto"/>
                <w:sz w:val="24"/>
                <w:highlight w:val="none"/>
                <w:u w:val="none"/>
                <w:lang w:val="en-US" w:eastAsia="zh-CN"/>
              </w:rPr>
              <w:t xml:space="preserve">: </w:t>
            </w:r>
            <w:r>
              <w:rPr>
                <w:rFonts w:hint="eastAsia" w:ascii="宋体" w:hAnsi="宋体"/>
                <w:color w:val="auto"/>
                <w:sz w:val="24"/>
                <w:highlight w:val="none"/>
              </w:rPr>
              <w:t>□</w:t>
            </w:r>
            <w:r>
              <w:rPr>
                <w:rFonts w:hint="eastAsia" w:ascii="宋体" w:hAnsi="宋体"/>
                <w:color w:val="auto"/>
                <w:sz w:val="24"/>
                <w:highlight w:val="none"/>
                <w:u w:val="none"/>
                <w:lang w:val="en-US" w:eastAsia="zh-CN"/>
              </w:rPr>
              <w:t xml:space="preserve"> </w:t>
            </w:r>
            <w:r>
              <w:rPr>
                <w:rFonts w:hint="eastAsia" w:ascii="宋体" w:hAnsi="宋体"/>
                <w:color w:val="auto"/>
                <w:sz w:val="24"/>
                <w:highlight w:val="none"/>
                <w:u w:val="none"/>
              </w:rPr>
              <w:t>是</w:t>
            </w:r>
            <w:r>
              <w:rPr>
                <w:rFonts w:hint="eastAsia" w:ascii="宋体" w:hAnsi="宋体"/>
                <w:color w:val="auto"/>
                <w:sz w:val="24"/>
                <w:highlight w:val="none"/>
                <w:u w:val="none"/>
                <w:lang w:eastAsia="zh-CN"/>
              </w:rPr>
              <w:t>，</w:t>
            </w:r>
            <w:r>
              <w:rPr>
                <w:rFonts w:hint="eastAsia" w:ascii="宋体" w:hAnsi="宋体"/>
                <w:color w:val="auto"/>
                <w:sz w:val="24"/>
                <w:highlight w:val="none"/>
                <w:u w:val="none"/>
              </w:rPr>
              <w:t>本项目信息安全产品是：</w:t>
            </w:r>
            <w:r>
              <w:rPr>
                <w:rFonts w:hint="eastAsia" w:ascii="宋体" w:hAnsi="宋体"/>
                <w:color w:val="auto"/>
                <w:sz w:val="24"/>
                <w:highlight w:val="none"/>
                <w:u w:val="single"/>
                <w:lang w:val="en-US" w:eastAsia="zh-CN"/>
              </w:rPr>
              <w:t>XXX</w:t>
            </w:r>
            <w:r>
              <w:rPr>
                <w:rFonts w:hint="eastAsia" w:ascii="宋体" w:hAnsi="宋体"/>
                <w:color w:val="auto"/>
                <w:sz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80" w:firstLineChars="1200"/>
              <w:textAlignment w:val="auto"/>
              <w:rPr>
                <w:rFonts w:hint="default" w:ascii="宋体" w:hAnsi="宋体" w:eastAsia="宋体"/>
                <w:color w:val="auto"/>
                <w:sz w:val="24"/>
                <w:highlight w:val="none"/>
                <w:u w:val="none"/>
                <w:lang w:val="en-US" w:eastAsia="zh-CN"/>
              </w:rPr>
            </w:pPr>
            <w:r>
              <w:rPr>
                <w:rFonts w:hint="eastAsia" w:ascii="宋体" w:hAnsi="宋体"/>
                <w:color w:val="auto"/>
                <w:sz w:val="24"/>
                <w:highlight w:val="none"/>
              </w:rPr>
              <w:t>□</w:t>
            </w:r>
            <w:r>
              <w:rPr>
                <w:rFonts w:hint="eastAsia" w:ascii="宋体" w:hAnsi="宋体"/>
                <w:color w:val="auto"/>
                <w:sz w:val="24"/>
                <w:highlight w:val="none"/>
                <w:u w:val="none"/>
              </w:rPr>
              <w:t>否</w:t>
            </w:r>
            <w:r>
              <w:rPr>
                <w:rFonts w:hint="eastAsia" w:ascii="宋体" w:hAnsi="宋体"/>
                <w:color w:val="auto"/>
                <w:sz w:val="24"/>
                <w:highlight w:val="none"/>
                <w:u w:val="none"/>
                <w:lang w:val="en-US" w:eastAsia="zh-CN"/>
              </w:rPr>
              <w:t xml:space="preserve"> </w:t>
            </w:r>
          </w:p>
          <w:p>
            <w:pPr>
              <w:spacing w:line="400" w:lineRule="exact"/>
              <w:ind w:firstLine="480" w:firstLineChars="200"/>
              <w:rPr>
                <w:rFonts w:hint="default" w:ascii="宋体" w:hAnsi="宋体" w:eastAsia="宋体"/>
                <w:sz w:val="24"/>
                <w:highlight w:val="none"/>
                <w:u w:val="none"/>
                <w:lang w:val="en-US" w:eastAsia="zh-CN"/>
              </w:rPr>
            </w:pPr>
            <w:r>
              <w:rPr>
                <w:rFonts w:hint="eastAsia" w:ascii="宋体" w:hAnsi="宋体"/>
                <w:bCs/>
                <w:color w:val="auto"/>
                <w:sz w:val="24"/>
                <w:highlight w:val="none"/>
                <w:lang w:val="en-US" w:eastAsia="zh-CN"/>
              </w:rPr>
              <w:t>3.</w:t>
            </w:r>
            <w:r>
              <w:rPr>
                <w:rFonts w:hint="eastAsia" w:ascii="宋体" w:hAnsi="宋体"/>
                <w:bCs/>
                <w:color w:val="auto"/>
                <w:sz w:val="24"/>
                <w:highlight w:val="none"/>
              </w:rPr>
              <w:t>产品的其它资格、资质性及其他类似效力要求</w:t>
            </w:r>
            <w:r>
              <w:rPr>
                <w:rFonts w:hint="eastAsia" w:ascii="宋体" w:hAnsi="宋体"/>
                <w:bCs/>
                <w:color w:val="auto"/>
                <w:sz w:val="24"/>
                <w:highlight w:val="none"/>
                <w:lang w:eastAsia="zh-CN"/>
              </w:rPr>
              <w:t>：</w:t>
            </w:r>
            <w:r>
              <w:rPr>
                <w:rFonts w:hint="eastAsia" w:ascii="宋体" w:hAnsi="宋体"/>
                <w:bCs/>
                <w:sz w:val="24"/>
                <w:highlight w:val="none"/>
                <w:u w:val="single"/>
              </w:rPr>
              <w:t>X</w:t>
            </w:r>
            <w:r>
              <w:rPr>
                <w:rFonts w:hint="eastAsia" w:ascii="宋体" w:hAnsi="宋体"/>
                <w:bCs/>
                <w:sz w:val="24"/>
                <w:highlight w:val="none"/>
                <w:u w:val="single"/>
                <w:lang w:val="en-US" w:eastAsia="zh-CN"/>
              </w:rPr>
              <w:t>XXX</w:t>
            </w:r>
            <w:r>
              <w:rPr>
                <w:rFonts w:hint="eastAsia" w:ascii="宋体" w:hAnsi="宋体"/>
                <w:bCs/>
                <w:sz w:val="24"/>
                <w:highlight w:val="none"/>
                <w:u w:val="single"/>
              </w:rPr>
              <w:t>XX。</w:t>
            </w:r>
            <w:r>
              <w:rPr>
                <w:rFonts w:hint="eastAsia" w:ascii="宋体" w:hAnsi="宋体"/>
                <w:b/>
                <w:bCs/>
                <w:szCs w:val="21"/>
                <w:highlight w:val="none"/>
                <w:lang w:val="en-US" w:eastAsia="zh-CN"/>
              </w:rPr>
              <w:t>(提示：如对产品无其它资格、资质性及其他类似效力要求请填写“无”）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bCs/>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Cs/>
                <w:color w:val="auto"/>
                <w:sz w:val="24"/>
                <w:highlight w:val="none"/>
              </w:rPr>
            </w:pPr>
            <w:r>
              <w:rPr>
                <w:rFonts w:hint="eastAsia" w:ascii="宋体" w:hAnsi="宋体"/>
                <w:b/>
                <w:bCs w:val="0"/>
                <w:color w:val="auto"/>
                <w:sz w:val="21"/>
                <w:szCs w:val="21"/>
                <w:highlight w:val="none"/>
                <w:lang w:eastAsia="zh-CN"/>
              </w:rPr>
              <w:t>提示</w:t>
            </w:r>
            <w:r>
              <w:rPr>
                <w:rFonts w:hint="eastAsia" w:ascii="宋体" w:hAnsi="宋体"/>
                <w:b/>
                <w:bCs w:val="0"/>
                <w:color w:val="auto"/>
                <w:sz w:val="21"/>
                <w:szCs w:val="21"/>
                <w:highlight w:val="none"/>
              </w:rPr>
              <w:t>：相关内容请严格按照执行申报书五、节能产品政府采购相关政策和六、信息安全产品强制性认证目录进行填写</w:t>
            </w:r>
            <w:r>
              <w:rPr>
                <w:rFonts w:hint="eastAsia" w:ascii="宋体" w:hAnsi="宋体"/>
                <w:b/>
                <w:bCs w:val="0"/>
                <w:color w:val="auto"/>
                <w:sz w:val="21"/>
                <w:szCs w:val="21"/>
                <w:highlight w:val="none"/>
                <w:lang w:eastAsia="zh-CN"/>
              </w:rPr>
              <w:t>，如有分包请明确包号</w:t>
            </w:r>
            <w:r>
              <w:rPr>
                <w:rFonts w:hint="eastAsia" w:ascii="宋体" w:hAnsi="宋体"/>
                <w:bCs/>
                <w:color w:val="auto"/>
                <w:sz w:val="24"/>
                <w:highlight w:val="none"/>
              </w:rPr>
              <w:t>。</w:t>
            </w:r>
          </w:p>
          <w:p>
            <w:pPr>
              <w:spacing w:line="600" w:lineRule="exact"/>
              <w:jc w:val="center"/>
              <w:rPr>
                <w:rFonts w:hint="eastAsia" w:ascii="宋体" w:hAnsi="宋体"/>
                <w:b/>
                <w:color w:val="auto"/>
                <w:sz w:val="24"/>
                <w:highlight w:val="none"/>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9286" w:type="dxa"/>
            <w:gridSpan w:val="4"/>
            <w:noWrap w:val="0"/>
            <w:vAlign w:val="center"/>
          </w:tcPr>
          <w:p>
            <w:pPr>
              <w:numPr>
                <w:ilvl w:val="0"/>
                <w:numId w:val="0"/>
              </w:numPr>
              <w:spacing w:line="600" w:lineRule="exact"/>
              <w:jc w:val="center"/>
              <w:rPr>
                <w:rFonts w:hint="eastAsia" w:ascii="宋体" w:hAnsi="宋体"/>
                <w:b/>
                <w:color w:val="auto"/>
                <w:sz w:val="24"/>
                <w:highlight w:val="none"/>
              </w:rPr>
            </w:pPr>
            <w:r>
              <w:rPr>
                <w:rFonts w:hint="eastAsia" w:ascii="宋体" w:hAnsi="宋体"/>
                <w:b/>
                <w:color w:val="auto"/>
                <w:sz w:val="28"/>
                <w:szCs w:val="28"/>
                <w:highlight w:val="none"/>
                <w:lang w:eastAsia="zh-CN"/>
              </w:rPr>
              <w:t>三、采购包</w:t>
            </w:r>
            <w:r>
              <w:rPr>
                <w:rFonts w:hint="eastAsia" w:ascii="宋体" w:hAnsi="宋体"/>
                <w:b/>
                <w:color w:val="auto"/>
                <w:sz w:val="28"/>
                <w:szCs w:val="28"/>
                <w:highlight w:val="none"/>
              </w:rPr>
              <w:t>明细（</w:t>
            </w:r>
            <w:r>
              <w:rPr>
                <w:rFonts w:hint="eastAsia" w:ascii="宋体" w:hAnsi="宋体"/>
                <w:b/>
                <w:color w:val="auto"/>
                <w:sz w:val="28"/>
                <w:szCs w:val="28"/>
                <w:highlight w:val="none"/>
                <w:lang w:eastAsia="zh-CN"/>
              </w:rPr>
              <w:t>提示：</w:t>
            </w:r>
            <w:r>
              <w:rPr>
                <w:rFonts w:hint="eastAsia" w:ascii="宋体" w:hAnsi="宋体"/>
                <w:b/>
                <w:color w:val="auto"/>
                <w:sz w:val="28"/>
                <w:szCs w:val="28"/>
                <w:highlight w:val="none"/>
              </w:rPr>
              <w:t>如有分包请逐包添加填写）</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9286" w:type="dxa"/>
            <w:gridSpan w:val="4"/>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采购包明细</w:t>
            </w:r>
          </w:p>
          <w:tbl>
            <w:tblPr>
              <w:tblStyle w:val="7"/>
              <w:tblpPr w:leftFromText="180" w:rightFromText="180" w:vertAnchor="text" w:horzAnchor="page" w:tblpX="88" w:tblpY="150"/>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7"/>
              <w:gridCol w:w="1594"/>
              <w:gridCol w:w="2010"/>
              <w:gridCol w:w="3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trPr>
              <w:tc>
                <w:tcPr>
                  <w:tcW w:w="110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 w:val="24"/>
                      <w:highlight w:val="none"/>
                    </w:rPr>
                  </w:pPr>
                  <w:r>
                    <w:rPr>
                      <w:rFonts w:hint="eastAsia" w:ascii="宋体" w:hAnsi="宋体"/>
                      <w:color w:val="auto"/>
                      <w:sz w:val="24"/>
                      <w:highlight w:val="none"/>
                      <w:lang w:eastAsia="zh-CN"/>
                    </w:rPr>
                    <w:t>采购包</w:t>
                  </w:r>
                  <w:r>
                    <w:rPr>
                      <w:rFonts w:hint="eastAsia" w:ascii="宋体" w:hAnsi="宋体"/>
                      <w:color w:val="auto"/>
                      <w:sz w:val="24"/>
                      <w:highlight w:val="none"/>
                    </w:rPr>
                    <w:t>名称</w:t>
                  </w:r>
                </w:p>
              </w:tc>
              <w:tc>
                <w:tcPr>
                  <w:tcW w:w="3892"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0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 w:val="24"/>
                      <w:highlight w:val="none"/>
                    </w:rPr>
                  </w:pPr>
                  <w:r>
                    <w:rPr>
                      <w:rFonts w:hint="eastAsia" w:ascii="宋体" w:hAnsi="宋体"/>
                      <w:color w:val="auto"/>
                      <w:sz w:val="24"/>
                      <w:highlight w:val="none"/>
                    </w:rPr>
                    <w:t>预算</w:t>
                  </w:r>
                  <w:r>
                    <w:rPr>
                      <w:rFonts w:hint="eastAsia" w:ascii="宋体" w:hAnsi="宋体"/>
                      <w:color w:val="auto"/>
                      <w:sz w:val="24"/>
                      <w:highlight w:val="none"/>
                      <w:lang w:eastAsia="zh-CN"/>
                    </w:rPr>
                    <w:t>金额</w:t>
                  </w:r>
                  <w:r>
                    <w:rPr>
                      <w:rFonts w:hint="eastAsia" w:ascii="宋体" w:hAnsi="宋体"/>
                      <w:color w:val="auto"/>
                      <w:sz w:val="24"/>
                      <w:highlight w:val="none"/>
                    </w:rPr>
                    <w:t>（元）</w:t>
                  </w:r>
                </w:p>
              </w:tc>
              <w:tc>
                <w:tcPr>
                  <w:tcW w:w="8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 w:val="24"/>
                      <w:highlight w:val="none"/>
                    </w:rPr>
                  </w:pPr>
                </w:p>
              </w:tc>
              <w:tc>
                <w:tcPr>
                  <w:tcW w:w="11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 w:val="24"/>
                      <w:highlight w:val="none"/>
                    </w:rPr>
                  </w:pPr>
                  <w:r>
                    <w:rPr>
                      <w:rFonts w:hint="eastAsia" w:ascii="宋体" w:hAnsi="宋体"/>
                      <w:color w:val="auto"/>
                      <w:sz w:val="24"/>
                      <w:highlight w:val="none"/>
                    </w:rPr>
                    <w:t>最高限价（元）</w:t>
                  </w:r>
                </w:p>
              </w:tc>
              <w:tc>
                <w:tcPr>
                  <w:tcW w:w="19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 w:hRule="atLeast"/>
              </w:trPr>
              <w:tc>
                <w:tcPr>
                  <w:tcW w:w="110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olor w:val="auto"/>
                      <w:sz w:val="24"/>
                      <w:highlight w:val="none"/>
                      <w:lang w:eastAsia="zh-CN"/>
                    </w:rPr>
                  </w:pPr>
                  <w:r>
                    <w:rPr>
                      <w:rFonts w:hint="eastAsia" w:ascii="宋体" w:hAnsi="宋体"/>
                      <w:color w:val="auto"/>
                      <w:sz w:val="24"/>
                      <w:highlight w:val="none"/>
                      <w:lang w:val="en-US" w:eastAsia="zh-CN"/>
                    </w:rPr>
                    <w:t>采购项目需要落实的政府采购政策</w:t>
                  </w:r>
                </w:p>
              </w:tc>
              <w:tc>
                <w:tcPr>
                  <w:tcW w:w="3892"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bCs/>
                      <w:color w:val="auto"/>
                      <w:sz w:val="24"/>
                      <w:highlight w:val="none"/>
                      <w:lang w:eastAsia="zh-CN"/>
                    </w:rPr>
                  </w:pPr>
                  <w:r>
                    <w:rPr>
                      <w:rFonts w:hint="eastAsia" w:ascii="宋体" w:hAnsi="宋体"/>
                      <w:bCs/>
                      <w:color w:val="auto"/>
                      <w:sz w:val="24"/>
                      <w:highlight w:val="none"/>
                    </w:rPr>
                    <w:t>□</w:t>
                  </w:r>
                  <w:r>
                    <w:rPr>
                      <w:rFonts w:hint="eastAsia" w:ascii="宋体" w:hAnsi="宋体"/>
                      <w:bCs/>
                      <w:color w:val="auto"/>
                      <w:sz w:val="24"/>
                      <w:highlight w:val="none"/>
                      <w:lang w:eastAsia="zh-CN"/>
                    </w:rPr>
                    <w:t>扶持中小企业</w:t>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rPr>
                    <w:t>□</w:t>
                  </w:r>
                  <w:r>
                    <w:rPr>
                      <w:rFonts w:hint="eastAsia" w:ascii="宋体" w:hAnsi="宋体"/>
                      <w:bCs/>
                      <w:color w:val="auto"/>
                      <w:sz w:val="24"/>
                      <w:highlight w:val="none"/>
                      <w:lang w:eastAsia="zh-CN"/>
                    </w:rPr>
                    <w:t>扶持不发达和少数民族地区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bCs/>
                      <w:color w:val="auto"/>
                      <w:sz w:val="24"/>
                      <w:highlight w:val="none"/>
                      <w:lang w:eastAsia="zh-CN"/>
                    </w:rPr>
                  </w:pPr>
                  <w:r>
                    <w:rPr>
                      <w:rFonts w:hint="eastAsia" w:ascii="宋体" w:hAnsi="宋体"/>
                      <w:bCs/>
                      <w:color w:val="auto"/>
                      <w:sz w:val="24"/>
                      <w:highlight w:val="none"/>
                    </w:rPr>
                    <w:t>□</w:t>
                  </w:r>
                  <w:r>
                    <w:rPr>
                      <w:rFonts w:hint="eastAsia" w:ascii="宋体" w:hAnsi="宋体"/>
                      <w:bCs/>
                      <w:color w:val="auto"/>
                      <w:sz w:val="24"/>
                      <w:highlight w:val="none"/>
                      <w:lang w:eastAsia="zh-CN"/>
                    </w:rPr>
                    <w:t>优先采购节能、环境标志产品</w:t>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rPr>
                    <w:t>□</w:t>
                  </w:r>
                  <w:r>
                    <w:rPr>
                      <w:rFonts w:hint="eastAsia" w:ascii="宋体" w:hAnsi="宋体"/>
                      <w:bCs/>
                      <w:color w:val="auto"/>
                      <w:sz w:val="24"/>
                      <w:highlight w:val="none"/>
                      <w:lang w:eastAsia="zh-CN"/>
                    </w:rPr>
                    <w:t>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bCs/>
                      <w:color w:val="auto"/>
                      <w:sz w:val="24"/>
                      <w:highlight w:val="none"/>
                      <w:lang w:eastAsia="zh-CN"/>
                    </w:rPr>
                  </w:pPr>
                  <w:r>
                    <w:rPr>
                      <w:rFonts w:hint="eastAsia" w:ascii="宋体" w:hAnsi="宋体"/>
                      <w:bCs/>
                      <w:color w:val="auto"/>
                      <w:sz w:val="24"/>
                      <w:highlight w:val="none"/>
                      <w:lang w:eastAsia="zh-CN"/>
                    </w:rPr>
                    <w:t>（提示：可多选）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5" w:hRule="atLeast"/>
              </w:trPr>
              <w:tc>
                <w:tcPr>
                  <w:tcW w:w="110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 w:val="24"/>
                      <w:highlight w:val="none"/>
                      <w:lang w:eastAsia="zh-CN"/>
                    </w:rPr>
                  </w:pPr>
                  <w:r>
                    <w:rPr>
                      <w:rFonts w:hint="eastAsia" w:ascii="宋体" w:hAnsi="宋体"/>
                      <w:color w:val="auto"/>
                      <w:sz w:val="24"/>
                      <w:highlight w:val="none"/>
                      <w:lang w:eastAsia="zh-CN"/>
                    </w:rPr>
                    <w:t>合同价格形式</w:t>
                  </w:r>
                </w:p>
              </w:tc>
              <w:tc>
                <w:tcPr>
                  <w:tcW w:w="3892"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bCs/>
                      <w:color w:val="auto"/>
                      <w:sz w:val="24"/>
                      <w:highlight w:val="none"/>
                    </w:rPr>
                  </w:pPr>
                  <w:r>
                    <w:rPr>
                      <w:rFonts w:hint="eastAsia" w:ascii="宋体" w:hAnsi="宋体"/>
                      <w:color w:val="auto"/>
                      <w:sz w:val="24"/>
                      <w:highlight w:val="none"/>
                    </w:rPr>
                    <w:t>□</w:t>
                  </w:r>
                  <w:r>
                    <w:rPr>
                      <w:rFonts w:hint="eastAsia" w:ascii="宋体" w:hAnsi="宋体"/>
                      <w:bCs/>
                      <w:color w:val="auto"/>
                      <w:sz w:val="24"/>
                      <w:highlight w:val="none"/>
                    </w:rPr>
                    <w:t>项目包干价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bCs/>
                      <w:color w:val="auto"/>
                      <w:sz w:val="24"/>
                      <w:highlight w:val="none"/>
                      <w:lang w:eastAsia="zh-CN"/>
                    </w:rPr>
                  </w:pPr>
                  <w:r>
                    <w:rPr>
                      <w:rFonts w:hint="eastAsia" w:ascii="宋体" w:hAnsi="宋体"/>
                      <w:bCs/>
                      <w:color w:val="auto"/>
                      <w:sz w:val="24"/>
                      <w:highlight w:val="none"/>
                    </w:rPr>
                    <w:t>□项目单</w:t>
                  </w:r>
                  <w:r>
                    <w:rPr>
                      <w:rFonts w:hint="eastAsia" w:ascii="宋体" w:hAnsi="宋体"/>
                      <w:bCs/>
                      <w:color w:val="auto"/>
                      <w:sz w:val="24"/>
                      <w:highlight w:val="none"/>
                      <w:lang w:eastAsia="zh-CN"/>
                    </w:rPr>
                    <w:t>价</w:t>
                  </w:r>
                  <w:r>
                    <w:rPr>
                      <w:rFonts w:hint="eastAsia" w:ascii="宋体" w:hAnsi="宋体"/>
                      <w:bCs/>
                      <w:sz w:val="24"/>
                      <w:highlight w:val="none"/>
                    </w:rPr>
                    <w:t>（</w:t>
                  </w:r>
                  <w:r>
                    <w:rPr>
                      <w:rFonts w:hint="eastAsia" w:ascii="宋体" w:hAnsi="宋体"/>
                      <w:b/>
                      <w:szCs w:val="21"/>
                      <w:highlight w:val="none"/>
                    </w:rPr>
                    <w:t>提示：当合同价格形式为项目单价，请在选项1./2.处勾选供应商最后报价应采用的格式</w:t>
                  </w:r>
                  <w:r>
                    <w:rPr>
                      <w:rFonts w:hint="eastAsia" w:ascii="宋体" w:hAnsi="宋体"/>
                      <w:bCs/>
                      <w:sz w:val="24"/>
                      <w:highlight w:val="none"/>
                    </w:rPr>
                    <w:t>）</w:t>
                  </w:r>
                </w:p>
                <w:p>
                  <w:pPr>
                    <w:spacing w:line="400" w:lineRule="exact"/>
                    <w:rPr>
                      <w:rFonts w:hint="eastAsia" w:ascii="宋体" w:hAnsi="宋体" w:cs="Times New Roman"/>
                      <w:bCs/>
                      <w:color w:val="auto"/>
                      <w:kern w:val="2"/>
                      <w:sz w:val="24"/>
                      <w:szCs w:val="24"/>
                      <w:highlight w:val="none"/>
                      <w:lang w:val="en-US" w:eastAsia="zh-CN" w:bidi="ar-SA"/>
                    </w:rPr>
                  </w:pPr>
                  <w:r>
                    <w:rPr>
                      <w:rFonts w:hint="eastAsia" w:ascii="宋体" w:hAnsi="宋体" w:cs="Times New Roman"/>
                      <w:bCs/>
                      <w:color w:val="auto"/>
                      <w:kern w:val="2"/>
                      <w:sz w:val="24"/>
                      <w:szCs w:val="24"/>
                      <w:highlight w:val="none"/>
                      <w:lang w:val="en-US" w:eastAsia="zh-CN" w:bidi="ar-SA"/>
                    </w:rPr>
                    <w:t>1.□基于首次响应文件的报价下浮一定比例的方式进行报价；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Times New Roman"/>
                      <w:bCs/>
                      <w:color w:val="auto"/>
                      <w:kern w:val="2"/>
                      <w:sz w:val="24"/>
                      <w:szCs w:val="24"/>
                      <w:highlight w:val="none"/>
                      <w:lang w:val="en-US" w:eastAsia="zh-CN" w:bidi="ar-SA"/>
                    </w:rPr>
                  </w:pPr>
                  <w:r>
                    <w:rPr>
                      <w:rFonts w:hint="eastAsia" w:ascii="宋体" w:hAnsi="宋体" w:cs="Times New Roman"/>
                      <w:bCs/>
                      <w:color w:val="auto"/>
                      <w:kern w:val="2"/>
                      <w:sz w:val="24"/>
                      <w:szCs w:val="24"/>
                      <w:highlight w:val="none"/>
                      <w:lang w:val="en-US" w:eastAsia="zh-CN" w:bidi="ar-SA"/>
                    </w:rPr>
                    <w:t>2.□重新标价工程量清单的方式报价。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bCs/>
                      <w:color w:val="auto"/>
                      <w:sz w:val="24"/>
                      <w:highlight w:val="none"/>
                    </w:rPr>
                  </w:pPr>
                  <w:r>
                    <w:rPr>
                      <w:rFonts w:hint="eastAsia" w:ascii="宋体" w:hAnsi="宋体"/>
                      <w:bCs/>
                      <w:color w:val="auto"/>
                      <w:sz w:val="24"/>
                      <w:highlight w:val="none"/>
                    </w:rPr>
                    <w:t>□采购人固定价</w:t>
                  </w:r>
                </w:p>
                <w:p>
                  <w:pPr>
                    <w:spacing w:line="400" w:lineRule="exact"/>
                    <w:rPr>
                      <w:rFonts w:hint="eastAsia" w:ascii="宋体" w:hAnsi="宋体" w:eastAsia="宋体"/>
                      <w:b/>
                      <w:szCs w:val="21"/>
                      <w:highlight w:val="none"/>
                      <w:lang w:eastAsia="zh-CN"/>
                    </w:rPr>
                  </w:pPr>
                  <w:r>
                    <w:rPr>
                      <w:rFonts w:hint="eastAsia" w:ascii="宋体" w:hAnsi="宋体"/>
                      <w:b/>
                      <w:szCs w:val="21"/>
                      <w:highlight w:val="none"/>
                      <w:lang w:eastAsia="zh-CN"/>
                    </w:rPr>
                    <w:t>（</w:t>
                  </w:r>
                  <w:r>
                    <w:rPr>
                      <w:rFonts w:hint="eastAsia" w:ascii="宋体" w:hAnsi="宋体"/>
                      <w:b/>
                      <w:szCs w:val="21"/>
                      <w:highlight w:val="none"/>
                    </w:rPr>
                    <w:t>提示：</w:t>
                  </w:r>
                  <w:r>
                    <w:rPr>
                      <w:rFonts w:hint="eastAsia" w:ascii="宋体" w:hAnsi="宋体"/>
                      <w:b/>
                      <w:szCs w:val="21"/>
                      <w:highlight w:val="none"/>
                      <w:lang w:eastAsia="zh-CN"/>
                    </w:rPr>
                    <w:t>仅</w:t>
                  </w:r>
                  <w:r>
                    <w:rPr>
                      <w:rFonts w:hint="eastAsia" w:ascii="宋体" w:hAnsi="宋体"/>
                      <w:b/>
                      <w:szCs w:val="21"/>
                      <w:highlight w:val="none"/>
                    </w:rPr>
                    <w:t>工程类采购项目填写</w:t>
                  </w:r>
                  <w:r>
                    <w:rPr>
                      <w:rFonts w:hint="eastAsia" w:ascii="宋体" w:hAnsi="宋体"/>
                      <w:b/>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olor w:val="auto"/>
                      <w:sz w:val="24"/>
                      <w:highlight w:val="none"/>
                      <w:lang w:eastAsia="zh-CN"/>
                    </w:rPr>
                  </w:pPr>
                  <w:r>
                    <w:rPr>
                      <w:rFonts w:hint="eastAsia" w:ascii="宋体" w:hAnsi="宋体"/>
                      <w:b/>
                      <w:szCs w:val="21"/>
                      <w:highlight w:val="none"/>
                    </w:rPr>
                    <w:t>相关内容请严格按照执行申报书八、合同价格形式进行填写。</w:t>
                  </w:r>
                  <w:r>
                    <w:rPr>
                      <w:rFonts w:hint="eastAsia" w:ascii="宋体" w:hAnsi="宋体"/>
                      <w:b/>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107" w:type="pct"/>
                  <w:tcBorders>
                    <w:tl2br w:val="nil"/>
                    <w:tr2bl w:val="nil"/>
                  </w:tcBorders>
                  <w:noWrap w:val="0"/>
                  <w:vAlign w:val="center"/>
                </w:tcPr>
                <w:p>
                  <w:pPr>
                    <w:rPr>
                      <w:rFonts w:hint="default"/>
                      <w:color w:val="auto"/>
                      <w:highlight w:val="none"/>
                      <w:lang w:val="en-US" w:eastAsia="zh-CN"/>
                    </w:rPr>
                  </w:pPr>
                  <w:r>
                    <w:rPr>
                      <w:rFonts w:hint="eastAsia" w:ascii="宋体" w:hAnsi="宋体"/>
                      <w:color w:val="auto"/>
                      <w:sz w:val="24"/>
                      <w:highlight w:val="none"/>
                      <w:lang w:eastAsia="zh-CN"/>
                    </w:rPr>
                    <w:t>工程采购项目抽取供应商家数</w:t>
                  </w:r>
                </w:p>
              </w:tc>
              <w:tc>
                <w:tcPr>
                  <w:tcW w:w="3892"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Times New Roman"/>
                      <w:bCs/>
                      <w:color w:val="auto"/>
                      <w:kern w:val="2"/>
                      <w:sz w:val="24"/>
                      <w:szCs w:val="24"/>
                      <w:highlight w:val="none"/>
                      <w:lang w:val="en-US" w:eastAsia="zh-CN" w:bidi="ar-SA"/>
                    </w:rPr>
                  </w:pPr>
                  <w:r>
                    <w:rPr>
                      <w:rFonts w:hint="eastAsia" w:ascii="宋体" w:hAnsi="宋体" w:cs="Times New Roman"/>
                      <w:bCs/>
                      <w:color w:val="auto"/>
                      <w:kern w:val="2"/>
                      <w:sz w:val="24"/>
                      <w:szCs w:val="24"/>
                      <w:highlight w:val="none"/>
                      <w:lang w:val="en-US" w:eastAsia="zh-CN" w:bidi="ar-SA"/>
                    </w:rPr>
                    <w:t>□在四川政府采购网发布资格预审公告邀请供应商参加资格预审，并从资格预审合格的供应商中随机抽取：</w:t>
                  </w:r>
                  <w:r>
                    <w:rPr>
                      <w:rFonts w:hint="eastAsia" w:ascii="宋体" w:hAnsi="宋体" w:cs="Times New Roman"/>
                      <w:bCs/>
                      <w:color w:val="auto"/>
                      <w:kern w:val="2"/>
                      <w:sz w:val="24"/>
                      <w:szCs w:val="24"/>
                      <w:highlight w:val="none"/>
                      <w:u w:val="single"/>
                      <w:lang w:val="en-US" w:eastAsia="zh-CN" w:bidi="ar-SA"/>
                    </w:rPr>
                    <w:t xml:space="preserve">     </w:t>
                  </w:r>
                  <w:r>
                    <w:rPr>
                      <w:rFonts w:hint="eastAsia" w:ascii="宋体" w:hAnsi="宋体" w:cs="Times New Roman"/>
                      <w:bCs/>
                      <w:color w:val="auto"/>
                      <w:kern w:val="2"/>
                      <w:sz w:val="24"/>
                      <w:szCs w:val="24"/>
                      <w:highlight w:val="none"/>
                      <w:lang w:val="en-US" w:eastAsia="zh-CN" w:bidi="ar-SA"/>
                    </w:rPr>
                    <w:t>家</w:t>
                  </w:r>
                </w:p>
                <w:p>
                  <w:pPr>
                    <w:keepNext w:val="0"/>
                    <w:keepLines w:val="0"/>
                    <w:pageBreakBefore w:val="0"/>
                    <w:widowControl w:val="0"/>
                    <w:kinsoku/>
                    <w:wordWrap/>
                    <w:overflowPunct/>
                    <w:topLinePunct w:val="0"/>
                    <w:autoSpaceDE/>
                    <w:autoSpaceDN/>
                    <w:bidi w:val="0"/>
                    <w:adjustRightInd/>
                    <w:snapToGrid/>
                    <w:spacing w:line="400" w:lineRule="exact"/>
                    <w:ind w:left="720" w:hanging="720" w:hangingChars="300"/>
                    <w:textAlignment w:val="auto"/>
                    <w:rPr>
                      <w:rFonts w:hint="eastAsia" w:ascii="宋体" w:hAnsi="宋体"/>
                      <w:color w:val="auto"/>
                      <w:sz w:val="24"/>
                      <w:highlight w:val="none"/>
                      <w:u w:val="none"/>
                      <w:lang w:val="en-US" w:eastAsia="zh-CN"/>
                    </w:rPr>
                  </w:pPr>
                  <w:r>
                    <w:rPr>
                      <w:rFonts w:hint="eastAsia" w:ascii="宋体" w:hAnsi="宋体" w:cs="Times New Roman"/>
                      <w:bCs/>
                      <w:color w:val="auto"/>
                      <w:kern w:val="2"/>
                      <w:sz w:val="24"/>
                      <w:szCs w:val="24"/>
                      <w:highlight w:val="none"/>
                      <w:lang w:val="en-US" w:eastAsia="zh-CN" w:bidi="ar-SA"/>
                    </w:rPr>
                    <w:t>□从</w:t>
                  </w:r>
                  <w:r>
                    <w:rPr>
                      <w:rFonts w:hint="eastAsia" w:ascii="宋体" w:hAnsi="宋体"/>
                      <w:color w:val="auto"/>
                      <w:sz w:val="24"/>
                      <w:highlight w:val="none"/>
                      <w:lang w:eastAsia="zh-CN"/>
                    </w:rPr>
                    <w:t>四川省政府采购供应商库中随机抽取供应商：</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家</w:t>
                  </w:r>
                </w:p>
                <w:p>
                  <w:pPr>
                    <w:keepNext w:val="0"/>
                    <w:keepLines w:val="0"/>
                    <w:pageBreakBefore w:val="0"/>
                    <w:widowControl w:val="0"/>
                    <w:kinsoku/>
                    <w:wordWrap/>
                    <w:overflowPunct/>
                    <w:topLinePunct w:val="0"/>
                    <w:autoSpaceDE/>
                    <w:autoSpaceDN/>
                    <w:bidi w:val="0"/>
                    <w:adjustRightInd/>
                    <w:snapToGrid/>
                    <w:spacing w:line="400" w:lineRule="exact"/>
                    <w:ind w:left="720" w:hanging="632" w:hangingChars="300"/>
                    <w:textAlignment w:val="auto"/>
                    <w:rPr>
                      <w:rFonts w:hint="eastAsia" w:ascii="宋体" w:hAnsi="宋体"/>
                      <w:color w:val="auto"/>
                      <w:sz w:val="24"/>
                      <w:highlight w:val="none"/>
                      <w:u w:val="none"/>
                      <w:lang w:val="en-US" w:eastAsia="zh-CN"/>
                    </w:rPr>
                  </w:pPr>
                  <w:r>
                    <w:rPr>
                      <w:rFonts w:hint="eastAsia" w:ascii="宋体" w:hAnsi="宋体"/>
                      <w:b/>
                      <w:szCs w:val="21"/>
                      <w:highlight w:val="none"/>
                      <w:lang w:eastAsia="zh-CN"/>
                    </w:rPr>
                    <w:t>（</w:t>
                  </w:r>
                  <w:r>
                    <w:rPr>
                      <w:rFonts w:hint="eastAsia" w:ascii="宋体" w:hAnsi="宋体"/>
                      <w:b/>
                      <w:szCs w:val="21"/>
                      <w:highlight w:val="none"/>
                    </w:rPr>
                    <w:t>提示：</w:t>
                  </w:r>
                  <w:r>
                    <w:rPr>
                      <w:rFonts w:hint="eastAsia" w:ascii="宋体" w:hAnsi="宋体"/>
                      <w:b/>
                      <w:szCs w:val="21"/>
                      <w:highlight w:val="none"/>
                      <w:lang w:eastAsia="zh-CN"/>
                    </w:rPr>
                    <w:t>仅</w:t>
                  </w:r>
                  <w:r>
                    <w:rPr>
                      <w:rFonts w:hint="eastAsia" w:ascii="宋体" w:hAnsi="宋体"/>
                      <w:b/>
                      <w:szCs w:val="21"/>
                      <w:highlight w:val="none"/>
                    </w:rPr>
                    <w:t>工程类采购项目填写</w:t>
                  </w:r>
                  <w:r>
                    <w:rPr>
                      <w:rFonts w:hint="eastAsia" w:ascii="宋体" w:hAnsi="宋体"/>
                      <w:b/>
                      <w:szCs w:val="21"/>
                      <w:highlight w:val="none"/>
                      <w:lang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olor w:val="auto"/>
                <w:sz w:val="24"/>
                <w:highlight w:val="none"/>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b/>
                <w:color w:val="auto"/>
                <w:szCs w:val="21"/>
                <w:highlight w:val="none"/>
              </w:rPr>
            </w:pPr>
            <w:r>
              <w:rPr>
                <w:color w:val="auto"/>
                <w:sz w:val="28"/>
                <w:szCs w:val="36"/>
                <w:highlight w:val="none"/>
              </w:rPr>
              <w:t>评分表内容设置</w:t>
            </w:r>
            <w:r>
              <w:rPr>
                <w:rFonts w:hint="eastAsia"/>
                <w:color w:val="auto"/>
                <w:sz w:val="32"/>
                <w:szCs w:val="40"/>
                <w:highlight w:val="none"/>
              </w:rPr>
              <w:t>：</w:t>
            </w:r>
            <w:r>
              <w:rPr>
                <w:rFonts w:hint="eastAsia" w:ascii="宋体" w:hAnsi="宋体"/>
                <w:b/>
                <w:color w:val="auto"/>
                <w:sz w:val="24"/>
                <w:highlight w:val="none"/>
              </w:rPr>
              <w:t>综合评分法 □     最低评标价法 □</w:t>
            </w:r>
            <w:r>
              <w:rPr>
                <w:rFonts w:hint="eastAsia" w:ascii="宋体" w:hAnsi="宋体"/>
                <w:b/>
                <w:color w:val="auto"/>
                <w:szCs w:val="21"/>
                <w:highlight w:val="none"/>
              </w:rPr>
              <w:t>（仅公开招标方式勾选）</w:t>
            </w:r>
          </w:p>
          <w:p>
            <w:pPr>
              <w:numPr>
                <w:ilvl w:val="0"/>
                <w:numId w:val="0"/>
              </w:numPr>
              <w:spacing w:before="156" w:beforeLines="50" w:line="360" w:lineRule="auto"/>
              <w:jc w:val="left"/>
              <w:rPr>
                <w:rFonts w:hint="eastAsia" w:ascii="宋体" w:hAnsi="宋体"/>
                <w:b/>
                <w:color w:val="auto"/>
                <w:szCs w:val="21"/>
                <w:highlight w:val="none"/>
              </w:rPr>
            </w:pPr>
          </w:p>
          <w:p>
            <w:pPr>
              <w:spacing w:line="400" w:lineRule="exact"/>
              <w:jc w:val="center"/>
              <w:rPr>
                <w:rFonts w:hint="eastAsia" w:ascii="宋体" w:hAnsi="宋体"/>
                <w:color w:val="auto"/>
                <w:sz w:val="36"/>
                <w:szCs w:val="36"/>
                <w:highlight w:val="none"/>
              </w:rPr>
            </w:pPr>
            <w:r>
              <w:rPr>
                <w:rFonts w:hint="eastAsia" w:ascii="宋体" w:hAnsi="宋体"/>
                <w:color w:val="auto"/>
                <w:sz w:val="36"/>
                <w:szCs w:val="36"/>
                <w:highlight w:val="none"/>
              </w:rPr>
              <w:t>综合评分明细表</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082"/>
              <w:gridCol w:w="969"/>
              <w:gridCol w:w="4999"/>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296" w:type="pct"/>
                  <w:noWrap w:val="0"/>
                  <w:vAlign w:val="center"/>
                </w:tcPr>
                <w:p>
                  <w:pPr>
                    <w:spacing w:line="400" w:lineRule="exact"/>
                    <w:ind w:firstLine="28"/>
                    <w:jc w:val="center"/>
                    <w:rPr>
                      <w:rFonts w:hint="eastAsia" w:ascii="宋体" w:hAnsi="宋体"/>
                      <w:color w:val="auto"/>
                      <w:sz w:val="24"/>
                      <w:highlight w:val="none"/>
                    </w:rPr>
                  </w:pPr>
                  <w:r>
                    <w:rPr>
                      <w:rFonts w:hint="eastAsia" w:ascii="宋体" w:hAnsi="宋体"/>
                      <w:color w:val="auto"/>
                      <w:sz w:val="24"/>
                      <w:highlight w:val="none"/>
                    </w:rPr>
                    <w:t>序号</w:t>
                  </w:r>
                </w:p>
              </w:tc>
              <w:tc>
                <w:tcPr>
                  <w:tcW w:w="597" w:type="pct"/>
                  <w:noWrap w:val="0"/>
                  <w:vAlign w:val="center"/>
                </w:tcPr>
                <w:p>
                  <w:pPr>
                    <w:spacing w:line="400" w:lineRule="exact"/>
                    <w:jc w:val="center"/>
                    <w:rPr>
                      <w:rFonts w:hint="eastAsia" w:ascii="宋体" w:hAnsi="宋体"/>
                      <w:color w:val="auto"/>
                      <w:sz w:val="24"/>
                      <w:highlight w:val="none"/>
                    </w:rPr>
                  </w:pPr>
                  <w:r>
                    <w:rPr>
                      <w:rFonts w:hint="eastAsia" w:ascii="宋体" w:hAnsi="宋体"/>
                      <w:color w:val="auto"/>
                      <w:sz w:val="24"/>
                      <w:highlight w:val="none"/>
                    </w:rPr>
                    <w:t>评分因素及权重</w:t>
                  </w:r>
                </w:p>
              </w:tc>
              <w:tc>
                <w:tcPr>
                  <w:tcW w:w="535" w:type="pct"/>
                  <w:noWrap w:val="0"/>
                  <w:vAlign w:val="center"/>
                </w:tcPr>
                <w:p>
                  <w:pPr>
                    <w:spacing w:line="400" w:lineRule="exact"/>
                    <w:ind w:firstLine="28"/>
                    <w:jc w:val="center"/>
                    <w:rPr>
                      <w:rFonts w:hint="eastAsia" w:ascii="宋体" w:hAnsi="宋体"/>
                      <w:color w:val="auto"/>
                      <w:sz w:val="24"/>
                      <w:highlight w:val="none"/>
                    </w:rPr>
                  </w:pPr>
                  <w:r>
                    <w:rPr>
                      <w:rFonts w:hint="eastAsia" w:ascii="宋体" w:hAnsi="宋体"/>
                      <w:color w:val="auto"/>
                      <w:sz w:val="24"/>
                      <w:highlight w:val="none"/>
                    </w:rPr>
                    <w:t>分值</w:t>
                  </w:r>
                </w:p>
              </w:tc>
              <w:tc>
                <w:tcPr>
                  <w:tcW w:w="2760" w:type="pct"/>
                  <w:noWrap w:val="0"/>
                  <w:vAlign w:val="center"/>
                </w:tcPr>
                <w:p>
                  <w:pPr>
                    <w:spacing w:line="400" w:lineRule="exact"/>
                    <w:ind w:firstLine="28"/>
                    <w:jc w:val="center"/>
                    <w:rPr>
                      <w:rFonts w:hint="eastAsia" w:ascii="宋体" w:hAnsi="宋体"/>
                      <w:color w:val="auto"/>
                      <w:sz w:val="24"/>
                      <w:highlight w:val="none"/>
                    </w:rPr>
                  </w:pPr>
                  <w:r>
                    <w:rPr>
                      <w:rFonts w:hint="eastAsia" w:ascii="宋体" w:hAnsi="宋体"/>
                      <w:color w:val="auto"/>
                      <w:sz w:val="24"/>
                      <w:highlight w:val="none"/>
                    </w:rPr>
                    <w:t>评分标准</w:t>
                  </w:r>
                </w:p>
              </w:tc>
              <w:tc>
                <w:tcPr>
                  <w:tcW w:w="810" w:type="pct"/>
                  <w:noWrap w:val="0"/>
                  <w:vAlign w:val="center"/>
                </w:tcPr>
                <w:p>
                  <w:pPr>
                    <w:spacing w:line="400" w:lineRule="exact"/>
                    <w:jc w:val="center"/>
                    <w:rPr>
                      <w:rFonts w:hint="eastAsia" w:ascii="宋体" w:hAnsi="宋体"/>
                      <w:color w:val="auto"/>
                      <w:sz w:val="24"/>
                      <w:highlight w:val="none"/>
                    </w:rPr>
                  </w:pPr>
                  <w:r>
                    <w:rPr>
                      <w:rFonts w:hint="eastAsia" w:ascii="宋体" w:hAnsi="宋体"/>
                      <w:color w:val="auto"/>
                      <w:sz w:val="24"/>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trPr>
              <w:tc>
                <w:tcPr>
                  <w:tcW w:w="296" w:type="pct"/>
                  <w:noWrap w:val="0"/>
                  <w:vAlign w:val="center"/>
                </w:tcPr>
                <w:p>
                  <w:pPr>
                    <w:spacing w:line="400" w:lineRule="exact"/>
                    <w:ind w:firstLine="28"/>
                    <w:jc w:val="center"/>
                    <w:rPr>
                      <w:rFonts w:hint="eastAsia" w:ascii="宋体" w:hAnsi="宋体"/>
                      <w:color w:val="auto"/>
                      <w:sz w:val="24"/>
                      <w:highlight w:val="none"/>
                    </w:rPr>
                  </w:pPr>
                  <w:r>
                    <w:rPr>
                      <w:rFonts w:hint="eastAsia" w:ascii="宋体" w:hAnsi="宋体"/>
                      <w:color w:val="auto"/>
                      <w:sz w:val="24"/>
                      <w:highlight w:val="none"/>
                    </w:rPr>
                    <w:t>一</w:t>
                  </w:r>
                </w:p>
              </w:tc>
              <w:tc>
                <w:tcPr>
                  <w:tcW w:w="597" w:type="pct"/>
                  <w:noWrap w:val="0"/>
                  <w:vAlign w:val="center"/>
                </w:tcPr>
                <w:p>
                  <w:pPr>
                    <w:spacing w:line="400" w:lineRule="exact"/>
                    <w:ind w:firstLine="28"/>
                    <w:jc w:val="center"/>
                    <w:rPr>
                      <w:rFonts w:hint="eastAsia" w:ascii="宋体" w:hAnsi="宋体"/>
                      <w:color w:val="auto"/>
                      <w:sz w:val="24"/>
                      <w:highlight w:val="none"/>
                    </w:rPr>
                  </w:pPr>
                  <w:r>
                    <w:rPr>
                      <w:rFonts w:hint="eastAsia" w:ascii="宋体" w:hAnsi="宋体"/>
                      <w:color w:val="auto"/>
                      <w:sz w:val="24"/>
                      <w:highlight w:val="none"/>
                    </w:rPr>
                    <w:t>报价</w:t>
                  </w:r>
                </w:p>
                <w:p>
                  <w:pPr>
                    <w:spacing w:line="400" w:lineRule="exact"/>
                    <w:ind w:firstLine="28"/>
                    <w:jc w:val="center"/>
                    <w:rPr>
                      <w:rFonts w:hint="eastAsia" w:ascii="宋体" w:hAnsi="宋体"/>
                      <w:color w:val="auto"/>
                      <w:sz w:val="24"/>
                      <w:highlight w:val="none"/>
                    </w:rPr>
                  </w:pPr>
                  <w:r>
                    <w:rPr>
                      <w:rFonts w:hint="eastAsia" w:ascii="宋体" w:hAnsi="宋体"/>
                      <w:color w:val="auto"/>
                      <w:sz w:val="24"/>
                      <w:highlight w:val="none"/>
                    </w:rPr>
                    <w:t>XX%</w:t>
                  </w:r>
                </w:p>
                <w:p>
                  <w:pPr>
                    <w:spacing w:line="400" w:lineRule="exact"/>
                    <w:ind w:firstLine="28"/>
                    <w:jc w:val="center"/>
                    <w:rPr>
                      <w:rFonts w:hint="eastAsia" w:ascii="宋体" w:hAnsi="宋体"/>
                      <w:color w:val="auto"/>
                      <w:sz w:val="24"/>
                      <w:highlight w:val="none"/>
                    </w:rPr>
                  </w:pPr>
                </w:p>
              </w:tc>
              <w:tc>
                <w:tcPr>
                  <w:tcW w:w="535" w:type="pct"/>
                  <w:noWrap w:val="0"/>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100分</w:t>
                  </w:r>
                </w:p>
              </w:tc>
              <w:tc>
                <w:tcPr>
                  <w:tcW w:w="2760" w:type="pct"/>
                  <w:noWrap w:val="0"/>
                  <w:vAlign w:val="center"/>
                </w:tcPr>
                <w:p>
                  <w:pPr>
                    <w:spacing w:line="400" w:lineRule="exact"/>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b/>
                      <w:bCs/>
                      <w:color w:val="auto"/>
                      <w:sz w:val="21"/>
                      <w:szCs w:val="21"/>
                      <w:highlight w:val="none"/>
                      <w:lang w:eastAsia="zh-CN"/>
                    </w:rPr>
                    <w:t>提示：适用公开招标</w:t>
                  </w:r>
                  <w:r>
                    <w:rPr>
                      <w:rFonts w:hint="eastAsia" w:ascii="宋体" w:hAnsi="宋体"/>
                      <w:color w:val="auto"/>
                      <w:sz w:val="24"/>
                      <w:highlight w:val="none"/>
                      <w:lang w:eastAsia="zh-CN"/>
                    </w:rPr>
                    <w:t>）</w:t>
                  </w:r>
                  <w:r>
                    <w:rPr>
                      <w:rFonts w:hint="eastAsia" w:ascii="宋体" w:hAnsi="宋体"/>
                      <w:color w:val="auto"/>
                      <w:sz w:val="24"/>
                      <w:highlight w:val="none"/>
                    </w:rPr>
                    <w:t>以本次有效的最低投标报价为基准价，投标报价得分=(基准价／投标报价)</w:t>
                  </w:r>
                  <w:r>
                    <w:rPr>
                      <w:rFonts w:hint="eastAsia" w:ascii="宋体" w:hAnsi="宋体" w:eastAsia="宋体" w:cs="宋体"/>
                      <w:color w:val="auto"/>
                      <w:sz w:val="24"/>
                      <w:szCs w:val="24"/>
                      <w:highlight w:val="none"/>
                    </w:rPr>
                    <w:t>×</w:t>
                  </w:r>
                  <w:r>
                    <w:rPr>
                      <w:rFonts w:hint="eastAsia" w:ascii="宋体" w:hAnsi="宋体"/>
                      <w:color w:val="auto"/>
                      <w:sz w:val="24"/>
                      <w:highlight w:val="none"/>
                    </w:rPr>
                    <w:t>100分</w:t>
                  </w:r>
                </w:p>
                <w:p>
                  <w:pPr>
                    <w:spacing w:line="400" w:lineRule="exact"/>
                    <w:rPr>
                      <w:rFonts w:hint="eastAsia" w:ascii="宋体" w:hAnsi="宋体"/>
                      <w:color w:val="auto"/>
                      <w:sz w:val="24"/>
                      <w:highlight w:val="none"/>
                      <w:lang w:eastAsia="zh-CN"/>
                    </w:rPr>
                  </w:pPr>
                  <w:r>
                    <w:rPr>
                      <w:rFonts w:hint="eastAsia" w:ascii="宋体" w:hAnsi="宋体"/>
                      <w:color w:val="auto"/>
                      <w:sz w:val="24"/>
                      <w:highlight w:val="none"/>
                      <w:lang w:eastAsia="zh-CN"/>
                    </w:rPr>
                    <w:t>（</w:t>
                  </w:r>
                  <w:r>
                    <w:rPr>
                      <w:rFonts w:hint="eastAsia" w:ascii="宋体" w:hAnsi="宋体"/>
                      <w:b/>
                      <w:bCs/>
                      <w:color w:val="auto"/>
                      <w:sz w:val="21"/>
                      <w:szCs w:val="21"/>
                      <w:highlight w:val="none"/>
                      <w:lang w:eastAsia="zh-CN"/>
                    </w:rPr>
                    <w:t>提示：适用竞争性磋商</w:t>
                  </w:r>
                  <w:r>
                    <w:rPr>
                      <w:rFonts w:hint="eastAsia" w:ascii="宋体" w:hAnsi="宋体"/>
                      <w:color w:val="auto"/>
                      <w:sz w:val="24"/>
                      <w:highlight w:val="none"/>
                      <w:lang w:eastAsia="zh-CN"/>
                    </w:rPr>
                    <w:t>）满足磋商文件要求且最后报价最低的供应商的价格为磋商基准价，其价格分为满分。其他供应商的价格分统一按照下列公式计算：</w:t>
                  </w:r>
                </w:p>
                <w:p>
                  <w:pPr>
                    <w:spacing w:line="400" w:lineRule="exact"/>
                    <w:rPr>
                      <w:rFonts w:hint="eastAsia" w:ascii="宋体" w:hAnsi="宋体" w:eastAsia="宋体"/>
                      <w:color w:val="auto"/>
                      <w:sz w:val="24"/>
                      <w:highlight w:val="none"/>
                      <w:lang w:eastAsia="zh-CN"/>
                    </w:rPr>
                  </w:pPr>
                  <w:r>
                    <w:rPr>
                      <w:rFonts w:hint="eastAsia" w:ascii="宋体" w:hAnsi="宋体"/>
                      <w:color w:val="auto"/>
                      <w:sz w:val="24"/>
                      <w:highlight w:val="none"/>
                      <w:lang w:eastAsia="zh-CN"/>
                    </w:rPr>
                    <w:t>磋商报价得分=（磋商基准价/最后磋商报价）×</w:t>
                  </w:r>
                  <w:r>
                    <w:rPr>
                      <w:rFonts w:hint="eastAsia" w:ascii="宋体" w:hAnsi="宋体"/>
                      <w:color w:val="auto"/>
                      <w:sz w:val="24"/>
                      <w:highlight w:val="none"/>
                      <w:lang w:val="en-US" w:eastAsia="zh-CN"/>
                    </w:rPr>
                    <w:t>100</w:t>
                  </w:r>
                  <w:r>
                    <w:rPr>
                      <w:rFonts w:hint="eastAsia" w:ascii="宋体" w:hAnsi="宋体"/>
                      <w:color w:val="auto"/>
                      <w:sz w:val="24"/>
                      <w:highlight w:val="none"/>
                      <w:lang w:eastAsia="zh-CN"/>
                    </w:rPr>
                    <w:t>。</w:t>
                  </w:r>
                </w:p>
              </w:tc>
              <w:tc>
                <w:tcPr>
                  <w:tcW w:w="810" w:type="pct"/>
                  <w:noWrap w:val="0"/>
                  <w:vAlign w:val="center"/>
                </w:tcPr>
                <w:p>
                  <w:pPr>
                    <w:widowControl/>
                    <w:jc w:val="left"/>
                    <w:rPr>
                      <w:rFonts w:hint="eastAsia" w:ascii="宋体" w:hAnsi="宋体"/>
                      <w:color w:val="auto"/>
                      <w:kern w:val="0"/>
                      <w:sz w:val="24"/>
                      <w:highlight w:val="none"/>
                    </w:rPr>
                  </w:pPr>
                  <w:r>
                    <w:rPr>
                      <w:rFonts w:hint="eastAsia" w:ascii="宋体" w:hAnsi="宋体"/>
                      <w:color w:val="auto"/>
                      <w:kern w:val="0"/>
                      <w:sz w:val="24"/>
                      <w:highlight w:val="none"/>
                    </w:rPr>
                    <w:t>详见投标人须知表第X条</w:t>
                  </w:r>
                </w:p>
                <w:p>
                  <w:pPr>
                    <w:widowControl/>
                    <w:jc w:val="left"/>
                    <w:rPr>
                      <w:rFonts w:hint="eastAsia"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96" w:type="pct"/>
                  <w:noWrap w:val="0"/>
                  <w:vAlign w:val="center"/>
                </w:tcPr>
                <w:p>
                  <w:pPr>
                    <w:spacing w:line="400" w:lineRule="exact"/>
                    <w:ind w:firstLine="28"/>
                    <w:jc w:val="center"/>
                    <w:rPr>
                      <w:rFonts w:hint="eastAsia" w:ascii="宋体" w:hAnsi="宋体"/>
                      <w:color w:val="auto"/>
                      <w:sz w:val="24"/>
                      <w:highlight w:val="none"/>
                    </w:rPr>
                  </w:pPr>
                  <w:r>
                    <w:rPr>
                      <w:rFonts w:hint="eastAsia" w:ascii="宋体" w:hAnsi="宋体"/>
                      <w:color w:val="auto"/>
                      <w:sz w:val="24"/>
                      <w:highlight w:val="none"/>
                    </w:rPr>
                    <w:t>二</w:t>
                  </w:r>
                </w:p>
              </w:tc>
              <w:tc>
                <w:tcPr>
                  <w:tcW w:w="597" w:type="pct"/>
                  <w:noWrap w:val="0"/>
                  <w:vAlign w:val="center"/>
                </w:tcPr>
                <w:p>
                  <w:pPr>
                    <w:spacing w:line="400" w:lineRule="exact"/>
                    <w:ind w:left="303" w:leftChars="30" w:hanging="240" w:hangingChars="100"/>
                    <w:rPr>
                      <w:rFonts w:hint="eastAsia" w:ascii="宋体" w:hAnsi="宋体"/>
                      <w:color w:val="auto"/>
                      <w:sz w:val="24"/>
                      <w:highlight w:val="none"/>
                    </w:rPr>
                  </w:pPr>
                  <w:r>
                    <w:rPr>
                      <w:rFonts w:hint="eastAsia" w:ascii="宋体" w:hAnsi="宋体"/>
                      <w:color w:val="auto"/>
                      <w:sz w:val="24"/>
                      <w:highlight w:val="none"/>
                    </w:rPr>
                    <w:t>技术配置XX%</w:t>
                  </w:r>
                </w:p>
                <w:p>
                  <w:pPr>
                    <w:spacing w:line="400" w:lineRule="exact"/>
                    <w:rPr>
                      <w:rFonts w:hint="eastAsia" w:ascii="宋体" w:hAnsi="宋体"/>
                      <w:color w:val="auto"/>
                      <w:sz w:val="24"/>
                      <w:highlight w:val="none"/>
                    </w:rPr>
                  </w:pPr>
                </w:p>
              </w:tc>
              <w:tc>
                <w:tcPr>
                  <w:tcW w:w="535" w:type="pct"/>
                  <w:noWrap w:val="0"/>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100分</w:t>
                  </w:r>
                </w:p>
              </w:tc>
              <w:tc>
                <w:tcPr>
                  <w:tcW w:w="2760" w:type="pct"/>
                  <w:noWrap w:val="0"/>
                  <w:vAlign w:val="center"/>
                </w:tcPr>
                <w:p>
                  <w:pPr>
                    <w:numPr>
                      <w:ilvl w:val="0"/>
                      <w:numId w:val="0"/>
                    </w:numPr>
                    <w:spacing w:line="400" w:lineRule="exact"/>
                    <w:rPr>
                      <w:rFonts w:hint="eastAsia" w:ascii="宋体" w:hAnsi="宋体"/>
                      <w:color w:val="auto"/>
                      <w:sz w:val="24"/>
                      <w:highlight w:val="none"/>
                    </w:rPr>
                  </w:pPr>
                  <w:r>
                    <w:rPr>
                      <w:rFonts w:hint="eastAsia" w:ascii="宋体" w:hAnsi="宋体"/>
                      <w:color w:val="auto"/>
                      <w:sz w:val="24"/>
                      <w:highlight w:val="none"/>
                    </w:rPr>
                    <w:t>完全符合磋商文件要求没有负偏离得XX分；优于磋商文件要求的，一项加XX分，最多加XX分；与磋商文件要求有非实质性负偏离的，一项扣XX分，最多扣XX分。</w:t>
                  </w:r>
                </w:p>
              </w:tc>
              <w:tc>
                <w:tcPr>
                  <w:tcW w:w="810" w:type="pct"/>
                  <w:noWrap w:val="0"/>
                  <w:vAlign w:val="center"/>
                </w:tcPr>
                <w:p>
                  <w:pPr>
                    <w:spacing w:line="400" w:lineRule="exact"/>
                    <w:rPr>
                      <w:rFonts w:hint="eastAsia" w:ascii="宋体" w:hAnsi="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8" w:hRule="atLeast"/>
              </w:trPr>
              <w:tc>
                <w:tcPr>
                  <w:tcW w:w="296" w:type="pct"/>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三</w:t>
                  </w:r>
                </w:p>
              </w:tc>
              <w:tc>
                <w:tcPr>
                  <w:tcW w:w="597" w:type="pct"/>
                  <w:noWrap w:val="0"/>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服务</w:t>
                  </w:r>
                </w:p>
                <w:p>
                  <w:pPr>
                    <w:jc w:val="center"/>
                    <w:rPr>
                      <w:rFonts w:ascii="宋体" w:hAnsi="宋体" w:cs="宋体"/>
                      <w:color w:val="auto"/>
                      <w:sz w:val="24"/>
                      <w:highlight w:val="none"/>
                    </w:rPr>
                  </w:pPr>
                  <w:r>
                    <w:rPr>
                      <w:rFonts w:hint="eastAsia" w:ascii="宋体" w:hAnsi="宋体" w:cs="宋体"/>
                      <w:color w:val="auto"/>
                      <w:sz w:val="24"/>
                      <w:highlight w:val="none"/>
                    </w:rPr>
                    <w:t>XX%</w:t>
                  </w:r>
                </w:p>
              </w:tc>
              <w:tc>
                <w:tcPr>
                  <w:tcW w:w="535" w:type="pct"/>
                  <w:noWrap w:val="0"/>
                  <w:vAlign w:val="center"/>
                </w:tcPr>
                <w:p>
                  <w:pPr>
                    <w:jc w:val="center"/>
                    <w:rPr>
                      <w:rFonts w:ascii="宋体" w:hAnsi="宋体" w:cs="宋体"/>
                      <w:color w:val="auto"/>
                      <w:sz w:val="24"/>
                      <w:highlight w:val="none"/>
                    </w:rPr>
                  </w:pPr>
                  <w:r>
                    <w:rPr>
                      <w:rFonts w:hint="eastAsia" w:ascii="宋体" w:hAnsi="宋体"/>
                      <w:color w:val="auto"/>
                      <w:sz w:val="24"/>
                      <w:highlight w:val="none"/>
                    </w:rPr>
                    <w:t>100分</w:t>
                  </w:r>
                </w:p>
              </w:tc>
              <w:tc>
                <w:tcPr>
                  <w:tcW w:w="2760" w:type="pct"/>
                  <w:noWrap w:val="0"/>
                  <w:vAlign w:val="center"/>
                </w:tcPr>
                <w:p>
                  <w:pPr>
                    <w:jc w:val="left"/>
                    <w:rPr>
                      <w:rFonts w:ascii="宋体" w:hAnsi="宋体" w:cs="宋体"/>
                      <w:color w:val="auto"/>
                      <w:sz w:val="24"/>
                      <w:highlight w:val="none"/>
                    </w:rPr>
                  </w:pPr>
                  <w:r>
                    <w:rPr>
                      <w:rFonts w:ascii="宋体" w:hAnsi="宋体" w:cs="宋体"/>
                      <w:color w:val="auto"/>
                      <w:sz w:val="24"/>
                      <w:highlight w:val="none"/>
                    </w:rPr>
                    <w:t>完全满足磋商文件要求的得XX分；优于磋商文件要求的，每一项加XX分，最多加XX分；与磋商文件要求有非实质性负偏离的，一项扣XX分，最多扣XX分。</w:t>
                  </w:r>
                </w:p>
              </w:tc>
              <w:tc>
                <w:tcPr>
                  <w:tcW w:w="810" w:type="pct"/>
                  <w:noWrap w:val="0"/>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52" w:hRule="atLeast"/>
              </w:trPr>
              <w:tc>
                <w:tcPr>
                  <w:tcW w:w="296" w:type="pct"/>
                  <w:noWrap w:val="0"/>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四</w:t>
                  </w:r>
                </w:p>
              </w:tc>
              <w:tc>
                <w:tcPr>
                  <w:tcW w:w="597" w:type="pct"/>
                  <w:noWrap w:val="0"/>
                  <w:vAlign w:val="center"/>
                </w:tcPr>
                <w:p>
                  <w:pPr>
                    <w:jc w:val="center"/>
                    <w:rPr>
                      <w:rFonts w:ascii="宋体" w:hAnsi="宋体" w:cs="宋体"/>
                      <w:color w:val="auto"/>
                      <w:sz w:val="24"/>
                      <w:highlight w:val="none"/>
                    </w:rPr>
                  </w:pPr>
                  <w:r>
                    <w:rPr>
                      <w:rFonts w:ascii="宋体" w:hAnsi="宋体" w:cs="宋体"/>
                      <w:color w:val="auto"/>
                      <w:sz w:val="24"/>
                      <w:highlight w:val="none"/>
                    </w:rPr>
                    <w:t>政府采购合同内容条款</w:t>
                  </w:r>
                </w:p>
              </w:tc>
              <w:tc>
                <w:tcPr>
                  <w:tcW w:w="535" w:type="pct"/>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XX分</w:t>
                  </w:r>
                </w:p>
              </w:tc>
              <w:tc>
                <w:tcPr>
                  <w:tcW w:w="2760" w:type="pct"/>
                  <w:noWrap w:val="0"/>
                  <w:vAlign w:val="center"/>
                </w:tcPr>
                <w:p>
                  <w:pPr>
                    <w:jc w:val="left"/>
                    <w:rPr>
                      <w:rFonts w:ascii="宋体" w:hAnsi="宋体" w:cs="宋体"/>
                      <w:color w:val="auto"/>
                      <w:sz w:val="24"/>
                      <w:highlight w:val="none"/>
                    </w:rPr>
                  </w:pPr>
                  <w:r>
                    <w:rPr>
                      <w:rFonts w:hint="eastAsia" w:ascii="宋体" w:hAnsi="宋体" w:cs="宋体"/>
                      <w:color w:val="auto"/>
                      <w:sz w:val="24"/>
                      <w:highlight w:val="none"/>
                    </w:rPr>
                    <w:t xml:space="preserve">完全符合磋商文件要求没有负偏离得XX分；优于磋商文件要求的，一项加XX分，最多加XX分；与磋商文件要求有非实质性负偏离的，一项扣XX分，最多扣XX分。  </w:t>
                  </w:r>
                </w:p>
              </w:tc>
              <w:tc>
                <w:tcPr>
                  <w:tcW w:w="810" w:type="pct"/>
                  <w:noWrap w:val="0"/>
                  <w:vAlign w:val="center"/>
                </w:tcPr>
                <w:p>
                  <w:pP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81" w:hRule="atLeast"/>
              </w:trPr>
              <w:tc>
                <w:tcPr>
                  <w:tcW w:w="296" w:type="pct"/>
                  <w:noWrap w:val="0"/>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五</w:t>
                  </w:r>
                </w:p>
              </w:tc>
              <w:tc>
                <w:tcPr>
                  <w:tcW w:w="597" w:type="pct"/>
                  <w:noWrap w:val="0"/>
                  <w:vAlign w:val="center"/>
                </w:tcPr>
                <w:p>
                  <w:pPr>
                    <w:jc w:val="center"/>
                    <w:rPr>
                      <w:rFonts w:ascii="宋体" w:hAnsi="宋体" w:cs="宋体"/>
                      <w:color w:val="auto"/>
                      <w:sz w:val="24"/>
                      <w:highlight w:val="none"/>
                    </w:rPr>
                  </w:pPr>
                  <w:r>
                    <w:rPr>
                      <w:rFonts w:ascii="宋体" w:hAnsi="宋体" w:cs="宋体"/>
                      <w:color w:val="auto"/>
                      <w:sz w:val="24"/>
                      <w:highlight w:val="none"/>
                    </w:rPr>
                    <w:t>履约能力</w:t>
                  </w:r>
                </w:p>
              </w:tc>
              <w:tc>
                <w:tcPr>
                  <w:tcW w:w="535" w:type="pct"/>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XX分</w:t>
                  </w:r>
                </w:p>
              </w:tc>
              <w:tc>
                <w:tcPr>
                  <w:tcW w:w="2760" w:type="pct"/>
                  <w:noWrap w:val="0"/>
                  <w:vAlign w:val="center"/>
                </w:tcPr>
                <w:p>
                  <w:pPr>
                    <w:jc w:val="left"/>
                    <w:rPr>
                      <w:rFonts w:ascii="宋体" w:hAnsi="宋体" w:cs="宋体"/>
                      <w:color w:val="auto"/>
                      <w:sz w:val="24"/>
                      <w:highlight w:val="none"/>
                    </w:rPr>
                  </w:pPr>
                  <w:r>
                    <w:rPr>
                      <w:rFonts w:ascii="宋体" w:hAnsi="宋体" w:cs="宋体"/>
                      <w:color w:val="auto"/>
                      <w:sz w:val="24"/>
                      <w:highlight w:val="none"/>
                    </w:rPr>
                    <w:t>……</w:t>
                  </w:r>
                </w:p>
                <w:p>
                  <w:pPr>
                    <w:jc w:val="left"/>
                    <w:rPr>
                      <w:rFonts w:ascii="宋体" w:hAnsi="宋体" w:cs="宋体"/>
                      <w:color w:val="auto"/>
                      <w:sz w:val="24"/>
                      <w:highlight w:val="none"/>
                    </w:rPr>
                  </w:pPr>
                  <w:r>
                    <w:rPr>
                      <w:rFonts w:ascii="宋体" w:hAnsi="宋体" w:cs="宋体"/>
                      <w:color w:val="auto"/>
                      <w:sz w:val="24"/>
                      <w:highlight w:val="none"/>
                    </w:rPr>
                    <w:t>（例如：采购人可以从供应商业绩，以及供应商人员配置、人员资质、人员业绩等方面设置评审标准。例如：</w:t>
                  </w:r>
                </w:p>
                <w:p>
                  <w:pPr>
                    <w:jc w:val="left"/>
                    <w:rPr>
                      <w:rFonts w:ascii="宋体" w:hAnsi="宋体" w:cs="宋体"/>
                      <w:color w:val="auto"/>
                      <w:sz w:val="24"/>
                      <w:highlight w:val="none"/>
                    </w:rPr>
                  </w:pPr>
                  <w:r>
                    <w:rPr>
                      <w:rFonts w:ascii="宋体" w:hAnsi="宋体" w:cs="宋体"/>
                      <w:color w:val="auto"/>
                      <w:sz w:val="24"/>
                      <w:highlight w:val="none"/>
                    </w:rPr>
                    <w:t>1.供应商20XX年1月1日（含1日）以来具有一个已完成类似项目业绩的得XX分，在此基础上每增加1个加XX分，最多得XX分。（提供XXXX）</w:t>
                  </w:r>
                </w:p>
                <w:p>
                  <w:pPr>
                    <w:jc w:val="left"/>
                    <w:rPr>
                      <w:rFonts w:ascii="宋体" w:hAnsi="宋体" w:cs="宋体"/>
                      <w:color w:val="auto"/>
                      <w:sz w:val="24"/>
                      <w:highlight w:val="none"/>
                    </w:rPr>
                  </w:pPr>
                  <w:r>
                    <w:rPr>
                      <w:rFonts w:ascii="宋体" w:hAnsi="宋体" w:cs="宋体"/>
                      <w:color w:val="auto"/>
                      <w:sz w:val="24"/>
                      <w:highlight w:val="none"/>
                    </w:rPr>
                    <w:t>2．供应商的项目管理人20XX年1月1日（含1日）以来具有一个已完成类似项目业绩的得XX分，在此基础上每增加1个加XX分，最多得XX分。（提供XXXX）</w:t>
                  </w:r>
                </w:p>
                <w:p>
                  <w:pPr>
                    <w:jc w:val="left"/>
                    <w:rPr>
                      <w:rFonts w:ascii="宋体" w:hAnsi="宋体" w:cs="宋体"/>
                      <w:color w:val="auto"/>
                      <w:sz w:val="24"/>
                      <w:highlight w:val="none"/>
                    </w:rPr>
                  </w:pPr>
                  <w:r>
                    <w:rPr>
                      <w:rFonts w:ascii="宋体" w:hAnsi="宋体" w:cs="宋体"/>
                      <w:color w:val="auto"/>
                      <w:sz w:val="24"/>
                      <w:highlight w:val="none"/>
                    </w:rPr>
                    <w:t>类似项目是指：XXXX项目。）</w:t>
                  </w:r>
                </w:p>
                <w:p>
                  <w:pPr>
                    <w:jc w:val="left"/>
                    <w:rPr>
                      <w:rFonts w:ascii="宋体" w:hAnsi="宋体" w:cs="宋体"/>
                      <w:color w:val="auto"/>
                      <w:sz w:val="24"/>
                      <w:highlight w:val="none"/>
                    </w:rPr>
                  </w:pPr>
                  <w:r>
                    <w:rPr>
                      <w:rFonts w:ascii="宋体" w:hAnsi="宋体" w:cs="宋体"/>
                      <w:color w:val="auto"/>
                      <w:sz w:val="24"/>
                      <w:highlight w:val="none"/>
                    </w:rPr>
                    <w:t>注：1.履约能力是指能够按照政府采购合同约定履约的能力，主要包括生产能力、交货能力、服务能力等。具体评分标准由磋商采购单位根据采购项目具体情况确定和细化，但不得以供应商规模条件对中小企业供应商实行差别待遇和歧视待遇。2.纳入磋商文件第三章规定的事项，不得作为履约能力评分事项。3.供应商履约能力的认定应当根据供应商自己提供的真实、客观的证明材料作为依据进行评判，不能仅凭供应商的主观陈述评判。</w:t>
                  </w:r>
                </w:p>
              </w:tc>
              <w:tc>
                <w:tcPr>
                  <w:tcW w:w="810" w:type="pct"/>
                  <w:noWrap w:val="0"/>
                  <w:vAlign w:val="center"/>
                </w:tcPr>
                <w:p>
                  <w:pPr>
                    <w:jc w:val="lef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36" w:hRule="atLeast"/>
              </w:trPr>
              <w:tc>
                <w:tcPr>
                  <w:tcW w:w="296" w:type="pct"/>
                  <w:noWrap w:val="0"/>
                  <w:vAlign w:val="center"/>
                </w:tcPr>
                <w:p>
                  <w:pPr>
                    <w:spacing w:line="400" w:lineRule="exact"/>
                    <w:ind w:firstLine="28"/>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六</w:t>
                  </w:r>
                </w:p>
              </w:tc>
              <w:tc>
                <w:tcPr>
                  <w:tcW w:w="597" w:type="pct"/>
                  <w:noWrap w:val="0"/>
                  <w:vAlign w:val="center"/>
                </w:tcPr>
                <w:p>
                  <w:pPr>
                    <w:spacing w:line="400" w:lineRule="exact"/>
                    <w:ind w:firstLine="28"/>
                    <w:jc w:val="center"/>
                    <w:rPr>
                      <w:rFonts w:hint="eastAsia" w:ascii="宋体" w:hAnsi="宋体"/>
                      <w:color w:val="auto"/>
                      <w:sz w:val="24"/>
                      <w:highlight w:val="none"/>
                    </w:rPr>
                  </w:pPr>
                  <w:r>
                    <w:rPr>
                      <w:rFonts w:hint="eastAsia" w:ascii="宋体" w:hAnsi="宋体"/>
                      <w:color w:val="auto"/>
                      <w:sz w:val="24"/>
                      <w:highlight w:val="none"/>
                    </w:rPr>
                    <w:t>其他商务XX%</w:t>
                  </w:r>
                </w:p>
                <w:p>
                  <w:pPr>
                    <w:spacing w:line="400" w:lineRule="exact"/>
                    <w:ind w:firstLine="28"/>
                    <w:rPr>
                      <w:rFonts w:hint="eastAsia" w:ascii="宋体" w:hAnsi="宋体"/>
                      <w:color w:val="auto"/>
                      <w:sz w:val="24"/>
                      <w:highlight w:val="none"/>
                    </w:rPr>
                  </w:pPr>
                </w:p>
              </w:tc>
              <w:tc>
                <w:tcPr>
                  <w:tcW w:w="535" w:type="pct"/>
                  <w:noWrap w:val="0"/>
                  <w:vAlign w:val="center"/>
                </w:tcPr>
                <w:p>
                  <w:pPr>
                    <w:spacing w:line="400" w:lineRule="exact"/>
                    <w:ind w:firstLine="28"/>
                    <w:jc w:val="center"/>
                    <w:rPr>
                      <w:rFonts w:hint="eastAsia" w:ascii="宋体" w:hAnsi="宋体"/>
                      <w:color w:val="auto"/>
                      <w:sz w:val="24"/>
                      <w:highlight w:val="none"/>
                    </w:rPr>
                  </w:pPr>
                  <w:r>
                    <w:rPr>
                      <w:rFonts w:hint="eastAsia" w:ascii="宋体" w:hAnsi="宋体"/>
                      <w:color w:val="auto"/>
                      <w:sz w:val="24"/>
                      <w:highlight w:val="none"/>
                    </w:rPr>
                    <w:t>100分</w:t>
                  </w:r>
                </w:p>
              </w:tc>
              <w:tc>
                <w:tcPr>
                  <w:tcW w:w="2760" w:type="pct"/>
                  <w:noWrap w:val="0"/>
                  <w:vAlign w:val="center"/>
                </w:tcPr>
                <w:p>
                  <w:pPr>
                    <w:spacing w:line="400" w:lineRule="exact"/>
                    <w:ind w:firstLine="28"/>
                    <w:rPr>
                      <w:rFonts w:hint="eastAsia" w:ascii="宋体" w:hAnsi="宋体"/>
                      <w:color w:val="auto"/>
                      <w:sz w:val="24"/>
                      <w:highlight w:val="none"/>
                    </w:rPr>
                  </w:pPr>
                  <w:r>
                    <w:rPr>
                      <w:rFonts w:hint="eastAsia" w:ascii="宋体" w:hAnsi="宋体"/>
                      <w:color w:val="auto"/>
                      <w:sz w:val="24"/>
                      <w:highlight w:val="none"/>
                    </w:rPr>
                    <w:t>完全符合磋商文件要求没有负偏离得XX分；优于磋商文件要求的，一项加XX分，最多加XX分；与磋商文件要求有非实质性负偏离的，一项扣XX分，最多扣XX分。</w:t>
                  </w:r>
                </w:p>
              </w:tc>
              <w:tc>
                <w:tcPr>
                  <w:tcW w:w="810" w:type="pct"/>
                  <w:noWrap w:val="0"/>
                  <w:vAlign w:val="center"/>
                </w:tcPr>
                <w:p>
                  <w:pP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65" w:hRule="atLeast"/>
              </w:trPr>
              <w:tc>
                <w:tcPr>
                  <w:tcW w:w="296" w:type="pct"/>
                  <w:noWrap w:val="0"/>
                  <w:vAlign w:val="center"/>
                </w:tcPr>
                <w:p>
                  <w:pPr>
                    <w:spacing w:line="400" w:lineRule="exact"/>
                    <w:ind w:firstLine="28"/>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七</w:t>
                  </w:r>
                </w:p>
              </w:tc>
              <w:tc>
                <w:tcPr>
                  <w:tcW w:w="597" w:type="pct"/>
                  <w:noWrap w:val="0"/>
                  <w:vAlign w:val="center"/>
                </w:tcPr>
                <w:p>
                  <w:pPr>
                    <w:spacing w:line="400" w:lineRule="exact"/>
                    <w:jc w:val="both"/>
                    <w:rPr>
                      <w:rFonts w:hint="eastAsia" w:ascii="宋体" w:hAnsi="宋体"/>
                      <w:color w:val="auto"/>
                      <w:sz w:val="24"/>
                      <w:highlight w:val="none"/>
                    </w:rPr>
                  </w:pPr>
                  <w:r>
                    <w:rPr>
                      <w:rFonts w:hint="eastAsia" w:ascii="宋体" w:hAnsi="宋体"/>
                      <w:color w:val="auto"/>
                      <w:sz w:val="24"/>
                      <w:highlight w:val="none"/>
                    </w:rPr>
                    <w:t>节能、环保产品XX%</w:t>
                  </w:r>
                </w:p>
                <w:p>
                  <w:pPr>
                    <w:spacing w:line="400" w:lineRule="exact"/>
                    <w:ind w:firstLine="28"/>
                    <w:jc w:val="center"/>
                    <w:rPr>
                      <w:rFonts w:hint="eastAsia" w:ascii="宋体" w:hAnsi="宋体"/>
                      <w:color w:val="auto"/>
                      <w:sz w:val="24"/>
                      <w:highlight w:val="none"/>
                    </w:rPr>
                  </w:pPr>
                </w:p>
              </w:tc>
              <w:tc>
                <w:tcPr>
                  <w:tcW w:w="535" w:type="pct"/>
                  <w:noWrap w:val="0"/>
                  <w:vAlign w:val="center"/>
                </w:tcPr>
                <w:p>
                  <w:pPr>
                    <w:spacing w:line="400" w:lineRule="exact"/>
                    <w:ind w:firstLine="28"/>
                    <w:jc w:val="center"/>
                    <w:rPr>
                      <w:rFonts w:hint="eastAsia" w:ascii="宋体" w:hAnsi="宋体"/>
                      <w:color w:val="auto"/>
                      <w:sz w:val="24"/>
                      <w:highlight w:val="none"/>
                    </w:rPr>
                  </w:pPr>
                  <w:r>
                    <w:rPr>
                      <w:rFonts w:hint="eastAsia" w:ascii="宋体" w:hAnsi="宋体"/>
                      <w:color w:val="auto"/>
                      <w:sz w:val="24"/>
                      <w:highlight w:val="none"/>
                    </w:rPr>
                    <w:t>100分</w:t>
                  </w:r>
                </w:p>
              </w:tc>
              <w:tc>
                <w:tcPr>
                  <w:tcW w:w="2760" w:type="pct"/>
                  <w:noWrap w:val="0"/>
                  <w:vAlign w:val="center"/>
                </w:tcPr>
                <w:p>
                  <w:pPr>
                    <w:spacing w:line="400" w:lineRule="exact"/>
                    <w:ind w:firstLine="28"/>
                    <w:rPr>
                      <w:rFonts w:hint="eastAsia" w:ascii="宋体" w:hAnsi="宋体"/>
                      <w:color w:val="auto"/>
                      <w:sz w:val="24"/>
                      <w:highlight w:val="none"/>
                    </w:rPr>
                  </w:pPr>
                  <w:r>
                    <w:rPr>
                      <w:rFonts w:hint="eastAsia" w:ascii="宋体" w:hAnsi="宋体"/>
                      <w:color w:val="auto"/>
                      <w:sz w:val="24"/>
                      <w:highlight w:val="none"/>
                    </w:rPr>
                    <w:t>供应商所响应的产品中每有一项属于节能产品政府采购品目清单中优先采购范围的得XX分；每有一项属于环境标志产品政府采购品目清单中优先采购范围的得XX分。本项共XX分。</w:t>
                  </w:r>
                </w:p>
                <w:p>
                  <w:pPr>
                    <w:spacing w:line="400" w:lineRule="exact"/>
                    <w:ind w:firstLine="28"/>
                    <w:rPr>
                      <w:rFonts w:hint="eastAsia" w:ascii="宋体" w:hAnsi="宋体"/>
                      <w:color w:val="auto"/>
                      <w:sz w:val="24"/>
                      <w:highlight w:val="none"/>
                    </w:rPr>
                  </w:pPr>
                  <w:r>
                    <w:rPr>
                      <w:rFonts w:hint="eastAsia" w:ascii="宋体" w:hAnsi="宋体"/>
                      <w:color w:val="auto"/>
                      <w:sz w:val="24"/>
                      <w:highlight w:val="none"/>
                    </w:rPr>
                    <w:t>注：</w:t>
                  </w:r>
                </w:p>
                <w:p>
                  <w:pPr>
                    <w:spacing w:line="400" w:lineRule="exact"/>
                    <w:ind w:firstLine="28"/>
                    <w:rPr>
                      <w:rFonts w:hint="eastAsia" w:ascii="宋体" w:hAnsi="宋体"/>
                      <w:color w:val="auto"/>
                      <w:sz w:val="24"/>
                      <w:highlight w:val="none"/>
                    </w:rPr>
                  </w:pPr>
                  <w:r>
                    <w:rPr>
                      <w:rFonts w:hint="eastAsia" w:ascii="宋体" w:hAnsi="宋体"/>
                      <w:color w:val="auto"/>
                      <w:sz w:val="24"/>
                      <w:highlight w:val="none"/>
                    </w:rPr>
                    <w:t>1.可重复计分。</w:t>
                  </w:r>
                </w:p>
                <w:p>
                  <w:pPr>
                    <w:spacing w:line="400" w:lineRule="exact"/>
                    <w:ind w:firstLine="28"/>
                    <w:rPr>
                      <w:rFonts w:hint="eastAsia" w:ascii="宋体" w:hAnsi="宋体"/>
                      <w:color w:val="auto"/>
                      <w:sz w:val="24"/>
                      <w:highlight w:val="none"/>
                    </w:rPr>
                  </w:pPr>
                  <w:r>
                    <w:rPr>
                      <w:rFonts w:hint="eastAsia" w:ascii="宋体" w:hAnsi="宋体"/>
                      <w:color w:val="auto"/>
                      <w:sz w:val="24"/>
                      <w:highlight w:val="none"/>
                    </w:rPr>
                    <w:t>2.本项目采购的产品中属于节能产品或环境标志产品政府采购品目清单中强制采购范围的，不属于本项评分范围。</w:t>
                  </w:r>
                </w:p>
              </w:tc>
              <w:tc>
                <w:tcPr>
                  <w:tcW w:w="810" w:type="pct"/>
                  <w:noWrap w:val="0"/>
                  <w:vAlign w:val="center"/>
                </w:tcPr>
                <w:p>
                  <w:pPr>
                    <w:spacing w:line="400" w:lineRule="exact"/>
                    <w:ind w:left="-38"/>
                    <w:rPr>
                      <w:rFonts w:hint="eastAsia" w:ascii="宋体" w:hAnsi="宋体"/>
                      <w:color w:val="auto"/>
                      <w:sz w:val="24"/>
                      <w:highlight w:val="none"/>
                    </w:rPr>
                  </w:pPr>
                  <w:r>
                    <w:rPr>
                      <w:rFonts w:hint="eastAsia" w:ascii="宋体" w:hAnsi="宋体"/>
                      <w:color w:val="auto"/>
                      <w:sz w:val="24"/>
                      <w:highlight w:val="none"/>
                    </w:rPr>
                    <w:t>详见供应商须知附表第</w:t>
                  </w:r>
                  <w:r>
                    <w:rPr>
                      <w:rFonts w:hint="eastAsia" w:ascii="宋体" w:hAnsi="宋体"/>
                      <w:color w:val="auto"/>
                      <w:sz w:val="24"/>
                      <w:highlight w:val="none"/>
                      <w:lang w:val="en-US" w:eastAsia="zh-CN"/>
                    </w:rPr>
                    <w:t>XX</w:t>
                  </w:r>
                  <w:r>
                    <w:rPr>
                      <w:rFonts w:hint="eastAsia" w:ascii="宋体" w:hAnsi="宋体"/>
                      <w:color w:val="auto"/>
                      <w:sz w:val="24"/>
                      <w:highlight w:val="none"/>
                    </w:rPr>
                    <w:t>条</w:t>
                  </w:r>
                </w:p>
              </w:tc>
            </w:tr>
          </w:tbl>
          <w:p>
            <w:pPr>
              <w:ind w:firstLine="422" w:firstLineChars="200"/>
              <w:rPr>
                <w:rFonts w:hint="eastAsia" w:ascii="宋体" w:hAnsi="宋体" w:eastAsia="宋体" w:cs="宋体"/>
                <w:b/>
                <w:bCs w:val="0"/>
                <w:color w:val="auto"/>
                <w:sz w:val="21"/>
                <w:szCs w:val="21"/>
                <w:highlight w:val="none"/>
              </w:rPr>
            </w:pPr>
            <w:r>
              <w:rPr>
                <w:rFonts w:hint="eastAsia" w:ascii="宋体" w:hAnsi="宋体" w:cs="宋体"/>
                <w:b/>
                <w:bCs w:val="0"/>
                <w:color w:val="auto"/>
                <w:sz w:val="21"/>
                <w:szCs w:val="21"/>
                <w:highlight w:val="none"/>
                <w:lang w:eastAsia="zh-CN"/>
              </w:rPr>
              <w:t>提示</w:t>
            </w:r>
            <w:r>
              <w:rPr>
                <w:rFonts w:hint="eastAsia" w:ascii="宋体" w:hAnsi="宋体" w:eastAsia="宋体" w:cs="宋体"/>
                <w:b/>
                <w:bCs w:val="0"/>
                <w:color w:val="auto"/>
                <w:sz w:val="21"/>
                <w:szCs w:val="21"/>
                <w:highlight w:val="none"/>
              </w:rPr>
              <w:t>：</w:t>
            </w:r>
            <w:r>
              <w:rPr>
                <w:rFonts w:hint="eastAsia" w:ascii="宋体" w:hAnsi="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rPr>
              <w:t>评分的取值按四舍五入法，保留小数点后两位。</w:t>
            </w:r>
          </w:p>
          <w:p>
            <w:pPr>
              <w:numPr>
                <w:ilvl w:val="0"/>
                <w:numId w:val="0"/>
              </w:numPr>
              <w:ind w:firstLine="422" w:firstLineChars="200"/>
              <w:rPr>
                <w:rFonts w:hint="eastAsia" w:ascii="宋体" w:hAnsi="宋体" w:eastAsia="宋体" w:cs="宋体"/>
                <w:b/>
                <w:bCs w:val="0"/>
                <w:color w:val="auto"/>
                <w:sz w:val="21"/>
                <w:szCs w:val="21"/>
                <w:highlight w:val="none"/>
              </w:rPr>
            </w:pPr>
            <w:r>
              <w:rPr>
                <w:rFonts w:hint="eastAsia" w:ascii="宋体" w:hAnsi="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国家强制标准（要求）不作为评分项。</w:t>
            </w:r>
          </w:p>
          <w:p>
            <w:pPr>
              <w:numPr>
                <w:ilvl w:val="0"/>
                <w:numId w:val="0"/>
              </w:numPr>
              <w:ind w:firstLine="422" w:firstLineChars="200"/>
              <w:rPr>
                <w:rFonts w:hint="eastAsia" w:ascii="宋体" w:hAnsi="宋体" w:eastAsia="宋体" w:cs="宋体"/>
                <w:b/>
                <w:bCs w:val="0"/>
                <w:color w:val="auto"/>
                <w:sz w:val="21"/>
                <w:szCs w:val="21"/>
                <w:highlight w:val="none"/>
              </w:rPr>
            </w:pPr>
            <w:r>
              <w:rPr>
                <w:rFonts w:hint="eastAsia" w:ascii="宋体" w:hAnsi="宋体"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rPr>
              <w:t>不得以不合理的条件对供应商实行差别待遇或者歧视性待遇。</w:t>
            </w:r>
          </w:p>
          <w:p>
            <w:pPr>
              <w:numPr>
                <w:ilvl w:val="0"/>
                <w:numId w:val="0"/>
              </w:numPr>
              <w:ind w:firstLine="422" w:firstLineChars="200"/>
              <w:rPr>
                <w:rFonts w:hint="eastAsia" w:ascii="宋体" w:hAnsi="宋体" w:eastAsia="宋体" w:cs="宋体"/>
                <w:b/>
                <w:bCs w:val="0"/>
                <w:color w:val="auto"/>
                <w:sz w:val="21"/>
                <w:szCs w:val="21"/>
                <w:highlight w:val="none"/>
              </w:rPr>
            </w:pPr>
          </w:p>
          <w:p>
            <w:pPr>
              <w:rPr>
                <w:rFonts w:ascii="Times New Roman" w:hAnsi="Times New Roman" w:cs="Times New Roman"/>
                <w:b/>
                <w:bCs w:val="0"/>
                <w:color w:val="auto"/>
                <w:sz w:val="32"/>
                <w:szCs w:val="40"/>
                <w:highlight w:val="none"/>
              </w:rPr>
            </w:pPr>
            <w:r>
              <w:rPr>
                <w:rFonts w:hint="eastAsia" w:ascii="Times New Roman" w:hAnsi="Times New Roman" w:cs="Times New Roman"/>
                <w:b/>
                <w:bCs w:val="0"/>
                <w:color w:val="auto"/>
                <w:sz w:val="32"/>
                <w:szCs w:val="40"/>
                <w:highlight w:val="none"/>
                <w:lang w:eastAsia="zh-CN"/>
              </w:rPr>
              <w:t>工程类：</w:t>
            </w:r>
            <w:r>
              <w:rPr>
                <w:rFonts w:ascii="Times New Roman" w:hAnsi="Times New Roman" w:cs="Times New Roman"/>
                <w:b/>
                <w:bCs w:val="0"/>
                <w:color w:val="auto"/>
                <w:sz w:val="32"/>
                <w:szCs w:val="40"/>
                <w:highlight w:val="none"/>
              </w:rPr>
              <w:t>（价格作为评分因素）</w:t>
            </w:r>
          </w:p>
          <w:tbl>
            <w:tblPr>
              <w:tblStyle w:val="7"/>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975"/>
              <w:gridCol w:w="9"/>
              <w:gridCol w:w="951"/>
              <w:gridCol w:w="4755"/>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blHeader/>
                <w:jc w:val="center"/>
              </w:trPr>
              <w:tc>
                <w:tcPr>
                  <w:tcW w:w="676" w:type="dxa"/>
                  <w:vAlign w:val="center"/>
                </w:tcPr>
                <w:p>
                  <w:pPr>
                    <w:jc w:val="center"/>
                    <w:rPr>
                      <w:rFonts w:hint="eastAsia" w:ascii="宋体" w:hAnsi="宋体" w:eastAsia="宋体" w:cs="宋体"/>
                      <w:b/>
                      <w:bCs/>
                      <w:color w:val="auto"/>
                      <w:sz w:val="24"/>
                      <w:szCs w:val="24"/>
                      <w:highlight w:val="none"/>
                    </w:rPr>
                  </w:pPr>
                  <w:r>
                    <w:rPr>
                      <w:rFonts w:hint="eastAsia" w:ascii="宋体" w:hAnsi="宋体"/>
                      <w:color w:val="auto"/>
                      <w:sz w:val="24"/>
                      <w:highlight w:val="none"/>
                    </w:rPr>
                    <w:t>序号</w:t>
                  </w:r>
                </w:p>
              </w:tc>
              <w:tc>
                <w:tcPr>
                  <w:tcW w:w="975" w:type="dxa"/>
                  <w:vAlign w:val="center"/>
                </w:tcPr>
                <w:p>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评审因素及</w:t>
                  </w:r>
                  <w:r>
                    <w:rPr>
                      <w:rFonts w:hint="eastAsia" w:ascii="宋体" w:hAnsi="宋体" w:cs="宋体"/>
                      <w:b/>
                      <w:bCs/>
                      <w:color w:val="auto"/>
                      <w:sz w:val="24"/>
                      <w:szCs w:val="24"/>
                      <w:highlight w:val="none"/>
                      <w:lang w:eastAsia="zh-CN"/>
                    </w:rPr>
                    <w:t>权重</w:t>
                  </w:r>
                </w:p>
              </w:tc>
              <w:tc>
                <w:tcPr>
                  <w:tcW w:w="960" w:type="dxa"/>
                  <w:gridSpan w:val="2"/>
                  <w:vAlign w:val="center"/>
                </w:tcPr>
                <w:p>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分值</w:t>
                  </w:r>
                </w:p>
              </w:tc>
              <w:tc>
                <w:tcPr>
                  <w:tcW w:w="4755" w:type="dxa"/>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1473" w:type="dxa"/>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676"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84" w:type="dxa"/>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p>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XX%</w:t>
                  </w:r>
                </w:p>
              </w:tc>
              <w:tc>
                <w:tcPr>
                  <w:tcW w:w="951" w:type="dxa"/>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olor w:val="auto"/>
                      <w:sz w:val="24"/>
                      <w:highlight w:val="none"/>
                    </w:rPr>
                    <w:t>100分</w:t>
                  </w:r>
                </w:p>
              </w:tc>
              <w:tc>
                <w:tcPr>
                  <w:tcW w:w="4755"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满足磋商文件要求且最后报价最低的供应商的价格为磋商基准价，其价格分为满分。其他供应商的价格分统一按照下列公式计算：</w:t>
                  </w:r>
                </w:p>
                <w:p>
                  <w:pPr>
                    <w:rPr>
                      <w:rFonts w:hint="eastAsia" w:ascii="宋体" w:hAnsi="宋体" w:eastAsia="宋体" w:cs="宋体"/>
                      <w:strike/>
                      <w:color w:val="auto"/>
                      <w:sz w:val="24"/>
                      <w:szCs w:val="24"/>
                      <w:highlight w:val="none"/>
                      <w:u w:val="single"/>
                    </w:rPr>
                  </w:pPr>
                  <w:r>
                    <w:rPr>
                      <w:rFonts w:hint="eastAsia" w:ascii="宋体" w:hAnsi="宋体" w:eastAsia="宋体" w:cs="宋体"/>
                      <w:color w:val="auto"/>
                      <w:sz w:val="24"/>
                      <w:szCs w:val="24"/>
                      <w:highlight w:val="none"/>
                    </w:rPr>
                    <w:t>磋商报价得分=（磋商基准价/最后磋商报价）×</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rPr>
                    <w:t>。</w:t>
                  </w:r>
                </w:p>
              </w:tc>
              <w:tc>
                <w:tcPr>
                  <w:tcW w:w="1473"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详见供应商须知附表第XX条。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5" w:hRule="atLeast"/>
                <w:jc w:val="center"/>
              </w:trPr>
              <w:tc>
                <w:tcPr>
                  <w:tcW w:w="676" w:type="dxa"/>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984" w:type="dxa"/>
                  <w:gridSpan w:val="2"/>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施工组织方案</w:t>
                  </w:r>
                </w:p>
                <w:p>
                  <w:pPr>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XX%</w:t>
                  </w:r>
                </w:p>
              </w:tc>
              <w:tc>
                <w:tcPr>
                  <w:tcW w:w="951" w:type="dxa"/>
                  <w:vAlign w:val="center"/>
                </w:tcPr>
                <w:p>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olor w:val="auto"/>
                      <w:sz w:val="24"/>
                      <w:highlight w:val="none"/>
                    </w:rPr>
                    <w:t>100分</w:t>
                  </w:r>
                </w:p>
              </w:tc>
              <w:tc>
                <w:tcPr>
                  <w:tcW w:w="4755"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例如：施工组织方案应当包括：①进度计划（应体现完成相应工程的时间计划）；②质量保证措施（应包含质保期、建材质量……）；③安全保证措施；④资源配置计划；⑤环保文明措施；⑥应急预案；⑦施工工艺。前述XX项内容，每缺少一项内容扣XX分，扣完为止。）</w:t>
                  </w:r>
                </w:p>
              </w:tc>
              <w:tc>
                <w:tcPr>
                  <w:tcW w:w="1473"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676"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84" w:type="dxa"/>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质量保障</w:t>
                  </w:r>
                </w:p>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XX%</w:t>
                  </w:r>
                </w:p>
              </w:tc>
              <w:tc>
                <w:tcPr>
                  <w:tcW w:w="951" w:type="dxa"/>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olor w:val="auto"/>
                      <w:sz w:val="24"/>
                      <w:highlight w:val="none"/>
                    </w:rPr>
                    <w:t>100分</w:t>
                  </w:r>
                </w:p>
              </w:tc>
              <w:tc>
                <w:tcPr>
                  <w:tcW w:w="4755"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(例如：采购人可以根据项目实际需要设置评审标准，例如：根据供应商提供的施工组织方案中的质量保证措施：</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1.对工程质量问题的响应时间：XX-XX的，XX分；XX-XX的，XX分；XX-XX的，XX分。</w:t>
                  </w:r>
                </w:p>
                <w:p>
                  <w:pPr>
                    <w:tabs>
                      <w:tab w:val="left" w:pos="31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2.质保期XX-XX的，XX分；XX-XX的，XX分；XX-XX的，XX分。）</w:t>
                  </w:r>
                </w:p>
              </w:tc>
              <w:tc>
                <w:tcPr>
                  <w:tcW w:w="1473"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8" w:hRule="atLeast"/>
                <w:jc w:val="center"/>
              </w:trPr>
              <w:tc>
                <w:tcPr>
                  <w:tcW w:w="676"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984" w:type="dxa"/>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w:t>
                  </w:r>
                </w:p>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XX%</w:t>
                  </w:r>
                </w:p>
              </w:tc>
              <w:tc>
                <w:tcPr>
                  <w:tcW w:w="951" w:type="dxa"/>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olor w:val="auto"/>
                      <w:sz w:val="24"/>
                      <w:highlight w:val="none"/>
                    </w:rPr>
                    <w:t>100分</w:t>
                  </w:r>
                </w:p>
              </w:tc>
              <w:tc>
                <w:tcPr>
                  <w:tcW w:w="4755"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（例如：根据供应商响应的工期：工期XX-XX的，XX分；XX-XX的，XX分；XX-XX的，XX分。）</w:t>
                  </w:r>
                </w:p>
              </w:tc>
              <w:tc>
                <w:tcPr>
                  <w:tcW w:w="1473"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6" w:hRule="atLeast"/>
                <w:jc w:val="center"/>
              </w:trPr>
              <w:tc>
                <w:tcPr>
                  <w:tcW w:w="676"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84" w:type="dxa"/>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履约能力</w:t>
                  </w:r>
                </w:p>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XX%</w:t>
                  </w:r>
                </w:p>
              </w:tc>
              <w:tc>
                <w:tcPr>
                  <w:tcW w:w="951" w:type="dxa"/>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olor w:val="auto"/>
                      <w:sz w:val="24"/>
                      <w:highlight w:val="none"/>
                    </w:rPr>
                    <w:t>100分</w:t>
                  </w:r>
                </w:p>
              </w:tc>
              <w:tc>
                <w:tcPr>
                  <w:tcW w:w="4755"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（例如：采购人可以从供应商业绩，以及供应商人员配置、人员资质、人员业绩等方面设置评审标准。例如：</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1.供应商20XX年1月1日（含1日）以来具有一个已完成类似项目业绩的得XX分，在此基础上每增加1个加XX分，最多得XX分。（提供施工合同和竣工验收报告。）</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2．供应商的项目管理人20XX年1月1日（含1日）以来具有一个已完成类似项目业绩的得XX分，在此基础上每增加1个加XX分，最多得XX分。（提供施工合同和竣工验收报告。）</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类似项目是指：XXXX建设项目。）</w:t>
                  </w:r>
                </w:p>
              </w:tc>
              <w:tc>
                <w:tcPr>
                  <w:tcW w:w="1473"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8" w:hRule="atLeast"/>
                <w:jc w:val="center"/>
              </w:trPr>
              <w:tc>
                <w:tcPr>
                  <w:tcW w:w="676"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984" w:type="dxa"/>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落实政府采购政策</w:t>
                  </w:r>
                </w:p>
                <w:p>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XX%</w:t>
                  </w:r>
                </w:p>
              </w:tc>
              <w:tc>
                <w:tcPr>
                  <w:tcW w:w="951" w:type="dxa"/>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olor w:val="auto"/>
                      <w:sz w:val="24"/>
                      <w:highlight w:val="none"/>
                    </w:rPr>
                    <w:t>100分</w:t>
                  </w:r>
                </w:p>
              </w:tc>
              <w:tc>
                <w:tcPr>
                  <w:tcW w:w="4755"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供应商所响应的产品中每有一项属于节能产品政府采购品目清单中优先采购范围的得XX分；每有一项属于环境标志产品政府采购品目清单中优先采购范围的得XX分。本项共XX分。</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1.可重复计分。</w:t>
                  </w:r>
                </w:p>
                <w:p>
                  <w:pPr>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2.本项目采购的产品中属于节能产品或环境标志产品政府采购品目清单中强制采购范围的，不属于本项评分范围。</w:t>
                  </w:r>
                </w:p>
              </w:tc>
              <w:tc>
                <w:tcPr>
                  <w:tcW w:w="1473"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详见供应商须知附表第XX条。</w:t>
                  </w:r>
                </w:p>
              </w:tc>
            </w:tr>
          </w:tbl>
          <w:p>
            <w:pPr>
              <w:ind w:firstLine="422" w:firstLineChars="200"/>
              <w:rPr>
                <w:rFonts w:hint="eastAsia" w:ascii="宋体" w:hAnsi="宋体" w:eastAsia="宋体" w:cs="宋体"/>
                <w:b/>
                <w:bCs w:val="0"/>
                <w:color w:val="auto"/>
                <w:sz w:val="21"/>
                <w:szCs w:val="21"/>
                <w:highlight w:val="none"/>
              </w:rPr>
            </w:pPr>
            <w:r>
              <w:rPr>
                <w:rFonts w:hint="eastAsia" w:ascii="宋体" w:hAnsi="宋体" w:cs="宋体"/>
                <w:b/>
                <w:bCs w:val="0"/>
                <w:color w:val="auto"/>
                <w:sz w:val="21"/>
                <w:szCs w:val="21"/>
                <w:highlight w:val="none"/>
                <w:lang w:eastAsia="zh-CN"/>
              </w:rPr>
              <w:t>提示</w:t>
            </w:r>
            <w:r>
              <w:rPr>
                <w:rFonts w:hint="eastAsia" w:ascii="宋体" w:hAnsi="宋体" w:eastAsia="宋体" w:cs="宋体"/>
                <w:b/>
                <w:bCs w:val="0"/>
                <w:color w:val="auto"/>
                <w:sz w:val="21"/>
                <w:szCs w:val="21"/>
                <w:highlight w:val="none"/>
              </w:rPr>
              <w:t>：评分的取值按四舍五入法，保留小数点后两位。</w:t>
            </w:r>
          </w:p>
          <w:p>
            <w:pPr>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说明：1.供应商业绩、项目经理业绩原则上不超过3个。</w:t>
            </w:r>
          </w:p>
          <w:p>
            <w:pPr>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不得以不合理的条件对供应商实行差别待遇或者歧视性待遇。</w:t>
            </w:r>
          </w:p>
          <w:p>
            <w:pPr>
              <w:numPr>
                <w:ilvl w:val="0"/>
                <w:numId w:val="0"/>
              </w:numPr>
              <w:ind w:firstLine="422" w:firstLineChars="200"/>
              <w:rPr>
                <w:rFonts w:hint="eastAsia" w:ascii="宋体" w:hAnsi="宋体" w:eastAsia="宋体" w:cs="宋体"/>
                <w:b/>
                <w:bCs w:val="0"/>
                <w:color w:val="auto"/>
                <w:sz w:val="21"/>
                <w:szCs w:val="21"/>
                <w:highlight w:val="none"/>
              </w:rPr>
            </w:pPr>
          </w:p>
          <w:p>
            <w:pPr>
              <w:rPr>
                <w:rFonts w:hint="eastAsia" w:ascii="宋体" w:hAnsi="宋体" w:eastAsia="宋体" w:cs="宋体"/>
                <w:bCs/>
                <w:color w:val="auto"/>
                <w:sz w:val="28"/>
                <w:szCs w:val="28"/>
                <w:highlight w:val="none"/>
              </w:rPr>
            </w:pPr>
            <w:r>
              <w:rPr>
                <w:rFonts w:hint="eastAsia" w:ascii="宋体" w:hAnsi="宋体" w:eastAsia="宋体" w:cs="宋体"/>
                <w:b/>
                <w:bCs w:val="0"/>
                <w:color w:val="auto"/>
                <w:sz w:val="28"/>
                <w:szCs w:val="28"/>
                <w:highlight w:val="none"/>
                <w:lang w:eastAsia="zh-CN"/>
              </w:rPr>
              <w:t>工程类：</w:t>
            </w:r>
            <w:r>
              <w:rPr>
                <w:rFonts w:hint="eastAsia" w:ascii="宋体" w:hAnsi="宋体" w:eastAsia="宋体" w:cs="宋体"/>
                <w:b/>
                <w:bCs w:val="0"/>
                <w:color w:val="auto"/>
                <w:sz w:val="28"/>
                <w:szCs w:val="28"/>
                <w:highlight w:val="none"/>
              </w:rPr>
              <w:t>（价格不作为评分因素）</w:t>
            </w:r>
          </w:p>
          <w:tbl>
            <w:tblPr>
              <w:tblStyle w:val="7"/>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945"/>
              <w:gridCol w:w="943"/>
              <w:gridCol w:w="4339"/>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1" w:hRule="atLeast"/>
                <w:tblHeader/>
              </w:trPr>
              <w:tc>
                <w:tcPr>
                  <w:tcW w:w="741" w:type="dxa"/>
                  <w:vAlign w:val="center"/>
                </w:tcPr>
                <w:p>
                  <w:pPr>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序号</w:t>
                  </w:r>
                </w:p>
              </w:tc>
              <w:tc>
                <w:tcPr>
                  <w:tcW w:w="945" w:type="dxa"/>
                  <w:vAlign w:val="center"/>
                </w:tcPr>
                <w:p>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评审因素及</w:t>
                  </w:r>
                  <w:r>
                    <w:rPr>
                      <w:rFonts w:hint="eastAsia" w:ascii="宋体" w:hAnsi="宋体" w:cs="宋体"/>
                      <w:b/>
                      <w:bCs/>
                      <w:color w:val="auto"/>
                      <w:sz w:val="24"/>
                      <w:szCs w:val="24"/>
                      <w:highlight w:val="none"/>
                      <w:lang w:eastAsia="zh-CN"/>
                    </w:rPr>
                    <w:t>权重</w:t>
                  </w:r>
                </w:p>
              </w:tc>
              <w:tc>
                <w:tcPr>
                  <w:tcW w:w="943" w:type="dxa"/>
                  <w:vAlign w:val="center"/>
                </w:tcPr>
                <w:p>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分值</w:t>
                  </w:r>
                </w:p>
              </w:tc>
              <w:tc>
                <w:tcPr>
                  <w:tcW w:w="4339" w:type="dxa"/>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1729" w:type="dxa"/>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741" w:type="dxa"/>
                  <w:vAlign w:val="center"/>
                </w:tcPr>
                <w:p>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p>
              </w:tc>
              <w:tc>
                <w:tcPr>
                  <w:tcW w:w="945" w:type="dxa"/>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施工组织方案</w:t>
                  </w:r>
                </w:p>
                <w:p>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XX%</w:t>
                  </w:r>
                </w:p>
              </w:tc>
              <w:tc>
                <w:tcPr>
                  <w:tcW w:w="943" w:type="dxa"/>
                  <w:vAlign w:val="center"/>
                </w:tcPr>
                <w:p>
                  <w:pPr>
                    <w:spacing w:line="240" w:lineRule="auto"/>
                    <w:jc w:val="center"/>
                    <w:rPr>
                      <w:rFonts w:hint="default" w:ascii="宋体" w:hAnsi="宋体" w:cs="宋体"/>
                      <w:color w:val="auto"/>
                      <w:sz w:val="24"/>
                      <w:szCs w:val="24"/>
                      <w:highlight w:val="none"/>
                      <w:lang w:val="en-US" w:eastAsia="zh-CN"/>
                    </w:rPr>
                  </w:pPr>
                  <w:r>
                    <w:rPr>
                      <w:rFonts w:hint="eastAsia" w:ascii="宋体" w:hAnsi="宋体"/>
                      <w:color w:val="auto"/>
                      <w:sz w:val="24"/>
                      <w:highlight w:val="none"/>
                    </w:rPr>
                    <w:t>100分</w:t>
                  </w:r>
                </w:p>
              </w:tc>
              <w:tc>
                <w:tcPr>
                  <w:tcW w:w="4339"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例如：施工组织方案应当包括：①进度计划（应体现完成相应工程的时间计划）；②质量保证措施（应包含质保期、建材质量……）；③安全保证措施；④资源配置计划；⑤环保文明措施；⑥应急预案；⑦施工工艺。前述XX项内容，每缺少一项内容扣XX分，扣完为止。）</w:t>
                  </w:r>
                </w:p>
              </w:tc>
              <w:tc>
                <w:tcPr>
                  <w:tcW w:w="1729"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5" w:hRule="atLeast"/>
              </w:trPr>
              <w:tc>
                <w:tcPr>
                  <w:tcW w:w="741" w:type="dxa"/>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c>
                <w:tcPr>
                  <w:tcW w:w="945"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质量保障</w:t>
                  </w:r>
                </w:p>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XX%</w:t>
                  </w:r>
                </w:p>
              </w:tc>
              <w:tc>
                <w:tcPr>
                  <w:tcW w:w="943" w:type="dxa"/>
                  <w:vAlign w:val="center"/>
                </w:tcPr>
                <w:p>
                  <w:pPr>
                    <w:jc w:val="center"/>
                    <w:rPr>
                      <w:rFonts w:hint="eastAsia" w:ascii="宋体" w:hAnsi="宋体" w:eastAsia="宋体" w:cs="宋体"/>
                      <w:color w:val="auto"/>
                      <w:sz w:val="24"/>
                      <w:szCs w:val="24"/>
                      <w:highlight w:val="none"/>
                    </w:rPr>
                  </w:pPr>
                  <w:r>
                    <w:rPr>
                      <w:rFonts w:hint="eastAsia" w:ascii="宋体" w:hAnsi="宋体"/>
                      <w:color w:val="auto"/>
                      <w:sz w:val="24"/>
                      <w:highlight w:val="none"/>
                    </w:rPr>
                    <w:t>100分</w:t>
                  </w:r>
                </w:p>
              </w:tc>
              <w:tc>
                <w:tcPr>
                  <w:tcW w:w="4339"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(例如：采购人可以根据项目实际需要设置评审标准，例如：根据供应商提供的施工组织方案中的质量保证措施：</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1.对工程质量问题的响应时间：XX-XX的，XX分；XX-XX的，XX分；XX-XX的，XX分。</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2.质保期XX-XX的，XX分；XX-XX的，XX分；XX-XX的，XX分。）</w:t>
                  </w:r>
                </w:p>
              </w:tc>
              <w:tc>
                <w:tcPr>
                  <w:tcW w:w="1729"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7" w:hRule="atLeast"/>
              </w:trPr>
              <w:tc>
                <w:tcPr>
                  <w:tcW w:w="741" w:type="dxa"/>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945"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w:t>
                  </w:r>
                </w:p>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XX%</w:t>
                  </w:r>
                </w:p>
              </w:tc>
              <w:tc>
                <w:tcPr>
                  <w:tcW w:w="943" w:type="dxa"/>
                  <w:vAlign w:val="center"/>
                </w:tcPr>
                <w:p>
                  <w:pPr>
                    <w:jc w:val="center"/>
                    <w:rPr>
                      <w:rFonts w:hint="eastAsia" w:ascii="宋体" w:hAnsi="宋体" w:eastAsia="宋体" w:cs="宋体"/>
                      <w:color w:val="auto"/>
                      <w:sz w:val="24"/>
                      <w:szCs w:val="24"/>
                      <w:highlight w:val="none"/>
                    </w:rPr>
                  </w:pPr>
                  <w:r>
                    <w:rPr>
                      <w:rFonts w:hint="eastAsia" w:ascii="宋体" w:hAnsi="宋体"/>
                      <w:color w:val="auto"/>
                      <w:sz w:val="24"/>
                      <w:highlight w:val="none"/>
                    </w:rPr>
                    <w:t>100分</w:t>
                  </w:r>
                </w:p>
              </w:tc>
              <w:tc>
                <w:tcPr>
                  <w:tcW w:w="4339"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（例如：根据供应商响应的工期：工期XX-XX的，XX分；XX-XX的，XX分；XX-XX的，XX分。）</w:t>
                  </w:r>
                </w:p>
              </w:tc>
              <w:tc>
                <w:tcPr>
                  <w:tcW w:w="1729"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9" w:hRule="atLeast"/>
              </w:trPr>
              <w:tc>
                <w:tcPr>
                  <w:tcW w:w="741" w:type="dxa"/>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c>
                <w:tcPr>
                  <w:tcW w:w="945"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履约能力</w:t>
                  </w:r>
                </w:p>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XX%</w:t>
                  </w:r>
                </w:p>
              </w:tc>
              <w:tc>
                <w:tcPr>
                  <w:tcW w:w="943" w:type="dxa"/>
                  <w:vAlign w:val="center"/>
                </w:tcPr>
                <w:p>
                  <w:pPr>
                    <w:jc w:val="center"/>
                    <w:rPr>
                      <w:rFonts w:hint="eastAsia" w:ascii="宋体" w:hAnsi="宋体" w:eastAsia="宋体" w:cs="宋体"/>
                      <w:color w:val="auto"/>
                      <w:sz w:val="24"/>
                      <w:szCs w:val="24"/>
                      <w:highlight w:val="none"/>
                    </w:rPr>
                  </w:pPr>
                  <w:r>
                    <w:rPr>
                      <w:rFonts w:hint="eastAsia" w:ascii="宋体" w:hAnsi="宋体"/>
                      <w:color w:val="auto"/>
                      <w:sz w:val="24"/>
                      <w:highlight w:val="none"/>
                    </w:rPr>
                    <w:t>100分</w:t>
                  </w:r>
                </w:p>
              </w:tc>
              <w:tc>
                <w:tcPr>
                  <w:tcW w:w="4339"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（例如：采购人可以从供应商业绩，以及供应商人员配置、人员资质、人员业绩等方面设置评审标准。例如：</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1.供应商20XX年1月1日（含1日）以来具有一个已完成类似项目业绩的得XX分，在此基础上每增加1个加XX分，最多得XX分。（提供施工合同和竣工验收报告。）</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2．供应商的项目管理人20XX年1月1日（含1日）以来具有一个已完成类似项目业绩的得XX分，在此基础上每增加1个加XX分，最多得XX分。（提供施工合同和竣工验收报告。）</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类似项目是指：XXXX建设项目。）</w:t>
                  </w:r>
                </w:p>
              </w:tc>
              <w:tc>
                <w:tcPr>
                  <w:tcW w:w="1729" w:type="dxa"/>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9" w:hRule="atLeast"/>
              </w:trPr>
              <w:tc>
                <w:tcPr>
                  <w:tcW w:w="741" w:type="dxa"/>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945"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落实政府采购政策</w:t>
                  </w:r>
                </w:p>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XX%</w:t>
                  </w:r>
                </w:p>
              </w:tc>
              <w:tc>
                <w:tcPr>
                  <w:tcW w:w="943" w:type="dxa"/>
                  <w:vAlign w:val="center"/>
                </w:tcPr>
                <w:p>
                  <w:pPr>
                    <w:jc w:val="center"/>
                    <w:rPr>
                      <w:rFonts w:hint="eastAsia" w:ascii="宋体" w:hAnsi="宋体" w:eastAsia="宋体" w:cs="宋体"/>
                      <w:color w:val="auto"/>
                      <w:sz w:val="24"/>
                      <w:szCs w:val="24"/>
                      <w:highlight w:val="none"/>
                    </w:rPr>
                  </w:pPr>
                  <w:r>
                    <w:rPr>
                      <w:rFonts w:hint="eastAsia" w:ascii="宋体" w:hAnsi="宋体"/>
                      <w:color w:val="auto"/>
                      <w:sz w:val="24"/>
                      <w:highlight w:val="none"/>
                    </w:rPr>
                    <w:t>100分</w:t>
                  </w:r>
                </w:p>
              </w:tc>
              <w:tc>
                <w:tcPr>
                  <w:tcW w:w="4339"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供应商所响应的产品中每有一项属于节能产品政府采购品目清单中优先采购范围的得XX分；每有一项属于环境标志产品政府采购品目清单中优先采购范围的得XX分。本项共XX分。</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1.可重复计分。</w:t>
                  </w:r>
                </w:p>
                <w:p>
                  <w:pPr>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2.本项目采购的产品中属于节能产品或环境标志产品政府采购品目清单中强制采购范围的，不属于本项评分范围。</w:t>
                  </w:r>
                </w:p>
              </w:tc>
              <w:tc>
                <w:tcPr>
                  <w:tcW w:w="1729"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详见供应商须知附表第XX条。</w:t>
                  </w:r>
                </w:p>
              </w:tc>
            </w:tr>
          </w:tbl>
          <w:p>
            <w:pPr>
              <w:numPr>
                <w:ilvl w:val="0"/>
                <w:numId w:val="0"/>
              </w:numPr>
              <w:rPr>
                <w:rFonts w:hint="eastAsia" w:ascii="宋体" w:hAnsi="宋体" w:eastAsia="宋体" w:cs="宋体"/>
                <w:b/>
                <w:bCs w:val="0"/>
                <w:color w:val="auto"/>
                <w:sz w:val="21"/>
                <w:szCs w:val="21"/>
                <w:highlight w:val="none"/>
              </w:rPr>
            </w:pPr>
          </w:p>
          <w:p>
            <w:pPr>
              <w:ind w:firstLine="422" w:firstLineChars="200"/>
              <w:rPr>
                <w:rFonts w:hint="eastAsia" w:ascii="宋体" w:hAnsi="宋体" w:eastAsia="宋体" w:cs="宋体"/>
                <w:b/>
                <w:bCs w:val="0"/>
                <w:color w:val="auto"/>
                <w:sz w:val="21"/>
                <w:szCs w:val="21"/>
                <w:highlight w:val="none"/>
              </w:rPr>
            </w:pPr>
            <w:r>
              <w:rPr>
                <w:rFonts w:hint="eastAsia" w:ascii="宋体" w:hAnsi="宋体" w:cs="宋体"/>
                <w:b/>
                <w:bCs w:val="0"/>
                <w:color w:val="auto"/>
                <w:sz w:val="21"/>
                <w:szCs w:val="21"/>
                <w:highlight w:val="none"/>
                <w:lang w:eastAsia="zh-CN"/>
              </w:rPr>
              <w:t>提示</w:t>
            </w:r>
            <w:r>
              <w:rPr>
                <w:rFonts w:hint="eastAsia" w:ascii="宋体" w:hAnsi="宋体" w:eastAsia="宋体" w:cs="宋体"/>
                <w:b/>
                <w:bCs w:val="0"/>
                <w:color w:val="auto"/>
                <w:sz w:val="21"/>
                <w:szCs w:val="21"/>
                <w:highlight w:val="none"/>
              </w:rPr>
              <w:t>：评分的取值按四舍五入法，保留小数点后两位。</w:t>
            </w:r>
          </w:p>
          <w:p>
            <w:pPr>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说明：1.供应商业绩、项目经理业绩原则上不超过3个。</w:t>
            </w:r>
          </w:p>
          <w:p>
            <w:pPr>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不得以不合理的条件对供应商实行差别待遇或者歧视性待遇。</w:t>
            </w:r>
          </w:p>
          <w:p>
            <w:pPr>
              <w:spacing w:line="600" w:lineRule="exact"/>
              <w:jc w:val="left"/>
              <w:rPr>
                <w:rFonts w:hint="eastAsia" w:ascii="宋体" w:hAnsi="宋体"/>
                <w:b/>
                <w:color w:val="auto"/>
                <w:sz w:val="24"/>
                <w:highlight w:val="none"/>
              </w:rPr>
            </w:pPr>
          </w:p>
          <w:p>
            <w:pPr>
              <w:keepNext w:val="0"/>
              <w:keepLines w:val="0"/>
              <w:pageBreakBefore w:val="0"/>
              <w:widowControl w:val="0"/>
              <w:numPr>
                <w:ilvl w:val="0"/>
                <w:numId w:val="4"/>
              </w:numPr>
              <w:kinsoku/>
              <w:wordWrap/>
              <w:overflowPunct/>
              <w:topLinePunct w:val="0"/>
              <w:autoSpaceDE/>
              <w:autoSpaceDN/>
              <w:bidi w:val="0"/>
              <w:adjustRightInd/>
              <w:snapToGrid/>
              <w:spacing w:after="160" w:afterLines="50" w:line="600" w:lineRule="exact"/>
              <w:ind w:left="0" w:leftChars="0" w:firstLine="0" w:firstLineChars="0"/>
              <w:jc w:val="left"/>
              <w:textAlignment w:val="auto"/>
              <w:rPr>
                <w:rFonts w:hint="eastAsia" w:ascii="宋体" w:hAnsi="宋体"/>
                <w:b/>
                <w:color w:val="auto"/>
                <w:sz w:val="24"/>
                <w:highlight w:val="none"/>
              </w:rPr>
            </w:pPr>
            <w:r>
              <w:rPr>
                <w:rFonts w:hint="eastAsia" w:ascii="宋体" w:hAnsi="宋体"/>
                <w:b/>
                <w:color w:val="auto"/>
                <w:sz w:val="24"/>
                <w:highlight w:val="none"/>
              </w:rPr>
              <w:t>资格预审评分表内容设置（仅资格预审工程项目填写）</w:t>
            </w:r>
          </w:p>
          <w:tbl>
            <w:tblPr>
              <w:tblStyle w:val="7"/>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931"/>
              <w:gridCol w:w="3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916" w:type="dxa"/>
                  <w:noWrap w:val="0"/>
                  <w:vAlign w:val="top"/>
                </w:tcPr>
                <w:p>
                  <w:pPr>
                    <w:spacing w:line="600" w:lineRule="exact"/>
                    <w:jc w:val="center"/>
                    <w:rPr>
                      <w:rFonts w:ascii="宋体" w:hAnsi="宋体"/>
                      <w:b w:val="0"/>
                      <w:bCs/>
                      <w:color w:val="auto"/>
                      <w:sz w:val="24"/>
                      <w:szCs w:val="24"/>
                      <w:highlight w:val="none"/>
                    </w:rPr>
                  </w:pPr>
                  <w:r>
                    <w:rPr>
                      <w:rFonts w:hint="eastAsia" w:ascii="宋体" w:hAnsi="宋体"/>
                      <w:b w:val="0"/>
                      <w:bCs/>
                      <w:color w:val="auto"/>
                      <w:sz w:val="24"/>
                      <w:szCs w:val="24"/>
                      <w:highlight w:val="none"/>
                    </w:rPr>
                    <w:t>序号</w:t>
                  </w:r>
                </w:p>
              </w:tc>
              <w:tc>
                <w:tcPr>
                  <w:tcW w:w="3931" w:type="dxa"/>
                  <w:noWrap w:val="0"/>
                  <w:vAlign w:val="top"/>
                </w:tcPr>
                <w:p>
                  <w:pPr>
                    <w:spacing w:line="600" w:lineRule="exact"/>
                    <w:jc w:val="center"/>
                    <w:rPr>
                      <w:rFonts w:hint="eastAsia" w:ascii="宋体" w:hAnsi="宋体" w:eastAsia="宋体"/>
                      <w:b w:val="0"/>
                      <w:bCs/>
                      <w:color w:val="auto"/>
                      <w:sz w:val="24"/>
                      <w:szCs w:val="24"/>
                      <w:highlight w:val="none"/>
                      <w:lang w:eastAsia="zh-CN"/>
                    </w:rPr>
                  </w:pPr>
                  <w:r>
                    <w:rPr>
                      <w:rFonts w:hint="eastAsia" w:ascii="宋体" w:hAnsi="宋体"/>
                      <w:b w:val="0"/>
                      <w:bCs/>
                      <w:color w:val="auto"/>
                      <w:sz w:val="24"/>
                      <w:szCs w:val="24"/>
                      <w:highlight w:val="none"/>
                      <w:lang w:eastAsia="zh-CN"/>
                    </w:rPr>
                    <w:t>资审名称</w:t>
                  </w:r>
                </w:p>
              </w:tc>
              <w:tc>
                <w:tcPr>
                  <w:tcW w:w="3931" w:type="dxa"/>
                  <w:noWrap w:val="0"/>
                  <w:vAlign w:val="top"/>
                </w:tcPr>
                <w:p>
                  <w:pPr>
                    <w:spacing w:line="600" w:lineRule="exact"/>
                    <w:jc w:val="center"/>
                    <w:rPr>
                      <w:rFonts w:ascii="宋体" w:hAnsi="宋体"/>
                      <w:b w:val="0"/>
                      <w:bCs/>
                      <w:color w:val="auto"/>
                      <w:sz w:val="24"/>
                      <w:szCs w:val="24"/>
                      <w:highlight w:val="none"/>
                    </w:rPr>
                  </w:pPr>
                  <w:r>
                    <w:rPr>
                      <w:rFonts w:hint="eastAsia" w:ascii="宋体" w:hAnsi="宋体"/>
                      <w:b w:val="0"/>
                      <w:bCs/>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16" w:type="dxa"/>
                  <w:noWrap w:val="0"/>
                  <w:vAlign w:val="top"/>
                </w:tcPr>
                <w:p>
                  <w:pPr>
                    <w:spacing w:line="600" w:lineRule="exact"/>
                    <w:jc w:val="center"/>
                    <w:rPr>
                      <w:rFonts w:ascii="宋体" w:hAnsi="宋体"/>
                      <w:b w:val="0"/>
                      <w:bCs/>
                      <w:color w:val="auto"/>
                      <w:sz w:val="24"/>
                      <w:szCs w:val="24"/>
                      <w:highlight w:val="none"/>
                    </w:rPr>
                  </w:pPr>
                  <w:r>
                    <w:rPr>
                      <w:rFonts w:hint="eastAsia" w:ascii="宋体" w:hAnsi="宋体"/>
                      <w:b w:val="0"/>
                      <w:bCs/>
                      <w:color w:val="auto"/>
                      <w:sz w:val="24"/>
                      <w:szCs w:val="24"/>
                      <w:highlight w:val="none"/>
                    </w:rPr>
                    <w:t>1</w:t>
                  </w:r>
                </w:p>
              </w:tc>
              <w:tc>
                <w:tcPr>
                  <w:tcW w:w="3931" w:type="dxa"/>
                  <w:noWrap w:val="0"/>
                  <w:vAlign w:val="top"/>
                </w:tcPr>
                <w:p>
                  <w:pPr>
                    <w:spacing w:line="600" w:lineRule="exact"/>
                    <w:jc w:val="center"/>
                    <w:rPr>
                      <w:rFonts w:hint="eastAsia" w:ascii="宋体" w:hAnsi="宋体" w:eastAsia="宋体"/>
                      <w:b w:val="0"/>
                      <w:bCs/>
                      <w:color w:val="auto"/>
                      <w:sz w:val="24"/>
                      <w:szCs w:val="24"/>
                      <w:highlight w:val="none"/>
                      <w:lang w:eastAsia="zh-CN"/>
                    </w:rPr>
                  </w:pPr>
                  <w:r>
                    <w:rPr>
                      <w:rFonts w:hint="eastAsia" w:ascii="宋体" w:hAnsi="宋体"/>
                      <w:b w:val="0"/>
                      <w:bCs/>
                      <w:color w:val="auto"/>
                      <w:sz w:val="24"/>
                      <w:szCs w:val="24"/>
                      <w:highlight w:val="none"/>
                      <w:lang w:eastAsia="zh-CN"/>
                    </w:rPr>
                    <w:t>承诺函</w:t>
                  </w:r>
                </w:p>
              </w:tc>
              <w:tc>
                <w:tcPr>
                  <w:tcW w:w="3931" w:type="dxa"/>
                  <w:noWrap w:val="0"/>
                  <w:vAlign w:val="top"/>
                </w:tcPr>
                <w:p>
                  <w:pPr>
                    <w:spacing w:line="600" w:lineRule="exact"/>
                    <w:jc w:val="center"/>
                    <w:rPr>
                      <w:rFonts w:ascii="宋体" w:hAnsi="宋体"/>
                      <w:b w:val="0"/>
                      <w:bCs/>
                      <w:color w:val="auto"/>
                      <w:sz w:val="24"/>
                      <w:szCs w:val="24"/>
                      <w:highlight w:val="none"/>
                    </w:rPr>
                  </w:pPr>
                  <w:r>
                    <w:rPr>
                      <w:rFonts w:hint="eastAsia" w:ascii="宋体" w:hAnsi="宋体"/>
                      <w:b w:val="0"/>
                      <w:bCs/>
                      <w:color w:val="auto"/>
                      <w:sz w:val="24"/>
                      <w:szCs w:val="24"/>
                      <w:highlight w:val="none"/>
                    </w:rPr>
                    <w:t>是否符合</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宋体" w:hAnsi="宋体"/>
                <w:b/>
                <w:color w:val="auto"/>
                <w:szCs w:val="21"/>
                <w:highlight w:val="none"/>
                <w:lang w:val="en-US" w:eastAsia="zh-CN"/>
              </w:rPr>
            </w:pPr>
          </w:p>
          <w:p>
            <w:pPr>
              <w:numPr>
                <w:ilvl w:val="0"/>
                <w:numId w:val="0"/>
              </w:numPr>
              <w:spacing w:line="600" w:lineRule="exact"/>
              <w:jc w:val="both"/>
              <w:rPr>
                <w:rFonts w:hint="eastAsia" w:ascii="宋体" w:hAnsi="宋体"/>
                <w:b/>
                <w:color w:val="auto"/>
                <w:sz w:val="24"/>
                <w:highlight w:val="none"/>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9286" w:type="dxa"/>
            <w:gridSpan w:val="4"/>
            <w:noWrap w:val="0"/>
            <w:vAlign w:val="center"/>
          </w:tcPr>
          <w:p>
            <w:pPr>
              <w:spacing w:line="600" w:lineRule="exact"/>
              <w:jc w:val="center"/>
              <w:rPr>
                <w:rFonts w:ascii="宋体" w:hAnsi="宋体"/>
                <w:b/>
                <w:color w:val="auto"/>
                <w:sz w:val="24"/>
                <w:highlight w:val="none"/>
              </w:rPr>
            </w:pPr>
            <w:r>
              <w:rPr>
                <w:rFonts w:hint="eastAsia" w:ascii="宋体" w:hAnsi="宋体"/>
                <w:b/>
                <w:color w:val="auto"/>
                <w:sz w:val="24"/>
                <w:highlight w:val="none"/>
                <w:lang w:eastAsia="zh-CN"/>
              </w:rPr>
              <w:t>四、</w:t>
            </w:r>
            <w:r>
              <w:rPr>
                <w:rFonts w:hint="eastAsia" w:ascii="宋体" w:hAnsi="宋体"/>
                <w:b/>
                <w:color w:val="auto"/>
                <w:sz w:val="24"/>
                <w:highlight w:val="none"/>
              </w:rPr>
              <w:t>采购项目技术、服务、政府采购合同内容条款及其他商务要求（如有分包则逐包</w:t>
            </w:r>
            <w:r>
              <w:rPr>
                <w:rFonts w:hint="eastAsia" w:ascii="宋体" w:hAnsi="宋体"/>
                <w:b/>
                <w:color w:val="auto"/>
                <w:sz w:val="24"/>
                <w:highlight w:val="none"/>
                <w:lang w:eastAsia="zh-CN"/>
              </w:rPr>
              <w:t>添加</w:t>
            </w:r>
            <w:r>
              <w:rPr>
                <w:rFonts w:hint="eastAsia" w:ascii="宋体" w:hAnsi="宋体"/>
                <w:b/>
                <w:color w:val="auto"/>
                <w:sz w:val="24"/>
                <w:highlight w:val="none"/>
              </w:rPr>
              <w:t>填写）</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85" w:hRule="atLeast"/>
        </w:trPr>
        <w:tc>
          <w:tcPr>
            <w:tcW w:w="9286" w:type="dxa"/>
            <w:gridSpan w:val="4"/>
            <w:noWrap w:val="0"/>
            <w:vAlign w:val="center"/>
          </w:tcPr>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•货物类项目：技术（服务）概述及</w:t>
            </w:r>
            <w:r>
              <w:rPr>
                <w:rFonts w:hint="eastAsia" w:ascii="宋体" w:hAnsi="宋体" w:eastAsia="宋体" w:cs="宋体"/>
                <w:color w:val="auto"/>
                <w:sz w:val="28"/>
                <w:szCs w:val="28"/>
                <w:highlight w:val="none"/>
                <w:lang w:eastAsia="zh-CN"/>
              </w:rPr>
              <w:t>要求</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2" w:firstLineChars="200"/>
              <w:textAlignment w:val="auto"/>
              <w:outlineLvl w:val="1"/>
              <w:rPr>
                <w:rFonts w:hint="eastAsia" w:ascii="宋体" w:hAnsi="宋体" w:eastAsia="宋体" w:cs="宋体"/>
                <w:b/>
                <w:color w:val="auto"/>
                <w:sz w:val="24"/>
                <w:szCs w:val="24"/>
                <w:highlight w:val="none"/>
              </w:rPr>
            </w:pPr>
            <w:bookmarkStart w:id="6" w:name="_Toc79071339"/>
            <w:bookmarkStart w:id="7" w:name="_Toc77273108"/>
            <w:r>
              <w:rPr>
                <w:rFonts w:hint="eastAsia" w:ascii="宋体" w:hAnsi="宋体" w:eastAsia="宋体" w:cs="宋体"/>
                <w:b/>
                <w:color w:val="auto"/>
                <w:sz w:val="24"/>
                <w:szCs w:val="24"/>
                <w:highlight w:val="none"/>
              </w:rPr>
              <w:t>一、项目概述</w:t>
            </w:r>
            <w:bookmarkEnd w:id="6"/>
            <w:bookmarkEnd w:id="7"/>
          </w:p>
          <w:p>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XXX。</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2" w:firstLineChars="200"/>
              <w:textAlignment w:val="auto"/>
              <w:outlineLvl w:val="1"/>
              <w:rPr>
                <w:rFonts w:hint="eastAsia" w:ascii="宋体" w:hAnsi="宋体" w:eastAsia="宋体" w:cs="宋体"/>
                <w:b/>
                <w:color w:val="auto"/>
                <w:sz w:val="24"/>
                <w:szCs w:val="24"/>
                <w:highlight w:val="none"/>
              </w:rPr>
            </w:pPr>
            <w:bookmarkStart w:id="8" w:name="_Toc79071340"/>
            <w:bookmarkStart w:id="9" w:name="_Toc77273109"/>
            <w:bookmarkStart w:id="10" w:name="_Toc69936290"/>
            <w:r>
              <w:rPr>
                <w:rFonts w:hint="eastAsia" w:ascii="宋体" w:hAnsi="宋体" w:eastAsia="宋体" w:cs="宋体"/>
                <w:b/>
                <w:color w:val="auto"/>
                <w:sz w:val="24"/>
                <w:szCs w:val="24"/>
                <w:highlight w:val="none"/>
              </w:rPr>
              <w:t>二、采购项目清单</w:t>
            </w:r>
            <w:bookmarkEnd w:id="8"/>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1593"/>
              <w:gridCol w:w="2691"/>
              <w:gridCol w:w="1593"/>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879" w:type="pct"/>
                  <w:noWrap w:val="0"/>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79" w:type="pct"/>
                  <w:noWrap w:val="0"/>
                  <w:vAlign w:val="top"/>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包号</w:t>
                  </w:r>
                </w:p>
              </w:tc>
              <w:tc>
                <w:tcPr>
                  <w:tcW w:w="1485" w:type="pct"/>
                  <w:noWrap w:val="0"/>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w:t>
                  </w:r>
                </w:p>
              </w:tc>
              <w:tc>
                <w:tcPr>
                  <w:tcW w:w="879" w:type="pct"/>
                  <w:noWrap w:val="0"/>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879" w:type="pct"/>
                  <w:noWrap w:val="0"/>
                  <w:vAlign w:val="top"/>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pct"/>
                  <w:noWrap w:val="0"/>
                  <w:vAlign w:val="center"/>
                </w:tcPr>
                <w:p>
                  <w:pPr>
                    <w:jc w:val="center"/>
                    <w:rPr>
                      <w:rFonts w:hint="eastAsia" w:ascii="宋体" w:hAnsi="宋体" w:eastAsia="宋体" w:cs="宋体"/>
                      <w:bCs/>
                      <w:color w:val="auto"/>
                      <w:sz w:val="24"/>
                      <w:szCs w:val="24"/>
                      <w:highlight w:val="none"/>
                    </w:rPr>
                  </w:pPr>
                </w:p>
              </w:tc>
              <w:tc>
                <w:tcPr>
                  <w:tcW w:w="879" w:type="pct"/>
                  <w:noWrap w:val="0"/>
                  <w:vAlign w:val="center"/>
                </w:tcPr>
                <w:p>
                  <w:pPr>
                    <w:jc w:val="center"/>
                    <w:rPr>
                      <w:rFonts w:hint="eastAsia" w:ascii="宋体" w:hAnsi="宋体" w:eastAsia="宋体" w:cs="宋体"/>
                      <w:bCs/>
                      <w:color w:val="auto"/>
                      <w:sz w:val="24"/>
                      <w:szCs w:val="24"/>
                      <w:highlight w:val="none"/>
                    </w:rPr>
                  </w:pPr>
                </w:p>
              </w:tc>
              <w:tc>
                <w:tcPr>
                  <w:tcW w:w="1485" w:type="pct"/>
                  <w:noWrap w:val="0"/>
                  <w:vAlign w:val="center"/>
                </w:tcPr>
                <w:p>
                  <w:pPr>
                    <w:jc w:val="center"/>
                    <w:rPr>
                      <w:rFonts w:hint="eastAsia" w:ascii="宋体" w:hAnsi="宋体" w:eastAsia="宋体" w:cs="宋体"/>
                      <w:bCs/>
                      <w:color w:val="auto"/>
                      <w:sz w:val="24"/>
                      <w:szCs w:val="24"/>
                      <w:highlight w:val="none"/>
                    </w:rPr>
                  </w:pPr>
                </w:p>
              </w:tc>
              <w:tc>
                <w:tcPr>
                  <w:tcW w:w="879" w:type="pct"/>
                  <w:noWrap w:val="0"/>
                  <w:vAlign w:val="center"/>
                </w:tcPr>
                <w:p>
                  <w:pPr>
                    <w:jc w:val="center"/>
                    <w:rPr>
                      <w:rFonts w:hint="eastAsia" w:ascii="宋体" w:hAnsi="宋体" w:eastAsia="宋体" w:cs="宋体"/>
                      <w:bCs/>
                      <w:color w:val="auto"/>
                      <w:sz w:val="24"/>
                      <w:szCs w:val="24"/>
                      <w:highlight w:val="none"/>
                    </w:rPr>
                  </w:pPr>
                </w:p>
              </w:tc>
              <w:tc>
                <w:tcPr>
                  <w:tcW w:w="879" w:type="pct"/>
                  <w:noWrap w:val="0"/>
                  <w:vAlign w:val="center"/>
                </w:tcPr>
                <w:sdt>
                  <w:sdtPr>
                    <w:rPr>
                      <w:rFonts w:hint="eastAsia" w:ascii="宋体" w:hAnsi="宋体" w:eastAsia="宋体" w:cs="宋体"/>
                      <w:bCs/>
                      <w:color w:val="auto"/>
                      <w:kern w:val="2"/>
                      <w:sz w:val="24"/>
                      <w:szCs w:val="24"/>
                      <w:highlight w:val="none"/>
                      <w:lang w:val="en-US" w:eastAsia="zh-CN" w:bidi="ar-SA"/>
                    </w:rPr>
                    <w:alias w:val="所属行业"/>
                    <w:id w:val="147450882"/>
                    <w:placeholder>
                      <w:docPart w:val="{0724919e-4760-4472-b675-b28614fbf872}"/>
                    </w:placeholder>
                    <w:showingPlcHdr/>
                    <w:dropDownList>
                      <w:listItem w:displayText="农" w:value="农"/>
                      <w:listItem w:displayText="林" w:value="林"/>
                      <w:listItem w:displayText="牧" w:value="牧"/>
                      <w:listItem w:displayText="渔业" w:value="渔业"/>
                      <w:listItem w:displayText="工业（包括采矿业、制造业、电力、热力、燃气及水生产和供应业）" w:value="工业（包括采矿业、制造业、电力、热力、燃气及水生产和供应业）"/>
                      <w:listItem w:displayText="建筑业" w:value="建筑业"/>
                      <w:listItem w:displayText="批发业" w:value="批发业"/>
                      <w:listItem w:displayText="零售业" w:value="零售业"/>
                      <w:listItem w:displayText="交通运输业（不含铁路运输业）" w:value="交通运输业（不含铁路运输业）"/>
                      <w:listItem w:displayText="仓储业" w:value="仓储业"/>
                      <w:listItem w:displayText="邮政业" w:value="邮政业"/>
                      <w:listItem w:displayText="住宿业" w:value="住宿业"/>
                      <w:listItem w:displayText="餐饮业" w:value="餐饮业"/>
                      <w:listItem w:displayText="信息传输业（包括电信、互联网和相关服务）" w:value="信息传输业（包括电信、互联网和相关服务）"/>
                      <w:listItem w:displayText="软件和信息技术服务业" w:value="软件和信息技术服务业"/>
                      <w:listItem w:displayText="房地产开发经营" w:value="房地产开发经营"/>
                      <w:listItem w:displayText="物业管理" w:value="物业管理"/>
                      <w:listItem w:displayText="租赁和商务服务业" w:value="租赁和商务服务业"/>
                      <w:listItem w:displayText="其他未列明行业（包括科学研究和技术服务业，水利、环境和公共设施管理业，居民服务、修理和其他服务业，社会工作，文化，体育，和娱乐业等）" w:value="其他未列明行业（包括科学研究和技术服务业，水利、环境和公共设施管理业，居民服务、修理和其他服务业，社会工作，文化，体育，和娱乐业等）"/>
                    </w:dropDownList>
                  </w:sdtPr>
                  <w:sdtEndPr>
                    <w:rPr>
                      <w:rFonts w:hint="eastAsia" w:ascii="宋体" w:hAnsi="宋体" w:eastAsia="宋体" w:cs="宋体"/>
                      <w:bCs/>
                      <w:color w:val="auto"/>
                      <w:kern w:val="2"/>
                      <w:sz w:val="24"/>
                      <w:szCs w:val="24"/>
                      <w:highlight w:val="none"/>
                      <w:lang w:val="en-US" w:eastAsia="zh-CN" w:bidi="ar-SA"/>
                    </w:rPr>
                  </w:sdtEndPr>
                  <w:sdtContent>
                    <w:p>
                      <w:pPr>
                        <w:jc w:val="center"/>
                        <w:rPr>
                          <w:rFonts w:hint="eastAsia" w:ascii="宋体" w:hAnsi="宋体" w:eastAsia="宋体" w:cs="宋体"/>
                          <w:bCs/>
                          <w:color w:val="auto"/>
                          <w:kern w:val="2"/>
                          <w:sz w:val="24"/>
                          <w:szCs w:val="24"/>
                          <w:highlight w:val="none"/>
                          <w:lang w:val="en-US" w:eastAsia="zh-CN" w:bidi="ar-SA"/>
                        </w:rPr>
                      </w:pPr>
                      <w:r>
                        <w:rPr>
                          <w:color w:val="auto"/>
                          <w:highlight w:val="none"/>
                        </w:rPr>
                        <w:t>选择一项。</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pct"/>
                  <w:noWrap w:val="0"/>
                  <w:vAlign w:val="center"/>
                </w:tcPr>
                <w:p>
                  <w:pPr>
                    <w:jc w:val="center"/>
                    <w:rPr>
                      <w:rFonts w:hint="eastAsia" w:ascii="宋体" w:hAnsi="宋体" w:eastAsia="宋体" w:cs="宋体"/>
                      <w:bCs/>
                      <w:color w:val="auto"/>
                      <w:sz w:val="24"/>
                      <w:szCs w:val="24"/>
                      <w:highlight w:val="none"/>
                    </w:rPr>
                  </w:pPr>
                </w:p>
              </w:tc>
              <w:tc>
                <w:tcPr>
                  <w:tcW w:w="879" w:type="pct"/>
                  <w:noWrap w:val="0"/>
                  <w:vAlign w:val="center"/>
                </w:tcPr>
                <w:p>
                  <w:pPr>
                    <w:jc w:val="center"/>
                    <w:rPr>
                      <w:rFonts w:hint="eastAsia" w:ascii="宋体" w:hAnsi="宋体" w:eastAsia="宋体" w:cs="宋体"/>
                      <w:bCs/>
                      <w:color w:val="auto"/>
                      <w:sz w:val="24"/>
                      <w:szCs w:val="24"/>
                      <w:highlight w:val="none"/>
                    </w:rPr>
                  </w:pPr>
                </w:p>
              </w:tc>
              <w:tc>
                <w:tcPr>
                  <w:tcW w:w="1485" w:type="pct"/>
                  <w:noWrap w:val="0"/>
                  <w:vAlign w:val="center"/>
                </w:tcPr>
                <w:p>
                  <w:pPr>
                    <w:jc w:val="center"/>
                    <w:rPr>
                      <w:rFonts w:hint="eastAsia" w:ascii="宋体" w:hAnsi="宋体" w:eastAsia="宋体" w:cs="宋体"/>
                      <w:bCs/>
                      <w:color w:val="auto"/>
                      <w:sz w:val="24"/>
                      <w:szCs w:val="24"/>
                      <w:highlight w:val="none"/>
                    </w:rPr>
                  </w:pPr>
                </w:p>
              </w:tc>
              <w:tc>
                <w:tcPr>
                  <w:tcW w:w="879" w:type="pct"/>
                  <w:noWrap w:val="0"/>
                  <w:vAlign w:val="center"/>
                </w:tcPr>
                <w:p>
                  <w:pPr>
                    <w:jc w:val="center"/>
                    <w:rPr>
                      <w:rFonts w:hint="eastAsia" w:ascii="宋体" w:hAnsi="宋体" w:eastAsia="宋体" w:cs="宋体"/>
                      <w:bCs/>
                      <w:color w:val="auto"/>
                      <w:sz w:val="24"/>
                      <w:szCs w:val="24"/>
                      <w:highlight w:val="none"/>
                    </w:rPr>
                  </w:pPr>
                </w:p>
              </w:tc>
              <w:tc>
                <w:tcPr>
                  <w:tcW w:w="879" w:type="pct"/>
                  <w:noWrap w:val="0"/>
                  <w:vAlign w:val="center"/>
                </w:tcPr>
                <w:sdt>
                  <w:sdtPr>
                    <w:rPr>
                      <w:rFonts w:hint="eastAsia" w:ascii="宋体" w:hAnsi="宋体" w:eastAsia="宋体" w:cs="宋体"/>
                      <w:bCs/>
                      <w:color w:val="auto"/>
                      <w:kern w:val="2"/>
                      <w:sz w:val="24"/>
                      <w:szCs w:val="24"/>
                      <w:highlight w:val="none"/>
                      <w:lang w:val="en-US" w:eastAsia="zh-CN" w:bidi="ar-SA"/>
                    </w:rPr>
                    <w:alias w:val="所属行业"/>
                    <w:id w:val="147450882"/>
                    <w:placeholder>
                      <w:docPart w:val="{7f22db37-61c3-457b-b116-92ef831b1246}"/>
                    </w:placeholder>
                    <w:showingPlcHdr/>
                    <w:dropDownList>
                      <w:listItem w:displayText="农" w:value="农"/>
                      <w:listItem w:displayText="林" w:value="林"/>
                      <w:listItem w:displayText="牧" w:value="牧"/>
                      <w:listItem w:displayText="渔业" w:value="渔业"/>
                      <w:listItem w:displayText="工业（包括采矿业、制造业、电力、热力、燃气及水生产和供应业）" w:value="工业（包括采矿业、制造业、电力、热力、燃气及水生产和供应业）"/>
                      <w:listItem w:displayText="建筑业" w:value="建筑业"/>
                      <w:listItem w:displayText="批发业" w:value="批发业"/>
                      <w:listItem w:displayText="零售业" w:value="零售业"/>
                      <w:listItem w:displayText="交通运输业（不含铁路运输业）" w:value="交通运输业（不含铁路运输业）"/>
                      <w:listItem w:displayText="仓储业" w:value="仓储业"/>
                      <w:listItem w:displayText="邮政业" w:value="邮政业"/>
                      <w:listItem w:displayText="住宿业" w:value="住宿业"/>
                      <w:listItem w:displayText="餐饮业" w:value="餐饮业"/>
                      <w:listItem w:displayText="信息传输业（包括电信、互联网和相关服务）" w:value="信息传输业（包括电信、互联网和相关服务）"/>
                      <w:listItem w:displayText="软件和信息技术服务业" w:value="软件和信息技术服务业"/>
                      <w:listItem w:displayText="房地产开发经营" w:value="房地产开发经营"/>
                      <w:listItem w:displayText="物业管理" w:value="物业管理"/>
                      <w:listItem w:displayText="租赁和商务服务业" w:value="租赁和商务服务业"/>
                      <w:listItem w:displayText="其他未列明行业（包括科学研究和技术服务业，水利、环境和公共设施管理业，居民服务、修理和其他服务业，社会工作，文化，体育，和娱乐业等）" w:value="其他未列明行业（包括科学研究和技术服务业，水利、环境和公共设施管理业，居民服务、修理和其他服务业，社会工作，文化，体育，和娱乐业等）"/>
                    </w:dropDownList>
                  </w:sdtPr>
                  <w:sdtEndPr>
                    <w:rPr>
                      <w:rFonts w:hint="eastAsia" w:ascii="宋体" w:hAnsi="宋体" w:eastAsia="宋体" w:cs="宋体"/>
                      <w:bCs/>
                      <w:color w:val="auto"/>
                      <w:kern w:val="2"/>
                      <w:sz w:val="24"/>
                      <w:szCs w:val="24"/>
                      <w:highlight w:val="none"/>
                      <w:lang w:val="en-US" w:eastAsia="zh-CN" w:bidi="ar-SA"/>
                    </w:rPr>
                  </w:sdtEndPr>
                  <w:sdtContent>
                    <w:p>
                      <w:pPr>
                        <w:jc w:val="center"/>
                        <w:rPr>
                          <w:rFonts w:hint="eastAsia" w:ascii="宋体" w:hAnsi="宋体" w:eastAsia="宋体" w:cs="宋体"/>
                          <w:bCs/>
                          <w:color w:val="auto"/>
                          <w:kern w:val="2"/>
                          <w:sz w:val="24"/>
                          <w:szCs w:val="24"/>
                          <w:highlight w:val="none"/>
                          <w:lang w:val="en-US" w:eastAsia="zh-CN" w:bidi="ar-SA"/>
                        </w:rPr>
                      </w:pPr>
                      <w:r>
                        <w:rPr>
                          <w:color w:val="auto"/>
                          <w:highlight w:val="none"/>
                        </w:rPr>
                        <w:t>选择一项。</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pct"/>
                  <w:noWrap w:val="0"/>
                  <w:vAlign w:val="center"/>
                </w:tcPr>
                <w:p>
                  <w:pPr>
                    <w:jc w:val="center"/>
                    <w:rPr>
                      <w:rFonts w:hint="eastAsia" w:ascii="宋体" w:hAnsi="宋体" w:eastAsia="宋体" w:cs="宋体"/>
                      <w:bCs/>
                      <w:color w:val="auto"/>
                      <w:sz w:val="24"/>
                      <w:szCs w:val="24"/>
                      <w:highlight w:val="none"/>
                    </w:rPr>
                  </w:pPr>
                </w:p>
              </w:tc>
              <w:tc>
                <w:tcPr>
                  <w:tcW w:w="879" w:type="pct"/>
                  <w:noWrap w:val="0"/>
                  <w:vAlign w:val="center"/>
                </w:tcPr>
                <w:p>
                  <w:pPr>
                    <w:jc w:val="center"/>
                    <w:rPr>
                      <w:rFonts w:hint="eastAsia" w:ascii="宋体" w:hAnsi="宋体" w:eastAsia="宋体" w:cs="宋体"/>
                      <w:bCs/>
                      <w:color w:val="auto"/>
                      <w:sz w:val="24"/>
                      <w:szCs w:val="24"/>
                      <w:highlight w:val="none"/>
                    </w:rPr>
                  </w:pPr>
                </w:p>
              </w:tc>
              <w:tc>
                <w:tcPr>
                  <w:tcW w:w="1485" w:type="pct"/>
                  <w:noWrap w:val="0"/>
                  <w:vAlign w:val="center"/>
                </w:tcPr>
                <w:p>
                  <w:pPr>
                    <w:jc w:val="center"/>
                    <w:rPr>
                      <w:rFonts w:hint="eastAsia" w:ascii="宋体" w:hAnsi="宋体" w:eastAsia="宋体" w:cs="宋体"/>
                      <w:bCs/>
                      <w:color w:val="auto"/>
                      <w:sz w:val="24"/>
                      <w:szCs w:val="24"/>
                      <w:highlight w:val="none"/>
                    </w:rPr>
                  </w:pPr>
                </w:p>
              </w:tc>
              <w:tc>
                <w:tcPr>
                  <w:tcW w:w="879" w:type="pct"/>
                  <w:noWrap w:val="0"/>
                  <w:vAlign w:val="center"/>
                </w:tcPr>
                <w:p>
                  <w:pPr>
                    <w:jc w:val="center"/>
                    <w:rPr>
                      <w:rFonts w:hint="eastAsia" w:ascii="宋体" w:hAnsi="宋体" w:eastAsia="宋体" w:cs="宋体"/>
                      <w:bCs/>
                      <w:color w:val="auto"/>
                      <w:sz w:val="24"/>
                      <w:szCs w:val="24"/>
                      <w:highlight w:val="none"/>
                    </w:rPr>
                  </w:pPr>
                </w:p>
              </w:tc>
              <w:tc>
                <w:tcPr>
                  <w:tcW w:w="879" w:type="pct"/>
                  <w:noWrap w:val="0"/>
                  <w:vAlign w:val="center"/>
                </w:tcPr>
                <w:sdt>
                  <w:sdtPr>
                    <w:rPr>
                      <w:rFonts w:hint="eastAsia" w:ascii="宋体" w:hAnsi="宋体" w:eastAsia="宋体" w:cs="宋体"/>
                      <w:bCs/>
                      <w:color w:val="auto"/>
                      <w:kern w:val="2"/>
                      <w:sz w:val="24"/>
                      <w:szCs w:val="24"/>
                      <w:highlight w:val="none"/>
                      <w:lang w:val="en-US" w:eastAsia="zh-CN" w:bidi="ar-SA"/>
                    </w:rPr>
                    <w:alias w:val="所属行业"/>
                    <w:id w:val="147450882"/>
                    <w:placeholder>
                      <w:docPart w:val="{55ef4046-1266-40c2-bbd4-97b22e736c00}"/>
                    </w:placeholder>
                    <w:showingPlcHdr/>
                    <w:dropDownList>
                      <w:listItem w:displayText="农" w:value="农"/>
                      <w:listItem w:displayText="林" w:value="林"/>
                      <w:listItem w:displayText="牧" w:value="牧"/>
                      <w:listItem w:displayText="渔业" w:value="渔业"/>
                      <w:listItem w:displayText="工业（包括采矿业、制造业、电力、热力、燃气及水生产和供应业）" w:value="工业（包括采矿业、制造业、电力、热力、燃气及水生产和供应业）"/>
                      <w:listItem w:displayText="建筑业" w:value="建筑业"/>
                      <w:listItem w:displayText="批发业" w:value="批发业"/>
                      <w:listItem w:displayText="零售业" w:value="零售业"/>
                      <w:listItem w:displayText="交通运输业（不含铁路运输业）" w:value="交通运输业（不含铁路运输业）"/>
                      <w:listItem w:displayText="仓储业" w:value="仓储业"/>
                      <w:listItem w:displayText="邮政业" w:value="邮政业"/>
                      <w:listItem w:displayText="住宿业" w:value="住宿业"/>
                      <w:listItem w:displayText="餐饮业" w:value="餐饮业"/>
                      <w:listItem w:displayText="信息传输业（包括电信、互联网和相关服务）" w:value="信息传输业（包括电信、互联网和相关服务）"/>
                      <w:listItem w:displayText="软件和信息技术服务业" w:value="软件和信息技术服务业"/>
                      <w:listItem w:displayText="房地产开发经营" w:value="房地产开发经营"/>
                      <w:listItem w:displayText="物业管理" w:value="物业管理"/>
                      <w:listItem w:displayText="租赁和商务服务业" w:value="租赁和商务服务业"/>
                      <w:listItem w:displayText="其他未列明行业（包括科学研究和技术服务业，水利、环境和公共设施管理业，居民服务、修理和其他服务业，社会工作，文化，体育，和娱乐业等）" w:value="其他未列明行业（包括科学研究和技术服务业，水利、环境和公共设施管理业，居民服务、修理和其他服务业，社会工作，文化，体育，和娱乐业等）"/>
                    </w:dropDownList>
                  </w:sdtPr>
                  <w:sdtEndPr>
                    <w:rPr>
                      <w:rFonts w:hint="eastAsia" w:ascii="宋体" w:hAnsi="宋体" w:eastAsia="宋体" w:cs="宋体"/>
                      <w:bCs/>
                      <w:color w:val="auto"/>
                      <w:kern w:val="2"/>
                      <w:sz w:val="24"/>
                      <w:szCs w:val="24"/>
                      <w:highlight w:val="none"/>
                      <w:lang w:val="en-US" w:eastAsia="zh-CN" w:bidi="ar-SA"/>
                    </w:rPr>
                  </w:sdtEndPr>
                  <w:sdtContent>
                    <w:p>
                      <w:pPr>
                        <w:jc w:val="center"/>
                        <w:rPr>
                          <w:rFonts w:hint="eastAsia" w:ascii="宋体" w:hAnsi="宋体" w:eastAsia="宋体" w:cs="宋体"/>
                          <w:bCs/>
                          <w:color w:val="auto"/>
                          <w:kern w:val="2"/>
                          <w:sz w:val="24"/>
                          <w:szCs w:val="24"/>
                          <w:highlight w:val="none"/>
                          <w:lang w:val="en-US" w:eastAsia="zh-CN" w:bidi="ar-SA"/>
                        </w:rPr>
                      </w:pPr>
                      <w:r>
                        <w:rPr>
                          <w:color w:val="auto"/>
                          <w:highlight w:val="none"/>
                        </w:rPr>
                        <w:t>选择一项。</w:t>
                      </w:r>
                    </w:p>
                  </w:sdtContent>
                </w:sdt>
              </w:tc>
            </w:tr>
          </w:tbl>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2" w:firstLineChars="200"/>
              <w:textAlignment w:val="auto"/>
              <w:outlineLvl w:val="1"/>
              <w:rPr>
                <w:rFonts w:hint="eastAsia" w:ascii="宋体" w:hAnsi="宋体" w:eastAsia="宋体" w:cs="宋体"/>
                <w:b/>
                <w:color w:val="auto"/>
                <w:sz w:val="24"/>
                <w:szCs w:val="24"/>
                <w:highlight w:val="none"/>
              </w:rPr>
            </w:pPr>
            <w:bookmarkStart w:id="11" w:name="_Toc79071341"/>
            <w:r>
              <w:rPr>
                <w:rFonts w:hint="eastAsia" w:ascii="宋体" w:hAnsi="宋体" w:eastAsia="宋体" w:cs="宋体"/>
                <w:b/>
                <w:color w:val="auto"/>
                <w:sz w:val="24"/>
                <w:szCs w:val="24"/>
                <w:highlight w:val="none"/>
              </w:rPr>
              <w:t>三、项目要求</w:t>
            </w:r>
            <w:bookmarkEnd w:id="9"/>
            <w:bookmarkEnd w:id="10"/>
            <w:bookmarkEnd w:id="11"/>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1.1技术要求</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1.2服务要求</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1.3政府采购合同内容条款要求</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1.4履约能力要求</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1.5其他商务要求</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2" w:firstLineChars="200"/>
              <w:textAlignment w:val="auto"/>
              <w:outlineLvl w:val="1"/>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四、其他</w:t>
            </w:r>
            <w:r>
              <w:rPr>
                <w:rFonts w:hint="eastAsia" w:ascii="宋体" w:hAnsi="宋体" w:cs="宋体"/>
                <w:b/>
                <w:color w:val="auto"/>
                <w:sz w:val="24"/>
                <w:szCs w:val="24"/>
                <w:highlight w:val="none"/>
                <w:lang w:val="en-US" w:eastAsia="zh-CN"/>
              </w:rPr>
              <w:t>要求</w:t>
            </w:r>
            <w:r>
              <w:rPr>
                <w:rFonts w:hint="eastAsia" w:ascii="宋体" w:hAnsi="宋体" w:cs="宋体"/>
                <w:b/>
                <w:color w:val="auto"/>
                <w:sz w:val="24"/>
                <w:szCs w:val="24"/>
                <w:highlight w:val="none"/>
                <w:lang w:eastAsia="zh-CN"/>
              </w:rPr>
              <w:t>（交货时间</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eastAsia="zh-CN"/>
              </w:rPr>
              <w:t>交货</w:t>
            </w:r>
            <w:r>
              <w:rPr>
                <w:rFonts w:hint="eastAsia" w:ascii="宋体" w:hAnsi="宋体" w:eastAsia="宋体" w:cs="宋体"/>
                <w:b/>
                <w:color w:val="auto"/>
                <w:sz w:val="24"/>
                <w:szCs w:val="24"/>
                <w:highlight w:val="none"/>
                <w:lang w:eastAsia="zh-CN"/>
              </w:rPr>
              <w:t>地点、</w:t>
            </w:r>
            <w:r>
              <w:rPr>
                <w:rFonts w:hint="eastAsia" w:ascii="宋体" w:hAnsi="宋体" w:eastAsia="宋体" w:cs="宋体"/>
                <w:b/>
                <w:color w:val="auto"/>
                <w:sz w:val="24"/>
                <w:szCs w:val="24"/>
                <w:highlight w:val="none"/>
              </w:rPr>
              <w:t>付款方式</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验收标准等</w:t>
            </w:r>
            <w:r>
              <w:rPr>
                <w:rFonts w:hint="eastAsia" w:ascii="宋体" w:hAnsi="宋体" w:cs="宋体"/>
                <w:b/>
                <w:color w:val="auto"/>
                <w:sz w:val="24"/>
                <w:szCs w:val="24"/>
                <w:highlight w:val="none"/>
                <w:lang w:eastAsia="zh-CN"/>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1.交货时间：……</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2.交货地点：……</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3.付款方式：……</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Cs/>
                <w:color w:val="FF0000"/>
                <w:sz w:val="21"/>
                <w:szCs w:val="21"/>
                <w:highlight w:val="none"/>
                <w:lang w:val="en-US" w:eastAsia="zh-CN"/>
              </w:rPr>
            </w:pPr>
            <w:r>
              <w:rPr>
                <w:rFonts w:hint="eastAsia" w:ascii="宋体" w:hAnsi="宋体" w:cs="宋体"/>
                <w:b/>
                <w:bCs w:val="0"/>
                <w:color w:val="FF0000"/>
                <w:sz w:val="21"/>
                <w:szCs w:val="21"/>
                <w:highlight w:val="none"/>
                <w:lang w:val="en-US" w:eastAsia="zh-CN"/>
              </w:rPr>
              <w:t>（提示：成交供应商为中小企业的，采购人应当自货物交付之日起30日内支付款项；合同另有约定的，付款期限最长不得超过60日。）</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4.验收标准：……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00" w:lineRule="exact"/>
              <w:ind w:firstLine="482" w:firstLineChars="200"/>
              <w:textAlignment w:val="auto"/>
              <w:outlineLvl w:val="1"/>
              <w:rPr>
                <w:rFonts w:hint="eastAsia" w:ascii="宋体" w:hAnsi="宋体" w:eastAsia="宋体" w:cs="宋体"/>
                <w:bCs/>
                <w:color w:val="FF0000"/>
                <w:sz w:val="24"/>
                <w:szCs w:val="24"/>
                <w:highlight w:val="none"/>
              </w:rPr>
            </w:pPr>
            <w:bookmarkStart w:id="12" w:name="_Toc79071343"/>
            <w:r>
              <w:rPr>
                <w:rFonts w:hint="eastAsia" w:ascii="宋体" w:hAnsi="宋体" w:eastAsia="宋体" w:cs="宋体"/>
                <w:b/>
                <w:color w:val="auto"/>
                <w:sz w:val="24"/>
                <w:szCs w:val="24"/>
                <w:highlight w:val="none"/>
                <w:lang w:eastAsia="zh-CN"/>
              </w:rPr>
              <w:t>五、</w:t>
            </w:r>
            <w:r>
              <w:rPr>
                <w:rFonts w:hint="eastAsia" w:ascii="宋体" w:hAnsi="宋体" w:eastAsia="宋体" w:cs="宋体"/>
                <w:b/>
                <w:color w:val="auto"/>
                <w:sz w:val="24"/>
                <w:szCs w:val="24"/>
                <w:highlight w:val="none"/>
              </w:rPr>
              <w:t>本项目的实质性要求</w:t>
            </w:r>
            <w:bookmarkEnd w:id="12"/>
            <w:r>
              <w:rPr>
                <w:rFonts w:hint="eastAsia" w:ascii="宋体" w:hAnsi="宋体" w:cs="宋体"/>
                <w:b/>
                <w:bCs w:val="0"/>
                <w:color w:val="FF0000"/>
                <w:sz w:val="21"/>
                <w:szCs w:val="21"/>
                <w:highlight w:val="none"/>
              </w:rPr>
              <w:t>（</w:t>
            </w:r>
            <w:r>
              <w:rPr>
                <w:rFonts w:hint="eastAsia" w:ascii="宋体" w:hAnsi="宋体" w:cs="宋体"/>
                <w:b/>
                <w:bCs w:val="0"/>
                <w:color w:val="FF0000"/>
                <w:sz w:val="21"/>
                <w:szCs w:val="21"/>
                <w:highlight w:val="none"/>
                <w:lang w:eastAsia="zh-CN"/>
              </w:rPr>
              <w:t>提示：</w:t>
            </w:r>
            <w:r>
              <w:rPr>
                <w:rFonts w:hint="eastAsia" w:ascii="宋体" w:hAnsi="宋体" w:cs="宋体"/>
                <w:b/>
                <w:bCs w:val="0"/>
                <w:color w:val="FF0000"/>
                <w:sz w:val="21"/>
                <w:szCs w:val="21"/>
                <w:highlight w:val="none"/>
              </w:rPr>
              <w:t>采购人</w:t>
            </w:r>
            <w:r>
              <w:rPr>
                <w:rFonts w:hint="eastAsia" w:ascii="宋体" w:hAnsi="宋体" w:cs="宋体"/>
                <w:b/>
                <w:bCs w:val="0"/>
                <w:color w:val="FF0000"/>
                <w:sz w:val="21"/>
                <w:szCs w:val="21"/>
                <w:highlight w:val="none"/>
                <w:lang w:eastAsia="zh-CN"/>
              </w:rPr>
              <w:t>可</w:t>
            </w:r>
            <w:r>
              <w:rPr>
                <w:rFonts w:hint="eastAsia" w:ascii="宋体" w:hAnsi="宋体" w:cs="宋体"/>
                <w:b/>
                <w:bCs w:val="0"/>
                <w:color w:val="FF0000"/>
                <w:sz w:val="21"/>
                <w:szCs w:val="21"/>
                <w:highlight w:val="none"/>
              </w:rPr>
              <w:t>直接明确或以</w:t>
            </w:r>
            <w:r>
              <w:rPr>
                <w:rFonts w:hint="eastAsia" w:ascii="宋体" w:hAnsi="宋体" w:cs="宋体"/>
                <w:b/>
                <w:bCs w:val="0"/>
                <w:color w:val="FF0000"/>
                <w:sz w:val="21"/>
                <w:szCs w:val="21"/>
                <w:highlight w:val="none"/>
                <w:lang w:eastAsia="zh-CN"/>
              </w:rPr>
              <w:t>“</w:t>
            </w:r>
            <w:r>
              <w:rPr>
                <w:rFonts w:hint="eastAsia" w:ascii="宋体" w:hAnsi="宋体" w:cs="宋体"/>
                <w:b/>
                <w:bCs w:val="0"/>
                <w:color w:val="FF0000"/>
                <w:sz w:val="21"/>
                <w:szCs w:val="21"/>
                <w:highlight w:val="none"/>
              </w:rPr>
              <w:t>▲</w:t>
            </w:r>
            <w:r>
              <w:rPr>
                <w:rFonts w:hint="eastAsia" w:ascii="宋体" w:hAnsi="宋体" w:cs="宋体"/>
                <w:b/>
                <w:bCs w:val="0"/>
                <w:color w:val="FF0000"/>
                <w:sz w:val="21"/>
                <w:szCs w:val="21"/>
                <w:highlight w:val="none"/>
                <w:lang w:eastAsia="zh-CN"/>
              </w:rPr>
              <w:t>”</w:t>
            </w:r>
            <w:r>
              <w:rPr>
                <w:rFonts w:hint="eastAsia" w:ascii="宋体" w:hAnsi="宋体" w:cs="宋体"/>
                <w:b/>
                <w:bCs w:val="0"/>
                <w:color w:val="FF0000"/>
                <w:sz w:val="21"/>
                <w:szCs w:val="21"/>
                <w:highlight w:val="none"/>
              </w:rPr>
              <w:t>符号标注）</w:t>
            </w:r>
          </w:p>
          <w:p>
            <w:pPr>
              <w:pStyle w:val="2"/>
              <w:keepNext/>
              <w:keepLines/>
              <w:pageBreakBefore w:val="0"/>
              <w:widowControl w:val="0"/>
              <w:kinsoku/>
              <w:wordWrap/>
              <w:overflowPunct/>
              <w:topLinePunct w:val="0"/>
              <w:autoSpaceDE/>
              <w:autoSpaceDN/>
              <w:bidi w:val="0"/>
              <w:adjustRightInd/>
              <w:snapToGrid/>
              <w:spacing w:before="157" w:beforeLines="50" w:after="157" w:afterLines="50" w:line="300" w:lineRule="exact"/>
              <w:ind w:firstLine="422" w:firstLineChars="200"/>
              <w:textAlignment w:val="auto"/>
              <w:rPr>
                <w:rFonts w:hint="default"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（例：本项目实质性要求：详见“▲”内容)</w:t>
            </w:r>
          </w:p>
          <w:p>
            <w:pPr>
              <w:pStyle w:val="2"/>
              <w:keepNext/>
              <w:keepLines/>
              <w:pageBreakBefore w:val="0"/>
              <w:widowControl w:val="0"/>
              <w:kinsoku/>
              <w:wordWrap/>
              <w:overflowPunct/>
              <w:topLinePunct w:val="0"/>
              <w:autoSpaceDE/>
              <w:autoSpaceDN/>
              <w:bidi w:val="0"/>
              <w:adjustRightInd/>
              <w:snapToGrid/>
              <w:spacing w:before="157" w:beforeLines="50" w:after="157" w:afterLines="50" w:line="300" w:lineRule="exact"/>
              <w:ind w:firstLine="422" w:firstLineChars="20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（例：本项目实质性要求：1.XXX ;2.XXX ……）</w:t>
            </w:r>
          </w:p>
          <w:p>
            <w:pPr>
              <w:rPr>
                <w:rFonts w:hint="default"/>
                <w:color w:val="auto"/>
                <w:highlight w:val="none"/>
                <w:lang w:val="en-US" w:eastAsia="zh-CN"/>
              </w:rPr>
            </w:pPr>
            <w:r>
              <w:rPr>
                <w:rFonts w:hint="eastAsia" w:ascii="宋体" w:hAnsi="宋体" w:cs="宋体"/>
                <w:bCs/>
                <w:color w:val="auto"/>
                <w:sz w:val="24"/>
                <w:szCs w:val="24"/>
                <w:highlight w:val="none"/>
                <w:lang w:val="en-US" w:eastAsia="zh-CN"/>
              </w:rPr>
              <w:t xml:space="preserve">     </w:t>
            </w:r>
          </w:p>
          <w:p>
            <w:pPr>
              <w:pStyle w:val="2"/>
              <w:keepNext/>
              <w:keepLines/>
              <w:pageBreakBefore w:val="0"/>
              <w:widowControl w:val="0"/>
              <w:kinsoku/>
              <w:wordWrap/>
              <w:overflowPunct/>
              <w:topLinePunct w:val="0"/>
              <w:autoSpaceDE/>
              <w:autoSpaceDN/>
              <w:bidi w:val="0"/>
              <w:adjustRightInd/>
              <w:snapToGrid/>
              <w:spacing w:before="157" w:beforeLines="50" w:after="157" w:afterLines="50" w:line="400" w:lineRule="exact"/>
              <w:ind w:firstLine="482" w:firstLineChars="200"/>
              <w:textAlignment w:val="auto"/>
              <w:rPr>
                <w:rFonts w:hint="eastAsia" w:ascii="宋体" w:hAnsi="宋体" w:eastAsia="宋体" w:cs="宋体"/>
                <w:color w:val="FF0000"/>
                <w:sz w:val="24"/>
                <w:szCs w:val="24"/>
                <w:highlight w:val="none"/>
                <w:lang w:eastAsia="zh-CN"/>
              </w:rPr>
            </w:pP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、磋商/谈判过程中可实质性变动的内容</w:t>
            </w:r>
            <w:r>
              <w:rPr>
                <w:rFonts w:hint="eastAsia" w:ascii="宋体" w:hAnsi="宋体" w:eastAsia="宋体" w:cs="宋体"/>
                <w:b/>
                <w:bCs w:val="0"/>
                <w:color w:val="FF0000"/>
                <w:kern w:val="2"/>
                <w:sz w:val="21"/>
                <w:szCs w:val="21"/>
                <w:highlight w:val="none"/>
                <w:lang w:val="en-US" w:eastAsia="zh-CN" w:bidi="ar-SA"/>
              </w:rPr>
              <w:t>（提示：磋商/谈判采购方式填写）</w:t>
            </w:r>
          </w:p>
          <w:p>
            <w:pPr>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□采购需求中的技术、服务要求以及合同草案条款，为本次磋商/谈判采购项目可实质性变动的内容，供应商在磋商/谈判结束后应全部满足。</w:t>
            </w:r>
          </w:p>
          <w:p>
            <w:pPr>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□磋商/谈判</w:t>
            </w:r>
            <w:bookmarkStart w:id="21" w:name="_GoBack"/>
            <w:bookmarkEnd w:id="21"/>
            <w:r>
              <w:rPr>
                <w:rFonts w:hint="eastAsia" w:ascii="宋体" w:hAnsi="宋体" w:eastAsia="宋体" w:cs="宋体"/>
                <w:b/>
                <w:bCs/>
                <w:color w:val="auto"/>
                <w:kern w:val="2"/>
                <w:sz w:val="24"/>
                <w:szCs w:val="24"/>
                <w:highlight w:val="none"/>
                <w:lang w:val="en-US" w:eastAsia="zh-CN" w:bidi="ar-SA"/>
              </w:rPr>
              <w:t>文件中标注“★”号的内容，以及合同草案条款，为本次磋商/谈判采购项目可实质性变动的内容，供应商在磋商/谈判结束后应全部满足。</w:t>
            </w:r>
          </w:p>
          <w:p>
            <w:pPr>
              <w:rPr>
                <w:rFonts w:hint="eastAsia"/>
                <w:color w:val="auto"/>
                <w:highlight w:val="none"/>
              </w:rPr>
            </w:pPr>
          </w:p>
          <w:p>
            <w:pPr>
              <w:jc w:val="center"/>
              <w:rPr>
                <w:rFonts w:hint="eastAsia" w:eastAsia="宋体"/>
                <w:b/>
                <w:bCs/>
                <w:color w:val="FF0000"/>
                <w:sz w:val="21"/>
                <w:szCs w:val="21"/>
                <w:highlight w:val="none"/>
                <w:lang w:eastAsia="zh-CN"/>
              </w:rPr>
            </w:pPr>
            <w:r>
              <w:rPr>
                <w:rFonts w:hint="eastAsia"/>
                <w:b/>
                <w:bCs/>
                <w:color w:val="FF0000"/>
                <w:sz w:val="21"/>
                <w:szCs w:val="21"/>
                <w:highlight w:val="none"/>
                <w:lang w:eastAsia="zh-CN"/>
              </w:rPr>
              <w:t>特别说明：</w:t>
            </w:r>
            <w:r>
              <w:rPr>
                <w:rFonts w:hint="eastAsia" w:hAnsi="宋体"/>
                <w:b/>
                <w:bCs/>
                <w:color w:val="FF0000"/>
                <w:sz w:val="21"/>
                <w:szCs w:val="21"/>
                <w:highlight w:val="none"/>
              </w:rPr>
              <w:t>模板中的红色字体为</w:t>
            </w:r>
            <w:r>
              <w:rPr>
                <w:rFonts w:hint="eastAsia" w:hAnsi="宋体"/>
                <w:b/>
                <w:bCs/>
                <w:color w:val="FF0000"/>
                <w:sz w:val="21"/>
                <w:szCs w:val="21"/>
                <w:highlight w:val="none"/>
                <w:lang w:eastAsia="zh-CN"/>
              </w:rPr>
              <w:t>提示</w:t>
            </w:r>
            <w:r>
              <w:rPr>
                <w:rFonts w:hint="eastAsia" w:hAnsi="宋体"/>
                <w:b/>
                <w:bCs/>
                <w:color w:val="FF0000"/>
                <w:sz w:val="21"/>
                <w:szCs w:val="21"/>
                <w:highlight w:val="none"/>
              </w:rPr>
              <w:t>，采购人在编制完成</w:t>
            </w:r>
            <w:r>
              <w:rPr>
                <w:rFonts w:hint="eastAsia" w:hAnsi="宋体"/>
                <w:b/>
                <w:bCs/>
                <w:color w:val="FF0000"/>
                <w:sz w:val="21"/>
                <w:szCs w:val="21"/>
                <w:highlight w:val="none"/>
                <w:lang w:eastAsia="zh-CN"/>
              </w:rPr>
              <w:t>申报书</w:t>
            </w:r>
            <w:r>
              <w:rPr>
                <w:rFonts w:hint="eastAsia" w:hAnsi="宋体"/>
                <w:b/>
                <w:bCs/>
                <w:color w:val="FF0000"/>
                <w:sz w:val="21"/>
                <w:szCs w:val="21"/>
                <w:highlight w:val="none"/>
              </w:rPr>
              <w:t>后</w:t>
            </w:r>
            <w:r>
              <w:rPr>
                <w:rFonts w:hint="eastAsia" w:hAnsi="宋体"/>
                <w:b/>
                <w:bCs/>
                <w:color w:val="FF0000"/>
                <w:sz w:val="21"/>
                <w:szCs w:val="21"/>
                <w:highlight w:val="none"/>
                <w:lang w:eastAsia="zh-CN"/>
              </w:rPr>
              <w:t>请</w:t>
            </w:r>
            <w:r>
              <w:rPr>
                <w:rFonts w:hint="eastAsia" w:hAnsi="宋体"/>
                <w:b/>
                <w:bCs/>
                <w:color w:val="FF0000"/>
                <w:sz w:val="21"/>
                <w:szCs w:val="21"/>
                <w:highlight w:val="none"/>
              </w:rPr>
              <w:t>删除。</w:t>
            </w:r>
          </w:p>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color w:val="auto"/>
                <w:sz w:val="28"/>
                <w:szCs w:val="28"/>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8"/>
                <w:szCs w:val="28"/>
                <w:highlight w:val="none"/>
              </w:rPr>
              <w:t>服务类项目：技术（服务）概述及</w:t>
            </w:r>
            <w:r>
              <w:rPr>
                <w:rFonts w:hint="eastAsia" w:ascii="宋体" w:hAnsi="宋体" w:eastAsia="宋体" w:cs="宋体"/>
                <w:color w:val="auto"/>
                <w:sz w:val="28"/>
                <w:szCs w:val="28"/>
                <w:highlight w:val="none"/>
                <w:lang w:eastAsia="zh-CN"/>
              </w:rPr>
              <w:t>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textAlignment w:val="auto"/>
              <w:rPr>
                <w:rFonts w:hint="eastAsia" w:ascii="宋体" w:hAnsi="宋体" w:cs="宋体"/>
                <w:b/>
                <w:bCs w:val="0"/>
                <w:color w:val="auto"/>
                <w:sz w:val="24"/>
                <w:highlight w:val="none"/>
              </w:rPr>
            </w:pPr>
            <w:r>
              <w:rPr>
                <w:rFonts w:hint="eastAsia" w:ascii="宋体" w:hAnsi="宋体" w:cs="宋体"/>
                <w:bCs/>
                <w:color w:val="auto"/>
                <w:sz w:val="24"/>
                <w:highlight w:val="none"/>
              </w:rPr>
              <w:t xml:space="preserve">  </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 xml:space="preserve"> </w:t>
            </w:r>
            <w:r>
              <w:rPr>
                <w:rFonts w:hint="eastAsia" w:ascii="宋体" w:hAnsi="宋体" w:cs="宋体"/>
                <w:b/>
                <w:bCs w:val="0"/>
                <w:color w:val="auto"/>
                <w:sz w:val="24"/>
                <w:highlight w:val="none"/>
              </w:rPr>
              <w:t>一、项目概述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XXX。</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2" w:firstLineChars="200"/>
              <w:textAlignment w:val="auto"/>
              <w:rPr>
                <w:rFonts w:hint="eastAsia" w:ascii="宋体" w:hAnsi="宋体" w:cs="宋体"/>
                <w:b/>
                <w:bCs w:val="0"/>
                <w:color w:val="auto"/>
                <w:sz w:val="24"/>
                <w:highlight w:val="none"/>
              </w:rPr>
            </w:pPr>
            <w:r>
              <w:rPr>
                <w:rFonts w:hint="eastAsia" w:ascii="宋体" w:hAnsi="宋体" w:cs="宋体"/>
                <w:b/>
                <w:bCs w:val="0"/>
                <w:color w:val="auto"/>
                <w:sz w:val="24"/>
                <w:highlight w:val="none"/>
              </w:rPr>
              <w:t>二、采购项目清单</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591"/>
              <w:gridCol w:w="2171"/>
              <w:gridCol w:w="1713"/>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87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cs="宋体"/>
                      <w:b/>
                      <w:bCs w:val="0"/>
                      <w:color w:val="auto"/>
                      <w:sz w:val="24"/>
                      <w:highlight w:val="none"/>
                    </w:rPr>
                  </w:pPr>
                  <w:r>
                    <w:rPr>
                      <w:rFonts w:hint="eastAsia" w:ascii="宋体" w:hAnsi="宋体" w:cs="宋体"/>
                      <w:b/>
                      <w:bCs w:val="0"/>
                      <w:color w:val="auto"/>
                      <w:sz w:val="24"/>
                      <w:highlight w:val="none"/>
                    </w:rPr>
                    <w:t>序号</w:t>
                  </w:r>
                </w:p>
              </w:tc>
              <w:tc>
                <w:tcPr>
                  <w:tcW w:w="87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cs="宋体"/>
                      <w:b/>
                      <w:bCs w:val="0"/>
                      <w:color w:val="auto"/>
                      <w:sz w:val="24"/>
                      <w:highlight w:val="none"/>
                    </w:rPr>
                  </w:pPr>
                  <w:r>
                    <w:rPr>
                      <w:rFonts w:hint="eastAsia" w:ascii="宋体" w:hAnsi="宋体" w:cs="宋体"/>
                      <w:b/>
                      <w:bCs w:val="0"/>
                      <w:color w:val="auto"/>
                      <w:sz w:val="24"/>
                      <w:highlight w:val="none"/>
                    </w:rPr>
                    <w:t>包号</w:t>
                  </w:r>
                </w:p>
              </w:tc>
              <w:tc>
                <w:tcPr>
                  <w:tcW w:w="119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cs="宋体"/>
                      <w:b/>
                      <w:bCs w:val="0"/>
                      <w:color w:val="auto"/>
                      <w:sz w:val="24"/>
                      <w:highlight w:val="none"/>
                    </w:rPr>
                  </w:pPr>
                  <w:r>
                    <w:rPr>
                      <w:rFonts w:hint="eastAsia" w:ascii="宋体" w:hAnsi="宋体" w:cs="宋体"/>
                      <w:b/>
                      <w:bCs w:val="0"/>
                      <w:color w:val="auto"/>
                      <w:sz w:val="24"/>
                      <w:highlight w:val="none"/>
                    </w:rPr>
                    <w:t>采购标的</w:t>
                  </w:r>
                </w:p>
              </w:tc>
              <w:tc>
                <w:tcPr>
                  <w:tcW w:w="94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bCs w:val="0"/>
                      <w:color w:val="auto"/>
                      <w:sz w:val="24"/>
                      <w:highlight w:val="none"/>
                      <w:lang w:eastAsia="zh-CN"/>
                    </w:rPr>
                  </w:pPr>
                  <w:r>
                    <w:rPr>
                      <w:rFonts w:hint="eastAsia" w:ascii="宋体" w:hAnsi="宋体" w:cs="宋体"/>
                      <w:b/>
                      <w:bCs w:val="0"/>
                      <w:color w:val="auto"/>
                      <w:sz w:val="24"/>
                      <w:highlight w:val="none"/>
                      <w:lang w:eastAsia="zh-CN"/>
                    </w:rPr>
                    <w:t>服务期限</w:t>
                  </w:r>
                </w:p>
              </w:tc>
              <w:tc>
                <w:tcPr>
                  <w:tcW w:w="109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bCs w:val="0"/>
                      <w:color w:val="auto"/>
                      <w:sz w:val="24"/>
                      <w:highlight w:val="none"/>
                    </w:rPr>
                  </w:pPr>
                  <w:r>
                    <w:rPr>
                      <w:rFonts w:hint="eastAsia" w:ascii="宋体" w:hAnsi="宋体" w:cs="宋体"/>
                      <w:b/>
                      <w:bCs w:val="0"/>
                      <w:color w:val="auto"/>
                      <w:sz w:val="24"/>
                      <w:highlight w:val="none"/>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cs="宋体"/>
                      <w:bCs/>
                      <w:color w:val="auto"/>
                      <w:sz w:val="24"/>
                      <w:highlight w:val="none"/>
                    </w:rPr>
                  </w:pPr>
                </w:p>
              </w:tc>
              <w:tc>
                <w:tcPr>
                  <w:tcW w:w="87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cs="宋体"/>
                      <w:bCs/>
                      <w:color w:val="auto"/>
                      <w:sz w:val="24"/>
                      <w:highlight w:val="none"/>
                    </w:rPr>
                  </w:pPr>
                </w:p>
              </w:tc>
              <w:tc>
                <w:tcPr>
                  <w:tcW w:w="119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cs="宋体"/>
                      <w:bCs/>
                      <w:color w:val="auto"/>
                      <w:sz w:val="24"/>
                      <w:highlight w:val="none"/>
                    </w:rPr>
                  </w:pPr>
                </w:p>
              </w:tc>
              <w:tc>
                <w:tcPr>
                  <w:tcW w:w="94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cs="宋体"/>
                      <w:bCs/>
                      <w:color w:val="auto"/>
                      <w:sz w:val="24"/>
                      <w:highlight w:val="none"/>
                    </w:rPr>
                  </w:pPr>
                </w:p>
              </w:tc>
              <w:sdt>
                <w:sdtPr>
                  <w:rPr>
                    <w:rFonts w:hint="eastAsia" w:ascii="宋体" w:hAnsi="宋体" w:eastAsia="宋体" w:cs="宋体"/>
                    <w:bCs/>
                    <w:color w:val="auto"/>
                    <w:kern w:val="2"/>
                    <w:sz w:val="24"/>
                    <w:szCs w:val="24"/>
                    <w:highlight w:val="none"/>
                    <w:lang w:val="en-US" w:eastAsia="zh-CN" w:bidi="ar-SA"/>
                  </w:rPr>
                  <w:alias w:val="所属行业"/>
                  <w:id w:val="147450882"/>
                  <w:placeholder>
                    <w:docPart w:val="{61b60572-7e0f-4dd5-8eee-9f648f3132a4}"/>
                  </w:placeholder>
                  <w:showingPlcHdr/>
                  <w:dropDownList>
                    <w:listItem w:displayText="农" w:value="农"/>
                    <w:listItem w:displayText="林" w:value="林"/>
                    <w:listItem w:displayText="牧" w:value="牧"/>
                    <w:listItem w:displayText="渔业" w:value="渔业"/>
                    <w:listItem w:displayText="工业（包括采矿业、制造业、电力、热力、燃气及水生产和供应业）" w:value="工业（包括采矿业、制造业、电力、热力、燃气及水生产和供应业）"/>
                    <w:listItem w:displayText="建筑业" w:value="建筑业"/>
                    <w:listItem w:displayText="批发业" w:value="批发业"/>
                    <w:listItem w:displayText="零售业" w:value="零售业"/>
                    <w:listItem w:displayText="交通运输业（不含铁路运输业）" w:value="交通运输业（不含铁路运输业）"/>
                    <w:listItem w:displayText="仓储业" w:value="仓储业"/>
                    <w:listItem w:displayText="邮政业" w:value="邮政业"/>
                    <w:listItem w:displayText="住宿业" w:value="住宿业"/>
                    <w:listItem w:displayText="餐饮业" w:value="餐饮业"/>
                    <w:listItem w:displayText="信息传输业（包括电信、互联网和相关服务）" w:value="信息传输业（包括电信、互联网和相关服务）"/>
                    <w:listItem w:displayText="软件和信息技术服务业" w:value="软件和信息技术服务业"/>
                    <w:listItem w:displayText="房地产开发经营" w:value="房地产开发经营"/>
                    <w:listItem w:displayText="物业管理" w:value="物业管理"/>
                    <w:listItem w:displayText="租赁和商务服务业" w:value="租赁和商务服务业"/>
                    <w:listItem w:displayText="其他未列明行业（包括科学研究和技术服务业，水利、环境和公共设施管理业，居民服务、修理和其他服务业，社会工作，文化，体育，和娱乐业等）" w:value="其他未列明行业（包括科学研究和技术服务业，水利、环境和公共设施管理业，居民服务、修理和其他服务业，社会工作，文化，体育，和娱乐业等）"/>
                  </w:dropDownList>
                </w:sdtPr>
                <w:sdtEndPr>
                  <w:rPr>
                    <w:rFonts w:hint="eastAsia" w:ascii="宋体" w:hAnsi="宋体" w:eastAsia="宋体" w:cs="宋体"/>
                    <w:bCs/>
                    <w:color w:val="auto"/>
                    <w:kern w:val="2"/>
                    <w:sz w:val="24"/>
                    <w:szCs w:val="24"/>
                    <w:highlight w:val="none"/>
                    <w:lang w:val="en-US" w:eastAsia="zh-CN" w:bidi="ar-SA"/>
                  </w:rPr>
                </w:sdtEndPr>
                <w:sdtContent>
                  <w:tc>
                    <w:tcPr>
                      <w:tcW w:w="109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 w:val="24"/>
                          <w:highlight w:val="none"/>
                        </w:rPr>
                      </w:pPr>
                      <w:r>
                        <w:rPr>
                          <w:color w:val="auto"/>
                          <w:highlight w:val="none"/>
                        </w:rPr>
                        <w:t>选择一项。</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cs="宋体"/>
                      <w:bCs/>
                      <w:color w:val="auto"/>
                      <w:sz w:val="24"/>
                      <w:highlight w:val="none"/>
                    </w:rPr>
                  </w:pPr>
                </w:p>
              </w:tc>
              <w:tc>
                <w:tcPr>
                  <w:tcW w:w="87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cs="宋体"/>
                      <w:bCs/>
                      <w:color w:val="auto"/>
                      <w:sz w:val="24"/>
                      <w:highlight w:val="none"/>
                    </w:rPr>
                  </w:pPr>
                </w:p>
              </w:tc>
              <w:tc>
                <w:tcPr>
                  <w:tcW w:w="119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cs="宋体"/>
                      <w:bCs/>
                      <w:color w:val="auto"/>
                      <w:sz w:val="24"/>
                      <w:highlight w:val="none"/>
                    </w:rPr>
                  </w:pPr>
                </w:p>
              </w:tc>
              <w:tc>
                <w:tcPr>
                  <w:tcW w:w="94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cs="宋体"/>
                      <w:bCs/>
                      <w:color w:val="auto"/>
                      <w:sz w:val="24"/>
                      <w:highlight w:val="none"/>
                    </w:rPr>
                  </w:pPr>
                </w:p>
              </w:tc>
              <w:tc>
                <w:tcPr>
                  <w:tcW w:w="109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auto"/>
                      <w:kern w:val="2"/>
                      <w:sz w:val="24"/>
                      <w:szCs w:val="24"/>
                      <w:highlight w:val="none"/>
                      <w:lang w:val="en-US" w:eastAsia="zh-CN" w:bidi="ar-SA"/>
                    </w:rPr>
                  </w:pPr>
                  <w:sdt>
                    <w:sdtPr>
                      <w:rPr>
                        <w:rFonts w:hint="eastAsia" w:ascii="宋体" w:hAnsi="宋体" w:eastAsia="宋体" w:cs="宋体"/>
                        <w:bCs/>
                        <w:color w:val="auto"/>
                        <w:kern w:val="2"/>
                        <w:sz w:val="24"/>
                        <w:szCs w:val="24"/>
                        <w:highlight w:val="none"/>
                        <w:lang w:val="en-US" w:eastAsia="zh-CN" w:bidi="ar-SA"/>
                      </w:rPr>
                      <w:alias w:val="所属行业"/>
                      <w:id w:val="147450882"/>
                      <w:placeholder>
                        <w:docPart w:val="{175048ac-5fe4-490c-90b9-a99fec5f3474}"/>
                      </w:placeholder>
                      <w:showingPlcHdr/>
                      <w:dropDownList>
                        <w:listItem w:displayText="农" w:value="农"/>
                        <w:listItem w:displayText="林" w:value="林"/>
                        <w:listItem w:displayText="牧" w:value="牧"/>
                        <w:listItem w:displayText="渔业" w:value="渔业"/>
                        <w:listItem w:displayText="工业（包括采矿业、制造业、电力、热力、燃气及水生产和供应业）" w:value="工业（包括采矿业、制造业、电力、热力、燃气及水生产和供应业）"/>
                        <w:listItem w:displayText="建筑业" w:value="建筑业"/>
                        <w:listItem w:displayText="批发业" w:value="批发业"/>
                        <w:listItem w:displayText="零售业" w:value="零售业"/>
                        <w:listItem w:displayText="交通运输业（不含铁路运输业）" w:value="交通运输业（不含铁路运输业）"/>
                        <w:listItem w:displayText="仓储业" w:value="仓储业"/>
                        <w:listItem w:displayText="邮政业" w:value="邮政业"/>
                        <w:listItem w:displayText="住宿业" w:value="住宿业"/>
                        <w:listItem w:displayText="餐饮业" w:value="餐饮业"/>
                        <w:listItem w:displayText="信息传输业（包括电信、互联网和相关服务）" w:value="信息传输业（包括电信、互联网和相关服务）"/>
                        <w:listItem w:displayText="软件和信息技术服务业" w:value="软件和信息技术服务业"/>
                        <w:listItem w:displayText="房地产开发经营" w:value="房地产开发经营"/>
                        <w:listItem w:displayText="物业管理" w:value="物业管理"/>
                        <w:listItem w:displayText="租赁和商务服务业" w:value="租赁和商务服务业"/>
                        <w:listItem w:displayText="其他未列明行业（包括科学研究和技术服务业，水利、环境和公共设施管理业，居民服务、修理和其他服务业，社会工作，文化，体育，和娱乐业等）" w:value="其他未列明行业（包括科学研究和技术服务业，水利、环境和公共设施管理业，居民服务、修理和其他服务业，社会工作，文化，体育，和娱乐业等）"/>
                      </w:dropDownList>
                    </w:sdtPr>
                    <w:sdtEndPr>
                      <w:rPr>
                        <w:rFonts w:hint="eastAsia" w:ascii="宋体" w:hAnsi="宋体" w:eastAsia="宋体" w:cs="宋体"/>
                        <w:bCs/>
                        <w:color w:val="auto"/>
                        <w:kern w:val="2"/>
                        <w:sz w:val="24"/>
                        <w:szCs w:val="24"/>
                        <w:highlight w:val="none"/>
                        <w:lang w:val="en-US" w:eastAsia="zh-CN" w:bidi="ar-SA"/>
                      </w:rPr>
                    </w:sdtEndPr>
                    <w:sdtContent>
                      <w:r>
                        <w:rPr>
                          <w:color w:val="auto"/>
                          <w:highlight w:val="none"/>
                        </w:rPr>
                        <w:t>选择一项。</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cs="宋体"/>
                      <w:bCs/>
                      <w:color w:val="auto"/>
                      <w:sz w:val="24"/>
                      <w:highlight w:val="none"/>
                    </w:rPr>
                  </w:pPr>
                </w:p>
              </w:tc>
              <w:tc>
                <w:tcPr>
                  <w:tcW w:w="87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cs="宋体"/>
                      <w:bCs/>
                      <w:color w:val="auto"/>
                      <w:sz w:val="24"/>
                      <w:highlight w:val="none"/>
                    </w:rPr>
                  </w:pPr>
                </w:p>
              </w:tc>
              <w:tc>
                <w:tcPr>
                  <w:tcW w:w="119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cs="宋体"/>
                      <w:bCs/>
                      <w:color w:val="auto"/>
                      <w:sz w:val="24"/>
                      <w:highlight w:val="none"/>
                    </w:rPr>
                  </w:pPr>
                </w:p>
              </w:tc>
              <w:tc>
                <w:tcPr>
                  <w:tcW w:w="94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cs="宋体"/>
                      <w:bCs/>
                      <w:color w:val="auto"/>
                      <w:sz w:val="24"/>
                      <w:highlight w:val="none"/>
                    </w:rPr>
                  </w:pPr>
                </w:p>
              </w:tc>
              <w:tc>
                <w:tcPr>
                  <w:tcW w:w="1099" w:type="pct"/>
                  <w:noWrap w:val="0"/>
                  <w:vAlign w:val="center"/>
                </w:tcPr>
                <w:sdt>
                  <w:sdtPr>
                    <w:rPr>
                      <w:rFonts w:hint="eastAsia" w:ascii="宋体" w:hAnsi="宋体" w:eastAsia="宋体" w:cs="宋体"/>
                      <w:bCs/>
                      <w:color w:val="auto"/>
                      <w:kern w:val="2"/>
                      <w:sz w:val="24"/>
                      <w:szCs w:val="24"/>
                      <w:highlight w:val="none"/>
                      <w:lang w:val="en-US" w:eastAsia="zh-CN" w:bidi="ar-SA"/>
                    </w:rPr>
                    <w:alias w:val="所属行业"/>
                    <w:id w:val="147450882"/>
                    <w:placeholder>
                      <w:docPart w:val="{86ce8630-d37c-4d49-b5e5-562a9e17eac0}"/>
                    </w:placeholder>
                    <w:showingPlcHdr/>
                    <w:dropDownList>
                      <w:listItem w:displayText="农" w:value="农"/>
                      <w:listItem w:displayText="林" w:value="林"/>
                      <w:listItem w:displayText="牧" w:value="牧"/>
                      <w:listItem w:displayText="渔业" w:value="渔业"/>
                      <w:listItem w:displayText="工业（包括采矿业、制造业、电力、热力、燃气及水生产和供应业）" w:value="工业（包括采矿业、制造业、电力、热力、燃气及水生产和供应业）"/>
                      <w:listItem w:displayText="建筑业" w:value="建筑业"/>
                      <w:listItem w:displayText="批发业" w:value="批发业"/>
                      <w:listItem w:displayText="零售业" w:value="零售业"/>
                      <w:listItem w:displayText="交通运输业（不含铁路运输业）" w:value="交通运输业（不含铁路运输业）"/>
                      <w:listItem w:displayText="仓储业" w:value="仓储业"/>
                      <w:listItem w:displayText="邮政业" w:value="邮政业"/>
                      <w:listItem w:displayText="住宿业" w:value="住宿业"/>
                      <w:listItem w:displayText="餐饮业" w:value="餐饮业"/>
                      <w:listItem w:displayText="信息传输业（包括电信、互联网和相关服务）" w:value="信息传输业（包括电信、互联网和相关服务）"/>
                      <w:listItem w:displayText="软件和信息技术服务业" w:value="软件和信息技术服务业"/>
                      <w:listItem w:displayText="房地产开发经营" w:value="房地产开发经营"/>
                      <w:listItem w:displayText="物业管理" w:value="物业管理"/>
                      <w:listItem w:displayText="租赁和商务服务业" w:value="租赁和商务服务业"/>
                      <w:listItem w:displayText="其他未列明行业（包括科学研究和技术服务业，水利、环境和公共设施管理业，居民服务、修理和其他服务业，社会工作，文化，体育，和娱乐业等）" w:value="其他未列明行业（包括科学研究和技术服务业，水利、环境和公共设施管理业，居民服务、修理和其他服务业，社会工作，文化，体育，和娱乐业等）"/>
                    </w:dropDownList>
                  </w:sdtPr>
                  <w:sdtEndPr>
                    <w:rPr>
                      <w:rFonts w:hint="eastAsia" w:ascii="宋体" w:hAnsi="宋体" w:eastAsia="宋体" w:cs="宋体"/>
                      <w:bCs/>
                      <w:color w:val="auto"/>
                      <w:kern w:val="2"/>
                      <w:sz w:val="24"/>
                      <w:szCs w:val="24"/>
                      <w:highlight w:val="none"/>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auto"/>
                          <w:kern w:val="2"/>
                          <w:sz w:val="24"/>
                          <w:szCs w:val="24"/>
                          <w:highlight w:val="none"/>
                          <w:lang w:val="en-US" w:eastAsia="zh-CN" w:bidi="ar-SA"/>
                        </w:rPr>
                      </w:pPr>
                      <w:r>
                        <w:rPr>
                          <w:color w:val="auto"/>
                          <w:highlight w:val="none"/>
                        </w:rPr>
                        <w:t>选择一项。</w:t>
                      </w:r>
                    </w:p>
                  </w:sdtContent>
                </w:sdt>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2" w:firstLineChars="200"/>
              <w:textAlignment w:val="auto"/>
              <w:rPr>
                <w:rFonts w:hint="eastAsia" w:ascii="宋体" w:hAnsi="宋体" w:cs="宋体"/>
                <w:b/>
                <w:bCs w:val="0"/>
                <w:color w:val="auto"/>
                <w:sz w:val="24"/>
                <w:highlight w:val="none"/>
              </w:rPr>
            </w:pPr>
            <w:r>
              <w:rPr>
                <w:rFonts w:hint="eastAsia" w:ascii="宋体" w:hAnsi="宋体" w:cs="宋体"/>
                <w:b/>
                <w:bCs w:val="0"/>
                <w:color w:val="auto"/>
                <w:sz w:val="24"/>
                <w:highlight w:val="none"/>
              </w:rPr>
              <w:t>三、项目要求</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cs="宋体"/>
                <w:bCs/>
                <w:color w:val="auto"/>
                <w:sz w:val="24"/>
                <w:highlight w:val="none"/>
              </w:rPr>
            </w:pPr>
            <w:r>
              <w:rPr>
                <w:rFonts w:hint="eastAsia" w:ascii="宋体" w:hAnsi="宋体" w:cs="宋体"/>
                <w:bCs/>
                <w:color w:val="auto"/>
                <w:sz w:val="24"/>
                <w:highlight w:val="none"/>
              </w:rPr>
              <w:t>1.1技术要求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1.2服务要求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1.3政府采购合同内容条款要求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1.4履约能力要求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1.5其他商务要求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2" w:firstLineChars="200"/>
              <w:textAlignment w:val="auto"/>
              <w:rPr>
                <w:rFonts w:hint="default" w:ascii="宋体" w:hAnsi="宋体" w:eastAsia="宋体" w:cs="宋体"/>
                <w:b/>
                <w:bCs w:val="0"/>
                <w:color w:val="auto"/>
                <w:sz w:val="24"/>
                <w:highlight w:val="none"/>
                <w:lang w:val="en-US" w:eastAsia="zh-CN"/>
              </w:rPr>
            </w:pPr>
            <w:r>
              <w:rPr>
                <w:rFonts w:hint="eastAsia" w:ascii="宋体" w:hAnsi="宋体" w:cs="宋体"/>
                <w:b/>
                <w:bCs w:val="0"/>
                <w:color w:val="auto"/>
                <w:sz w:val="24"/>
                <w:highlight w:val="none"/>
              </w:rPr>
              <w:t>四、</w:t>
            </w:r>
            <w:r>
              <w:rPr>
                <w:rFonts w:hint="eastAsia" w:ascii="宋体" w:hAnsi="宋体" w:cs="宋体"/>
                <w:b/>
                <w:color w:val="auto"/>
                <w:sz w:val="24"/>
                <w:szCs w:val="24"/>
                <w:highlight w:val="none"/>
                <w:lang w:eastAsia="zh-CN"/>
              </w:rPr>
              <w:t>其</w:t>
            </w:r>
            <w:r>
              <w:rPr>
                <w:rFonts w:hint="eastAsia" w:ascii="宋体" w:hAnsi="宋体" w:cs="宋体"/>
                <w:b/>
                <w:bCs w:val="0"/>
                <w:color w:val="auto"/>
                <w:sz w:val="24"/>
                <w:highlight w:val="none"/>
                <w:lang w:val="en-US" w:eastAsia="zh-CN"/>
              </w:rPr>
              <w:t>他要求(服务时间、服务地点、付款方式、验收标准等)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1.服务时间：……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2.服务地点：……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3.付款方式：……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val="0"/>
                <w:color w:val="FF0000"/>
                <w:sz w:val="21"/>
                <w:szCs w:val="21"/>
                <w:highlight w:val="none"/>
                <w:lang w:val="en-US" w:eastAsia="zh-CN"/>
              </w:rPr>
            </w:pPr>
            <w:r>
              <w:rPr>
                <w:rFonts w:hint="eastAsia" w:ascii="宋体" w:hAnsi="宋体" w:cs="宋体"/>
                <w:b/>
                <w:bCs w:val="0"/>
                <w:color w:val="FF0000"/>
                <w:sz w:val="21"/>
                <w:szCs w:val="21"/>
                <w:highlight w:val="none"/>
                <w:lang w:val="en-US" w:eastAsia="zh-CN"/>
              </w:rPr>
              <w:t>（提示：成交供应商为中小企业的，采购人应当自服务交付之日起30日内支付款项；合同另有约定的，付款期限最长不得超过60日。）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4.验收标准：……</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2" w:firstLineChars="200"/>
              <w:textAlignment w:val="auto"/>
              <w:rPr>
                <w:rFonts w:hint="eastAsia" w:ascii="宋体" w:hAnsi="宋体" w:cs="宋体"/>
                <w:bCs/>
                <w:color w:val="FF0000"/>
                <w:sz w:val="24"/>
                <w:highlight w:val="none"/>
              </w:rPr>
            </w:pPr>
            <w:r>
              <w:rPr>
                <w:rFonts w:hint="eastAsia" w:ascii="宋体" w:hAnsi="宋体" w:cs="宋体"/>
                <w:b/>
                <w:bCs w:val="0"/>
                <w:color w:val="auto"/>
                <w:sz w:val="24"/>
                <w:highlight w:val="none"/>
              </w:rPr>
              <w:t>五、本项目的实质性要求</w:t>
            </w:r>
            <w:r>
              <w:rPr>
                <w:rFonts w:hint="eastAsia" w:ascii="宋体" w:hAnsi="宋体" w:cs="宋体"/>
                <w:b/>
                <w:bCs w:val="0"/>
                <w:color w:val="FF0000"/>
                <w:sz w:val="21"/>
                <w:szCs w:val="21"/>
                <w:highlight w:val="none"/>
              </w:rPr>
              <w:t>（</w:t>
            </w:r>
            <w:r>
              <w:rPr>
                <w:rFonts w:hint="eastAsia" w:ascii="宋体" w:hAnsi="宋体" w:cs="宋体"/>
                <w:b/>
                <w:bCs w:val="0"/>
                <w:color w:val="FF0000"/>
                <w:sz w:val="21"/>
                <w:szCs w:val="21"/>
                <w:highlight w:val="none"/>
                <w:lang w:eastAsia="zh-CN"/>
              </w:rPr>
              <w:t>提示：</w:t>
            </w:r>
            <w:r>
              <w:rPr>
                <w:rFonts w:hint="eastAsia" w:ascii="宋体" w:hAnsi="宋体" w:cs="宋体"/>
                <w:b/>
                <w:bCs w:val="0"/>
                <w:color w:val="FF0000"/>
                <w:sz w:val="21"/>
                <w:szCs w:val="21"/>
                <w:highlight w:val="none"/>
              </w:rPr>
              <w:t>采购人</w:t>
            </w:r>
            <w:r>
              <w:rPr>
                <w:rFonts w:hint="eastAsia" w:ascii="宋体" w:hAnsi="宋体" w:cs="宋体"/>
                <w:b/>
                <w:bCs w:val="0"/>
                <w:color w:val="FF0000"/>
                <w:sz w:val="21"/>
                <w:szCs w:val="21"/>
                <w:highlight w:val="none"/>
                <w:lang w:eastAsia="zh-CN"/>
              </w:rPr>
              <w:t>可</w:t>
            </w:r>
            <w:r>
              <w:rPr>
                <w:rFonts w:hint="eastAsia" w:ascii="宋体" w:hAnsi="宋体" w:cs="宋体"/>
                <w:b/>
                <w:bCs w:val="0"/>
                <w:color w:val="FF0000"/>
                <w:sz w:val="21"/>
                <w:szCs w:val="21"/>
                <w:highlight w:val="none"/>
              </w:rPr>
              <w:t>直接明确或以</w:t>
            </w:r>
            <w:r>
              <w:rPr>
                <w:rFonts w:hint="eastAsia" w:ascii="宋体" w:hAnsi="宋体" w:cs="宋体"/>
                <w:b/>
                <w:bCs w:val="0"/>
                <w:color w:val="FF0000"/>
                <w:sz w:val="21"/>
                <w:szCs w:val="21"/>
                <w:highlight w:val="none"/>
                <w:lang w:eastAsia="zh-CN"/>
              </w:rPr>
              <w:t>“</w:t>
            </w:r>
            <w:r>
              <w:rPr>
                <w:rFonts w:hint="eastAsia" w:ascii="宋体" w:hAnsi="宋体" w:cs="宋体"/>
                <w:b/>
                <w:bCs w:val="0"/>
                <w:color w:val="FF0000"/>
                <w:sz w:val="21"/>
                <w:szCs w:val="21"/>
                <w:highlight w:val="none"/>
              </w:rPr>
              <w:t>▲</w:t>
            </w:r>
            <w:r>
              <w:rPr>
                <w:rFonts w:hint="eastAsia" w:ascii="宋体" w:hAnsi="宋体" w:cs="宋体"/>
                <w:b/>
                <w:bCs w:val="0"/>
                <w:color w:val="FF0000"/>
                <w:sz w:val="21"/>
                <w:szCs w:val="21"/>
                <w:highlight w:val="none"/>
                <w:lang w:eastAsia="zh-CN"/>
              </w:rPr>
              <w:t>”</w:t>
            </w:r>
            <w:r>
              <w:rPr>
                <w:rFonts w:hint="eastAsia" w:ascii="宋体" w:hAnsi="宋体" w:cs="宋体"/>
                <w:b/>
                <w:bCs w:val="0"/>
                <w:color w:val="FF0000"/>
                <w:sz w:val="21"/>
                <w:szCs w:val="21"/>
                <w:highlight w:val="none"/>
              </w:rPr>
              <w:t>符号标注）</w:t>
            </w:r>
          </w:p>
          <w:p>
            <w:pPr>
              <w:pStyle w:val="2"/>
              <w:keepNext/>
              <w:keepLines/>
              <w:pageBreakBefore w:val="0"/>
              <w:widowControl w:val="0"/>
              <w:kinsoku/>
              <w:wordWrap/>
              <w:overflowPunct/>
              <w:topLinePunct w:val="0"/>
              <w:autoSpaceDE/>
              <w:autoSpaceDN/>
              <w:bidi w:val="0"/>
              <w:adjustRightInd/>
              <w:snapToGrid/>
              <w:spacing w:before="157" w:beforeLines="50" w:after="157" w:afterLines="50" w:line="300" w:lineRule="exact"/>
              <w:ind w:firstLine="422" w:firstLineChars="200"/>
              <w:textAlignment w:val="auto"/>
              <w:rPr>
                <w:rFonts w:hint="default"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（例：本项目实质性要求：详见“▲”内容)</w:t>
            </w:r>
          </w:p>
          <w:p>
            <w:pPr>
              <w:pStyle w:val="2"/>
              <w:keepNext/>
              <w:keepLines/>
              <w:pageBreakBefore w:val="0"/>
              <w:widowControl w:val="0"/>
              <w:kinsoku/>
              <w:wordWrap/>
              <w:overflowPunct/>
              <w:topLinePunct w:val="0"/>
              <w:autoSpaceDE/>
              <w:autoSpaceDN/>
              <w:bidi w:val="0"/>
              <w:adjustRightInd/>
              <w:snapToGrid/>
              <w:spacing w:before="157" w:beforeLines="50" w:after="157" w:afterLines="50" w:line="300" w:lineRule="exact"/>
              <w:ind w:firstLine="422" w:firstLineChars="200"/>
              <w:textAlignment w:val="auto"/>
              <w:rPr>
                <w:rFonts w:hint="default" w:ascii="宋体" w:hAnsi="宋体" w:eastAsia="宋体" w:cs="宋体"/>
                <w:bCs/>
                <w:color w:val="auto"/>
                <w:sz w:val="24"/>
                <w:highlight w:val="none"/>
                <w:lang w:val="en-US" w:eastAsia="zh-CN"/>
              </w:rPr>
            </w:pPr>
            <w:r>
              <w:rPr>
                <w:rFonts w:hint="eastAsia" w:ascii="宋体" w:hAnsi="宋体" w:eastAsia="宋体" w:cs="宋体"/>
                <w:b/>
                <w:bCs w:val="0"/>
                <w:color w:val="auto"/>
                <w:kern w:val="2"/>
                <w:sz w:val="21"/>
                <w:szCs w:val="21"/>
                <w:highlight w:val="none"/>
                <w:lang w:val="en-US" w:eastAsia="zh-CN" w:bidi="ar-SA"/>
              </w:rPr>
              <w:t>（例：本项目实质性要求：1.XXX ;2.XXX ……）</w:t>
            </w:r>
          </w:p>
          <w:p>
            <w:pPr>
              <w:pStyle w:val="2"/>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400" w:lineRule="exact"/>
              <w:ind w:firstLine="482" w:firstLineChars="200"/>
              <w:textAlignment w:val="auto"/>
              <w:rPr>
                <w:rFonts w:hint="eastAsia" w:ascii="宋体" w:hAnsi="宋体" w:cs="宋体"/>
                <w:bCs/>
                <w:color w:val="FF0000"/>
                <w:sz w:val="24"/>
                <w:highlight w:val="none"/>
              </w:rPr>
            </w:pP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磋商/谈判过程中可实质性变动的内容</w:t>
            </w:r>
            <w:r>
              <w:rPr>
                <w:rFonts w:hint="eastAsia" w:ascii="宋体" w:hAnsi="宋体" w:eastAsia="宋体" w:cs="宋体"/>
                <w:b/>
                <w:bCs w:val="0"/>
                <w:color w:val="FF0000"/>
                <w:kern w:val="2"/>
                <w:sz w:val="21"/>
                <w:szCs w:val="21"/>
                <w:highlight w:val="none"/>
                <w:lang w:val="en-US" w:eastAsia="zh-CN" w:bidi="ar-SA"/>
              </w:rPr>
              <w:t xml:space="preserve">（提示：磋商/谈判采购方式填写） </w:t>
            </w:r>
          </w:p>
          <w:p>
            <w:pPr>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□采购需求中的技术、服务要求以及合同草案条款，为本次磋商/谈判采购项目可实质性变动的内容，供应商在磋商/谈判结束后应全部满足。</w:t>
            </w:r>
          </w:p>
          <w:p>
            <w:pPr>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□磋商/谈判文件中标注“★”号的内容，以及合同草案条款，为本次磋商/谈判采购项目可实质性变动的内容，供应商在磋商/谈判结束后应全部满足。</w:t>
            </w:r>
          </w:p>
          <w:p>
            <w:pPr>
              <w:rPr>
                <w:rFonts w:hint="eastAsia"/>
                <w:color w:val="auto"/>
                <w:highlight w:val="none"/>
              </w:rPr>
            </w:pPr>
          </w:p>
          <w:p>
            <w:pPr>
              <w:jc w:val="center"/>
              <w:rPr>
                <w:rFonts w:hint="eastAsia" w:eastAsia="宋体"/>
                <w:b/>
                <w:bCs/>
                <w:color w:val="FF0000"/>
                <w:sz w:val="21"/>
                <w:szCs w:val="21"/>
                <w:highlight w:val="none"/>
                <w:lang w:eastAsia="zh-CN"/>
              </w:rPr>
            </w:pPr>
            <w:r>
              <w:rPr>
                <w:rFonts w:hint="eastAsia"/>
                <w:b/>
                <w:bCs/>
                <w:color w:val="FF0000"/>
                <w:sz w:val="21"/>
                <w:szCs w:val="21"/>
                <w:highlight w:val="none"/>
                <w:lang w:eastAsia="zh-CN"/>
              </w:rPr>
              <w:t>特别说明：</w:t>
            </w:r>
            <w:r>
              <w:rPr>
                <w:rFonts w:hint="eastAsia" w:hAnsi="宋体"/>
                <w:b/>
                <w:bCs/>
                <w:color w:val="FF0000"/>
                <w:sz w:val="21"/>
                <w:szCs w:val="21"/>
                <w:highlight w:val="none"/>
              </w:rPr>
              <w:t>模板中的红色字体为</w:t>
            </w:r>
            <w:r>
              <w:rPr>
                <w:rFonts w:hint="eastAsia" w:hAnsi="宋体"/>
                <w:b/>
                <w:bCs/>
                <w:color w:val="FF0000"/>
                <w:sz w:val="21"/>
                <w:szCs w:val="21"/>
                <w:highlight w:val="none"/>
                <w:lang w:eastAsia="zh-CN"/>
              </w:rPr>
              <w:t>提示</w:t>
            </w:r>
            <w:r>
              <w:rPr>
                <w:rFonts w:hint="eastAsia" w:hAnsi="宋体"/>
                <w:b/>
                <w:bCs/>
                <w:color w:val="FF0000"/>
                <w:sz w:val="21"/>
                <w:szCs w:val="21"/>
                <w:highlight w:val="none"/>
              </w:rPr>
              <w:t>，采购人在编制完成</w:t>
            </w:r>
            <w:r>
              <w:rPr>
                <w:rFonts w:hint="eastAsia" w:hAnsi="宋体"/>
                <w:b/>
                <w:bCs/>
                <w:color w:val="FF0000"/>
                <w:sz w:val="21"/>
                <w:szCs w:val="21"/>
                <w:highlight w:val="none"/>
                <w:lang w:eastAsia="zh-CN"/>
              </w:rPr>
              <w:t>申报书</w:t>
            </w:r>
            <w:r>
              <w:rPr>
                <w:rFonts w:hint="eastAsia" w:hAnsi="宋体"/>
                <w:b/>
                <w:bCs/>
                <w:color w:val="FF0000"/>
                <w:sz w:val="21"/>
                <w:szCs w:val="21"/>
                <w:highlight w:val="none"/>
              </w:rPr>
              <w:t>后</w:t>
            </w:r>
            <w:r>
              <w:rPr>
                <w:rFonts w:hint="eastAsia" w:hAnsi="宋体"/>
                <w:b/>
                <w:bCs/>
                <w:color w:val="FF0000"/>
                <w:sz w:val="21"/>
                <w:szCs w:val="21"/>
                <w:highlight w:val="none"/>
                <w:lang w:eastAsia="zh-CN"/>
              </w:rPr>
              <w:t>请</w:t>
            </w:r>
            <w:r>
              <w:rPr>
                <w:rFonts w:hint="eastAsia" w:hAnsi="宋体"/>
                <w:b/>
                <w:bCs/>
                <w:color w:val="FF0000"/>
                <w:sz w:val="21"/>
                <w:szCs w:val="21"/>
                <w:highlight w:val="none"/>
              </w:rPr>
              <w:t>删除。</w:t>
            </w:r>
          </w:p>
          <w:p>
            <w:pPr>
              <w:jc w:val="center"/>
              <w:rPr>
                <w:rFonts w:hint="eastAsia" w:eastAsia="宋体"/>
                <w:b/>
                <w:bCs/>
                <w:color w:val="FF0000"/>
                <w:sz w:val="21"/>
                <w:szCs w:val="21"/>
                <w:highlight w:val="none"/>
                <w:lang w:eastAsia="zh-CN"/>
              </w:rPr>
            </w:pPr>
          </w:p>
          <w:p>
            <w:pPr>
              <w:rPr>
                <w:rFonts w:hint="eastAsia"/>
                <w:color w:val="auto"/>
                <w:highlight w:val="none"/>
              </w:rPr>
            </w:pPr>
          </w:p>
          <w:p>
            <w:pPr>
              <w:pStyle w:val="2"/>
              <w:spacing w:line="240" w:lineRule="auto"/>
              <w:jc w:val="center"/>
              <w:rPr>
                <w:rFonts w:hint="eastAsia" w:eastAsia="宋体"/>
                <w:b/>
                <w:color w:val="auto"/>
                <w:sz w:val="32"/>
                <w:szCs w:val="40"/>
                <w:highlight w:val="none"/>
                <w:lang w:eastAsia="zh-CN"/>
              </w:rPr>
            </w:pPr>
            <w:r>
              <w:rPr>
                <w:rFonts w:hint="eastAsia" w:ascii="宋体" w:hAnsi="宋体" w:eastAsia="宋体" w:cs="宋体"/>
                <w:color w:val="auto"/>
                <w:sz w:val="32"/>
                <w:szCs w:val="32"/>
                <w:highlight w:val="none"/>
              </w:rPr>
              <w:t>•工程类项目：技术（服务）概述及</w:t>
            </w:r>
            <w:bookmarkStart w:id="13" w:name="_Toc69936289"/>
            <w:bookmarkStart w:id="14" w:name="_Toc69651258"/>
            <w:bookmarkStart w:id="15" w:name="_Toc63423304"/>
            <w:r>
              <w:rPr>
                <w:rFonts w:hint="eastAsia" w:ascii="宋体" w:hAnsi="宋体" w:eastAsia="宋体" w:cs="宋体"/>
                <w:color w:val="auto"/>
                <w:sz w:val="32"/>
                <w:szCs w:val="32"/>
                <w:highlight w:val="none"/>
                <w:lang w:eastAsia="zh-CN"/>
              </w:rPr>
              <w:t>要求</w:t>
            </w:r>
          </w:p>
          <w:p>
            <w:pPr>
              <w:pStyle w:val="2"/>
              <w:spacing w:line="240" w:lineRule="auto"/>
              <w:rPr>
                <w:rFonts w:hint="eastAsia" w:ascii="宋体" w:hAnsi="宋体" w:eastAsia="宋体" w:cs="宋体"/>
                <w:b w:val="0"/>
                <w:color w:val="auto"/>
                <w:sz w:val="24"/>
                <w:highlight w:val="none"/>
              </w:rPr>
            </w:pPr>
            <w:r>
              <w:rPr>
                <w:rFonts w:hint="eastAsia" w:ascii="宋体" w:hAnsi="宋体" w:cs="宋体"/>
                <w:b w:val="0"/>
                <w:color w:val="auto"/>
                <w:sz w:val="24"/>
                <w:highlight w:val="none"/>
              </w:rPr>
              <w:t xml:space="preserve">  </w:t>
            </w:r>
            <w:r>
              <w:rPr>
                <w:rFonts w:hint="eastAsia" w:ascii="宋体" w:hAnsi="宋体" w:cs="宋体"/>
                <w:b/>
                <w:bCs w:val="0"/>
                <w:color w:val="auto"/>
                <w:sz w:val="24"/>
                <w:highlight w:val="none"/>
              </w:rPr>
              <w:t xml:space="preserve"> </w:t>
            </w:r>
            <w:bookmarkStart w:id="16" w:name="_Toc77272885"/>
            <w:r>
              <w:rPr>
                <w:rFonts w:hint="eastAsia" w:ascii="宋体" w:hAnsi="宋体" w:eastAsia="宋体" w:cs="宋体"/>
                <w:b/>
                <w:bCs w:val="0"/>
                <w:color w:val="auto"/>
                <w:sz w:val="24"/>
                <w:highlight w:val="none"/>
              </w:rPr>
              <w:t>一、项目概述</w:t>
            </w:r>
            <w:bookmarkEnd w:id="16"/>
          </w:p>
          <w:p>
            <w:pPr>
              <w:pStyle w:val="2"/>
              <w:spacing w:line="240" w:lineRule="auto"/>
              <w:ind w:firstLine="480" w:firstLineChars="2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XXX。</w:t>
            </w:r>
          </w:p>
          <w:p>
            <w:pPr>
              <w:pStyle w:val="2"/>
              <w:spacing w:line="240" w:lineRule="auto"/>
              <w:ind w:firstLine="241" w:firstLineChars="100"/>
              <w:rPr>
                <w:rFonts w:hint="eastAsia" w:ascii="宋体" w:hAnsi="宋体" w:eastAsia="宋体" w:cs="宋体"/>
                <w:b/>
                <w:bCs w:val="0"/>
                <w:color w:val="auto"/>
                <w:sz w:val="24"/>
                <w:highlight w:val="none"/>
              </w:rPr>
            </w:pPr>
            <w:bookmarkStart w:id="17" w:name="_Toc77272886"/>
            <w:r>
              <w:rPr>
                <w:rFonts w:hint="eastAsia" w:ascii="宋体" w:hAnsi="宋体" w:eastAsia="宋体" w:cs="宋体"/>
                <w:b/>
                <w:bCs w:val="0"/>
                <w:color w:val="auto"/>
                <w:sz w:val="24"/>
                <w:highlight w:val="none"/>
              </w:rPr>
              <w:t>二、技术、服务标准和要求</w:t>
            </w:r>
            <w:bookmarkEnd w:id="17"/>
          </w:p>
          <w:p>
            <w:pPr>
              <w:pStyle w:val="2"/>
              <w:spacing w:line="240" w:lineRule="auto"/>
              <w:ind w:firstLine="240" w:firstLineChars="1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1.技术服务标准和要求。（注：由采购人依据项目需求制定）</w:t>
            </w:r>
          </w:p>
          <w:p>
            <w:pPr>
              <w:pStyle w:val="2"/>
              <w:spacing w:line="240" w:lineRule="auto"/>
              <w:ind w:firstLine="240" w:firstLineChars="1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2.供应商针对本项目的施工，必须达到国家及行业限行技术规范标准，符合国家及行业验收合格标准：XXX。（注：采购人根据具体项目需求予以明确）</w:t>
            </w:r>
          </w:p>
          <w:p>
            <w:pPr>
              <w:pStyle w:val="2"/>
              <w:spacing w:line="240" w:lineRule="auto"/>
              <w:ind w:firstLine="240" w:firstLineChars="1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3.针对本项目的其他技术服务要求：XXX。</w:t>
            </w:r>
          </w:p>
          <w:p>
            <w:pPr>
              <w:pStyle w:val="2"/>
              <w:spacing w:line="240" w:lineRule="auto"/>
              <w:ind w:firstLine="241" w:firstLineChars="100"/>
              <w:rPr>
                <w:rFonts w:hint="eastAsia" w:ascii="宋体" w:hAnsi="宋体" w:eastAsia="宋体" w:cs="宋体"/>
                <w:b/>
                <w:bCs w:val="0"/>
                <w:color w:val="auto"/>
                <w:sz w:val="24"/>
                <w:highlight w:val="none"/>
              </w:rPr>
            </w:pPr>
            <w:bookmarkStart w:id="18" w:name="_Toc77272887"/>
            <w:r>
              <w:rPr>
                <w:rFonts w:hint="eastAsia" w:ascii="宋体" w:hAnsi="宋体" w:eastAsia="宋体" w:cs="宋体"/>
                <w:b/>
                <w:bCs w:val="0"/>
                <w:color w:val="auto"/>
                <w:sz w:val="24"/>
                <w:highlight w:val="none"/>
              </w:rPr>
              <w:t>三、商务要求</w:t>
            </w:r>
            <w:bookmarkEnd w:id="18"/>
          </w:p>
          <w:tbl>
            <w:tblPr>
              <w:tblStyle w:val="8"/>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879"/>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9" w:hRule="atLeast"/>
                <w:tblHeader/>
              </w:trPr>
              <w:tc>
                <w:tcPr>
                  <w:tcW w:w="666" w:type="dxa"/>
                  <w:noWrap w:val="0"/>
                  <w:vAlign w:val="center"/>
                </w:tcPr>
                <w:p>
                  <w:pPr>
                    <w:pStyle w:val="2"/>
                    <w:spacing w:line="24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序号</w:t>
                  </w:r>
                </w:p>
              </w:tc>
              <w:tc>
                <w:tcPr>
                  <w:tcW w:w="1879" w:type="dxa"/>
                  <w:noWrap w:val="0"/>
                  <w:vAlign w:val="center"/>
                </w:tcPr>
                <w:p>
                  <w:pPr>
                    <w:pStyle w:val="2"/>
                    <w:spacing w:line="24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内容</w:t>
                  </w:r>
                </w:p>
              </w:tc>
              <w:tc>
                <w:tcPr>
                  <w:tcW w:w="6033" w:type="dxa"/>
                  <w:noWrap w:val="0"/>
                  <w:vAlign w:val="center"/>
                </w:tcPr>
                <w:p>
                  <w:pPr>
                    <w:pStyle w:val="2"/>
                    <w:spacing w:line="24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666" w:type="dxa"/>
                  <w:noWrap w:val="0"/>
                  <w:vAlign w:val="center"/>
                </w:tcPr>
                <w:p>
                  <w:pPr>
                    <w:pStyle w:val="2"/>
                    <w:spacing w:line="24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1</w:t>
                  </w:r>
                </w:p>
              </w:tc>
              <w:tc>
                <w:tcPr>
                  <w:tcW w:w="1879" w:type="dxa"/>
                  <w:noWrap w:val="0"/>
                  <w:vAlign w:val="center"/>
                </w:tcPr>
                <w:p>
                  <w:pPr>
                    <w:pStyle w:val="2"/>
                    <w:spacing w:line="24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项目负责人（项目经理）</w:t>
                  </w:r>
                </w:p>
              </w:tc>
              <w:tc>
                <w:tcPr>
                  <w:tcW w:w="6033" w:type="dxa"/>
                  <w:noWrap w:val="0"/>
                  <w:vAlign w:val="center"/>
                </w:tcPr>
                <w:p>
                  <w:pPr>
                    <w:pStyle w:val="2"/>
                    <w:spacing w:line="24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w:t>
                  </w:r>
                  <w:r>
                    <w:rPr>
                      <w:rFonts w:hint="eastAsia" w:ascii="宋体" w:hAnsi="宋体" w:eastAsia="宋体" w:cs="宋体"/>
                      <w:b w:val="0"/>
                      <w:color w:val="auto"/>
                      <w:sz w:val="24"/>
                      <w:highlight w:val="none"/>
                      <w:lang w:eastAsia="zh-CN"/>
                    </w:rPr>
                    <w:t>提示</w:t>
                  </w:r>
                  <w:r>
                    <w:rPr>
                      <w:rFonts w:hint="eastAsia" w:ascii="宋体" w:hAnsi="宋体" w:eastAsia="宋体" w:cs="宋体"/>
                      <w:b w:val="0"/>
                      <w:color w:val="auto"/>
                      <w:sz w:val="24"/>
                      <w:highlight w:val="none"/>
                    </w:rPr>
                    <w:t>：应当具备XX资质（实质性要求））</w:t>
                  </w:r>
                </w:p>
                <w:p>
                  <w:pPr>
                    <w:pStyle w:val="2"/>
                    <w:spacing w:line="240" w:lineRule="auto"/>
                    <w:rPr>
                      <w:rFonts w:hint="eastAsia" w:ascii="宋体" w:hAnsi="宋体" w:eastAsia="宋体" w:cs="宋体"/>
                      <w:b w:val="0"/>
                      <w:color w:val="auto"/>
                      <w:sz w:val="24"/>
                      <w:highlight w:val="none"/>
                    </w:rPr>
                  </w:pPr>
                </w:p>
                <w:p>
                  <w:pPr>
                    <w:pStyle w:val="2"/>
                    <w:spacing w:line="24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（职称、等级）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9" w:hRule="atLeast"/>
              </w:trPr>
              <w:tc>
                <w:tcPr>
                  <w:tcW w:w="666" w:type="dxa"/>
                  <w:noWrap w:val="0"/>
                  <w:vAlign w:val="center"/>
                </w:tcPr>
                <w:p>
                  <w:pPr>
                    <w:pStyle w:val="2"/>
                    <w:spacing w:line="24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w:t>
                  </w:r>
                </w:p>
              </w:tc>
              <w:tc>
                <w:tcPr>
                  <w:tcW w:w="1879" w:type="dxa"/>
                  <w:noWrap w:val="0"/>
                  <w:vAlign w:val="center"/>
                </w:tcPr>
                <w:p>
                  <w:pPr>
                    <w:pStyle w:val="2"/>
                    <w:spacing w:line="24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项目技术负责人</w:t>
                  </w:r>
                </w:p>
              </w:tc>
              <w:tc>
                <w:tcPr>
                  <w:tcW w:w="6033" w:type="dxa"/>
                  <w:noWrap w:val="0"/>
                  <w:vAlign w:val="center"/>
                </w:tcPr>
                <w:p>
                  <w:pPr>
                    <w:pStyle w:val="2"/>
                    <w:spacing w:line="24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……（职称、等级）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666" w:type="dxa"/>
                  <w:noWrap w:val="0"/>
                  <w:vAlign w:val="center"/>
                </w:tcPr>
                <w:p>
                  <w:pPr>
                    <w:pStyle w:val="2"/>
                    <w:spacing w:line="24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3</w:t>
                  </w:r>
                </w:p>
              </w:tc>
              <w:tc>
                <w:tcPr>
                  <w:tcW w:w="1879" w:type="dxa"/>
                  <w:noWrap w:val="0"/>
                  <w:vAlign w:val="center"/>
                </w:tcPr>
                <w:p>
                  <w:pPr>
                    <w:pStyle w:val="2"/>
                    <w:spacing w:line="24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工期和进度</w:t>
                  </w:r>
                </w:p>
              </w:tc>
              <w:tc>
                <w:tcPr>
                  <w:tcW w:w="6033" w:type="dxa"/>
                  <w:noWrap w:val="0"/>
                  <w:vAlign w:val="center"/>
                </w:tcPr>
                <w:p>
                  <w:pPr>
                    <w:pStyle w:val="2"/>
                    <w:spacing w:line="24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工期总日历天数：XXX</w:t>
                  </w:r>
                </w:p>
                <w:p>
                  <w:pPr>
                    <w:pStyle w:val="2"/>
                    <w:spacing w:line="24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3" w:hRule="atLeast"/>
              </w:trPr>
              <w:tc>
                <w:tcPr>
                  <w:tcW w:w="666" w:type="dxa"/>
                  <w:noWrap w:val="0"/>
                  <w:vAlign w:val="center"/>
                </w:tcPr>
                <w:p>
                  <w:pPr>
                    <w:pStyle w:val="2"/>
                    <w:spacing w:line="24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4</w:t>
                  </w:r>
                </w:p>
              </w:tc>
              <w:tc>
                <w:tcPr>
                  <w:tcW w:w="1879" w:type="dxa"/>
                  <w:noWrap w:val="0"/>
                  <w:vAlign w:val="center"/>
                </w:tcPr>
                <w:p>
                  <w:pPr>
                    <w:pStyle w:val="2"/>
                    <w:spacing w:line="24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缺陷责任期与保修</w:t>
                  </w:r>
                </w:p>
              </w:tc>
              <w:tc>
                <w:tcPr>
                  <w:tcW w:w="6033" w:type="dxa"/>
                  <w:noWrap w:val="0"/>
                  <w:vAlign w:val="center"/>
                </w:tcPr>
                <w:p>
                  <w:pPr>
                    <w:pStyle w:val="2"/>
                    <w:spacing w:line="24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XX个月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9" w:hRule="atLeast"/>
              </w:trPr>
              <w:tc>
                <w:tcPr>
                  <w:tcW w:w="666" w:type="dxa"/>
                  <w:noWrap w:val="0"/>
                  <w:vAlign w:val="center"/>
                </w:tcPr>
                <w:p>
                  <w:pPr>
                    <w:pStyle w:val="2"/>
                    <w:spacing w:line="24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5</w:t>
                  </w:r>
                </w:p>
              </w:tc>
              <w:tc>
                <w:tcPr>
                  <w:tcW w:w="1879" w:type="dxa"/>
                  <w:noWrap w:val="0"/>
                  <w:vAlign w:val="center"/>
                </w:tcPr>
                <w:p>
                  <w:pPr>
                    <w:pStyle w:val="2"/>
                    <w:spacing w:line="24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质量保修期</w:t>
                  </w:r>
                </w:p>
              </w:tc>
              <w:tc>
                <w:tcPr>
                  <w:tcW w:w="6033" w:type="dxa"/>
                  <w:noWrap w:val="0"/>
                  <w:vAlign w:val="center"/>
                </w:tcPr>
                <w:p>
                  <w:pPr>
                    <w:pStyle w:val="2"/>
                    <w:spacing w:line="24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XX个月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7" w:hRule="atLeast"/>
              </w:trPr>
              <w:tc>
                <w:tcPr>
                  <w:tcW w:w="666" w:type="dxa"/>
                  <w:noWrap w:val="0"/>
                  <w:vAlign w:val="center"/>
                </w:tcPr>
                <w:p>
                  <w:pPr>
                    <w:pStyle w:val="2"/>
                    <w:spacing w:line="24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6</w:t>
                  </w:r>
                </w:p>
              </w:tc>
              <w:tc>
                <w:tcPr>
                  <w:tcW w:w="1879" w:type="dxa"/>
                  <w:noWrap w:val="0"/>
                  <w:vAlign w:val="center"/>
                </w:tcPr>
                <w:p>
                  <w:pPr>
                    <w:pStyle w:val="2"/>
                    <w:spacing w:line="24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付款方式</w:t>
                  </w:r>
                </w:p>
              </w:tc>
              <w:tc>
                <w:tcPr>
                  <w:tcW w:w="6033" w:type="dxa"/>
                  <w:noWrap w:val="0"/>
                  <w:vAlign w:val="center"/>
                </w:tcPr>
                <w:p>
                  <w:pPr>
                    <w:pStyle w:val="2"/>
                    <w:spacing w:line="24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预付款：自政府采购合同签订之日起XX日内，支付XX%；</w:t>
                  </w:r>
                </w:p>
                <w:p>
                  <w:pPr>
                    <w:pStyle w:val="2"/>
                    <w:spacing w:line="24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进度款：1.自XX之日起XX日内，支付XX%；2.自XX之日起XX日内，支付XX%；……</w:t>
                  </w:r>
                </w:p>
                <w:p>
                  <w:pPr>
                    <w:pStyle w:val="2"/>
                    <w:spacing w:line="24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（工程价款的支付，采取预付款与进度款相结合的方式支付）</w:t>
                  </w:r>
                </w:p>
                <w:p>
                  <w:pPr>
                    <w:rPr>
                      <w:rFonts w:hint="eastAsia" w:eastAsia="宋体"/>
                      <w:b/>
                      <w:bCs/>
                      <w:color w:val="FF0000"/>
                      <w:sz w:val="21"/>
                      <w:szCs w:val="21"/>
                      <w:highlight w:val="none"/>
                      <w:lang w:eastAsia="zh-CN"/>
                    </w:rPr>
                  </w:pPr>
                  <w:r>
                    <w:rPr>
                      <w:rFonts w:hint="eastAsia" w:ascii="宋体" w:hAnsi="宋体" w:cs="宋体"/>
                      <w:b/>
                      <w:bCs/>
                      <w:color w:val="FF0000"/>
                      <w:sz w:val="21"/>
                      <w:szCs w:val="21"/>
                      <w:highlight w:val="none"/>
                      <w:lang w:eastAsia="zh-CN"/>
                    </w:rPr>
                    <w:t>（提示：成交供应商为中小企业的，采购人应当自工程验收交付之日起30日内支付款项，合同另有约定的，付款期限最长不得超过60日。）</w:t>
                  </w:r>
                </w:p>
                <w:p>
                  <w:pP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3" w:hRule="atLeast"/>
              </w:trPr>
              <w:tc>
                <w:tcPr>
                  <w:tcW w:w="666" w:type="dxa"/>
                  <w:noWrap w:val="0"/>
                  <w:vAlign w:val="center"/>
                </w:tcPr>
                <w:p>
                  <w:pPr>
                    <w:pStyle w:val="2"/>
                    <w:spacing w:line="24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7</w:t>
                  </w:r>
                </w:p>
              </w:tc>
              <w:tc>
                <w:tcPr>
                  <w:tcW w:w="1879" w:type="dxa"/>
                  <w:noWrap w:val="0"/>
                  <w:vAlign w:val="center"/>
                </w:tcPr>
                <w:p>
                  <w:pPr>
                    <w:pStyle w:val="2"/>
                    <w:spacing w:line="24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验收</w:t>
                  </w:r>
                </w:p>
              </w:tc>
              <w:tc>
                <w:tcPr>
                  <w:tcW w:w="6033" w:type="dxa"/>
                  <w:noWrap w:val="0"/>
                  <w:vAlign w:val="center"/>
                </w:tcPr>
                <w:p>
                  <w:pPr>
                    <w:pStyle w:val="2"/>
                    <w:spacing w:line="24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w:t>
                  </w:r>
                  <w:r>
                    <w:rPr>
                      <w:rFonts w:hint="eastAsia" w:ascii="宋体" w:hAnsi="宋体" w:eastAsia="宋体" w:cs="宋体"/>
                      <w:b w:val="0"/>
                      <w:color w:val="auto"/>
                      <w:sz w:val="24"/>
                      <w:highlight w:val="none"/>
                      <w:lang w:eastAsia="zh-CN"/>
                    </w:rPr>
                    <w:t>提示：</w:t>
                  </w:r>
                  <w:r>
                    <w:rPr>
                      <w:rFonts w:hint="eastAsia" w:ascii="宋体" w:hAnsi="宋体" w:eastAsia="宋体" w:cs="宋体"/>
                      <w:b w:val="0"/>
                      <w:color w:val="auto"/>
                      <w:sz w:val="24"/>
                      <w:highlight w:val="none"/>
                    </w:rPr>
                    <w:t>此处应当明确验收方式、验收时间，比如委托第三方机构参与验收、自行组织验收，出具结算报告）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9" w:hRule="atLeast"/>
              </w:trPr>
              <w:tc>
                <w:tcPr>
                  <w:tcW w:w="666" w:type="dxa"/>
                  <w:noWrap w:val="0"/>
                  <w:vAlign w:val="center"/>
                </w:tcPr>
                <w:p>
                  <w:pPr>
                    <w:pStyle w:val="2"/>
                    <w:spacing w:line="24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8</w:t>
                  </w:r>
                </w:p>
              </w:tc>
              <w:tc>
                <w:tcPr>
                  <w:tcW w:w="1879" w:type="dxa"/>
                  <w:noWrap w:val="0"/>
                  <w:vAlign w:val="center"/>
                </w:tcPr>
                <w:p>
                  <w:pPr>
                    <w:pStyle w:val="2"/>
                    <w:spacing w:line="24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违约责任</w:t>
                  </w:r>
                </w:p>
              </w:tc>
              <w:tc>
                <w:tcPr>
                  <w:tcW w:w="6033" w:type="dxa"/>
                  <w:noWrap w:val="0"/>
                  <w:vAlign w:val="center"/>
                </w:tcPr>
                <w:p>
                  <w:pPr>
                    <w:pStyle w:val="2"/>
                    <w:spacing w:line="24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8" w:hRule="atLeast"/>
              </w:trPr>
              <w:tc>
                <w:tcPr>
                  <w:tcW w:w="666" w:type="dxa"/>
                  <w:noWrap w:val="0"/>
                  <w:vAlign w:val="center"/>
                </w:tcPr>
                <w:p>
                  <w:pPr>
                    <w:pStyle w:val="2"/>
                    <w:spacing w:line="24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w:t>
                  </w:r>
                </w:p>
              </w:tc>
              <w:tc>
                <w:tcPr>
                  <w:tcW w:w="1879" w:type="dxa"/>
                  <w:noWrap w:val="0"/>
                  <w:vAlign w:val="center"/>
                </w:tcPr>
                <w:p>
                  <w:pPr>
                    <w:pStyle w:val="2"/>
                    <w:spacing w:line="24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保险</w:t>
                  </w:r>
                </w:p>
              </w:tc>
              <w:tc>
                <w:tcPr>
                  <w:tcW w:w="6033" w:type="dxa"/>
                  <w:noWrap w:val="0"/>
                  <w:vAlign w:val="center"/>
                </w:tcPr>
                <w:p>
                  <w:pPr>
                    <w:pStyle w:val="2"/>
                    <w:spacing w:line="24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w:t>
                  </w:r>
                </w:p>
              </w:tc>
            </w:tr>
          </w:tbl>
          <w:p>
            <w:pPr>
              <w:pStyle w:val="2"/>
              <w:spacing w:line="240" w:lineRule="auto"/>
              <w:rPr>
                <w:rFonts w:hint="eastAsia" w:ascii="宋体" w:hAnsi="宋体" w:eastAsia="宋体" w:cs="宋体"/>
                <w:b w:val="0"/>
                <w:color w:val="auto"/>
                <w:sz w:val="24"/>
                <w:highlight w:val="none"/>
              </w:rPr>
            </w:pPr>
          </w:p>
          <w:p>
            <w:pPr>
              <w:pStyle w:val="2"/>
              <w:spacing w:line="240" w:lineRule="auto"/>
              <w:ind w:firstLine="241" w:firstLineChars="100"/>
              <w:rPr>
                <w:rFonts w:hint="eastAsia" w:ascii="宋体" w:hAnsi="宋体" w:eastAsia="宋体" w:cs="宋体"/>
                <w:b/>
                <w:bCs w:val="0"/>
                <w:color w:val="auto"/>
                <w:sz w:val="24"/>
                <w:highlight w:val="none"/>
              </w:rPr>
            </w:pPr>
            <w:bookmarkStart w:id="19" w:name="_Toc69651260"/>
            <w:bookmarkStart w:id="20" w:name="_Toc77272888"/>
            <w:r>
              <w:rPr>
                <w:rFonts w:hint="eastAsia" w:ascii="宋体" w:hAnsi="宋体" w:eastAsia="宋体" w:cs="宋体"/>
                <w:b/>
                <w:bCs w:val="0"/>
                <w:color w:val="auto"/>
                <w:sz w:val="24"/>
                <w:highlight w:val="none"/>
              </w:rPr>
              <w:t>四、工程量清单和图纸</w:t>
            </w:r>
            <w:bookmarkEnd w:id="19"/>
            <w:bookmarkEnd w:id="20"/>
          </w:p>
          <w:p>
            <w:pPr>
              <w:pStyle w:val="2"/>
              <w:spacing w:line="240" w:lineRule="auto"/>
              <w:ind w:firstLine="240" w:firstLineChars="1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详见附件。</w:t>
            </w:r>
          </w:p>
          <w:p>
            <w:pPr>
              <w:pStyle w:val="2"/>
              <w:numPr>
                <w:ilvl w:val="0"/>
                <w:numId w:val="0"/>
              </w:numPr>
              <w:spacing w:line="240" w:lineRule="auto"/>
              <w:ind w:firstLine="241" w:firstLineChars="100"/>
              <w:rPr>
                <w:rFonts w:hint="eastAsia" w:ascii="宋体" w:hAnsi="宋体" w:eastAsia="宋体" w:cs="宋体"/>
                <w:bCs/>
                <w:color w:val="FF0000"/>
                <w:sz w:val="24"/>
                <w:highlight w:val="none"/>
              </w:rPr>
            </w:pPr>
            <w:r>
              <w:rPr>
                <w:rFonts w:hint="eastAsia" w:eastAsia="宋体"/>
                <w:b/>
                <w:bCs/>
                <w:color w:val="auto"/>
                <w:sz w:val="24"/>
                <w:szCs w:val="24"/>
                <w:highlight w:val="none"/>
                <w:lang w:eastAsia="zh-CN"/>
              </w:rPr>
              <w:t>五、本项目实质性要求：</w:t>
            </w:r>
            <w:r>
              <w:rPr>
                <w:rFonts w:hint="eastAsia" w:ascii="宋体" w:hAnsi="宋体" w:eastAsia="宋体" w:cs="宋体"/>
                <w:b/>
                <w:bCs w:val="0"/>
                <w:color w:val="FF0000"/>
                <w:sz w:val="21"/>
                <w:szCs w:val="21"/>
                <w:highlight w:val="none"/>
              </w:rPr>
              <w:t>（</w:t>
            </w:r>
            <w:r>
              <w:rPr>
                <w:rFonts w:hint="eastAsia" w:ascii="宋体" w:hAnsi="宋体" w:eastAsia="宋体" w:cs="宋体"/>
                <w:b/>
                <w:bCs w:val="0"/>
                <w:color w:val="FF0000"/>
                <w:sz w:val="21"/>
                <w:szCs w:val="21"/>
                <w:highlight w:val="none"/>
                <w:lang w:eastAsia="zh-CN"/>
              </w:rPr>
              <w:t>提示：</w:t>
            </w:r>
            <w:r>
              <w:rPr>
                <w:rFonts w:hint="eastAsia" w:ascii="宋体" w:hAnsi="宋体" w:eastAsia="宋体" w:cs="宋体"/>
                <w:b/>
                <w:bCs w:val="0"/>
                <w:color w:val="FF0000"/>
                <w:sz w:val="21"/>
                <w:szCs w:val="21"/>
                <w:highlight w:val="none"/>
              </w:rPr>
              <w:t>采购人</w:t>
            </w:r>
            <w:r>
              <w:rPr>
                <w:rFonts w:hint="eastAsia" w:ascii="宋体" w:hAnsi="宋体" w:eastAsia="宋体" w:cs="宋体"/>
                <w:b/>
                <w:bCs w:val="0"/>
                <w:color w:val="FF0000"/>
                <w:sz w:val="21"/>
                <w:szCs w:val="21"/>
                <w:highlight w:val="none"/>
                <w:lang w:eastAsia="zh-CN"/>
              </w:rPr>
              <w:t>可</w:t>
            </w:r>
            <w:r>
              <w:rPr>
                <w:rFonts w:hint="eastAsia" w:ascii="宋体" w:hAnsi="宋体" w:eastAsia="宋体" w:cs="宋体"/>
                <w:b/>
                <w:bCs w:val="0"/>
                <w:color w:val="FF0000"/>
                <w:sz w:val="21"/>
                <w:szCs w:val="21"/>
                <w:highlight w:val="none"/>
              </w:rPr>
              <w:t>直接明确或以</w:t>
            </w:r>
            <w:r>
              <w:rPr>
                <w:rFonts w:hint="eastAsia" w:ascii="宋体" w:hAnsi="宋体" w:eastAsia="宋体" w:cs="宋体"/>
                <w:b/>
                <w:bCs w:val="0"/>
                <w:color w:val="FF0000"/>
                <w:sz w:val="21"/>
                <w:szCs w:val="21"/>
                <w:highlight w:val="none"/>
                <w:lang w:eastAsia="zh-CN"/>
              </w:rPr>
              <w:t>“</w:t>
            </w:r>
            <w:r>
              <w:rPr>
                <w:rFonts w:hint="eastAsia" w:ascii="宋体" w:hAnsi="宋体" w:eastAsia="宋体" w:cs="宋体"/>
                <w:b/>
                <w:bCs w:val="0"/>
                <w:color w:val="FF0000"/>
                <w:sz w:val="21"/>
                <w:szCs w:val="21"/>
                <w:highlight w:val="none"/>
              </w:rPr>
              <w:t>▲</w:t>
            </w:r>
            <w:r>
              <w:rPr>
                <w:rFonts w:hint="eastAsia" w:ascii="宋体" w:hAnsi="宋体" w:eastAsia="宋体" w:cs="宋体"/>
                <w:b/>
                <w:bCs w:val="0"/>
                <w:color w:val="FF0000"/>
                <w:sz w:val="21"/>
                <w:szCs w:val="21"/>
                <w:highlight w:val="none"/>
                <w:lang w:eastAsia="zh-CN"/>
              </w:rPr>
              <w:t>”</w:t>
            </w:r>
            <w:r>
              <w:rPr>
                <w:rFonts w:hint="eastAsia" w:ascii="宋体" w:hAnsi="宋体" w:eastAsia="宋体" w:cs="宋体"/>
                <w:b/>
                <w:bCs w:val="0"/>
                <w:color w:val="FF0000"/>
                <w:sz w:val="21"/>
                <w:szCs w:val="21"/>
                <w:highlight w:val="none"/>
              </w:rPr>
              <w:t>符号标注）</w:t>
            </w:r>
          </w:p>
          <w:p>
            <w:pPr>
              <w:pStyle w:val="2"/>
              <w:keepNext/>
              <w:keepLines/>
              <w:pageBreakBefore w:val="0"/>
              <w:widowControl w:val="0"/>
              <w:kinsoku/>
              <w:wordWrap/>
              <w:overflowPunct/>
              <w:topLinePunct w:val="0"/>
              <w:autoSpaceDE/>
              <w:autoSpaceDN/>
              <w:bidi w:val="0"/>
              <w:adjustRightInd/>
              <w:snapToGrid/>
              <w:spacing w:before="157" w:beforeLines="50" w:after="157" w:afterLines="50" w:line="300" w:lineRule="exact"/>
              <w:ind w:firstLine="422" w:firstLineChars="200"/>
              <w:textAlignment w:val="auto"/>
              <w:rPr>
                <w:rFonts w:hint="default"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（例：本项目实质性要求：详见“▲”内容)</w:t>
            </w:r>
          </w:p>
          <w:p>
            <w:pPr>
              <w:pStyle w:val="2"/>
              <w:keepNext/>
              <w:keepLines/>
              <w:pageBreakBefore w:val="0"/>
              <w:widowControl w:val="0"/>
              <w:kinsoku/>
              <w:wordWrap/>
              <w:overflowPunct/>
              <w:topLinePunct w:val="0"/>
              <w:autoSpaceDE/>
              <w:autoSpaceDN/>
              <w:bidi w:val="0"/>
              <w:adjustRightInd/>
              <w:snapToGrid/>
              <w:spacing w:before="157" w:beforeLines="50" w:after="157" w:afterLines="50" w:line="300" w:lineRule="exact"/>
              <w:ind w:firstLine="422" w:firstLineChars="20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（例：本项目实质性要求：1.XXX ;2.XXX ……）</w:t>
            </w:r>
          </w:p>
          <w:p>
            <w:pPr>
              <w:pStyle w:val="2"/>
              <w:spacing w:line="240" w:lineRule="auto"/>
              <w:ind w:firstLine="241" w:firstLineChars="100"/>
              <w:jc w:val="both"/>
              <w:rPr>
                <w:rFonts w:hint="eastAsia" w:ascii="宋体" w:hAnsi="宋体" w:eastAsia="宋体" w:cs="宋体"/>
                <w:bCs/>
                <w:color w:val="auto"/>
                <w:sz w:val="21"/>
                <w:szCs w:val="24"/>
                <w:highlight w:val="none"/>
              </w:rPr>
            </w:pPr>
            <w:r>
              <w:rPr>
                <w:rFonts w:hint="eastAsia" w:ascii="宋体" w:hAnsi="宋体" w:eastAsia="宋体" w:cs="宋体"/>
                <w:b/>
                <w:bCs/>
                <w:color w:val="auto"/>
                <w:sz w:val="24"/>
                <w:highlight w:val="none"/>
                <w:lang w:eastAsia="zh-CN"/>
              </w:rPr>
              <w:t>六、磋商</w:t>
            </w:r>
            <w:r>
              <w:rPr>
                <w:rFonts w:hint="eastAsia" w:ascii="宋体" w:hAnsi="宋体" w:eastAsia="宋体" w:cs="宋体"/>
                <w:b/>
                <w:bCs/>
                <w:color w:val="auto"/>
                <w:sz w:val="24"/>
                <w:highlight w:val="none"/>
                <w:lang w:val="en-US" w:eastAsia="zh-CN"/>
              </w:rPr>
              <w:t>/谈判过程中可实质性变动内容：</w:t>
            </w:r>
            <w:bookmarkEnd w:id="13"/>
            <w:bookmarkEnd w:id="14"/>
            <w:bookmarkEnd w:id="15"/>
          </w:p>
          <w:p>
            <w:pPr>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□采购需求中的技术、服务要求以及合同草案条款，为本次磋商/谈判采购项目可实质性变动的内容，供应商在磋商/谈判结束后应全部满足。</w:t>
            </w:r>
          </w:p>
          <w:p>
            <w:pPr>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□磋商/谈判中标注“★”号的内容，以及合同草案条款，为本次磋商/谈判采购项目可实质性变动的内容，供应商在磋商/谈判结束后应全部满足。</w:t>
            </w:r>
          </w:p>
          <w:p>
            <w:pPr>
              <w:rPr>
                <w:rFonts w:hint="eastAsia"/>
                <w:color w:val="auto"/>
                <w:highlight w:val="none"/>
              </w:rPr>
            </w:pPr>
          </w:p>
          <w:p>
            <w:pPr>
              <w:jc w:val="center"/>
              <w:rPr>
                <w:rFonts w:hint="eastAsia" w:eastAsia="宋体"/>
                <w:b/>
                <w:bCs/>
                <w:color w:val="FF0000"/>
                <w:sz w:val="21"/>
                <w:szCs w:val="21"/>
                <w:highlight w:val="none"/>
                <w:lang w:eastAsia="zh-CN"/>
              </w:rPr>
            </w:pPr>
            <w:r>
              <w:rPr>
                <w:rFonts w:hint="eastAsia"/>
                <w:b/>
                <w:bCs/>
                <w:color w:val="FF0000"/>
                <w:sz w:val="21"/>
                <w:szCs w:val="21"/>
                <w:highlight w:val="none"/>
                <w:lang w:eastAsia="zh-CN"/>
              </w:rPr>
              <w:t>特别说明：</w:t>
            </w:r>
            <w:r>
              <w:rPr>
                <w:rFonts w:hint="eastAsia" w:hAnsi="宋体"/>
                <w:b/>
                <w:bCs/>
                <w:color w:val="FF0000"/>
                <w:sz w:val="21"/>
                <w:szCs w:val="21"/>
                <w:highlight w:val="none"/>
              </w:rPr>
              <w:t>模板中的红色字体为</w:t>
            </w:r>
            <w:r>
              <w:rPr>
                <w:rFonts w:hint="eastAsia" w:hAnsi="宋体"/>
                <w:b/>
                <w:bCs/>
                <w:color w:val="FF0000"/>
                <w:sz w:val="21"/>
                <w:szCs w:val="21"/>
                <w:highlight w:val="none"/>
                <w:lang w:eastAsia="zh-CN"/>
              </w:rPr>
              <w:t>提示</w:t>
            </w:r>
            <w:r>
              <w:rPr>
                <w:rFonts w:hint="eastAsia" w:hAnsi="宋体"/>
                <w:b/>
                <w:bCs/>
                <w:color w:val="FF0000"/>
                <w:sz w:val="21"/>
                <w:szCs w:val="21"/>
                <w:highlight w:val="none"/>
              </w:rPr>
              <w:t>，采购人在编制完成</w:t>
            </w:r>
            <w:r>
              <w:rPr>
                <w:rFonts w:hint="eastAsia" w:hAnsi="宋体"/>
                <w:b/>
                <w:bCs/>
                <w:color w:val="FF0000"/>
                <w:sz w:val="21"/>
                <w:szCs w:val="21"/>
                <w:highlight w:val="none"/>
                <w:lang w:eastAsia="zh-CN"/>
              </w:rPr>
              <w:t>申报书</w:t>
            </w:r>
            <w:r>
              <w:rPr>
                <w:rFonts w:hint="eastAsia" w:hAnsi="宋体"/>
                <w:b/>
                <w:bCs/>
                <w:color w:val="FF0000"/>
                <w:sz w:val="21"/>
                <w:szCs w:val="21"/>
                <w:highlight w:val="none"/>
              </w:rPr>
              <w:t>后</w:t>
            </w:r>
            <w:r>
              <w:rPr>
                <w:rFonts w:hint="eastAsia" w:hAnsi="宋体"/>
                <w:b/>
                <w:bCs/>
                <w:color w:val="FF0000"/>
                <w:sz w:val="21"/>
                <w:szCs w:val="21"/>
                <w:highlight w:val="none"/>
                <w:lang w:eastAsia="zh-CN"/>
              </w:rPr>
              <w:t>请</w:t>
            </w:r>
            <w:r>
              <w:rPr>
                <w:rFonts w:hint="eastAsia" w:hAnsi="宋体"/>
                <w:b/>
                <w:bCs/>
                <w:color w:val="FF0000"/>
                <w:sz w:val="21"/>
                <w:szCs w:val="21"/>
                <w:highlight w:val="none"/>
              </w:rPr>
              <w:t>删除。</w:t>
            </w:r>
          </w:p>
          <w:p>
            <w:pPr>
              <w:ind w:firstLine="482" w:firstLineChars="200"/>
              <w:rPr>
                <w:rFonts w:hint="eastAsia" w:ascii="宋体" w:hAnsi="宋体" w:eastAsia="宋体" w:cs="宋体"/>
                <w:b/>
                <w:bCs/>
                <w:color w:val="auto"/>
                <w:kern w:val="2"/>
                <w:sz w:val="24"/>
                <w:szCs w:val="32"/>
                <w:highlight w:val="none"/>
                <w:lang w:val="en-US" w:eastAsia="zh-CN" w:bidi="ar-SA"/>
              </w:rPr>
            </w:pPr>
          </w:p>
          <w:p>
            <w:pPr>
              <w:pStyle w:val="2"/>
              <w:numPr>
                <w:ilvl w:val="0"/>
                <w:numId w:val="0"/>
              </w:numPr>
              <w:spacing w:line="240" w:lineRule="auto"/>
              <w:rPr>
                <w:rFonts w:hint="eastAsia" w:ascii="宋体" w:hAnsi="宋体"/>
                <w:b/>
                <w:color w:val="auto"/>
                <w:sz w:val="24"/>
                <w:highlight w:val="none"/>
              </w:rPr>
            </w:pPr>
          </w:p>
        </w:tc>
      </w:tr>
    </w:tbl>
    <w:p>
      <w:pPr>
        <w:rPr>
          <w:color w:val="auto"/>
          <w:highlight w:val="none"/>
        </w:rPr>
      </w:pPr>
    </w:p>
    <w:sectPr>
      <w:pgSz w:w="11905" w:h="16838"/>
      <w:pgMar w:top="1417" w:right="1134" w:bottom="1417" w:left="1701" w:header="850" w:footer="992" w:gutter="0"/>
      <w:pgBorders>
        <w:top w:val="none" w:sz="0" w:space="0"/>
        <w:left w:val="none" w:sz="0" w:space="0"/>
        <w:bottom w:val="none" w:sz="0" w:space="0"/>
        <w:right w:val="none" w:sz="0" w:space="0"/>
      </w:pgBorders>
      <w:cols w:space="0" w:num="1"/>
      <w:titlePg/>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17</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17</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19A65"/>
    <w:multiLevelType w:val="singleLevel"/>
    <w:tmpl w:val="B8019A65"/>
    <w:lvl w:ilvl="0" w:tentative="0">
      <w:start w:val="1"/>
      <w:numFmt w:val="decimal"/>
      <w:suff w:val="nothing"/>
      <w:lvlText w:val="%1、"/>
      <w:lvlJc w:val="left"/>
    </w:lvl>
  </w:abstractNum>
  <w:abstractNum w:abstractNumId="1">
    <w:nsid w:val="F9AD3724"/>
    <w:multiLevelType w:val="singleLevel"/>
    <w:tmpl w:val="F9AD3724"/>
    <w:lvl w:ilvl="0" w:tentative="0">
      <w:start w:val="9"/>
      <w:numFmt w:val="decimal"/>
      <w:suff w:val="nothing"/>
      <w:lvlText w:val="（%1）"/>
      <w:lvlJc w:val="left"/>
    </w:lvl>
  </w:abstractNum>
  <w:abstractNum w:abstractNumId="2">
    <w:nsid w:val="3A9E4604"/>
    <w:multiLevelType w:val="singleLevel"/>
    <w:tmpl w:val="3A9E4604"/>
    <w:lvl w:ilvl="0" w:tentative="0">
      <w:start w:val="1"/>
      <w:numFmt w:val="decimal"/>
      <w:lvlText w:val="%1."/>
      <w:lvlJc w:val="left"/>
      <w:pPr>
        <w:tabs>
          <w:tab w:val="left" w:pos="312"/>
        </w:tabs>
      </w:pPr>
    </w:lvl>
  </w:abstractNum>
  <w:abstractNum w:abstractNumId="3">
    <w:nsid w:val="7320103E"/>
    <w:multiLevelType w:val="singleLevel"/>
    <w:tmpl w:val="7320103E"/>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20216"/>
    <w:rsid w:val="0010489E"/>
    <w:rsid w:val="00214207"/>
    <w:rsid w:val="00E95186"/>
    <w:rsid w:val="00F03B0A"/>
    <w:rsid w:val="01AC2FA0"/>
    <w:rsid w:val="01B50D23"/>
    <w:rsid w:val="01E90AF1"/>
    <w:rsid w:val="02754641"/>
    <w:rsid w:val="027F349C"/>
    <w:rsid w:val="03193A2C"/>
    <w:rsid w:val="034944DD"/>
    <w:rsid w:val="039C5AB6"/>
    <w:rsid w:val="03DB449A"/>
    <w:rsid w:val="03F74AD3"/>
    <w:rsid w:val="04086B69"/>
    <w:rsid w:val="04334CC8"/>
    <w:rsid w:val="04CE1E6E"/>
    <w:rsid w:val="052043C6"/>
    <w:rsid w:val="058632BD"/>
    <w:rsid w:val="05C80192"/>
    <w:rsid w:val="05CD152A"/>
    <w:rsid w:val="065B37BE"/>
    <w:rsid w:val="06806C54"/>
    <w:rsid w:val="06905642"/>
    <w:rsid w:val="06E52844"/>
    <w:rsid w:val="06F92195"/>
    <w:rsid w:val="07174DE6"/>
    <w:rsid w:val="07EA2C20"/>
    <w:rsid w:val="08E6271D"/>
    <w:rsid w:val="08E71443"/>
    <w:rsid w:val="08F143C2"/>
    <w:rsid w:val="093770E0"/>
    <w:rsid w:val="09CA72CE"/>
    <w:rsid w:val="0A205C4B"/>
    <w:rsid w:val="0A721F3C"/>
    <w:rsid w:val="0B0815C8"/>
    <w:rsid w:val="0B0B667D"/>
    <w:rsid w:val="0B265944"/>
    <w:rsid w:val="0B277536"/>
    <w:rsid w:val="0BEA7AB7"/>
    <w:rsid w:val="0C5149ED"/>
    <w:rsid w:val="0CBD5320"/>
    <w:rsid w:val="0CCA15A5"/>
    <w:rsid w:val="0D3D5B96"/>
    <w:rsid w:val="0DB22557"/>
    <w:rsid w:val="0DB84F03"/>
    <w:rsid w:val="0E5407DA"/>
    <w:rsid w:val="0E9337F0"/>
    <w:rsid w:val="0EB12ED2"/>
    <w:rsid w:val="0ECB3077"/>
    <w:rsid w:val="0EE13662"/>
    <w:rsid w:val="0F102CC4"/>
    <w:rsid w:val="0F19656A"/>
    <w:rsid w:val="0FC61151"/>
    <w:rsid w:val="0FF30AD9"/>
    <w:rsid w:val="105A61D0"/>
    <w:rsid w:val="10720C8A"/>
    <w:rsid w:val="10AC3F5B"/>
    <w:rsid w:val="10CD0462"/>
    <w:rsid w:val="10E54216"/>
    <w:rsid w:val="11F53C39"/>
    <w:rsid w:val="133638BE"/>
    <w:rsid w:val="135A725A"/>
    <w:rsid w:val="1435477B"/>
    <w:rsid w:val="1477207C"/>
    <w:rsid w:val="149A0C12"/>
    <w:rsid w:val="14F537F2"/>
    <w:rsid w:val="15046D39"/>
    <w:rsid w:val="158345C5"/>
    <w:rsid w:val="16862152"/>
    <w:rsid w:val="16B67DEC"/>
    <w:rsid w:val="16D55107"/>
    <w:rsid w:val="16DB4068"/>
    <w:rsid w:val="170217EF"/>
    <w:rsid w:val="17616CB6"/>
    <w:rsid w:val="17877123"/>
    <w:rsid w:val="17AC1CA0"/>
    <w:rsid w:val="17CE48D1"/>
    <w:rsid w:val="18A42433"/>
    <w:rsid w:val="18C0410D"/>
    <w:rsid w:val="19043FE5"/>
    <w:rsid w:val="191D355E"/>
    <w:rsid w:val="19415399"/>
    <w:rsid w:val="19995D9E"/>
    <w:rsid w:val="1A3B0F67"/>
    <w:rsid w:val="1A90714D"/>
    <w:rsid w:val="1A953915"/>
    <w:rsid w:val="1AED6705"/>
    <w:rsid w:val="1AFE200C"/>
    <w:rsid w:val="1C050673"/>
    <w:rsid w:val="1C2E1425"/>
    <w:rsid w:val="1C3A3117"/>
    <w:rsid w:val="1C5E07B3"/>
    <w:rsid w:val="1C7E45DE"/>
    <w:rsid w:val="1C903933"/>
    <w:rsid w:val="1D5378B9"/>
    <w:rsid w:val="1D901A67"/>
    <w:rsid w:val="1E17102C"/>
    <w:rsid w:val="1E6C1D71"/>
    <w:rsid w:val="1E726D29"/>
    <w:rsid w:val="1F105718"/>
    <w:rsid w:val="1F1256A1"/>
    <w:rsid w:val="1F2D490A"/>
    <w:rsid w:val="1FB634A4"/>
    <w:rsid w:val="1FC254CF"/>
    <w:rsid w:val="1FDA549C"/>
    <w:rsid w:val="1FEC27BA"/>
    <w:rsid w:val="206726D0"/>
    <w:rsid w:val="20A03833"/>
    <w:rsid w:val="20A85B5A"/>
    <w:rsid w:val="20A9310B"/>
    <w:rsid w:val="21937B13"/>
    <w:rsid w:val="21963AF8"/>
    <w:rsid w:val="21F8574E"/>
    <w:rsid w:val="223C708F"/>
    <w:rsid w:val="22BF2603"/>
    <w:rsid w:val="22C07E39"/>
    <w:rsid w:val="22C92DC4"/>
    <w:rsid w:val="24454DA9"/>
    <w:rsid w:val="24897DD2"/>
    <w:rsid w:val="24942068"/>
    <w:rsid w:val="24B45D4F"/>
    <w:rsid w:val="258465CF"/>
    <w:rsid w:val="25BA1D9C"/>
    <w:rsid w:val="260D36EC"/>
    <w:rsid w:val="26202421"/>
    <w:rsid w:val="27586EBF"/>
    <w:rsid w:val="28156820"/>
    <w:rsid w:val="281853B5"/>
    <w:rsid w:val="282B3145"/>
    <w:rsid w:val="284520AA"/>
    <w:rsid w:val="29984AC7"/>
    <w:rsid w:val="2A353FFD"/>
    <w:rsid w:val="2A4B44EC"/>
    <w:rsid w:val="2B055C93"/>
    <w:rsid w:val="2B7B7EAF"/>
    <w:rsid w:val="2CB5356D"/>
    <w:rsid w:val="2CCC032B"/>
    <w:rsid w:val="2CCD782F"/>
    <w:rsid w:val="2CFB1D1F"/>
    <w:rsid w:val="2D235019"/>
    <w:rsid w:val="2D6A6CD3"/>
    <w:rsid w:val="2D8E1ADD"/>
    <w:rsid w:val="2DBE0349"/>
    <w:rsid w:val="2DC05DEC"/>
    <w:rsid w:val="2E0A588E"/>
    <w:rsid w:val="2F7B13B5"/>
    <w:rsid w:val="30E15124"/>
    <w:rsid w:val="30F37E2D"/>
    <w:rsid w:val="31230514"/>
    <w:rsid w:val="315D61C5"/>
    <w:rsid w:val="317528AF"/>
    <w:rsid w:val="318E0745"/>
    <w:rsid w:val="327C0EEB"/>
    <w:rsid w:val="3291354A"/>
    <w:rsid w:val="329E2585"/>
    <w:rsid w:val="33790F71"/>
    <w:rsid w:val="33B22C7C"/>
    <w:rsid w:val="34394B43"/>
    <w:rsid w:val="346D212D"/>
    <w:rsid w:val="349A7C85"/>
    <w:rsid w:val="34AE3A4E"/>
    <w:rsid w:val="34B837D6"/>
    <w:rsid w:val="35037385"/>
    <w:rsid w:val="352A5206"/>
    <w:rsid w:val="35346EE5"/>
    <w:rsid w:val="35774906"/>
    <w:rsid w:val="35835A63"/>
    <w:rsid w:val="35CD42BC"/>
    <w:rsid w:val="36945C40"/>
    <w:rsid w:val="36C6588C"/>
    <w:rsid w:val="36E02EA5"/>
    <w:rsid w:val="37182C2D"/>
    <w:rsid w:val="37240FDC"/>
    <w:rsid w:val="373603B8"/>
    <w:rsid w:val="38A34AD1"/>
    <w:rsid w:val="38D40CCC"/>
    <w:rsid w:val="38DA7D46"/>
    <w:rsid w:val="39334F8C"/>
    <w:rsid w:val="3947720D"/>
    <w:rsid w:val="39B5090C"/>
    <w:rsid w:val="39C0154E"/>
    <w:rsid w:val="3A2031CC"/>
    <w:rsid w:val="3B075C3C"/>
    <w:rsid w:val="3B801373"/>
    <w:rsid w:val="3C0945F0"/>
    <w:rsid w:val="3C752885"/>
    <w:rsid w:val="3CB353A9"/>
    <w:rsid w:val="3CBE3A7B"/>
    <w:rsid w:val="3CCA2BD9"/>
    <w:rsid w:val="3D9F0BE9"/>
    <w:rsid w:val="3DCE5D23"/>
    <w:rsid w:val="3E3C1FB6"/>
    <w:rsid w:val="3E6C1208"/>
    <w:rsid w:val="3EAC05AA"/>
    <w:rsid w:val="3EE440FE"/>
    <w:rsid w:val="3F923FBE"/>
    <w:rsid w:val="3F9E1CCC"/>
    <w:rsid w:val="3F9F694E"/>
    <w:rsid w:val="3FAE759C"/>
    <w:rsid w:val="40575676"/>
    <w:rsid w:val="409327CC"/>
    <w:rsid w:val="40C2597E"/>
    <w:rsid w:val="415741D0"/>
    <w:rsid w:val="41FD001F"/>
    <w:rsid w:val="42090D9E"/>
    <w:rsid w:val="4209515A"/>
    <w:rsid w:val="42520960"/>
    <w:rsid w:val="427613B7"/>
    <w:rsid w:val="43AC572F"/>
    <w:rsid w:val="444709D2"/>
    <w:rsid w:val="4449705D"/>
    <w:rsid w:val="445753BA"/>
    <w:rsid w:val="44C43FB0"/>
    <w:rsid w:val="44D94A8F"/>
    <w:rsid w:val="450A1766"/>
    <w:rsid w:val="455B7A11"/>
    <w:rsid w:val="456740D2"/>
    <w:rsid w:val="456F2877"/>
    <w:rsid w:val="462011CE"/>
    <w:rsid w:val="46D30F62"/>
    <w:rsid w:val="48220D1F"/>
    <w:rsid w:val="486A713A"/>
    <w:rsid w:val="48D246FA"/>
    <w:rsid w:val="4B191602"/>
    <w:rsid w:val="4B4F0D21"/>
    <w:rsid w:val="4BD32187"/>
    <w:rsid w:val="4BDB7B7D"/>
    <w:rsid w:val="4C503B7D"/>
    <w:rsid w:val="4CAC7659"/>
    <w:rsid w:val="4D035A3B"/>
    <w:rsid w:val="4D50674F"/>
    <w:rsid w:val="4EF75014"/>
    <w:rsid w:val="4FFE04C8"/>
    <w:rsid w:val="501F0295"/>
    <w:rsid w:val="502D266D"/>
    <w:rsid w:val="5086260A"/>
    <w:rsid w:val="50C5672C"/>
    <w:rsid w:val="51262C7E"/>
    <w:rsid w:val="513969EB"/>
    <w:rsid w:val="51851600"/>
    <w:rsid w:val="51AE2EAD"/>
    <w:rsid w:val="533E65A8"/>
    <w:rsid w:val="535670D0"/>
    <w:rsid w:val="53926438"/>
    <w:rsid w:val="53BF3C0C"/>
    <w:rsid w:val="53D66C3D"/>
    <w:rsid w:val="542D6D11"/>
    <w:rsid w:val="54930A50"/>
    <w:rsid w:val="54AF6971"/>
    <w:rsid w:val="54E41320"/>
    <w:rsid w:val="550036E6"/>
    <w:rsid w:val="5594491A"/>
    <w:rsid w:val="55C61D2A"/>
    <w:rsid w:val="56503977"/>
    <w:rsid w:val="56681F69"/>
    <w:rsid w:val="569949BD"/>
    <w:rsid w:val="56E1718A"/>
    <w:rsid w:val="57093B24"/>
    <w:rsid w:val="573775B5"/>
    <w:rsid w:val="57896C1E"/>
    <w:rsid w:val="57C21B85"/>
    <w:rsid w:val="57DD6D7D"/>
    <w:rsid w:val="590746C5"/>
    <w:rsid w:val="592E2A5F"/>
    <w:rsid w:val="59663DB1"/>
    <w:rsid w:val="597A05DC"/>
    <w:rsid w:val="599E60C5"/>
    <w:rsid w:val="59AE1C78"/>
    <w:rsid w:val="59B21229"/>
    <w:rsid w:val="5A5F60A3"/>
    <w:rsid w:val="5B65758F"/>
    <w:rsid w:val="5BD72219"/>
    <w:rsid w:val="5C1E607A"/>
    <w:rsid w:val="5CA87045"/>
    <w:rsid w:val="5CB77B2E"/>
    <w:rsid w:val="5CBE0B8A"/>
    <w:rsid w:val="5CC92CE7"/>
    <w:rsid w:val="5D161305"/>
    <w:rsid w:val="5D487804"/>
    <w:rsid w:val="5D6D65DA"/>
    <w:rsid w:val="5D8C36A9"/>
    <w:rsid w:val="5D9F7D22"/>
    <w:rsid w:val="5DAA6759"/>
    <w:rsid w:val="5DCB0063"/>
    <w:rsid w:val="5E68741A"/>
    <w:rsid w:val="5E9D1CDD"/>
    <w:rsid w:val="5EBC3250"/>
    <w:rsid w:val="5EF4779E"/>
    <w:rsid w:val="5F5C7ED1"/>
    <w:rsid w:val="6160628E"/>
    <w:rsid w:val="616950D4"/>
    <w:rsid w:val="61A32DFE"/>
    <w:rsid w:val="61ED4BF7"/>
    <w:rsid w:val="61F81FE0"/>
    <w:rsid w:val="630F5E4C"/>
    <w:rsid w:val="633D14BA"/>
    <w:rsid w:val="634872F8"/>
    <w:rsid w:val="634B7D68"/>
    <w:rsid w:val="64171821"/>
    <w:rsid w:val="641B7D3B"/>
    <w:rsid w:val="64B33D3E"/>
    <w:rsid w:val="64C34A6E"/>
    <w:rsid w:val="64EB6BCE"/>
    <w:rsid w:val="64EF1A6D"/>
    <w:rsid w:val="6525324C"/>
    <w:rsid w:val="65394B2E"/>
    <w:rsid w:val="658279AC"/>
    <w:rsid w:val="658F43CD"/>
    <w:rsid w:val="65957C93"/>
    <w:rsid w:val="668E0154"/>
    <w:rsid w:val="66A931D9"/>
    <w:rsid w:val="66F83B86"/>
    <w:rsid w:val="67092FD2"/>
    <w:rsid w:val="672A3F5C"/>
    <w:rsid w:val="673F6001"/>
    <w:rsid w:val="67D04013"/>
    <w:rsid w:val="67D805FB"/>
    <w:rsid w:val="687C0D71"/>
    <w:rsid w:val="688D788D"/>
    <w:rsid w:val="68D41F8F"/>
    <w:rsid w:val="691A7284"/>
    <w:rsid w:val="69366BE8"/>
    <w:rsid w:val="69972FAF"/>
    <w:rsid w:val="6A410A24"/>
    <w:rsid w:val="6A61227E"/>
    <w:rsid w:val="6A732361"/>
    <w:rsid w:val="6A7B476E"/>
    <w:rsid w:val="6BA439F9"/>
    <w:rsid w:val="6C360CAD"/>
    <w:rsid w:val="6C9F159E"/>
    <w:rsid w:val="6CC10CF2"/>
    <w:rsid w:val="6CC828F5"/>
    <w:rsid w:val="6CDC0369"/>
    <w:rsid w:val="6D5A5747"/>
    <w:rsid w:val="6D8D4F1F"/>
    <w:rsid w:val="6E0C01FA"/>
    <w:rsid w:val="6E800BBC"/>
    <w:rsid w:val="6E9964A4"/>
    <w:rsid w:val="6EB50993"/>
    <w:rsid w:val="6F59710B"/>
    <w:rsid w:val="6FC87022"/>
    <w:rsid w:val="705B73B9"/>
    <w:rsid w:val="70767076"/>
    <w:rsid w:val="708E1E34"/>
    <w:rsid w:val="70A84EC7"/>
    <w:rsid w:val="70CE22B9"/>
    <w:rsid w:val="71203FE8"/>
    <w:rsid w:val="714027D0"/>
    <w:rsid w:val="725D174D"/>
    <w:rsid w:val="728559F8"/>
    <w:rsid w:val="72C67FCC"/>
    <w:rsid w:val="73095CF1"/>
    <w:rsid w:val="7389527B"/>
    <w:rsid w:val="73B16B8F"/>
    <w:rsid w:val="740836B4"/>
    <w:rsid w:val="74421AF8"/>
    <w:rsid w:val="744A1A03"/>
    <w:rsid w:val="747D0985"/>
    <w:rsid w:val="74B7495F"/>
    <w:rsid w:val="75C63685"/>
    <w:rsid w:val="76530356"/>
    <w:rsid w:val="766E3BB0"/>
    <w:rsid w:val="76F33555"/>
    <w:rsid w:val="777847AF"/>
    <w:rsid w:val="77AE3583"/>
    <w:rsid w:val="77E17E63"/>
    <w:rsid w:val="781721A3"/>
    <w:rsid w:val="78831398"/>
    <w:rsid w:val="78D90CB4"/>
    <w:rsid w:val="790247B3"/>
    <w:rsid w:val="795C75FC"/>
    <w:rsid w:val="797800FC"/>
    <w:rsid w:val="79A21336"/>
    <w:rsid w:val="7A3E7B3F"/>
    <w:rsid w:val="7B661E8D"/>
    <w:rsid w:val="7BA65227"/>
    <w:rsid w:val="7BDE0E2D"/>
    <w:rsid w:val="7C1148AC"/>
    <w:rsid w:val="7C1E4133"/>
    <w:rsid w:val="7CC07299"/>
    <w:rsid w:val="7CEF1960"/>
    <w:rsid w:val="7D0E3724"/>
    <w:rsid w:val="7D131CB7"/>
    <w:rsid w:val="7DC7611A"/>
    <w:rsid w:val="7F1C6876"/>
    <w:rsid w:val="7F2A2A87"/>
    <w:rsid w:val="7F362CD0"/>
    <w:rsid w:val="7F477DAE"/>
    <w:rsid w:val="7F4B2AD2"/>
    <w:rsid w:val="7F8A5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rPr>
      <w:rFonts w:ascii="黑体" w:hAnsi="黑体" w:eastAsia="黑体" w:cs="黑体"/>
      <w:sz w:val="35"/>
      <w:szCs w:val="35"/>
      <w:lang w:val="en-US" w:eastAsia="zh-CN" w:bidi="ar-SA"/>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unhideWhenUsed/>
    <w:qFormat/>
    <w:uiPriority w:val="99"/>
    <w:pPr>
      <w:widowControl/>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800080"/>
      <w:u w:val="none"/>
    </w:rPr>
  </w:style>
  <w:style w:type="character" w:styleId="12">
    <w:name w:val="Emphasis"/>
    <w:basedOn w:val="9"/>
    <w:qFormat/>
    <w:uiPriority w:val="0"/>
    <w:rPr>
      <w:b/>
    </w:rPr>
  </w:style>
  <w:style w:type="character" w:styleId="13">
    <w:name w:val="HTML Definition"/>
    <w:basedOn w:val="9"/>
    <w:qFormat/>
    <w:uiPriority w:val="0"/>
  </w:style>
  <w:style w:type="character" w:styleId="14">
    <w:name w:val="HTML Typewriter"/>
    <w:basedOn w:val="9"/>
    <w:qFormat/>
    <w:uiPriority w:val="0"/>
    <w:rPr>
      <w:rFonts w:ascii="monospace" w:hAnsi="monospace" w:eastAsia="monospace" w:cs="monospace"/>
      <w:sz w:val="20"/>
    </w:rPr>
  </w:style>
  <w:style w:type="character" w:styleId="15">
    <w:name w:val="HTML Acronym"/>
    <w:basedOn w:val="9"/>
    <w:qFormat/>
    <w:uiPriority w:val="0"/>
  </w:style>
  <w:style w:type="character" w:styleId="16">
    <w:name w:val="HTML Variable"/>
    <w:basedOn w:val="9"/>
    <w:qFormat/>
    <w:uiPriority w:val="0"/>
  </w:style>
  <w:style w:type="character" w:styleId="17">
    <w:name w:val="Hyperlink"/>
    <w:basedOn w:val="9"/>
    <w:qFormat/>
    <w:uiPriority w:val="0"/>
    <w:rPr>
      <w:color w:val="0000FF"/>
      <w:u w:val="none"/>
    </w:rPr>
  </w:style>
  <w:style w:type="character" w:styleId="18">
    <w:name w:val="HTML Code"/>
    <w:basedOn w:val="9"/>
    <w:qFormat/>
    <w:uiPriority w:val="0"/>
    <w:rPr>
      <w:rFonts w:hint="default" w:ascii="monospace" w:hAnsi="monospace" w:eastAsia="monospace" w:cs="monospace"/>
      <w:sz w:val="20"/>
    </w:rPr>
  </w:style>
  <w:style w:type="character" w:styleId="19">
    <w:name w:val="HTML Cite"/>
    <w:basedOn w:val="9"/>
    <w:qFormat/>
    <w:uiPriority w:val="0"/>
  </w:style>
  <w:style w:type="character" w:styleId="20">
    <w:name w:val="HTML Keyboard"/>
    <w:basedOn w:val="9"/>
    <w:qFormat/>
    <w:uiPriority w:val="0"/>
    <w:rPr>
      <w:rFonts w:hint="default" w:ascii="monospace" w:hAnsi="monospace" w:eastAsia="monospace" w:cs="monospace"/>
      <w:sz w:val="20"/>
    </w:rPr>
  </w:style>
  <w:style w:type="character" w:styleId="21">
    <w:name w:val="HTML Sample"/>
    <w:basedOn w:val="9"/>
    <w:qFormat/>
    <w:uiPriority w:val="0"/>
    <w:rPr>
      <w:rFonts w:hint="default" w:ascii="monospace" w:hAnsi="monospace" w:eastAsia="monospace" w:cs="monospace"/>
    </w:rPr>
  </w:style>
  <w:style w:type="character" w:customStyle="1" w:styleId="22">
    <w:name w:val="hover"/>
    <w:basedOn w:val="9"/>
    <w:qFormat/>
    <w:uiPriority w:val="0"/>
    <w:rPr>
      <w:color w:val="2590EB"/>
    </w:rPr>
  </w:style>
  <w:style w:type="character" w:customStyle="1" w:styleId="23">
    <w:name w:val="hover1"/>
    <w:basedOn w:val="9"/>
    <w:qFormat/>
    <w:uiPriority w:val="0"/>
    <w:rPr>
      <w:color w:val="2590EB"/>
    </w:rPr>
  </w:style>
  <w:style w:type="character" w:customStyle="1" w:styleId="24">
    <w:name w:val="hover2"/>
    <w:basedOn w:val="9"/>
    <w:qFormat/>
    <w:uiPriority w:val="0"/>
  </w:style>
  <w:style w:type="character" w:customStyle="1" w:styleId="25">
    <w:name w:val="hover3"/>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1b60572-7e0f-4dd5-8eee-9f648f3132a4}"/>
        <w:style w:val=""/>
        <w:category>
          <w:name w:val="常规"/>
          <w:gallery w:val="placeholder"/>
        </w:category>
        <w:types>
          <w:type w:val="bbPlcHdr"/>
        </w:types>
        <w:behaviors>
          <w:behavior w:val="content"/>
        </w:behaviors>
        <w:description w:val=""/>
        <w:guid w:val="{61b60572-7e0f-4dd5-8eee-9f648f3132a4}"/>
      </w:docPartPr>
      <w:docPartBody>
        <w:p>
          <w:r>
            <w:rPr>
              <w:color w:val="808080"/>
            </w:rPr>
            <w:t>选择一项。</w:t>
          </w:r>
        </w:p>
      </w:docPartBody>
    </w:docPart>
    <w:docPart>
      <w:docPartPr>
        <w:name w:val="{175048ac-5fe4-490c-90b9-a99fec5f3474}"/>
        <w:style w:val=""/>
        <w:category>
          <w:name w:val="常规"/>
          <w:gallery w:val="placeholder"/>
        </w:category>
        <w:types>
          <w:type w:val="bbPlcHdr"/>
        </w:types>
        <w:behaviors>
          <w:behavior w:val="content"/>
        </w:behaviors>
        <w:description w:val=""/>
        <w:guid w:val="{175048ac-5fe4-490c-90b9-a99fec5f3474}"/>
      </w:docPartPr>
      <w:docPartBody>
        <w:p>
          <w:r>
            <w:rPr>
              <w:color w:val="808080"/>
            </w:rPr>
            <w:t>选择一项。</w:t>
          </w:r>
        </w:p>
      </w:docPartBody>
    </w:docPart>
    <w:docPart>
      <w:docPartPr>
        <w:name w:val="{86ce8630-d37c-4d49-b5e5-562a9e17eac0}"/>
        <w:style w:val=""/>
        <w:category>
          <w:name w:val="常规"/>
          <w:gallery w:val="placeholder"/>
        </w:category>
        <w:types>
          <w:type w:val="bbPlcHdr"/>
        </w:types>
        <w:behaviors>
          <w:behavior w:val="content"/>
        </w:behaviors>
        <w:description w:val=""/>
        <w:guid w:val="{86ce8630-d37c-4d49-b5e5-562a9e17eac0}"/>
      </w:docPartPr>
      <w:docPartBody>
        <w:p>
          <w:r>
            <w:rPr>
              <w:color w:val="808080"/>
            </w:rPr>
            <w:t>选择一项。</w:t>
          </w:r>
        </w:p>
      </w:docPartBody>
    </w:docPart>
    <w:docPart>
      <w:docPartPr>
        <w:name w:val="{0724919e-4760-4472-b675-b28614fbf872}"/>
        <w:style w:val=""/>
        <w:category>
          <w:name w:val="常规"/>
          <w:gallery w:val="placeholder"/>
        </w:category>
        <w:types>
          <w:type w:val="bbPlcHdr"/>
        </w:types>
        <w:behaviors>
          <w:behavior w:val="content"/>
        </w:behaviors>
        <w:description w:val=""/>
        <w:guid w:val="{0724919e-4760-4472-b675-b28614fbf872}"/>
      </w:docPartPr>
      <w:docPartBody>
        <w:p>
          <w:r>
            <w:rPr>
              <w:color w:val="808080"/>
            </w:rPr>
            <w:t>选择一项。</w:t>
          </w:r>
        </w:p>
      </w:docPartBody>
    </w:docPart>
    <w:docPart>
      <w:docPartPr>
        <w:name w:val="{7f22db37-61c3-457b-b116-92ef831b1246}"/>
        <w:style w:val=""/>
        <w:category>
          <w:name w:val="常规"/>
          <w:gallery w:val="placeholder"/>
        </w:category>
        <w:types>
          <w:type w:val="bbPlcHdr"/>
        </w:types>
        <w:behaviors>
          <w:behavior w:val="content"/>
        </w:behaviors>
        <w:description w:val=""/>
        <w:guid w:val="{7f22db37-61c3-457b-b116-92ef831b1246}"/>
      </w:docPartPr>
      <w:docPartBody>
        <w:p>
          <w:r>
            <w:rPr>
              <w:color w:val="808080"/>
            </w:rPr>
            <w:t>选择一项。</w:t>
          </w:r>
        </w:p>
      </w:docPartBody>
    </w:docPart>
    <w:docPart>
      <w:docPartPr>
        <w:name w:val="{55ef4046-1266-40c2-bbd4-97b22e736c00}"/>
        <w:style w:val=""/>
        <w:category>
          <w:name w:val="常规"/>
          <w:gallery w:val="placeholder"/>
        </w:category>
        <w:types>
          <w:type w:val="bbPlcHdr"/>
        </w:types>
        <w:behaviors>
          <w:behavior w:val="content"/>
        </w:behaviors>
        <w:description w:val=""/>
        <w:guid w:val="{55ef4046-1266-40c2-bbd4-97b22e736c00}"/>
      </w:docPartPr>
      <w:docPartBody>
        <w:p>
          <w:r>
            <w:rPr>
              <w:color w:val="808080"/>
            </w:rPr>
            <w:t>选择一项。</w:t>
          </w:r>
        </w:p>
      </w:docPartBody>
    </w:docPart>
    <w:docPart>
      <w:docPartPr>
        <w:name w:val="{7963bfd7-5017-4b09-9272-13d5498d1f84}"/>
        <w:style w:val=""/>
        <w:category>
          <w:name w:val="常规"/>
          <w:gallery w:val="placeholder"/>
        </w:category>
        <w:types>
          <w:type w:val="bbPlcHdr"/>
        </w:types>
        <w:behaviors>
          <w:behavior w:val="content"/>
        </w:behaviors>
        <w:description w:val=""/>
        <w:guid w:val="{7963bfd7-5017-4b09-9272-13d5498d1f84}"/>
      </w:docPartPr>
      <w:docPartBody>
        <w:p>
          <w:r>
            <w:rPr>
              <w:color w:val="808080"/>
            </w:rPr>
            <w:t>选择一项。</w:t>
          </w:r>
        </w:p>
      </w:docPartBody>
    </w:docPart>
    <w:docPart>
      <w:docPartPr>
        <w:name w:val="{8b413c27-18fe-41e7-86d6-da8f5d3e0c3f}"/>
        <w:style w:val=""/>
        <w:category>
          <w:name w:val="常规"/>
          <w:gallery w:val="placeholder"/>
        </w:category>
        <w:types>
          <w:type w:val="bbPlcHdr"/>
        </w:types>
        <w:behaviors>
          <w:behavior w:val="content"/>
        </w:behaviors>
        <w:description w:val=""/>
        <w:guid w:val="{8b413c27-18fe-41e7-86d6-da8f5d3e0c3f}"/>
      </w:docPartPr>
      <w:docPartBody>
        <w:p>
          <w:r>
            <w:rPr>
              <w:color w:val="808080"/>
            </w:rPr>
            <w:t>选择一项。</w:t>
          </w:r>
        </w:p>
      </w:docPartBody>
    </w:docPart>
    <w:docPart>
      <w:docPartPr>
        <w:name w:val="{bb7b572c-8ee4-4ebe-9cc4-9fd2fea55853}"/>
        <w:style w:val=""/>
        <w:category>
          <w:name w:val="常规"/>
          <w:gallery w:val="placeholder"/>
        </w:category>
        <w:types>
          <w:type w:val="bbPlcHdr"/>
        </w:types>
        <w:behaviors>
          <w:behavior w:val="content"/>
        </w:behaviors>
        <w:description w:val=""/>
        <w:guid w:val="{bb7b572c-8ee4-4ebe-9cc4-9fd2fea55853}"/>
      </w:docPartPr>
      <w:docPartBody>
        <w:p>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15575</Words>
  <Characters>17052</Characters>
  <Lines>0</Lines>
  <Paragraphs>0</Paragraphs>
  <TotalTime>0</TotalTime>
  <ScaleCrop>false</ScaleCrop>
  <LinksUpToDate>false</LinksUpToDate>
  <CharactersWithSpaces>17593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2021-08-23T06:36:00Z</dcterms:created>
  <dc:creator>Administrator</dc:creator>
  <cp:lastModifiedBy>WPS_1050795206</cp:lastModifiedBy>
  <cp:lastPrinted>2022-01-12T07:02:00Z</cp:lastPrinted>
  <dcterms:modified xsi:type="dcterms:W3CDTF">2022-03-16T01:32:04Z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7D83659DFDB347048D07AE5CA5EB0347</vt:lpwstr>
  </property>
</Properties>
</file>