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90EDD">
      <w:pPr>
        <w:pStyle w:val="299"/>
        <w:rPr>
          <w:color w:val="auto"/>
          <w:highlight w:val="none"/>
        </w:rPr>
      </w:pPr>
      <w:r>
        <w:rPr>
          <w:rFonts w:hint="eastAsia"/>
          <w:color w:val="auto"/>
          <w:highlight w:val="none"/>
        </w:rPr>
        <w:t xml:space="preserve"> </w:t>
      </w:r>
      <w:r>
        <w:rPr>
          <w:color w:val="auto"/>
          <w:highlight w:val="none"/>
        </w:rPr>
        <w:t xml:space="preserve">  </w:t>
      </w:r>
    </w:p>
    <w:p w14:paraId="739F104A">
      <w:pPr>
        <w:pStyle w:val="299"/>
        <w:spacing w:line="240" w:lineRule="auto"/>
        <w:rPr>
          <w:b w:val="0"/>
          <w:color w:val="auto"/>
          <w:highlight w:val="none"/>
        </w:rPr>
      </w:pPr>
    </w:p>
    <w:p w14:paraId="7CD5CE29">
      <w:pPr>
        <w:pStyle w:val="299"/>
        <w:spacing w:line="240" w:lineRule="auto"/>
        <w:rPr>
          <w:b w:val="0"/>
          <w:color w:val="auto"/>
          <w:highlight w:val="none"/>
        </w:rPr>
      </w:pPr>
    </w:p>
    <w:p w14:paraId="26403CE2">
      <w:pPr>
        <w:pStyle w:val="299"/>
        <w:spacing w:line="360" w:lineRule="auto"/>
        <w:jc w:val="center"/>
        <w:rPr>
          <w:b/>
          <w:color w:val="auto"/>
          <w:w w:val="90"/>
          <w:sz w:val="48"/>
          <w:szCs w:val="48"/>
          <w:highlight w:val="none"/>
        </w:rPr>
      </w:pPr>
      <w:r>
        <w:rPr>
          <w:rFonts w:hint="eastAsia"/>
          <w:b/>
          <w:color w:val="auto"/>
          <w:w w:val="90"/>
          <w:sz w:val="48"/>
          <w:szCs w:val="48"/>
          <w:highlight w:val="none"/>
        </w:rPr>
        <w:t>四川省普通公路工程电子招标</w:t>
      </w:r>
    </w:p>
    <w:p w14:paraId="09646F20">
      <w:pPr>
        <w:pStyle w:val="299"/>
        <w:spacing w:line="360" w:lineRule="auto"/>
        <w:jc w:val="center"/>
        <w:rPr>
          <w:b/>
          <w:color w:val="auto"/>
          <w:sz w:val="96"/>
          <w:szCs w:val="96"/>
          <w:highlight w:val="none"/>
        </w:rPr>
      </w:pPr>
      <w:r>
        <w:rPr>
          <w:rFonts w:hint="eastAsia"/>
          <w:b/>
          <w:color w:val="auto"/>
          <w:w w:val="100"/>
          <w:sz w:val="96"/>
          <w:szCs w:val="96"/>
          <w:highlight w:val="none"/>
        </w:rPr>
        <w:t>标准</w:t>
      </w:r>
      <w:r>
        <w:rPr>
          <w:rFonts w:hint="eastAsia"/>
          <w:b/>
          <w:color w:val="auto"/>
          <w:sz w:val="96"/>
          <w:szCs w:val="96"/>
          <w:highlight w:val="none"/>
        </w:rPr>
        <w:t>施工招标文件</w:t>
      </w:r>
    </w:p>
    <w:p w14:paraId="17BF212C">
      <w:pPr>
        <w:pStyle w:val="299"/>
        <w:spacing w:line="360" w:lineRule="auto"/>
        <w:jc w:val="center"/>
        <w:rPr>
          <w:color w:val="auto"/>
          <w:sz w:val="44"/>
          <w:szCs w:val="44"/>
          <w:highlight w:val="none"/>
        </w:rPr>
      </w:pPr>
      <w:r>
        <w:rPr>
          <w:rFonts w:hint="eastAsia"/>
          <w:color w:val="auto"/>
          <w:sz w:val="44"/>
          <w:szCs w:val="44"/>
          <w:highlight w:val="none"/>
        </w:rPr>
        <w:t>（20</w:t>
      </w:r>
      <w:r>
        <w:rPr>
          <w:rFonts w:hint="eastAsia"/>
          <w:color w:val="auto"/>
          <w:sz w:val="44"/>
          <w:szCs w:val="44"/>
          <w:highlight w:val="none"/>
          <w:lang w:val="en-US" w:eastAsia="zh-CN"/>
        </w:rPr>
        <w:t>24</w:t>
      </w:r>
      <w:r>
        <w:rPr>
          <w:rFonts w:hint="eastAsia"/>
          <w:color w:val="auto"/>
          <w:sz w:val="44"/>
          <w:szCs w:val="44"/>
          <w:highlight w:val="none"/>
        </w:rPr>
        <w:t>年版）</w:t>
      </w:r>
    </w:p>
    <w:p w14:paraId="016C621F">
      <w:pPr>
        <w:pStyle w:val="299"/>
        <w:spacing w:line="360" w:lineRule="auto"/>
        <w:jc w:val="center"/>
        <w:rPr>
          <w:rFonts w:hint="default"/>
          <w:color w:val="auto"/>
          <w:highlight w:val="none"/>
          <w:lang w:val="en-US"/>
        </w:rPr>
      </w:pPr>
    </w:p>
    <w:p w14:paraId="06A8E7E7">
      <w:pPr>
        <w:pStyle w:val="299"/>
        <w:spacing w:line="360" w:lineRule="auto"/>
        <w:jc w:val="center"/>
        <w:rPr>
          <w:color w:val="auto"/>
          <w:highlight w:val="none"/>
        </w:rPr>
      </w:pPr>
    </w:p>
    <w:p w14:paraId="1B3EC06B">
      <w:pPr>
        <w:pStyle w:val="299"/>
        <w:spacing w:line="360" w:lineRule="auto"/>
        <w:jc w:val="center"/>
        <w:rPr>
          <w:color w:val="auto"/>
          <w:highlight w:val="none"/>
        </w:rPr>
      </w:pPr>
    </w:p>
    <w:p w14:paraId="1B0893A4">
      <w:pPr>
        <w:pStyle w:val="299"/>
        <w:spacing w:line="360" w:lineRule="auto"/>
        <w:jc w:val="center"/>
        <w:rPr>
          <w:color w:val="auto"/>
          <w:highlight w:val="none"/>
        </w:rPr>
      </w:pPr>
    </w:p>
    <w:p w14:paraId="008B869A">
      <w:pPr>
        <w:pStyle w:val="299"/>
        <w:spacing w:line="360" w:lineRule="auto"/>
        <w:jc w:val="center"/>
        <w:rPr>
          <w:color w:val="auto"/>
          <w:highlight w:val="none"/>
        </w:rPr>
      </w:pPr>
    </w:p>
    <w:p w14:paraId="6821EA70">
      <w:pPr>
        <w:pStyle w:val="299"/>
        <w:spacing w:line="360" w:lineRule="auto"/>
        <w:jc w:val="center"/>
        <w:rPr>
          <w:color w:val="auto"/>
          <w:highlight w:val="none"/>
        </w:rPr>
      </w:pPr>
    </w:p>
    <w:p w14:paraId="428C7659">
      <w:pPr>
        <w:pStyle w:val="299"/>
        <w:spacing w:line="360" w:lineRule="auto"/>
        <w:jc w:val="center"/>
        <w:rPr>
          <w:color w:val="auto"/>
          <w:highlight w:val="none"/>
        </w:rPr>
      </w:pPr>
    </w:p>
    <w:p w14:paraId="2BA35412">
      <w:pPr>
        <w:pStyle w:val="299"/>
        <w:spacing w:line="360" w:lineRule="auto"/>
        <w:jc w:val="center"/>
        <w:rPr>
          <w:color w:val="auto"/>
          <w:highlight w:val="none"/>
        </w:rPr>
      </w:pPr>
    </w:p>
    <w:p w14:paraId="62BE5C8E">
      <w:pPr>
        <w:pStyle w:val="299"/>
        <w:spacing w:line="360" w:lineRule="auto"/>
        <w:jc w:val="center"/>
        <w:rPr>
          <w:color w:val="auto"/>
          <w:highlight w:val="none"/>
        </w:rPr>
      </w:pPr>
    </w:p>
    <w:p w14:paraId="472AD682">
      <w:pPr>
        <w:pStyle w:val="299"/>
        <w:spacing w:line="360" w:lineRule="auto"/>
        <w:jc w:val="center"/>
        <w:rPr>
          <w:color w:val="auto"/>
          <w:highlight w:val="none"/>
        </w:rPr>
      </w:pPr>
    </w:p>
    <w:p w14:paraId="2D8C71E3">
      <w:pPr>
        <w:pStyle w:val="299"/>
        <w:spacing w:line="360" w:lineRule="auto"/>
        <w:jc w:val="center"/>
        <w:rPr>
          <w:color w:val="auto"/>
          <w:highlight w:val="none"/>
        </w:rPr>
      </w:pPr>
    </w:p>
    <w:p w14:paraId="0CB0E9FD">
      <w:pPr>
        <w:pStyle w:val="299"/>
        <w:spacing w:line="360" w:lineRule="auto"/>
        <w:jc w:val="center"/>
        <w:rPr>
          <w:color w:val="auto"/>
          <w:highlight w:val="none"/>
        </w:rPr>
      </w:pPr>
    </w:p>
    <w:p w14:paraId="3FD32D37">
      <w:pPr>
        <w:pStyle w:val="299"/>
        <w:spacing w:line="360" w:lineRule="auto"/>
        <w:jc w:val="center"/>
        <w:rPr>
          <w:color w:val="auto"/>
          <w:highlight w:val="none"/>
        </w:rPr>
      </w:pPr>
    </w:p>
    <w:p w14:paraId="4CCF8C54">
      <w:pPr>
        <w:pStyle w:val="299"/>
        <w:spacing w:line="360" w:lineRule="auto"/>
        <w:jc w:val="center"/>
        <w:rPr>
          <w:color w:val="auto"/>
          <w:highlight w:val="none"/>
        </w:rPr>
      </w:pPr>
    </w:p>
    <w:p w14:paraId="0D7351DD">
      <w:pPr>
        <w:pStyle w:val="299"/>
        <w:spacing w:line="360" w:lineRule="auto"/>
        <w:jc w:val="center"/>
        <w:rPr>
          <w:color w:val="auto"/>
          <w:highlight w:val="none"/>
        </w:rPr>
      </w:pPr>
    </w:p>
    <w:p w14:paraId="7537FFB3">
      <w:pPr>
        <w:pStyle w:val="299"/>
        <w:spacing w:line="360" w:lineRule="auto"/>
        <w:jc w:val="center"/>
        <w:rPr>
          <w:color w:val="auto"/>
          <w:highlight w:val="none"/>
        </w:rPr>
      </w:pPr>
    </w:p>
    <w:p w14:paraId="62E37CA4">
      <w:pPr>
        <w:pStyle w:val="299"/>
        <w:spacing w:line="360" w:lineRule="auto"/>
        <w:jc w:val="center"/>
        <w:rPr>
          <w:color w:val="auto"/>
          <w:highlight w:val="none"/>
        </w:rPr>
      </w:pPr>
    </w:p>
    <w:p w14:paraId="7F1F2A2C">
      <w:pPr>
        <w:pStyle w:val="299"/>
        <w:spacing w:line="360" w:lineRule="auto"/>
        <w:jc w:val="center"/>
        <w:rPr>
          <w:color w:val="auto"/>
          <w:highlight w:val="none"/>
        </w:rPr>
      </w:pPr>
    </w:p>
    <w:p w14:paraId="344F29DF">
      <w:pPr>
        <w:pStyle w:val="299"/>
        <w:spacing w:line="360" w:lineRule="auto"/>
        <w:jc w:val="center"/>
        <w:rPr>
          <w:color w:val="auto"/>
          <w:highlight w:val="none"/>
        </w:rPr>
      </w:pPr>
    </w:p>
    <w:p w14:paraId="6AF59AD2">
      <w:pPr>
        <w:pStyle w:val="299"/>
        <w:spacing w:line="360" w:lineRule="auto"/>
        <w:jc w:val="center"/>
        <w:rPr>
          <w:rFonts w:ascii="Times New Roman" w:hAnsi="Times New Roman"/>
          <w:b w:val="0"/>
          <w:color w:val="auto"/>
          <w:sz w:val="21"/>
          <w:szCs w:val="24"/>
          <w:highlight w:val="none"/>
        </w:rPr>
      </w:pPr>
    </w:p>
    <w:p w14:paraId="0552D695">
      <w:pPr>
        <w:pStyle w:val="299"/>
        <w:spacing w:line="360" w:lineRule="auto"/>
        <w:jc w:val="center"/>
        <w:rPr>
          <w:rFonts w:ascii="Times New Roman" w:hAnsi="Times New Roman"/>
          <w:b w:val="0"/>
          <w:color w:val="auto"/>
          <w:sz w:val="21"/>
          <w:szCs w:val="24"/>
          <w:highlight w:val="none"/>
        </w:rPr>
      </w:pPr>
    </w:p>
    <w:p w14:paraId="12276E73">
      <w:pPr>
        <w:pStyle w:val="299"/>
        <w:jc w:val="center"/>
        <w:rPr>
          <w:color w:val="auto"/>
          <w:highlight w:val="none"/>
        </w:rPr>
      </w:pPr>
      <w:r>
        <w:rPr>
          <w:rFonts w:hint="eastAsia" w:ascii="宋体" w:hAnsi="宋体"/>
          <w:b/>
          <w:color w:val="auto"/>
          <w:sz w:val="36"/>
          <w:szCs w:val="36"/>
          <w:highlight w:val="none"/>
        </w:rPr>
        <w:t>四川省交通运输厅</w:t>
      </w:r>
    </w:p>
    <w:p w14:paraId="7EBDED75">
      <w:pPr>
        <w:pStyle w:val="299"/>
        <w:rPr>
          <w:color w:val="auto"/>
          <w:highlight w:val="none"/>
        </w:rPr>
      </w:pPr>
    </w:p>
    <w:p w14:paraId="0B0EB367">
      <w:pPr>
        <w:pStyle w:val="299"/>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2024年8月</w:t>
      </w:r>
    </w:p>
    <w:p w14:paraId="26AA9355">
      <w:pPr>
        <w:pStyle w:val="299"/>
        <w:rPr>
          <w:color w:val="auto"/>
          <w:highlight w:val="none"/>
        </w:rPr>
      </w:pPr>
    </w:p>
    <w:p w14:paraId="44E3AF85">
      <w:pPr>
        <w:widowControl/>
        <w:jc w:val="left"/>
        <w:rPr>
          <w:rFonts w:ascii="黑体" w:hAnsi="黑体" w:eastAsia="黑体"/>
          <w:color w:val="auto"/>
          <w:sz w:val="44"/>
          <w:szCs w:val="44"/>
          <w:highlight w:val="none"/>
        </w:rPr>
      </w:pPr>
      <w:r>
        <w:rPr>
          <w:rFonts w:ascii="黑体" w:hAnsi="黑体" w:eastAsia="黑体"/>
          <w:color w:val="auto"/>
          <w:sz w:val="44"/>
          <w:szCs w:val="44"/>
          <w:highlight w:val="none"/>
        </w:rPr>
        <w:br w:type="page"/>
      </w:r>
    </w:p>
    <w:p w14:paraId="30A7C191">
      <w:pPr>
        <w:spacing w:line="360" w:lineRule="auto"/>
        <w:jc w:val="center"/>
        <w:rPr>
          <w:rFonts w:hint="eastAsia" w:ascii="黑体" w:hAnsi="黑体" w:eastAsia="黑体" w:cs="黑体"/>
          <w:sz w:val="36"/>
          <w:szCs w:val="36"/>
          <w:lang w:eastAsia="zh-CN"/>
        </w:rPr>
      </w:pPr>
    </w:p>
    <w:p w14:paraId="0FE7136F">
      <w:pPr>
        <w:spacing w:line="360" w:lineRule="auto"/>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《四川省普通公路工程电子招标标准施工招标文件》</w:t>
      </w:r>
    </w:p>
    <w:p w14:paraId="5A0C7282">
      <w:pPr>
        <w:spacing w:line="360" w:lineRule="auto"/>
        <w:jc w:val="center"/>
        <w:rPr>
          <w:rFonts w:hint="eastAsia" w:ascii="宋体" w:hAnsi="宋体" w:eastAsia="宋体" w:cs="宋体"/>
          <w:spacing w:val="28"/>
          <w:kern w:val="3"/>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2024年版</w:t>
      </w:r>
      <w:r>
        <w:rPr>
          <w:rFonts w:hint="eastAsia" w:ascii="宋体" w:hAnsi="宋体" w:eastAsia="宋体" w:cs="宋体"/>
          <w:sz w:val="32"/>
          <w:szCs w:val="32"/>
          <w:lang w:eastAsia="zh-CN"/>
        </w:rPr>
        <w:t>）</w:t>
      </w:r>
    </w:p>
    <w:p w14:paraId="0360C5F4">
      <w:pPr>
        <w:rPr>
          <w:rFonts w:hint="eastAsia" w:ascii="黑体" w:hAnsi="黑体" w:eastAsia="黑体" w:cs="黑体"/>
          <w:spacing w:val="28"/>
          <w:kern w:val="3"/>
          <w:sz w:val="28"/>
          <w:szCs w:val="28"/>
          <w:lang w:eastAsia="zh-CN"/>
        </w:rPr>
      </w:pPr>
    </w:p>
    <w:p w14:paraId="32C80E40">
      <w:pPr>
        <w:ind w:firstLine="1680" w:firstLineChars="600"/>
        <w:rPr>
          <w:rFonts w:hint="eastAsia"/>
          <w:sz w:val="28"/>
          <w:szCs w:val="28"/>
          <w:lang w:eastAsia="zh-CN"/>
        </w:rPr>
      </w:pPr>
    </w:p>
    <w:p w14:paraId="4626A637">
      <w:pPr>
        <w:rPr>
          <w:rFonts w:hint="eastAsia"/>
          <w:sz w:val="28"/>
          <w:szCs w:val="28"/>
          <w:lang w:eastAsia="zh-CN"/>
        </w:rPr>
      </w:pPr>
    </w:p>
    <w:p w14:paraId="565A700E">
      <w:pPr>
        <w:spacing w:after="120" w:afterLines="50" w:line="360" w:lineRule="auto"/>
        <w:jc w:val="center"/>
        <w:rPr>
          <w:rFonts w:hint="eastAsia" w:ascii="宋体" w:hAnsi="宋体" w:eastAsia="宋体" w:cs="Times New Roman"/>
          <w:b/>
          <w:bCs/>
          <w:color w:val="000000" w:themeColor="text1"/>
          <w:spacing w:val="0"/>
          <w:sz w:val="32"/>
          <w:szCs w:val="32"/>
          <w:lang w:eastAsia="zh-CN"/>
          <w14:textFill>
            <w14:solidFill>
              <w14:schemeClr w14:val="tx1"/>
            </w14:solidFill>
          </w14:textFill>
        </w:rPr>
      </w:pPr>
      <w:r>
        <w:rPr>
          <w:rFonts w:hint="eastAsia" w:ascii="宋体" w:hAnsi="宋体" w:eastAsia="宋体" w:cs="Times New Roman"/>
          <w:b/>
          <w:bCs/>
          <w:color w:val="000000" w:themeColor="text1"/>
          <w:spacing w:val="0"/>
          <w:sz w:val="32"/>
          <w:szCs w:val="32"/>
          <w:lang w:eastAsia="zh-CN"/>
          <w14:textFill>
            <w14:solidFill>
              <w14:schemeClr w14:val="tx1"/>
            </w14:solidFill>
          </w14:textFill>
        </w:rPr>
        <w:t>审定委员会</w:t>
      </w:r>
    </w:p>
    <w:p w14:paraId="0485F664">
      <w:pPr>
        <w:pStyle w:val="2"/>
        <w:spacing w:line="360" w:lineRule="auto"/>
        <w:rPr>
          <w:rFonts w:hint="eastAsia"/>
          <w:lang w:eastAsia="zh-CN"/>
        </w:rPr>
      </w:pPr>
    </w:p>
    <w:p w14:paraId="1F3935ED">
      <w:pPr>
        <w:spacing w:line="360" w:lineRule="auto"/>
        <w:rPr>
          <w:rFonts w:hint="eastAsia"/>
          <w:sz w:val="28"/>
          <w:szCs w:val="28"/>
          <w:lang w:eastAsia="zh-CN"/>
        </w:rPr>
      </w:pPr>
      <w:r>
        <w:rPr>
          <w:rFonts w:hint="eastAsia" w:ascii="黑体" w:hAnsi="黑体" w:eastAsia="黑体"/>
          <w:color w:val="000000" w:themeColor="text1"/>
          <w:spacing w:val="51"/>
          <w:sz w:val="28"/>
          <w:szCs w:val="28"/>
          <w14:textFill>
            <w14:solidFill>
              <w14:schemeClr w14:val="tx1"/>
            </w14:solidFill>
          </w14:textFill>
        </w:rPr>
        <w:t>主任委</w:t>
      </w:r>
      <w:r>
        <w:rPr>
          <w:rFonts w:hint="eastAsia" w:ascii="黑体" w:hAnsi="黑体" w:eastAsia="黑体"/>
          <w:color w:val="000000" w:themeColor="text1"/>
          <w:sz w:val="28"/>
          <w:szCs w:val="28"/>
          <w14:textFill>
            <w14:solidFill>
              <w14:schemeClr w14:val="tx1"/>
            </w14:solidFill>
          </w14:textFill>
        </w:rPr>
        <w:t>员</w:t>
      </w:r>
      <w:r>
        <w:rPr>
          <w:rFonts w:hint="eastAsia" w:ascii="黑体" w:hAnsi="黑体" w:eastAsia="黑体" w:cs="黑体"/>
          <w:spacing w:val="34"/>
          <w:kern w:val="3"/>
          <w:sz w:val="28"/>
          <w:szCs w:val="28"/>
          <w:lang w:eastAsia="zh-CN"/>
        </w:rPr>
        <w:t>：</w:t>
      </w:r>
      <w:r>
        <w:rPr>
          <w:rFonts w:hint="eastAsia" w:ascii="楷体" w:hAnsi="楷体" w:eastAsia="楷体" w:cs="楷体"/>
          <w:sz w:val="28"/>
          <w:szCs w:val="28"/>
          <w:lang w:eastAsia="zh-CN"/>
        </w:rPr>
        <w:t>王茂奎</w:t>
      </w:r>
    </w:p>
    <w:p w14:paraId="57FC4CCF">
      <w:pPr>
        <w:spacing w:line="360" w:lineRule="auto"/>
        <w:rPr>
          <w:rFonts w:hint="default"/>
          <w:sz w:val="28"/>
          <w:szCs w:val="28"/>
          <w:lang w:val="en-US" w:eastAsia="zh-CN"/>
        </w:rPr>
      </w:pPr>
      <w:r>
        <w:rPr>
          <w:rFonts w:hint="eastAsia" w:ascii="黑体" w:hAnsi="黑体" w:eastAsia="黑体" w:cs="黑体"/>
          <w:sz w:val="28"/>
          <w:szCs w:val="28"/>
          <w:lang w:eastAsia="zh-CN"/>
        </w:rPr>
        <w:t>副主任委员：</w:t>
      </w:r>
      <w:r>
        <w:rPr>
          <w:rFonts w:hint="eastAsia" w:ascii="黑体" w:hAnsi="黑体" w:eastAsia="黑体" w:cs="黑体"/>
          <w:sz w:val="28"/>
          <w:szCs w:val="28"/>
          <w:lang w:val="en-US" w:eastAsia="zh-CN"/>
        </w:rPr>
        <w:t xml:space="preserve"> </w:t>
      </w:r>
      <w:r>
        <w:rPr>
          <w:rFonts w:hint="eastAsia" w:ascii="楷体" w:hAnsi="楷体" w:eastAsia="楷体" w:cs="楷体"/>
          <w:kern w:val="2"/>
          <w:sz w:val="28"/>
          <w:szCs w:val="28"/>
          <w:lang w:val="en-US" w:eastAsia="zh-CN" w:bidi="ar"/>
        </w:rPr>
        <w:t xml:space="preserve">屈洪斌   </w:t>
      </w:r>
      <w:r>
        <w:rPr>
          <w:rFonts w:hint="eastAsia" w:ascii="楷体" w:hAnsi="楷体" w:eastAsia="楷体" w:cs="楷体"/>
          <w:sz w:val="28"/>
          <w:szCs w:val="28"/>
          <w:lang w:eastAsia="zh-CN"/>
        </w:rPr>
        <w:t>赵</w:t>
      </w:r>
      <w:r>
        <w:rPr>
          <w:rFonts w:hint="eastAsia" w:ascii="楷体" w:hAnsi="楷体" w:eastAsia="楷体" w:cs="楷体"/>
          <w:sz w:val="28"/>
          <w:szCs w:val="28"/>
          <w:lang w:val="en-US" w:eastAsia="zh-CN"/>
        </w:rPr>
        <w:t xml:space="preserve">  </w:t>
      </w:r>
      <w:r>
        <w:rPr>
          <w:rFonts w:hint="eastAsia" w:ascii="楷体" w:hAnsi="楷体" w:eastAsia="楷体" w:cs="楷体"/>
          <w:sz w:val="28"/>
          <w:szCs w:val="28"/>
          <w:lang w:eastAsia="zh-CN"/>
        </w:rPr>
        <w:t>刚</w:t>
      </w:r>
      <w:r>
        <w:rPr>
          <w:rFonts w:hint="eastAsia" w:ascii="楷体" w:hAnsi="楷体" w:eastAsia="楷体" w:cs="楷体"/>
          <w:sz w:val="28"/>
          <w:szCs w:val="28"/>
          <w:lang w:val="en-US" w:eastAsia="zh-CN"/>
        </w:rPr>
        <w:t xml:space="preserve">   </w:t>
      </w:r>
      <w:r>
        <w:rPr>
          <w:rFonts w:hint="eastAsia" w:ascii="楷体" w:hAnsi="楷体" w:eastAsia="楷体" w:cs="楷体"/>
          <w:kern w:val="2"/>
          <w:sz w:val="28"/>
          <w:szCs w:val="28"/>
          <w:lang w:val="en-US" w:eastAsia="zh-CN" w:bidi="ar"/>
        </w:rPr>
        <w:t>蒋  军</w:t>
      </w:r>
      <w:r>
        <w:rPr>
          <w:rFonts w:hint="eastAsia" w:ascii="楷体" w:hAnsi="楷体" w:eastAsia="楷体" w:cs="楷体"/>
          <w:sz w:val="28"/>
          <w:szCs w:val="28"/>
          <w:lang w:val="en-US" w:eastAsia="zh-CN"/>
        </w:rPr>
        <w:t xml:space="preserve">   马海燕</w:t>
      </w:r>
    </w:p>
    <w:p w14:paraId="79367DAB">
      <w:pPr>
        <w:spacing w:line="360" w:lineRule="auto"/>
        <w:rPr>
          <w:rFonts w:hint="eastAsia" w:ascii="楷体" w:hAnsi="楷体" w:eastAsia="楷体" w:cs="楷体"/>
          <w:sz w:val="28"/>
          <w:szCs w:val="28"/>
          <w:lang w:val="en-US" w:eastAsia="zh-CN"/>
        </w:rPr>
      </w:pPr>
      <w:r>
        <w:rPr>
          <w:rFonts w:hint="eastAsia" w:ascii="黑体" w:hAnsi="黑体" w:eastAsia="黑体" w:cs="黑体"/>
          <w:sz w:val="28"/>
          <w:szCs w:val="28"/>
          <w:lang w:val="en-US" w:eastAsia="zh-CN"/>
        </w:rPr>
        <w:t>委      员：</w:t>
      </w:r>
      <w:r>
        <w:rPr>
          <w:rFonts w:hint="eastAsia" w:ascii="楷体" w:hAnsi="楷体" w:eastAsia="楷体" w:cs="楷体"/>
          <w:sz w:val="28"/>
          <w:szCs w:val="28"/>
          <w:lang w:val="en-US" w:eastAsia="zh-CN"/>
        </w:rPr>
        <w:t xml:space="preserve"> </w:t>
      </w:r>
      <w:r>
        <w:rPr>
          <w:rFonts w:hint="eastAsia" w:ascii="楷体" w:hAnsi="楷体" w:eastAsia="楷体" w:cs="楷体"/>
          <w:kern w:val="2"/>
          <w:sz w:val="28"/>
          <w:szCs w:val="28"/>
          <w:lang w:val="en-US" w:eastAsia="zh-CN" w:bidi="ar"/>
        </w:rPr>
        <w:t>帅宗义</w:t>
      </w:r>
      <w:r>
        <w:rPr>
          <w:rFonts w:hint="eastAsia" w:ascii="黑体" w:hAnsi="黑体" w:eastAsia="黑体" w:cs="黑体"/>
          <w:sz w:val="28"/>
          <w:szCs w:val="28"/>
          <w:lang w:val="en-US" w:eastAsia="zh-CN"/>
        </w:rPr>
        <w:t xml:space="preserve">   </w:t>
      </w:r>
      <w:r>
        <w:rPr>
          <w:rFonts w:hint="eastAsia" w:ascii="楷体" w:hAnsi="楷体" w:eastAsia="楷体" w:cs="楷体"/>
          <w:sz w:val="28"/>
          <w:szCs w:val="28"/>
          <w:lang w:val="en-US" w:eastAsia="zh-CN"/>
        </w:rPr>
        <w:t>高会晋   高德风   万超琪</w:t>
      </w:r>
    </w:p>
    <w:p w14:paraId="11907D38">
      <w:pPr>
        <w:spacing w:line="360" w:lineRule="auto"/>
        <w:rPr>
          <w:rFonts w:hint="eastAsia"/>
          <w:sz w:val="28"/>
          <w:szCs w:val="28"/>
          <w:lang w:val="en-US" w:eastAsia="zh-CN"/>
        </w:rPr>
      </w:pPr>
      <w:r>
        <w:rPr>
          <w:rFonts w:hint="eastAsia" w:ascii="楷体" w:hAnsi="楷体" w:eastAsia="楷体" w:cs="楷体"/>
          <w:sz w:val="28"/>
          <w:szCs w:val="28"/>
          <w:lang w:val="en-US" w:eastAsia="zh-CN"/>
        </w:rPr>
        <w:t xml:space="preserve">             陶朝勋   田  东   孟一飞   蒲必宇</w:t>
      </w:r>
    </w:p>
    <w:p w14:paraId="1FD16081">
      <w:pPr>
        <w:rPr>
          <w:rFonts w:hint="eastAsia"/>
          <w:sz w:val="28"/>
          <w:szCs w:val="28"/>
          <w:lang w:val="en-US" w:eastAsia="zh-CN"/>
        </w:rPr>
      </w:pPr>
    </w:p>
    <w:p w14:paraId="574DF9C7">
      <w:pPr>
        <w:spacing w:after="120" w:afterLines="50" w:line="360" w:lineRule="auto"/>
        <w:jc w:val="center"/>
        <w:rPr>
          <w:rFonts w:hint="eastAsia" w:ascii="宋体" w:hAnsi="宋体" w:cs="Times New Roman"/>
          <w:b/>
          <w:bCs/>
          <w:color w:val="000000" w:themeColor="text1"/>
          <w:sz w:val="32"/>
          <w:szCs w:val="32"/>
          <w:lang w:val="en-US" w:eastAsia="zh-CN"/>
          <w14:textFill>
            <w14:solidFill>
              <w14:schemeClr w14:val="tx1"/>
            </w14:solidFill>
          </w14:textFill>
        </w:rPr>
      </w:pP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编</w:t>
      </w:r>
      <w:r>
        <w:rPr>
          <w:rFonts w:hint="eastAsia" w:ascii="宋体" w:hAnsi="宋体" w:cs="Times New Roman"/>
          <w:b/>
          <w:bCs/>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写</w:t>
      </w:r>
      <w:r>
        <w:rPr>
          <w:rFonts w:hint="eastAsia" w:ascii="宋体" w:hAnsi="宋体" w:cs="Times New Roman"/>
          <w:b/>
          <w:bCs/>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人</w:t>
      </w:r>
      <w:r>
        <w:rPr>
          <w:rFonts w:hint="eastAsia" w:ascii="宋体" w:hAnsi="宋体" w:cs="Times New Roman"/>
          <w:b/>
          <w:bCs/>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员</w:t>
      </w:r>
    </w:p>
    <w:p w14:paraId="682238F5">
      <w:pPr>
        <w:pStyle w:val="2"/>
        <w:spacing w:line="360" w:lineRule="auto"/>
        <w:rPr>
          <w:rFonts w:hint="eastAsia"/>
          <w:lang w:val="en-US" w:eastAsia="zh-CN"/>
        </w:rPr>
      </w:pPr>
    </w:p>
    <w:p w14:paraId="641A92AC">
      <w:pPr>
        <w:spacing w:line="360" w:lineRule="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主      编：</w:t>
      </w:r>
      <w:r>
        <w:rPr>
          <w:rFonts w:hint="eastAsia" w:ascii="楷体" w:hAnsi="楷体" w:eastAsia="楷体" w:cs="楷体"/>
          <w:kern w:val="2"/>
          <w:sz w:val="28"/>
          <w:szCs w:val="28"/>
          <w:lang w:val="en-US" w:eastAsia="zh-CN" w:bidi="ar"/>
        </w:rPr>
        <w:t>赵  鹏</w:t>
      </w:r>
      <w:r>
        <w:rPr>
          <w:rFonts w:hint="eastAsia" w:ascii="楷体" w:hAnsi="楷体" w:eastAsia="楷体" w:cs="楷体"/>
          <w:sz w:val="28"/>
          <w:szCs w:val="28"/>
          <w:lang w:val="en-US" w:eastAsia="zh-CN"/>
        </w:rPr>
        <w:t xml:space="preserve">   邢丽文   王爱梅   戚  吉   李  娟</w:t>
      </w:r>
    </w:p>
    <w:p w14:paraId="24F280C1">
      <w:pPr>
        <w:spacing w:line="360" w:lineRule="auto"/>
        <w:ind w:left="1400" w:hanging="1910" w:hangingChars="500"/>
        <w:rPr>
          <w:rFonts w:hint="eastAsia" w:ascii="楷体" w:hAnsi="楷体" w:eastAsia="楷体" w:cs="楷体"/>
          <w:kern w:val="2"/>
          <w:sz w:val="28"/>
          <w:szCs w:val="28"/>
          <w:lang w:val="en-US" w:eastAsia="zh-CN" w:bidi="ar"/>
        </w:rPr>
      </w:pPr>
      <w:r>
        <w:rPr>
          <w:rFonts w:hint="eastAsia" w:ascii="黑体" w:hAnsi="黑体" w:eastAsia="黑体"/>
          <w:color w:val="000000" w:themeColor="text1"/>
          <w:spacing w:val="51"/>
          <w:sz w:val="28"/>
          <w:szCs w:val="28"/>
          <w:lang w:val="en-US" w:eastAsia="zh-CN"/>
          <w14:textFill>
            <w14:solidFill>
              <w14:schemeClr w14:val="tx1"/>
            </w14:solidFill>
          </w14:textFill>
        </w:rPr>
        <w:t>编写人</w:t>
      </w:r>
      <w:r>
        <w:rPr>
          <w:rFonts w:hint="eastAsia" w:ascii="黑体" w:hAnsi="黑体" w:eastAsia="黑体" w:cs="Times New Roman"/>
          <w:color w:val="000000" w:themeColor="text1"/>
          <w:spacing w:val="0"/>
          <w:sz w:val="28"/>
          <w:szCs w:val="28"/>
          <w:lang w:val="en-US" w:eastAsia="zh-CN"/>
          <w14:textFill>
            <w14:solidFill>
              <w14:schemeClr w14:val="tx1"/>
            </w14:solidFill>
          </w14:textFill>
        </w:rPr>
        <w:t>员</w:t>
      </w:r>
      <w:r>
        <w:rPr>
          <w:rFonts w:hint="eastAsia" w:ascii="黑体" w:hAnsi="黑体" w:eastAsia="黑体" w:cs="Times New Roman"/>
          <w:color w:val="000000" w:themeColor="text1"/>
          <w:spacing w:val="0"/>
          <w:kern w:val="2"/>
          <w:sz w:val="28"/>
          <w:szCs w:val="28"/>
          <w:lang w:eastAsia="zh-CN"/>
          <w14:textFill>
            <w14:solidFill>
              <w14:schemeClr w14:val="tx1"/>
            </w14:solidFill>
          </w14:textFill>
        </w:rPr>
        <w:t>：</w:t>
      </w:r>
      <w:r>
        <w:rPr>
          <w:rFonts w:hint="eastAsia" w:ascii="楷体" w:hAnsi="楷体" w:eastAsia="楷体" w:cs="楷体"/>
          <w:sz w:val="28"/>
          <w:szCs w:val="28"/>
          <w:lang w:val="en-US" w:eastAsia="zh-CN"/>
        </w:rPr>
        <w:t xml:space="preserve">龙旭东   谭  勇   李冠迪   </w:t>
      </w:r>
      <w:r>
        <w:rPr>
          <w:rFonts w:hint="eastAsia" w:ascii="楷体" w:hAnsi="楷体" w:eastAsia="楷体" w:cs="楷体"/>
          <w:kern w:val="2"/>
          <w:sz w:val="28"/>
          <w:szCs w:val="28"/>
          <w:lang w:val="en-US" w:eastAsia="zh-CN" w:bidi="ar"/>
        </w:rPr>
        <w:t xml:space="preserve">游四海   周光涛  </w:t>
      </w:r>
    </w:p>
    <w:p w14:paraId="2F9CC521">
      <w:pPr>
        <w:pStyle w:val="299"/>
        <w:spacing w:line="360" w:lineRule="auto"/>
        <w:ind w:firstLine="1680" w:firstLineChars="600"/>
        <w:jc w:val="both"/>
        <w:rPr>
          <w:rFonts w:hint="eastAsia" w:ascii="楷体" w:hAnsi="楷体" w:eastAsia="楷体" w:cs="楷体"/>
          <w:b w:val="0"/>
          <w:sz w:val="28"/>
          <w:szCs w:val="28"/>
          <w:lang w:bidi="ar"/>
        </w:rPr>
      </w:pPr>
      <w:r>
        <w:rPr>
          <w:rFonts w:hint="eastAsia" w:ascii="楷体" w:hAnsi="楷体" w:eastAsia="楷体" w:cs="楷体"/>
          <w:kern w:val="2"/>
          <w:sz w:val="28"/>
          <w:szCs w:val="28"/>
          <w:lang w:val="en-US" w:eastAsia="zh-CN" w:bidi="ar"/>
        </w:rPr>
        <w:t>李其林   王浩源   李  锟</w:t>
      </w:r>
    </w:p>
    <w:p w14:paraId="282B8B76">
      <w:pPr>
        <w:rPr>
          <w:rFonts w:hint="eastAsia" w:ascii="黑体" w:hAnsi="黑体" w:eastAsia="黑体" w:cs="黑体"/>
          <w:spacing w:val="28"/>
          <w:kern w:val="3"/>
          <w:sz w:val="28"/>
          <w:szCs w:val="28"/>
          <w:lang w:eastAsia="zh-CN"/>
        </w:rPr>
      </w:pPr>
    </w:p>
    <w:p w14:paraId="1BBBE8EB">
      <w:pPr>
        <w:pStyle w:val="2"/>
        <w:rPr>
          <w:rFonts w:hint="eastAsia"/>
          <w:lang w:eastAsia="zh-CN"/>
        </w:rPr>
      </w:pPr>
    </w:p>
    <w:p w14:paraId="6BDAFE35">
      <w:pPr>
        <w:spacing w:line="360" w:lineRule="auto"/>
        <w:jc w:val="left"/>
        <w:rPr>
          <w:rFonts w:hint="eastAsia"/>
          <w:sz w:val="28"/>
          <w:szCs w:val="28"/>
          <w:lang w:eastAsia="zh-CN"/>
        </w:rPr>
      </w:pPr>
      <w:r>
        <w:rPr>
          <w:rFonts w:hint="eastAsia" w:ascii="黑体" w:hAnsi="黑体" w:eastAsia="黑体"/>
          <w:color w:val="000000" w:themeColor="text1"/>
          <w:spacing w:val="51"/>
          <w:sz w:val="28"/>
          <w:szCs w:val="28"/>
          <w:lang w:val="en-US" w:eastAsia="zh-CN"/>
          <w14:textFill>
            <w14:solidFill>
              <w14:schemeClr w14:val="tx1"/>
            </w14:solidFill>
          </w14:textFill>
        </w:rPr>
        <w:t>编制单</w:t>
      </w:r>
      <w:r>
        <w:rPr>
          <w:rFonts w:hint="eastAsia" w:ascii="黑体" w:hAnsi="黑体" w:eastAsia="黑体" w:cs="Times New Roman"/>
          <w:color w:val="000000" w:themeColor="text1"/>
          <w:spacing w:val="0"/>
          <w:sz w:val="28"/>
          <w:szCs w:val="28"/>
          <w:lang w:val="en-US" w:eastAsia="zh-CN"/>
          <w14:textFill>
            <w14:solidFill>
              <w14:schemeClr w14:val="tx1"/>
            </w14:solidFill>
          </w14:textFill>
        </w:rPr>
        <w:t>位</w:t>
      </w:r>
      <w:r>
        <w:rPr>
          <w:rFonts w:hint="eastAsia" w:ascii="黑体" w:hAnsi="黑体" w:eastAsia="黑体" w:cs="Times New Roman"/>
          <w:color w:val="000000" w:themeColor="text1"/>
          <w:spacing w:val="0"/>
          <w:kern w:val="2"/>
          <w:sz w:val="28"/>
          <w:szCs w:val="28"/>
          <w:lang w:eastAsia="zh-CN"/>
          <w14:textFill>
            <w14:solidFill>
              <w14:schemeClr w14:val="tx1"/>
            </w14:solidFill>
          </w14:textFill>
        </w:rPr>
        <w:t>：</w:t>
      </w:r>
      <w:r>
        <w:rPr>
          <w:rFonts w:hint="eastAsia" w:ascii="楷体" w:hAnsi="楷体" w:eastAsia="楷体" w:cs="楷体"/>
          <w:sz w:val="28"/>
          <w:szCs w:val="28"/>
          <w:lang w:eastAsia="zh-CN"/>
        </w:rPr>
        <w:t>四川省交通运输厅</w:t>
      </w:r>
    </w:p>
    <w:p w14:paraId="199B5B8F">
      <w:pPr>
        <w:spacing w:line="360" w:lineRule="auto"/>
        <w:ind w:firstLine="1680" w:firstLineChars="600"/>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四川省交通运输厅公路局</w:t>
      </w:r>
    </w:p>
    <w:p w14:paraId="4A863EF0">
      <w:pPr>
        <w:pStyle w:val="299"/>
        <w:spacing w:line="360" w:lineRule="auto"/>
        <w:ind w:firstLine="1680" w:firstLineChars="600"/>
        <w:jc w:val="left"/>
        <w:rPr>
          <w:rFonts w:hint="eastAsia" w:ascii="黑体" w:hAnsi="黑体" w:eastAsia="黑体"/>
          <w:color w:val="auto"/>
          <w:sz w:val="44"/>
          <w:szCs w:val="44"/>
          <w:highlight w:val="none"/>
        </w:rPr>
      </w:pPr>
      <w:r>
        <w:rPr>
          <w:rFonts w:hint="eastAsia" w:ascii="楷体" w:hAnsi="楷体" w:eastAsia="楷体" w:cs="楷体"/>
          <w:sz w:val="28"/>
          <w:szCs w:val="28"/>
          <w:lang w:eastAsia="zh-CN"/>
        </w:rPr>
        <w:t>四川省川交公路工程咨询有限公司</w:t>
      </w:r>
    </w:p>
    <w:p w14:paraId="19A06321">
      <w:pPr>
        <w:pStyle w:val="299"/>
        <w:spacing w:line="360" w:lineRule="auto"/>
        <w:jc w:val="center"/>
        <w:rPr>
          <w:rFonts w:hint="eastAsia" w:ascii="黑体" w:hAnsi="黑体" w:eastAsia="黑体"/>
          <w:color w:val="auto"/>
          <w:sz w:val="44"/>
          <w:szCs w:val="44"/>
          <w:highlight w:val="none"/>
        </w:rPr>
      </w:pPr>
    </w:p>
    <w:p w14:paraId="06ACDEBC">
      <w:pPr>
        <w:pStyle w:val="299"/>
        <w:spacing w:line="360" w:lineRule="auto"/>
        <w:jc w:val="center"/>
        <w:rPr>
          <w:rFonts w:hint="eastAsia" w:ascii="黑体" w:hAnsi="黑体" w:eastAsia="黑体"/>
          <w:color w:val="auto"/>
          <w:sz w:val="44"/>
          <w:szCs w:val="44"/>
          <w:highlight w:val="none"/>
        </w:rPr>
      </w:pPr>
    </w:p>
    <w:p w14:paraId="0CAE964A">
      <w:pPr>
        <w:pStyle w:val="299"/>
        <w:spacing w:line="360" w:lineRule="auto"/>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使 用 说 明</w:t>
      </w:r>
    </w:p>
    <w:p w14:paraId="4C9B3B5D">
      <w:pPr>
        <w:pStyle w:val="299"/>
        <w:spacing w:line="360" w:lineRule="auto"/>
        <w:ind w:firstLine="480" w:firstLineChars="200"/>
        <w:rPr>
          <w:rFonts w:ascii="仿宋" w:hAnsi="仿宋" w:eastAsia="仿宋"/>
          <w:color w:val="auto"/>
          <w:sz w:val="24"/>
          <w:highlight w:val="none"/>
        </w:rPr>
      </w:pPr>
    </w:p>
    <w:p w14:paraId="25020CA0">
      <w:pPr>
        <w:pStyle w:val="299"/>
        <w:spacing w:line="360" w:lineRule="auto"/>
        <w:ind w:firstLine="480" w:firstLineChars="200"/>
        <w:rPr>
          <w:rFonts w:ascii="仿宋" w:hAnsi="仿宋" w:eastAsia="仿宋"/>
          <w:b w:val="0"/>
          <w:bCs w:val="0"/>
          <w:color w:val="auto"/>
          <w:sz w:val="24"/>
          <w:highlight w:val="none"/>
        </w:rPr>
      </w:pPr>
      <w:r>
        <w:rPr>
          <w:rFonts w:hint="eastAsia" w:ascii="仿宋" w:hAnsi="仿宋" w:eastAsia="仿宋"/>
          <w:b w:val="0"/>
          <w:bCs w:val="0"/>
          <w:color w:val="auto"/>
          <w:sz w:val="24"/>
          <w:highlight w:val="none"/>
        </w:rPr>
        <w:t>一、为加强四川省</w:t>
      </w:r>
      <w:r>
        <w:rPr>
          <w:rFonts w:hint="eastAsia" w:ascii="仿宋" w:hAnsi="仿宋" w:eastAsia="仿宋"/>
          <w:b w:val="0"/>
          <w:bCs w:val="0"/>
          <w:color w:val="auto"/>
          <w:sz w:val="24"/>
          <w:highlight w:val="none"/>
          <w:lang w:eastAsia="zh-CN"/>
        </w:rPr>
        <w:t>普通公路</w:t>
      </w:r>
      <w:r>
        <w:rPr>
          <w:rFonts w:hint="eastAsia" w:ascii="仿宋" w:hAnsi="仿宋" w:eastAsia="仿宋"/>
          <w:b w:val="0"/>
          <w:bCs w:val="0"/>
          <w:color w:val="auto"/>
          <w:sz w:val="24"/>
          <w:highlight w:val="none"/>
        </w:rPr>
        <w:t>工程电子招标管理，规范招标文件编制工作，四川省交通运输厅组织</w:t>
      </w:r>
      <w:r>
        <w:rPr>
          <w:rFonts w:ascii="仿宋" w:hAnsi="仿宋" w:eastAsia="仿宋" w:cs="宋体"/>
          <w:color w:val="auto"/>
          <w:sz w:val="24"/>
          <w:highlight w:val="none"/>
        </w:rPr>
        <w:t>四川省交通运输厅</w:t>
      </w:r>
      <w:r>
        <w:rPr>
          <w:rFonts w:hint="eastAsia" w:ascii="仿宋" w:hAnsi="仿宋" w:eastAsia="仿宋" w:cs="宋体"/>
          <w:color w:val="auto"/>
          <w:sz w:val="24"/>
          <w:highlight w:val="none"/>
        </w:rPr>
        <w:t>公路局</w:t>
      </w:r>
      <w:r>
        <w:rPr>
          <w:rFonts w:hint="eastAsia" w:ascii="仿宋" w:hAnsi="仿宋" w:eastAsia="仿宋" w:cs="宋体"/>
          <w:color w:val="auto"/>
          <w:sz w:val="24"/>
          <w:highlight w:val="none"/>
          <w:lang w:eastAsia="zh-CN"/>
        </w:rPr>
        <w:t>、</w:t>
      </w:r>
      <w:r>
        <w:rPr>
          <w:rFonts w:hint="eastAsia" w:ascii="仿宋" w:hAnsi="仿宋" w:eastAsia="仿宋"/>
          <w:b w:val="0"/>
          <w:bCs w:val="0"/>
          <w:color w:val="auto"/>
          <w:sz w:val="24"/>
          <w:highlight w:val="none"/>
        </w:rPr>
        <w:t>四川省川交公路工程咨询有限公司编制并经审定形成了《四川省</w:t>
      </w:r>
      <w:r>
        <w:rPr>
          <w:rFonts w:hint="eastAsia" w:ascii="仿宋" w:hAnsi="仿宋" w:eastAsia="仿宋"/>
          <w:b w:val="0"/>
          <w:bCs w:val="0"/>
          <w:color w:val="auto"/>
          <w:sz w:val="24"/>
          <w:highlight w:val="none"/>
          <w:lang w:val="en-US" w:eastAsia="zh-CN"/>
        </w:rPr>
        <w:t>普通</w:t>
      </w:r>
      <w:r>
        <w:rPr>
          <w:rFonts w:hint="eastAsia" w:ascii="仿宋" w:hAnsi="仿宋" w:eastAsia="仿宋"/>
          <w:b w:val="0"/>
          <w:bCs w:val="0"/>
          <w:color w:val="auto"/>
          <w:sz w:val="24"/>
          <w:highlight w:val="none"/>
        </w:rPr>
        <w:t>公路工程电子招标标准施工招标文件》（</w:t>
      </w:r>
      <w:r>
        <w:rPr>
          <w:rFonts w:ascii="仿宋" w:hAnsi="仿宋" w:eastAsia="仿宋"/>
          <w:b w:val="0"/>
          <w:bCs w:val="0"/>
          <w:color w:val="auto"/>
          <w:sz w:val="24"/>
          <w:highlight w:val="none"/>
        </w:rPr>
        <w:t>202</w:t>
      </w:r>
      <w:r>
        <w:rPr>
          <w:rFonts w:hint="eastAsia" w:ascii="仿宋" w:hAnsi="仿宋" w:eastAsia="仿宋"/>
          <w:b w:val="0"/>
          <w:bCs w:val="0"/>
          <w:color w:val="auto"/>
          <w:sz w:val="24"/>
          <w:highlight w:val="none"/>
          <w:lang w:val="en-US" w:eastAsia="zh-CN"/>
        </w:rPr>
        <w:t>4</w:t>
      </w:r>
      <w:r>
        <w:rPr>
          <w:rFonts w:hint="eastAsia" w:ascii="仿宋" w:hAnsi="仿宋" w:eastAsia="仿宋"/>
          <w:b w:val="0"/>
          <w:bCs w:val="0"/>
          <w:color w:val="auto"/>
          <w:sz w:val="24"/>
          <w:highlight w:val="none"/>
        </w:rPr>
        <w:t>年版）（以下简称《</w:t>
      </w:r>
      <w:r>
        <w:rPr>
          <w:rFonts w:hint="eastAsia" w:ascii="仿宋" w:hAnsi="仿宋" w:eastAsia="仿宋"/>
          <w:b w:val="0"/>
          <w:bCs w:val="0"/>
          <w:color w:val="auto"/>
          <w:sz w:val="24"/>
          <w:highlight w:val="none"/>
          <w:lang w:val="en-US" w:eastAsia="zh-CN"/>
        </w:rPr>
        <w:t>普通公路</w:t>
      </w:r>
      <w:r>
        <w:rPr>
          <w:rFonts w:hint="eastAsia" w:ascii="仿宋" w:hAnsi="仿宋" w:eastAsia="仿宋"/>
          <w:b w:val="0"/>
          <w:bCs w:val="0"/>
          <w:color w:val="auto"/>
          <w:sz w:val="24"/>
          <w:highlight w:val="none"/>
        </w:rPr>
        <w:t>标准文件》）。</w:t>
      </w:r>
    </w:p>
    <w:p w14:paraId="26355F75">
      <w:pPr>
        <w:spacing w:line="360" w:lineRule="auto"/>
        <w:ind w:firstLine="480" w:firstLineChars="200"/>
        <w:rPr>
          <w:rFonts w:hint="eastAsia" w:ascii="仿宋" w:hAnsi="仿宋" w:eastAsia="仿宋"/>
          <w:b w:val="0"/>
          <w:bCs w:val="0"/>
          <w:color w:val="auto"/>
          <w:sz w:val="24"/>
          <w:highlight w:val="none"/>
        </w:rPr>
      </w:pPr>
      <w:r>
        <w:rPr>
          <w:rFonts w:hint="eastAsia" w:ascii="仿宋" w:hAnsi="仿宋" w:eastAsia="仿宋"/>
          <w:color w:val="auto"/>
          <w:sz w:val="24"/>
          <w:highlight w:val="none"/>
        </w:rPr>
        <w:t>二、《</w:t>
      </w:r>
      <w:r>
        <w:rPr>
          <w:rFonts w:hint="eastAsia" w:ascii="仿宋" w:hAnsi="仿宋" w:eastAsia="仿宋"/>
          <w:color w:val="auto"/>
          <w:sz w:val="24"/>
          <w:highlight w:val="none"/>
          <w:lang w:val="en-US" w:eastAsia="zh-CN"/>
        </w:rPr>
        <w:t>普通公路</w:t>
      </w:r>
      <w:r>
        <w:rPr>
          <w:rFonts w:hint="eastAsia" w:ascii="仿宋" w:hAnsi="仿宋" w:eastAsia="仿宋"/>
          <w:color w:val="auto"/>
          <w:sz w:val="24"/>
          <w:highlight w:val="none"/>
        </w:rPr>
        <w:t>标准文件》以《中华人民共和国标准施工招标文件》（2007年版）、交通运输部《公路工程标准施工招标文件》（2018年版）为基础，以《中华人民共和国招标投标法》《中华人民共和国招标投标法实施条例》《电子招标投标办法》（20</w:t>
      </w: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年2月4日</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国家发展和改革委员会 工业和信息化部 监察部 住房和城乡建设部 交通运输部 铁道部 水利部 商务部令第20号）</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《公路工程建设项目招标投标管理办法》（交通运输部令2015 年第24 号）、交通运输部《公路工程建设项目评标工作细则》（交公路规〔2022〕8号）、《四川省农村公路条例》</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四川省第十二届人民代表大会常务委员会公告第89号</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农村公路建设管理办法</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（交通运输部令2018年第4号）</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w:t>
      </w: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HYPERLINK "https://baike.so.com/doc/5397698-5635041.html" \t "https://baike.so.com/doc/_blank"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农村</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公路建设质量管理办法》(交安监发〔2018〕152号)</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四川省交通运输厅《四川省公路工程建设项目招标投标管理实施细则》（川交发〔2019〕32号）</w:t>
      </w:r>
      <w:r>
        <w:rPr>
          <w:rFonts w:hint="eastAsia" w:ascii="仿宋" w:hAnsi="仿宋" w:eastAsia="仿宋"/>
          <w:color w:val="auto"/>
          <w:sz w:val="24"/>
          <w:highlight w:val="none"/>
          <w:lang w:val="en-US" w:eastAsia="zh-CN"/>
        </w:rPr>
        <w:t>及</w:t>
      </w:r>
      <w:r>
        <w:rPr>
          <w:rFonts w:hint="eastAsia" w:ascii="仿宋" w:hAnsi="仿宋" w:eastAsia="仿宋"/>
          <w:color w:val="auto"/>
          <w:sz w:val="24"/>
          <w:highlight w:val="none"/>
        </w:rPr>
        <w:t>《四川省农村公路建设管理办法》</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川交规</w:t>
      </w:r>
      <w:r>
        <w:rPr>
          <w:rFonts w:hint="eastAsia" w:ascii="仿宋" w:hAnsi="仿宋" w:eastAsia="仿宋"/>
          <w:color w:val="auto"/>
          <w:sz w:val="24"/>
          <w:highlight w:val="none"/>
        </w:rPr>
        <w:t>〔20</w:t>
      </w:r>
      <w:r>
        <w:rPr>
          <w:rFonts w:hint="eastAsia" w:ascii="仿宋" w:hAnsi="仿宋" w:eastAsia="仿宋"/>
          <w:color w:val="auto"/>
          <w:sz w:val="24"/>
          <w:highlight w:val="none"/>
          <w:lang w:val="en-US" w:eastAsia="zh-CN"/>
        </w:rPr>
        <w:t>22</w:t>
      </w:r>
      <w:r>
        <w:rPr>
          <w:rFonts w:hint="eastAsia" w:ascii="仿宋" w:hAnsi="仿宋" w:eastAsia="仿宋"/>
          <w:color w:val="auto"/>
          <w:sz w:val="24"/>
          <w:highlight w:val="none"/>
        </w:rPr>
        <w:t>〕2号</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等法律法规</w:t>
      </w:r>
      <w:r>
        <w:rPr>
          <w:rFonts w:hint="eastAsia" w:ascii="仿宋" w:hAnsi="仿宋" w:eastAsia="仿宋"/>
          <w:color w:val="auto"/>
          <w:sz w:val="24"/>
          <w:highlight w:val="none"/>
          <w:lang w:val="en-US" w:eastAsia="zh-CN"/>
        </w:rPr>
        <w:t>和部门</w:t>
      </w:r>
      <w:r>
        <w:rPr>
          <w:rFonts w:hint="eastAsia" w:ascii="仿宋" w:hAnsi="仿宋" w:eastAsia="仿宋"/>
          <w:color w:val="auto"/>
          <w:sz w:val="24"/>
          <w:highlight w:val="none"/>
          <w:lang w:eastAsia="zh-CN"/>
        </w:rPr>
        <w:t>规章及</w:t>
      </w:r>
      <w:r>
        <w:rPr>
          <w:rFonts w:hint="eastAsia" w:ascii="仿宋" w:hAnsi="仿宋" w:eastAsia="仿宋"/>
          <w:color w:val="auto"/>
          <w:sz w:val="24"/>
          <w:highlight w:val="none"/>
          <w:lang w:val="en-US" w:eastAsia="zh-CN"/>
        </w:rPr>
        <w:t>行政规范性</w:t>
      </w:r>
      <w:r>
        <w:rPr>
          <w:rFonts w:hint="eastAsia" w:ascii="仿宋" w:hAnsi="仿宋" w:eastAsia="仿宋"/>
          <w:color w:val="auto"/>
          <w:sz w:val="24"/>
          <w:highlight w:val="none"/>
          <w:lang w:eastAsia="zh-CN"/>
        </w:rPr>
        <w:t>文件</w:t>
      </w:r>
      <w:r>
        <w:rPr>
          <w:rFonts w:hint="eastAsia" w:ascii="仿宋" w:hAnsi="仿宋" w:eastAsia="仿宋"/>
          <w:color w:val="auto"/>
          <w:sz w:val="24"/>
          <w:highlight w:val="none"/>
        </w:rPr>
        <w:t>为依据，结合四川省</w:t>
      </w:r>
      <w:r>
        <w:rPr>
          <w:rFonts w:hint="eastAsia" w:ascii="仿宋" w:hAnsi="仿宋" w:eastAsia="仿宋"/>
          <w:color w:val="auto"/>
          <w:sz w:val="24"/>
          <w:highlight w:val="none"/>
          <w:lang w:eastAsia="zh-CN"/>
        </w:rPr>
        <w:t>普通公路</w:t>
      </w:r>
      <w:r>
        <w:rPr>
          <w:rFonts w:hint="eastAsia" w:ascii="仿宋" w:hAnsi="仿宋" w:eastAsia="仿宋"/>
          <w:color w:val="auto"/>
          <w:sz w:val="24"/>
          <w:highlight w:val="none"/>
        </w:rPr>
        <w:t>工程施工招标特点和电子招标管理需要编制而成。</w:t>
      </w:r>
    </w:p>
    <w:p w14:paraId="3EE4F51C">
      <w:pPr>
        <w:pStyle w:val="299"/>
        <w:spacing w:line="360" w:lineRule="auto"/>
        <w:ind w:firstLine="480" w:firstLineChars="200"/>
        <w:rPr>
          <w:rFonts w:hint="eastAsia" w:ascii="仿宋" w:hAnsi="仿宋" w:eastAsia="仿宋"/>
          <w:b w:val="0"/>
          <w:bCs w:val="0"/>
          <w:color w:val="auto"/>
          <w:sz w:val="24"/>
          <w:highlight w:val="none"/>
          <w:lang w:eastAsia="zh-CN"/>
        </w:rPr>
      </w:pPr>
      <w:r>
        <w:rPr>
          <w:rFonts w:hint="eastAsia" w:ascii="仿宋" w:hAnsi="仿宋" w:eastAsia="仿宋"/>
          <w:b w:val="0"/>
          <w:bCs w:val="0"/>
          <w:color w:val="auto"/>
          <w:sz w:val="24"/>
          <w:highlight w:val="none"/>
        </w:rPr>
        <w:t>三、《</w:t>
      </w:r>
      <w:r>
        <w:rPr>
          <w:rFonts w:hint="eastAsia" w:ascii="仿宋" w:hAnsi="仿宋" w:eastAsia="仿宋"/>
          <w:b w:val="0"/>
          <w:bCs w:val="0"/>
          <w:color w:val="auto"/>
          <w:sz w:val="24"/>
          <w:highlight w:val="none"/>
          <w:lang w:eastAsia="zh-CN"/>
        </w:rPr>
        <w:t>普通公路</w:t>
      </w:r>
      <w:r>
        <w:rPr>
          <w:rFonts w:hint="eastAsia" w:ascii="仿宋" w:hAnsi="仿宋" w:eastAsia="仿宋"/>
          <w:b w:val="0"/>
          <w:bCs w:val="0"/>
          <w:color w:val="auto"/>
          <w:sz w:val="24"/>
          <w:highlight w:val="none"/>
        </w:rPr>
        <w:t>标准文件》适用于</w:t>
      </w:r>
      <w:r>
        <w:rPr>
          <w:rFonts w:hint="eastAsia" w:ascii="仿宋" w:hAnsi="仿宋" w:eastAsia="仿宋"/>
          <w:b w:val="0"/>
          <w:bCs w:val="0"/>
          <w:color w:val="auto"/>
          <w:sz w:val="24"/>
          <w:highlight w:val="none"/>
          <w:lang w:val="en-US" w:eastAsia="zh-CN"/>
        </w:rPr>
        <w:t>依法招标的</w:t>
      </w:r>
      <w:r>
        <w:rPr>
          <w:rFonts w:hint="eastAsia" w:ascii="仿宋" w:hAnsi="仿宋" w:eastAsia="仿宋"/>
          <w:b w:val="0"/>
          <w:bCs w:val="0"/>
          <w:color w:val="auto"/>
          <w:sz w:val="24"/>
          <w:highlight w:val="none"/>
        </w:rPr>
        <w:t>四川省</w:t>
      </w:r>
      <w:r>
        <w:rPr>
          <w:rFonts w:hint="eastAsia" w:ascii="仿宋" w:hAnsi="仿宋" w:eastAsia="仿宋"/>
          <w:b w:val="0"/>
          <w:bCs w:val="0"/>
          <w:color w:val="auto"/>
          <w:sz w:val="24"/>
          <w:highlight w:val="none"/>
          <w:lang w:val="en-US" w:eastAsia="zh-CN"/>
        </w:rPr>
        <w:t>普通</w:t>
      </w:r>
      <w:r>
        <w:rPr>
          <w:rFonts w:hint="eastAsia" w:ascii="仿宋" w:hAnsi="仿宋" w:eastAsia="仿宋"/>
          <w:b w:val="0"/>
          <w:bCs w:val="0"/>
          <w:color w:val="auto"/>
          <w:sz w:val="24"/>
          <w:highlight w:val="none"/>
          <w:lang w:eastAsia="zh-CN"/>
        </w:rPr>
        <w:t>国省干线</w:t>
      </w:r>
      <w:r>
        <w:rPr>
          <w:rFonts w:hint="eastAsia" w:ascii="仿宋" w:hAnsi="仿宋" w:eastAsia="仿宋"/>
          <w:b w:val="0"/>
          <w:bCs w:val="0"/>
          <w:color w:val="auto"/>
          <w:sz w:val="24"/>
          <w:highlight w:val="none"/>
        </w:rPr>
        <w:t>及农村公路</w:t>
      </w:r>
      <w:r>
        <w:rPr>
          <w:rFonts w:hint="eastAsia" w:ascii="仿宋" w:hAnsi="仿宋" w:eastAsia="仿宋"/>
          <w:b w:val="0"/>
          <w:bCs w:val="0"/>
          <w:color w:val="auto"/>
          <w:sz w:val="24"/>
          <w:highlight w:val="none"/>
          <w:lang w:val="en-US" w:eastAsia="zh-CN"/>
        </w:rPr>
        <w:t>建设项目</w:t>
      </w:r>
      <w:r>
        <w:rPr>
          <w:rFonts w:hint="eastAsia" w:ascii="仿宋" w:hAnsi="仿宋" w:eastAsia="仿宋"/>
          <w:b w:val="0"/>
          <w:bCs w:val="0"/>
          <w:color w:val="auto"/>
          <w:sz w:val="24"/>
          <w:highlight w:val="none"/>
        </w:rPr>
        <w:t>的路基</w:t>
      </w:r>
      <w:r>
        <w:rPr>
          <w:rFonts w:ascii="仿宋" w:hAnsi="仿宋" w:eastAsia="仿宋"/>
          <w:b w:val="0"/>
          <w:bCs w:val="0"/>
          <w:color w:val="auto"/>
          <w:sz w:val="24"/>
          <w:highlight w:val="none"/>
        </w:rPr>
        <w:t>、路面</w:t>
      </w:r>
      <w:r>
        <w:rPr>
          <w:rFonts w:hint="eastAsia" w:ascii="仿宋" w:hAnsi="仿宋" w:eastAsia="仿宋"/>
          <w:b w:val="0"/>
          <w:bCs w:val="0"/>
          <w:color w:val="auto"/>
          <w:sz w:val="24"/>
          <w:highlight w:val="none"/>
        </w:rPr>
        <w:t>、桥梁</w:t>
      </w:r>
      <w:r>
        <w:rPr>
          <w:rFonts w:ascii="仿宋" w:hAnsi="仿宋" w:eastAsia="仿宋"/>
          <w:b w:val="0"/>
          <w:bCs w:val="0"/>
          <w:color w:val="auto"/>
          <w:sz w:val="24"/>
          <w:highlight w:val="none"/>
        </w:rPr>
        <w:t>、隧道</w:t>
      </w:r>
      <w:r>
        <w:rPr>
          <w:rFonts w:hint="eastAsia" w:ascii="仿宋" w:hAnsi="仿宋" w:eastAsia="仿宋"/>
          <w:b w:val="0"/>
          <w:bCs w:val="0"/>
          <w:color w:val="auto"/>
          <w:sz w:val="24"/>
          <w:highlight w:val="none"/>
        </w:rPr>
        <w:t>、</w:t>
      </w:r>
      <w:r>
        <w:rPr>
          <w:rFonts w:ascii="仿宋" w:hAnsi="仿宋" w:eastAsia="仿宋"/>
          <w:b w:val="0"/>
          <w:bCs w:val="0"/>
          <w:color w:val="auto"/>
          <w:sz w:val="24"/>
          <w:highlight w:val="none"/>
        </w:rPr>
        <w:t>交通安全设施</w:t>
      </w:r>
      <w:r>
        <w:rPr>
          <w:rFonts w:hint="eastAsia" w:ascii="仿宋" w:hAnsi="仿宋" w:eastAsia="仿宋"/>
          <w:b w:val="0"/>
          <w:bCs w:val="0"/>
          <w:color w:val="auto"/>
          <w:sz w:val="24"/>
          <w:highlight w:val="none"/>
        </w:rPr>
        <w:t>、绿化及环境保护设施、房建、机电等</w:t>
      </w:r>
      <w:r>
        <w:rPr>
          <w:rFonts w:hint="default" w:ascii="仿宋" w:hAnsi="仿宋" w:eastAsia="仿宋"/>
          <w:b w:val="0"/>
          <w:bCs w:val="0"/>
          <w:color w:val="auto"/>
          <w:sz w:val="24"/>
          <w:highlight w:val="none"/>
          <w:lang w:eastAsia="zh-CN"/>
        </w:rPr>
        <w:t>施工</w:t>
      </w:r>
      <w:r>
        <w:rPr>
          <w:rFonts w:hint="default" w:ascii="仿宋" w:hAnsi="仿宋" w:eastAsia="仿宋"/>
          <w:b w:val="0"/>
          <w:bCs w:val="0"/>
          <w:color w:val="auto"/>
          <w:sz w:val="24"/>
          <w:highlight w:val="none"/>
          <w:lang w:val="en-US" w:eastAsia="zh-CN"/>
        </w:rPr>
        <w:t>项目</w:t>
      </w:r>
      <w:r>
        <w:rPr>
          <w:rFonts w:hint="eastAsia" w:ascii="仿宋" w:hAnsi="仿宋" w:eastAsia="仿宋"/>
          <w:b w:val="0"/>
          <w:bCs w:val="0"/>
          <w:color w:val="auto"/>
          <w:sz w:val="24"/>
          <w:highlight w:val="none"/>
          <w:lang w:eastAsia="zh-CN"/>
        </w:rPr>
        <w:t>，</w:t>
      </w:r>
      <w:r>
        <w:rPr>
          <w:rFonts w:hint="default" w:ascii="仿宋" w:hAnsi="仿宋" w:eastAsia="仿宋"/>
          <w:color w:val="auto"/>
          <w:sz w:val="24"/>
          <w:highlight w:val="none"/>
        </w:rPr>
        <w:t>普通公路养护工程可参照使用。</w:t>
      </w:r>
    </w:p>
    <w:p w14:paraId="2B90BCDD">
      <w:pPr>
        <w:pStyle w:val="299"/>
        <w:spacing w:line="360" w:lineRule="auto"/>
        <w:ind w:firstLine="480" w:firstLineChars="200"/>
        <w:rPr>
          <w:rFonts w:ascii="仿宋" w:hAnsi="仿宋" w:eastAsia="仿宋"/>
          <w:color w:val="auto"/>
          <w:sz w:val="24"/>
          <w:highlight w:val="none"/>
        </w:rPr>
      </w:pPr>
      <w:r>
        <w:rPr>
          <w:rFonts w:hint="eastAsia" w:ascii="仿宋" w:hAnsi="仿宋" w:eastAsia="仿宋"/>
          <w:b w:val="0"/>
          <w:bCs w:val="0"/>
          <w:color w:val="auto"/>
          <w:sz w:val="24"/>
          <w:highlight w:val="none"/>
        </w:rPr>
        <w:t>四、招标人根据《</w:t>
      </w:r>
      <w:r>
        <w:rPr>
          <w:rFonts w:hint="eastAsia" w:ascii="仿宋" w:hAnsi="仿宋" w:eastAsia="仿宋"/>
          <w:b w:val="0"/>
          <w:bCs w:val="0"/>
          <w:color w:val="auto"/>
          <w:sz w:val="24"/>
          <w:highlight w:val="none"/>
          <w:lang w:eastAsia="zh-CN"/>
        </w:rPr>
        <w:t>普通公路标准文件</w:t>
      </w:r>
      <w:r>
        <w:rPr>
          <w:rFonts w:hint="eastAsia" w:ascii="仿宋" w:hAnsi="仿宋" w:eastAsia="仿宋"/>
          <w:b w:val="0"/>
          <w:bCs w:val="0"/>
          <w:color w:val="auto"/>
          <w:sz w:val="24"/>
          <w:highlight w:val="none"/>
        </w:rPr>
        <w:t>》编制项目招标文件时，不得修改“投</w:t>
      </w:r>
      <w:r>
        <w:rPr>
          <w:rFonts w:hint="eastAsia" w:ascii="仿宋" w:hAnsi="仿宋" w:eastAsia="仿宋"/>
          <w:color w:val="auto"/>
          <w:sz w:val="24"/>
          <w:highlight w:val="none"/>
        </w:rPr>
        <w:t>标人须知”正文和“评标办法”正文，但可在前附表中对“投标人须知”和“评标办法”进行补充、细化，补充和细化的内容不得与“投标人须知”和“评标办法”正文内容相抵触。</w:t>
      </w:r>
    </w:p>
    <w:p w14:paraId="05143F36">
      <w:pPr>
        <w:pStyle w:val="299"/>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五、招标人在根据《</w:t>
      </w:r>
      <w:r>
        <w:rPr>
          <w:rFonts w:hint="eastAsia" w:ascii="仿宋" w:hAnsi="仿宋" w:eastAsia="仿宋"/>
          <w:color w:val="auto"/>
          <w:sz w:val="24"/>
          <w:highlight w:val="none"/>
          <w:lang w:val="en-US" w:eastAsia="zh-CN"/>
        </w:rPr>
        <w:t>普通公路</w:t>
      </w:r>
      <w:r>
        <w:rPr>
          <w:rFonts w:hint="eastAsia" w:ascii="仿宋" w:hAnsi="仿宋" w:eastAsia="仿宋"/>
          <w:color w:val="auto"/>
          <w:sz w:val="24"/>
          <w:highlight w:val="none"/>
        </w:rPr>
        <w:t>标准文件》编制项目招标文件中的“项目专用合同条款”时，可根据招标项目的具体特点和实际需要，对</w:t>
      </w:r>
      <w:bookmarkStart w:id="0" w:name="_Hlk94085184"/>
      <w:r>
        <w:rPr>
          <w:rFonts w:hint="eastAsia" w:ascii="仿宋" w:hAnsi="仿宋" w:eastAsia="仿宋"/>
          <w:color w:val="auto"/>
          <w:sz w:val="24"/>
          <w:highlight w:val="none"/>
        </w:rPr>
        <w:t>原文引用</w:t>
      </w:r>
      <w:bookmarkStart w:id="1" w:name="_Hlk94016711"/>
      <w:r>
        <w:rPr>
          <w:rFonts w:hint="eastAsia" w:ascii="仿宋" w:hAnsi="仿宋" w:eastAsia="仿宋"/>
          <w:color w:val="auto"/>
          <w:sz w:val="24"/>
          <w:highlight w:val="none"/>
        </w:rPr>
        <w:t>《</w:t>
      </w:r>
      <w:bookmarkStart w:id="2" w:name="_Hlk98161402"/>
      <w:r>
        <w:rPr>
          <w:rFonts w:hint="eastAsia" w:ascii="仿宋" w:hAnsi="仿宋" w:eastAsia="仿宋"/>
          <w:color w:val="auto"/>
          <w:sz w:val="24"/>
          <w:highlight w:val="none"/>
        </w:rPr>
        <w:t>中华人民共和国</w:t>
      </w:r>
      <w:bookmarkEnd w:id="2"/>
      <w:r>
        <w:rPr>
          <w:rFonts w:hint="eastAsia" w:ascii="仿宋" w:hAnsi="仿宋" w:eastAsia="仿宋"/>
          <w:color w:val="auto"/>
          <w:sz w:val="24"/>
          <w:highlight w:val="none"/>
        </w:rPr>
        <w:t>标准施工招标文件》（</w:t>
      </w:r>
      <w:r>
        <w:rPr>
          <w:rFonts w:ascii="仿宋" w:hAnsi="仿宋" w:eastAsia="仿宋"/>
          <w:color w:val="auto"/>
          <w:sz w:val="24"/>
          <w:highlight w:val="none"/>
        </w:rPr>
        <w:t>2007年版）</w:t>
      </w:r>
      <w:bookmarkEnd w:id="0"/>
      <w:bookmarkEnd w:id="1"/>
      <w:r>
        <w:rPr>
          <w:rFonts w:hint="eastAsia" w:ascii="仿宋" w:hAnsi="仿宋" w:eastAsia="仿宋"/>
          <w:color w:val="auto"/>
          <w:sz w:val="24"/>
          <w:highlight w:val="none"/>
        </w:rPr>
        <w:t>“通用合同条款”</w:t>
      </w:r>
      <w:bookmarkStart w:id="3" w:name="_Hlk94085195"/>
      <w:r>
        <w:rPr>
          <w:rFonts w:hint="eastAsia" w:ascii="仿宋" w:hAnsi="仿宋" w:eastAsia="仿宋"/>
          <w:color w:val="auto"/>
          <w:sz w:val="24"/>
          <w:highlight w:val="none"/>
        </w:rPr>
        <w:t>及</w:t>
      </w:r>
      <w:r>
        <w:rPr>
          <w:rFonts w:hint="eastAsia" w:ascii="仿宋" w:hAnsi="仿宋" w:eastAsia="仿宋"/>
          <w:color w:val="auto"/>
          <w:sz w:val="24"/>
          <w:highlight w:val="none"/>
          <w:lang w:val="en-US" w:eastAsia="zh-CN"/>
        </w:rPr>
        <w:t>交通运输部</w:t>
      </w:r>
      <w:r>
        <w:rPr>
          <w:rFonts w:hint="eastAsia" w:ascii="仿宋" w:hAnsi="仿宋" w:eastAsia="仿宋"/>
          <w:color w:val="auto"/>
          <w:sz w:val="24"/>
          <w:highlight w:val="none"/>
        </w:rPr>
        <w:t>《公路工程标准施工招标文件》（2018年版</w:t>
      </w:r>
      <w:r>
        <w:rPr>
          <w:rFonts w:hint="eastAsia" w:ascii="仿宋" w:hAnsi="仿宋" w:eastAsia="仿宋"/>
          <w:color w:val="auto"/>
          <w:sz w:val="24"/>
          <w:highlight w:val="none"/>
          <w:lang w:val="en-US" w:eastAsia="zh-CN"/>
        </w:rPr>
        <w:t xml:space="preserve"> </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 xml:space="preserve"> </w:t>
      </w:r>
      <w:r>
        <w:rPr>
          <w:rFonts w:hint="eastAsia" w:ascii="仿宋" w:hAnsi="仿宋" w:eastAsia="仿宋"/>
          <w:color w:val="auto"/>
          <w:sz w:val="24"/>
          <w:highlight w:val="none"/>
        </w:rPr>
        <w:t>第一册）</w:t>
      </w:r>
      <w:bookmarkStart w:id="4" w:name="_Hlk94016743"/>
      <w:r>
        <w:rPr>
          <w:rFonts w:hint="eastAsia" w:ascii="仿宋" w:hAnsi="仿宋" w:eastAsia="仿宋"/>
          <w:color w:val="auto"/>
          <w:sz w:val="24"/>
          <w:highlight w:val="none"/>
        </w:rPr>
        <w:t>“公路工程专用合同条款”</w:t>
      </w:r>
      <w:bookmarkEnd w:id="3"/>
      <w:bookmarkEnd w:id="4"/>
      <w:r>
        <w:rPr>
          <w:rFonts w:hint="eastAsia" w:ascii="仿宋" w:hAnsi="仿宋" w:eastAsia="仿宋"/>
          <w:color w:val="auto"/>
          <w:sz w:val="24"/>
          <w:highlight w:val="none"/>
        </w:rPr>
        <w:t>进行补充、细化，除“通用合同条款”明确“专用合同条款”可作出不同约定</w:t>
      </w:r>
      <w:bookmarkStart w:id="5" w:name="_Hlk94085218"/>
      <w:r>
        <w:rPr>
          <w:rFonts w:hint="eastAsia" w:ascii="仿宋" w:hAnsi="仿宋" w:eastAsia="仿宋"/>
          <w:color w:val="auto"/>
          <w:sz w:val="24"/>
          <w:highlight w:val="none"/>
        </w:rPr>
        <w:t>以及</w:t>
      </w:r>
      <w:bookmarkStart w:id="6" w:name="_Hlk94016766"/>
      <w:r>
        <w:rPr>
          <w:rFonts w:hint="eastAsia" w:ascii="仿宋" w:hAnsi="仿宋" w:eastAsia="仿宋"/>
          <w:color w:val="auto"/>
          <w:sz w:val="24"/>
          <w:highlight w:val="none"/>
        </w:rPr>
        <w:t>“公路工程专用合同条款”明确“项目专用合同条款”可作出不同约定</w:t>
      </w:r>
      <w:bookmarkEnd w:id="5"/>
      <w:bookmarkEnd w:id="6"/>
      <w:r>
        <w:rPr>
          <w:rFonts w:hint="eastAsia" w:ascii="仿宋" w:hAnsi="仿宋" w:eastAsia="仿宋"/>
          <w:color w:val="auto"/>
          <w:sz w:val="24"/>
          <w:highlight w:val="none"/>
        </w:rPr>
        <w:t>外，补充和细化的内容不得与“通用合同条款”</w:t>
      </w:r>
      <w:bookmarkStart w:id="7" w:name="_Hlk94016783"/>
      <w:r>
        <w:rPr>
          <w:rFonts w:hint="eastAsia" w:ascii="仿宋" w:hAnsi="仿宋" w:eastAsia="仿宋"/>
          <w:color w:val="auto"/>
          <w:sz w:val="24"/>
          <w:highlight w:val="none"/>
        </w:rPr>
        <w:t>及“公路工程专用合同条款”</w:t>
      </w:r>
      <w:bookmarkEnd w:id="7"/>
      <w:r>
        <w:rPr>
          <w:rFonts w:hint="eastAsia" w:ascii="仿宋" w:hAnsi="仿宋" w:eastAsia="仿宋"/>
          <w:color w:val="auto"/>
          <w:sz w:val="24"/>
          <w:highlight w:val="none"/>
        </w:rPr>
        <w:t>强制性规定相抵触。同时，补充、细化或约定的内容，不得违反法律、行政法规的强制性规定和平等、自愿、公平</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诚实信用原则。</w:t>
      </w:r>
    </w:p>
    <w:p w14:paraId="531077BC">
      <w:pPr>
        <w:pStyle w:val="299"/>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olor w:val="auto"/>
          <w:sz w:val="24"/>
          <w:highlight w:val="none"/>
        </w:rPr>
        <w:t>六、</w:t>
      </w:r>
      <w:r>
        <w:rPr>
          <w:rFonts w:hint="eastAsia" w:ascii="仿宋" w:hAnsi="仿宋" w:eastAsia="仿宋" w:cs="宋体"/>
          <w:color w:val="auto"/>
          <w:sz w:val="24"/>
          <w:highlight w:val="none"/>
        </w:rPr>
        <w:t>《</w:t>
      </w:r>
      <w:r>
        <w:rPr>
          <w:rFonts w:hint="eastAsia" w:ascii="仿宋" w:hAnsi="仿宋" w:eastAsia="仿宋"/>
          <w:color w:val="auto"/>
          <w:sz w:val="24"/>
          <w:highlight w:val="none"/>
          <w:lang w:eastAsia="zh-CN"/>
        </w:rPr>
        <w:t>普通公路标准文件</w:t>
      </w:r>
      <w:r>
        <w:rPr>
          <w:rFonts w:hint="eastAsia" w:ascii="仿宋" w:hAnsi="仿宋" w:eastAsia="仿宋" w:cs="宋体"/>
          <w:color w:val="auto"/>
          <w:sz w:val="24"/>
          <w:highlight w:val="none"/>
        </w:rPr>
        <w:t>》条款</w:t>
      </w:r>
      <w:r>
        <w:rPr>
          <w:rFonts w:ascii="仿宋" w:hAnsi="仿宋" w:eastAsia="仿宋" w:cs="宋体"/>
          <w:color w:val="auto"/>
          <w:sz w:val="24"/>
          <w:highlight w:val="none"/>
        </w:rPr>
        <w:t>符号说明：</w:t>
      </w:r>
    </w:p>
    <w:p w14:paraId="3CD90788">
      <w:pPr>
        <w:pStyle w:val="299"/>
        <w:spacing w:line="360" w:lineRule="auto"/>
        <w:ind w:firstLine="480" w:firstLineChars="200"/>
        <w:jc w:val="lef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val="en-US" w:eastAsia="zh-CN"/>
        </w:rPr>
        <w:t>1.</w:t>
      </w:r>
      <w:r>
        <w:rPr>
          <w:rFonts w:ascii="仿宋" w:hAnsi="仿宋" w:eastAsia="仿宋" w:cs="宋体"/>
          <w:color w:val="auto"/>
          <w:sz w:val="24"/>
          <w:highlight w:val="none"/>
        </w:rPr>
        <w:t>用相同序号标示的章、节、条、款、项、目，供招标人选择使用</w:t>
      </w:r>
      <w:r>
        <w:rPr>
          <w:rFonts w:hint="eastAsia" w:ascii="仿宋" w:hAnsi="仿宋" w:eastAsia="仿宋" w:cs="宋体"/>
          <w:color w:val="auto"/>
          <w:sz w:val="24"/>
          <w:highlight w:val="none"/>
          <w:lang w:eastAsia="zh-CN"/>
        </w:rPr>
        <w:t>。</w:t>
      </w:r>
    </w:p>
    <w:p w14:paraId="23A070A9">
      <w:pPr>
        <w:pStyle w:val="299"/>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2.</w:t>
      </w:r>
      <w:r>
        <w:rPr>
          <w:rFonts w:ascii="仿宋" w:hAnsi="仿宋" w:eastAsia="仿宋" w:cs="宋体"/>
          <w:color w:val="auto"/>
          <w:sz w:val="24"/>
          <w:highlight w:val="none"/>
        </w:rPr>
        <w:t>以空格标示的部分，招标人应根据招标项目具体特点和实际需要进行填写，确实没有需要填写的，在空格中用“／”或“</w:t>
      </w:r>
      <w:r>
        <w:rPr>
          <w:rFonts w:hint="eastAsia" w:ascii="仿宋" w:hAnsi="仿宋" w:eastAsia="仿宋" w:cs="宋体"/>
          <w:color w:val="auto"/>
          <w:sz w:val="24"/>
          <w:highlight w:val="none"/>
        </w:rPr>
        <w:t>无</w:t>
      </w:r>
      <w:r>
        <w:rPr>
          <w:rFonts w:ascii="仿宋" w:hAnsi="仿宋" w:eastAsia="仿宋" w:cs="宋体"/>
          <w:color w:val="auto"/>
          <w:sz w:val="24"/>
          <w:highlight w:val="none"/>
        </w:rPr>
        <w:t>”</w:t>
      </w:r>
      <w:r>
        <w:rPr>
          <w:rFonts w:hint="eastAsia" w:ascii="仿宋" w:hAnsi="仿宋" w:eastAsia="仿宋" w:cs="宋体"/>
          <w:color w:val="auto"/>
          <w:sz w:val="24"/>
          <w:highlight w:val="none"/>
        </w:rPr>
        <w:t>标示。</w:t>
      </w:r>
    </w:p>
    <w:p w14:paraId="5FE05EA6">
      <w:pPr>
        <w:pStyle w:val="299"/>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3.</w:t>
      </w:r>
      <w:r>
        <w:rPr>
          <w:rFonts w:ascii="仿宋" w:hAnsi="仿宋" w:eastAsia="仿宋" w:cs="宋体"/>
          <w:color w:val="auto"/>
          <w:sz w:val="24"/>
          <w:highlight w:val="none"/>
        </w:rPr>
        <w:t>文中“</w:t>
      </w:r>
      <w:r>
        <w:rPr>
          <w:rFonts w:hint="eastAsia" w:ascii="仿宋" w:hAnsi="仿宋" w:eastAsia="仿宋" w:cs="宋体"/>
          <w:color w:val="auto"/>
          <w:sz w:val="24"/>
          <w:highlight w:val="none"/>
        </w:rPr>
        <w:t>□</w:t>
      </w:r>
      <w:r>
        <w:rPr>
          <w:rFonts w:ascii="仿宋" w:hAnsi="仿宋" w:eastAsia="仿宋" w:cs="宋体"/>
          <w:color w:val="auto"/>
          <w:sz w:val="24"/>
          <w:highlight w:val="none"/>
        </w:rPr>
        <w:t>”</w:t>
      </w:r>
      <w:r>
        <w:rPr>
          <w:rFonts w:hint="eastAsia" w:ascii="仿宋" w:hAnsi="仿宋" w:eastAsia="仿宋" w:cs="宋体"/>
          <w:color w:val="auto"/>
          <w:sz w:val="24"/>
          <w:highlight w:val="none"/>
        </w:rPr>
        <w:t>表示</w:t>
      </w:r>
      <w:r>
        <w:rPr>
          <w:rFonts w:ascii="仿宋" w:hAnsi="仿宋" w:eastAsia="仿宋" w:cs="宋体"/>
          <w:color w:val="auto"/>
          <w:sz w:val="24"/>
          <w:highlight w:val="none"/>
        </w:rPr>
        <w:t>可选择项，招标人、投标人</w:t>
      </w:r>
      <w:r>
        <w:rPr>
          <w:rFonts w:hint="eastAsia" w:ascii="仿宋" w:hAnsi="仿宋" w:eastAsia="仿宋" w:cs="宋体"/>
          <w:color w:val="auto"/>
          <w:sz w:val="24"/>
          <w:highlight w:val="none"/>
        </w:rPr>
        <w:t>在</w:t>
      </w:r>
      <w:r>
        <w:rPr>
          <w:rFonts w:ascii="仿宋" w:hAnsi="仿宋" w:eastAsia="仿宋" w:cs="宋体"/>
          <w:color w:val="auto"/>
          <w:sz w:val="24"/>
          <w:highlight w:val="none"/>
        </w:rPr>
        <w:t>可选择项</w:t>
      </w:r>
      <w:r>
        <w:rPr>
          <w:rFonts w:hint="eastAsia" w:ascii="仿宋" w:hAnsi="仿宋" w:eastAsia="仿宋" w:cs="宋体"/>
          <w:color w:val="auto"/>
          <w:sz w:val="24"/>
          <w:highlight w:val="none"/>
        </w:rPr>
        <w:t>中任选其一</w:t>
      </w:r>
      <w:r>
        <w:rPr>
          <w:rFonts w:ascii="仿宋" w:hAnsi="仿宋" w:eastAsia="仿宋" w:cs="宋体"/>
          <w:color w:val="auto"/>
          <w:sz w:val="24"/>
          <w:highlight w:val="none"/>
        </w:rPr>
        <w:t>或者对选择有规定的从其规定</w:t>
      </w:r>
      <w:r>
        <w:rPr>
          <w:rFonts w:hint="eastAsia" w:ascii="仿宋" w:hAnsi="仿宋" w:eastAsia="仿宋" w:cs="宋体"/>
          <w:color w:val="auto"/>
          <w:sz w:val="24"/>
          <w:highlight w:val="none"/>
        </w:rPr>
        <w:t>，</w:t>
      </w:r>
      <w:r>
        <w:rPr>
          <w:rFonts w:ascii="仿宋" w:hAnsi="仿宋" w:eastAsia="仿宋" w:cs="宋体"/>
          <w:color w:val="auto"/>
          <w:sz w:val="24"/>
          <w:highlight w:val="none"/>
        </w:rPr>
        <w:t>没有</w:t>
      </w:r>
      <w:r>
        <w:rPr>
          <w:rFonts w:hint="eastAsia" w:ascii="仿宋" w:hAnsi="仿宋" w:eastAsia="仿宋" w:cs="宋体"/>
          <w:color w:val="auto"/>
          <w:sz w:val="24"/>
          <w:highlight w:val="none"/>
        </w:rPr>
        <w:t>选择的视为</w:t>
      </w:r>
      <w:r>
        <w:rPr>
          <w:rFonts w:ascii="仿宋" w:hAnsi="仿宋" w:eastAsia="仿宋" w:cs="宋体"/>
          <w:color w:val="auto"/>
          <w:sz w:val="24"/>
          <w:highlight w:val="none"/>
        </w:rPr>
        <w:t>不采纳</w:t>
      </w:r>
      <w:r>
        <w:rPr>
          <w:rFonts w:hint="eastAsia" w:ascii="仿宋" w:hAnsi="仿宋" w:eastAsia="仿宋" w:cs="宋体"/>
          <w:color w:val="auto"/>
          <w:sz w:val="24"/>
          <w:highlight w:val="none"/>
        </w:rPr>
        <w:t>该内容</w:t>
      </w:r>
      <w:r>
        <w:rPr>
          <w:rFonts w:ascii="仿宋" w:hAnsi="仿宋" w:eastAsia="仿宋" w:cs="宋体"/>
          <w:color w:val="auto"/>
          <w:sz w:val="24"/>
          <w:highlight w:val="none"/>
        </w:rPr>
        <w:t>（</w:t>
      </w:r>
      <w:r>
        <w:rPr>
          <w:rFonts w:hint="eastAsia" w:ascii="仿宋" w:hAnsi="仿宋" w:eastAsia="仿宋" w:cs="宋体"/>
          <w:color w:val="auto"/>
          <w:sz w:val="24"/>
          <w:highlight w:val="none"/>
        </w:rPr>
        <w:t>在可以编辑的</w:t>
      </w:r>
      <w:r>
        <w:rPr>
          <w:rFonts w:ascii="仿宋" w:hAnsi="仿宋" w:eastAsia="仿宋" w:cs="宋体"/>
          <w:color w:val="auto"/>
          <w:sz w:val="24"/>
          <w:highlight w:val="none"/>
        </w:rPr>
        <w:t>情形下，</w:t>
      </w:r>
      <w:r>
        <w:rPr>
          <w:rFonts w:hint="eastAsia" w:ascii="仿宋" w:hAnsi="仿宋" w:eastAsia="仿宋" w:cs="宋体"/>
          <w:color w:val="auto"/>
          <w:sz w:val="24"/>
          <w:highlight w:val="none"/>
        </w:rPr>
        <w:t>没有被选择的</w:t>
      </w:r>
      <w:r>
        <w:rPr>
          <w:rFonts w:ascii="仿宋" w:hAnsi="仿宋" w:eastAsia="仿宋" w:cs="宋体"/>
          <w:color w:val="auto"/>
          <w:sz w:val="24"/>
          <w:highlight w:val="none"/>
        </w:rPr>
        <w:t>项后面相应的内容删除）</w:t>
      </w:r>
      <w:r>
        <w:rPr>
          <w:rFonts w:hint="eastAsia" w:ascii="仿宋" w:hAnsi="仿宋" w:eastAsia="仿宋" w:cs="宋体"/>
          <w:color w:val="auto"/>
          <w:sz w:val="24"/>
          <w:highlight w:val="none"/>
        </w:rPr>
        <w:t>。</w:t>
      </w:r>
    </w:p>
    <w:p w14:paraId="23BA0929">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4.</w:t>
      </w:r>
      <w:r>
        <w:rPr>
          <w:rFonts w:ascii="仿宋" w:hAnsi="仿宋" w:eastAsia="仿宋" w:cs="宋体"/>
          <w:color w:val="auto"/>
          <w:sz w:val="24"/>
          <w:highlight w:val="none"/>
        </w:rPr>
        <w:t>文中</w:t>
      </w:r>
      <w:r>
        <w:rPr>
          <w:rFonts w:hint="eastAsia" w:ascii="仿宋" w:hAnsi="仿宋" w:eastAsia="仿宋"/>
          <w:color w:val="auto"/>
          <w:sz w:val="24"/>
          <w:highlight w:val="none"/>
        </w:rPr>
        <w:t>的</w:t>
      </w:r>
      <w:r>
        <w:rPr>
          <w:rFonts w:ascii="仿宋" w:hAnsi="仿宋" w:eastAsia="仿宋" w:cs="宋体"/>
          <w:color w:val="auto"/>
          <w:sz w:val="24"/>
          <w:highlight w:val="none"/>
        </w:rPr>
        <w:t>“</w:t>
      </w:r>
      <w:r>
        <w:rPr>
          <w:rFonts w:hint="eastAsia" w:ascii="仿宋" w:hAnsi="仿宋" w:eastAsia="仿宋" w:cs="宋体"/>
          <w:color w:val="auto"/>
          <w:sz w:val="24"/>
          <w:highlight w:val="none"/>
        </w:rPr>
        <w:t>□</w:t>
      </w:r>
      <w:r>
        <w:rPr>
          <w:rFonts w:ascii="仿宋" w:hAnsi="仿宋" w:eastAsia="仿宋" w:cs="宋体"/>
          <w:color w:val="auto"/>
          <w:sz w:val="24"/>
          <w:highlight w:val="none"/>
        </w:rPr>
        <w:t>”</w:t>
      </w:r>
      <w:r>
        <w:rPr>
          <w:rFonts w:hint="eastAsia" w:ascii="仿宋" w:hAnsi="仿宋" w:eastAsia="仿宋"/>
          <w:color w:val="auto"/>
          <w:sz w:val="24"/>
          <w:highlight w:val="none"/>
        </w:rPr>
        <w:t>选择项</w:t>
      </w:r>
      <w:r>
        <w:rPr>
          <w:rFonts w:hint="eastAsia" w:ascii="仿宋" w:hAnsi="仿宋" w:eastAsia="仿宋"/>
          <w:color w:val="auto"/>
          <w:sz w:val="24"/>
          <w:highlight w:val="none"/>
          <w:lang w:val="en-US" w:eastAsia="zh-CN"/>
        </w:rPr>
        <w:t>可</w:t>
      </w:r>
      <w:r>
        <w:rPr>
          <w:rFonts w:hint="eastAsia" w:ascii="仿宋" w:hAnsi="仿宋" w:eastAsia="仿宋"/>
          <w:color w:val="auto"/>
          <w:sz w:val="24"/>
          <w:highlight w:val="none"/>
        </w:rPr>
        <w:t>为单选或多选，在多选时由招标人根据实际需要设定选择项之间是“或”还是“同时”的关系。</w:t>
      </w:r>
    </w:p>
    <w:p w14:paraId="51FCAED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5.</w:t>
      </w:r>
      <w:r>
        <w:rPr>
          <w:rFonts w:ascii="仿宋" w:hAnsi="仿宋" w:eastAsia="仿宋" w:cs="宋体"/>
          <w:color w:val="auto"/>
          <w:sz w:val="24"/>
          <w:highlight w:val="none"/>
        </w:rPr>
        <w:t>招标人在编制</w:t>
      </w:r>
      <w:r>
        <w:rPr>
          <w:rFonts w:hint="eastAsia" w:ascii="仿宋" w:hAnsi="仿宋" w:eastAsia="仿宋" w:cs="宋体"/>
          <w:color w:val="auto"/>
          <w:sz w:val="24"/>
          <w:highlight w:val="none"/>
        </w:rPr>
        <w:t>招标文件时</w:t>
      </w:r>
      <w:r>
        <w:rPr>
          <w:rFonts w:ascii="仿宋" w:hAnsi="仿宋" w:eastAsia="仿宋" w:cs="宋体"/>
          <w:color w:val="auto"/>
          <w:sz w:val="24"/>
          <w:highlight w:val="none"/>
        </w:rPr>
        <w:t>，下划线</w:t>
      </w:r>
      <w:r>
        <w:rPr>
          <w:rFonts w:hint="eastAsia" w:ascii="仿宋" w:hAnsi="仿宋" w:eastAsia="仿宋" w:cs="宋体"/>
          <w:color w:val="auto"/>
          <w:sz w:val="24"/>
          <w:highlight w:val="none"/>
        </w:rPr>
        <w:t>内</w:t>
      </w:r>
      <w:r>
        <w:rPr>
          <w:rFonts w:ascii="仿宋" w:hAnsi="仿宋" w:eastAsia="仿宋" w:cs="宋体"/>
          <w:color w:val="auto"/>
          <w:sz w:val="24"/>
          <w:highlight w:val="none"/>
        </w:rPr>
        <w:t>的</w:t>
      </w:r>
      <w:r>
        <w:rPr>
          <w:rFonts w:hint="eastAsia" w:ascii="仿宋" w:hAnsi="仿宋" w:eastAsia="仿宋" w:cs="宋体"/>
          <w:color w:val="auto"/>
          <w:sz w:val="24"/>
          <w:highlight w:val="none"/>
        </w:rPr>
        <w:t>内容</w:t>
      </w:r>
      <w:r>
        <w:rPr>
          <w:rFonts w:ascii="仿宋" w:hAnsi="仿宋" w:eastAsia="仿宋" w:cs="宋体"/>
          <w:color w:val="auto"/>
          <w:sz w:val="24"/>
          <w:highlight w:val="none"/>
        </w:rPr>
        <w:t>可以</w:t>
      </w:r>
      <w:r>
        <w:rPr>
          <w:rFonts w:hint="eastAsia" w:ascii="仿宋" w:hAnsi="仿宋" w:eastAsia="仿宋" w:cs="宋体"/>
          <w:color w:val="auto"/>
          <w:sz w:val="24"/>
          <w:highlight w:val="none"/>
        </w:rPr>
        <w:t>编辑</w:t>
      </w:r>
      <w:r>
        <w:rPr>
          <w:rFonts w:ascii="仿宋" w:hAnsi="仿宋" w:eastAsia="仿宋" w:cs="宋体"/>
          <w:color w:val="auto"/>
          <w:sz w:val="24"/>
          <w:highlight w:val="none"/>
        </w:rPr>
        <w:t>。</w:t>
      </w:r>
    </w:p>
    <w:p w14:paraId="4D651DAE">
      <w:pPr>
        <w:pStyle w:val="299"/>
        <w:spacing w:line="360" w:lineRule="auto"/>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标有下划线的引用条款</w:t>
      </w:r>
      <w:r>
        <w:rPr>
          <w:rFonts w:ascii="仿宋" w:hAnsi="仿宋" w:eastAsia="仿宋" w:cs="宋体"/>
          <w:color w:val="auto"/>
          <w:sz w:val="24"/>
          <w:highlight w:val="none"/>
        </w:rPr>
        <w:t>内容</w:t>
      </w:r>
      <w:r>
        <w:rPr>
          <w:rFonts w:hint="eastAsia" w:ascii="仿宋" w:hAnsi="仿宋" w:eastAsia="仿宋" w:cs="宋体"/>
          <w:color w:val="auto"/>
          <w:sz w:val="24"/>
          <w:highlight w:val="none"/>
        </w:rPr>
        <w:t>，当国家、部、省等有相关新的规定出台时，招标人根据实际情况及</w:t>
      </w:r>
      <w:r>
        <w:rPr>
          <w:rFonts w:ascii="仿宋" w:hAnsi="仿宋" w:eastAsia="仿宋" w:cs="宋体"/>
          <w:color w:val="auto"/>
          <w:sz w:val="24"/>
          <w:highlight w:val="none"/>
        </w:rPr>
        <w:t>项目具体特点</w:t>
      </w:r>
      <w:r>
        <w:rPr>
          <w:rFonts w:hint="eastAsia" w:ascii="仿宋" w:hAnsi="仿宋" w:eastAsia="仿宋" w:cs="宋体"/>
          <w:color w:val="auto"/>
          <w:sz w:val="24"/>
          <w:highlight w:val="none"/>
        </w:rPr>
        <w:t>进行调整</w:t>
      </w:r>
      <w:r>
        <w:rPr>
          <w:rFonts w:ascii="仿宋" w:hAnsi="仿宋" w:eastAsia="仿宋" w:cs="宋体"/>
          <w:color w:val="auto"/>
          <w:sz w:val="24"/>
          <w:highlight w:val="none"/>
        </w:rPr>
        <w:t>。</w:t>
      </w:r>
    </w:p>
    <w:p w14:paraId="0A80B97B">
      <w:pPr>
        <w:pStyle w:val="299"/>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七、招标人按照《</w:t>
      </w:r>
      <w:r>
        <w:rPr>
          <w:rFonts w:hint="eastAsia" w:ascii="仿宋" w:hAnsi="仿宋" w:eastAsia="仿宋"/>
          <w:color w:val="auto"/>
          <w:sz w:val="24"/>
          <w:highlight w:val="none"/>
          <w:lang w:eastAsia="zh-CN"/>
        </w:rPr>
        <w:t>普通公路标准文件</w:t>
      </w:r>
      <w:r>
        <w:rPr>
          <w:rFonts w:hint="eastAsia" w:ascii="仿宋" w:hAnsi="仿宋" w:eastAsia="仿宋"/>
          <w:color w:val="auto"/>
          <w:sz w:val="24"/>
          <w:highlight w:val="none"/>
        </w:rPr>
        <w:t>》第一章的格式发布招标公告后，将实际发布的招标公告编入向投标人提供的招标文件中，作为招标文件的组成部分。其中，招标公告应同时注明发布的所有媒介名称。</w:t>
      </w:r>
    </w:p>
    <w:p w14:paraId="6A02B9C9">
      <w:pPr>
        <w:pStyle w:val="299"/>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w:t>
      </w:r>
      <w:r>
        <w:rPr>
          <w:rFonts w:hint="eastAsia" w:ascii="仿宋" w:hAnsi="仿宋" w:eastAsia="仿宋"/>
          <w:color w:val="auto"/>
          <w:sz w:val="24"/>
          <w:highlight w:val="none"/>
          <w:lang w:eastAsia="zh-CN"/>
        </w:rPr>
        <w:t>普通公路标准文件</w:t>
      </w:r>
      <w:r>
        <w:rPr>
          <w:rFonts w:hint="eastAsia" w:ascii="仿宋" w:hAnsi="仿宋" w:eastAsia="仿宋"/>
          <w:color w:val="auto"/>
          <w:sz w:val="24"/>
          <w:highlight w:val="none"/>
        </w:rPr>
        <w:t>》第三章“评标办法”按照《四川省公路工程建设项目招标投标管理实施细则》</w:t>
      </w:r>
      <w:r>
        <w:rPr>
          <w:rFonts w:hint="eastAsia" w:ascii="仿宋" w:hAnsi="仿宋" w:eastAsia="仿宋" w:cs="宋体"/>
          <w:color w:val="auto"/>
          <w:sz w:val="24"/>
          <w:highlight w:val="none"/>
        </w:rPr>
        <w:t>（川交发〔</w:t>
      </w:r>
      <w:r>
        <w:rPr>
          <w:rFonts w:ascii="仿宋" w:hAnsi="仿宋" w:eastAsia="仿宋" w:cs="宋体"/>
          <w:color w:val="auto"/>
          <w:sz w:val="24"/>
          <w:highlight w:val="none"/>
        </w:rPr>
        <w:t>2019〕32号）</w:t>
      </w:r>
      <w:r>
        <w:rPr>
          <w:rFonts w:hint="eastAsia" w:ascii="仿宋" w:hAnsi="仿宋" w:eastAsia="仿宋"/>
          <w:color w:val="auto"/>
          <w:sz w:val="24"/>
          <w:highlight w:val="none"/>
        </w:rPr>
        <w:t>规定，编写了合理低价法、</w:t>
      </w:r>
      <w:r>
        <w:rPr>
          <w:rFonts w:ascii="仿宋" w:hAnsi="仿宋" w:eastAsia="仿宋"/>
          <w:color w:val="auto"/>
          <w:sz w:val="24"/>
          <w:highlight w:val="none"/>
        </w:rPr>
        <w:t>技术评分最低标价法、综合评分法和</w:t>
      </w:r>
      <w:r>
        <w:rPr>
          <w:rFonts w:hint="eastAsia" w:ascii="仿宋" w:hAnsi="仿宋" w:eastAsia="仿宋"/>
          <w:color w:val="auto"/>
          <w:sz w:val="24"/>
          <w:highlight w:val="none"/>
        </w:rPr>
        <w:t>经评审的最低投标价法四种评标方法。第三章“评标办法”前附表应列明全部评审因素和评审标准，并在本章</w:t>
      </w:r>
      <w:r>
        <w:rPr>
          <w:rFonts w:ascii="仿宋" w:hAnsi="仿宋" w:eastAsia="仿宋"/>
          <w:color w:val="auto"/>
          <w:sz w:val="24"/>
          <w:highlight w:val="none"/>
        </w:rPr>
        <w:t>（</w:t>
      </w:r>
      <w:r>
        <w:rPr>
          <w:rFonts w:hint="eastAsia" w:ascii="仿宋" w:hAnsi="仿宋" w:eastAsia="仿宋"/>
          <w:color w:val="auto"/>
          <w:sz w:val="24"/>
          <w:highlight w:val="none"/>
        </w:rPr>
        <w:t>前附表及正文</w:t>
      </w:r>
      <w:r>
        <w:rPr>
          <w:rFonts w:ascii="仿宋" w:hAnsi="仿宋" w:eastAsia="仿宋"/>
          <w:color w:val="auto"/>
          <w:sz w:val="24"/>
          <w:highlight w:val="none"/>
        </w:rPr>
        <w:t>）</w:t>
      </w:r>
      <w:r>
        <w:rPr>
          <w:rFonts w:hint="eastAsia" w:ascii="仿宋" w:hAnsi="仿宋" w:eastAsia="仿宋"/>
          <w:color w:val="auto"/>
          <w:sz w:val="24"/>
          <w:highlight w:val="none"/>
        </w:rPr>
        <w:t>标明投标人不满足要求即导致否决投标的全部条款。招标人在满足第三章“评标办法”相关注释的前提下，</w:t>
      </w:r>
      <w:r>
        <w:rPr>
          <w:rFonts w:hint="eastAsia" w:ascii="仿宋" w:hAnsi="仿宋" w:eastAsia="仿宋" w:cs="宋体"/>
          <w:color w:val="auto"/>
          <w:sz w:val="24"/>
          <w:highlight w:val="none"/>
        </w:rPr>
        <w:t>各评审因素的评审标准和分值等由招标人根据项目特点和需要</w:t>
      </w:r>
      <w:r>
        <w:rPr>
          <w:rFonts w:ascii="仿宋" w:hAnsi="仿宋" w:eastAsia="仿宋" w:cs="宋体"/>
          <w:color w:val="auto"/>
          <w:sz w:val="24"/>
          <w:highlight w:val="none"/>
        </w:rPr>
        <w:t>合理</w:t>
      </w:r>
      <w:r>
        <w:rPr>
          <w:rFonts w:hint="eastAsia" w:ascii="仿宋" w:hAnsi="仿宋" w:eastAsia="仿宋" w:cs="宋体"/>
          <w:color w:val="auto"/>
          <w:sz w:val="24"/>
          <w:highlight w:val="none"/>
        </w:rPr>
        <w:t>确定</w:t>
      </w:r>
      <w:r>
        <w:rPr>
          <w:rFonts w:hint="eastAsia" w:ascii="仿宋" w:hAnsi="仿宋" w:eastAsia="仿宋"/>
          <w:color w:val="auto"/>
          <w:sz w:val="24"/>
          <w:highlight w:val="none"/>
        </w:rPr>
        <w:t>。</w:t>
      </w:r>
    </w:p>
    <w:p w14:paraId="3E07103B">
      <w:pPr>
        <w:pStyle w:val="299"/>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九、第五章“工程量清单”，按照交通运输部《公路工程标准施工招标文件》（</w:t>
      </w:r>
      <w:r>
        <w:rPr>
          <w:rFonts w:ascii="仿宋" w:hAnsi="仿宋" w:eastAsia="仿宋"/>
          <w:color w:val="auto"/>
          <w:sz w:val="24"/>
          <w:highlight w:val="none"/>
        </w:rPr>
        <w:t>2018年版），并</w:t>
      </w:r>
      <w:r>
        <w:rPr>
          <w:rFonts w:hint="eastAsia" w:ascii="仿宋" w:hAnsi="仿宋" w:eastAsia="仿宋"/>
          <w:color w:val="auto"/>
          <w:sz w:val="24"/>
          <w:highlight w:val="none"/>
        </w:rPr>
        <w:t>由招标人根据《</w:t>
      </w:r>
      <w:r>
        <w:rPr>
          <w:rFonts w:hint="eastAsia" w:ascii="仿宋" w:hAnsi="仿宋" w:eastAsia="仿宋"/>
          <w:color w:val="auto"/>
          <w:sz w:val="24"/>
          <w:highlight w:val="none"/>
          <w:lang w:eastAsia="zh-CN"/>
        </w:rPr>
        <w:t>普通公路标准文件</w:t>
      </w:r>
      <w:r>
        <w:rPr>
          <w:rFonts w:hint="eastAsia" w:ascii="仿宋" w:hAnsi="仿宋" w:eastAsia="仿宋"/>
          <w:color w:val="auto"/>
          <w:sz w:val="24"/>
          <w:highlight w:val="none"/>
        </w:rPr>
        <w:t>》、招标项目具体特点和实际需要编制，并与“投标人须知”“通用合同条款”“专用合同条款”“技术规范（含补充技术规范）”“工程量清单计量规则（含补充工程量清单计量规则）”“图纸”相衔接。</w:t>
      </w:r>
    </w:p>
    <w:p w14:paraId="59229938">
      <w:pPr>
        <w:pStyle w:val="299"/>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十、第六章“图纸”由招标人根据《</w:t>
      </w:r>
      <w:r>
        <w:rPr>
          <w:rFonts w:hint="eastAsia" w:ascii="仿宋" w:hAnsi="仿宋" w:eastAsia="仿宋"/>
          <w:color w:val="auto"/>
          <w:sz w:val="24"/>
          <w:highlight w:val="none"/>
          <w:lang w:eastAsia="zh-CN"/>
        </w:rPr>
        <w:t>普通公路标准文件</w:t>
      </w:r>
      <w:r>
        <w:rPr>
          <w:rFonts w:hint="eastAsia" w:ascii="仿宋" w:hAnsi="仿宋" w:eastAsia="仿宋"/>
          <w:color w:val="auto"/>
          <w:sz w:val="24"/>
          <w:highlight w:val="none"/>
        </w:rPr>
        <w:t>》、招标项目具体特点和实际需要编制，并与“投标人须知”“通用合同条款”“专用合同条款”“技术规范”相衔接。</w:t>
      </w:r>
    </w:p>
    <w:p w14:paraId="0387FC8A">
      <w:pPr>
        <w:pStyle w:val="299"/>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十一、第七章“技术规范”、第八章“工程量清单计量规则”由招标人根据《公路工程标准施工招标文件》（</w:t>
      </w:r>
      <w:r>
        <w:rPr>
          <w:rFonts w:ascii="仿宋" w:hAnsi="仿宋" w:eastAsia="仿宋"/>
          <w:color w:val="auto"/>
          <w:sz w:val="24"/>
          <w:highlight w:val="none"/>
        </w:rPr>
        <w:t>2018年版）、招标项目具体特点和实际需要编制。“技术规范”中的各项技术标准应符合国家强制性标准，不得要求或标明某一特定的专利、</w:t>
      </w:r>
      <w:r>
        <w:rPr>
          <w:rFonts w:hint="eastAsia" w:ascii="仿宋" w:hAnsi="仿宋" w:eastAsia="仿宋"/>
          <w:color w:val="auto"/>
          <w:sz w:val="24"/>
          <w:highlight w:val="none"/>
        </w:rPr>
        <w:t>商标、名称、设计、原产地或生产供应者，不得含有倾向或排斥潜在投标人的其他内容。如果必须引用某一生产供应者的技术标准才能准确或清楚地说明拟招标项目的技术标准时，则应在参照后面加上“或相当于”字样。</w:t>
      </w:r>
    </w:p>
    <w:p w14:paraId="776806F2">
      <w:pPr>
        <w:pStyle w:val="299"/>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olor w:val="auto"/>
          <w:sz w:val="24"/>
          <w:highlight w:val="none"/>
        </w:rPr>
        <w:t>十二、</w:t>
      </w:r>
      <w:bookmarkStart w:id="8" w:name="_Hlk98866082"/>
      <w:bookmarkStart w:id="9" w:name="_Hlk98611482"/>
      <w:r>
        <w:rPr>
          <w:rFonts w:hint="eastAsia" w:ascii="仿宋" w:hAnsi="仿宋" w:eastAsia="仿宋" w:cs="宋体"/>
          <w:color w:val="auto"/>
          <w:sz w:val="24"/>
          <w:highlight w:val="none"/>
        </w:rPr>
        <w:t>全国公共资源交易平台（四川省）</w:t>
      </w:r>
      <w:r>
        <w:rPr>
          <w:rFonts w:hint="eastAsia" w:ascii="仿宋" w:hAnsi="仿宋" w:eastAsia="仿宋" w:cs="宋体"/>
          <w:color w:val="auto"/>
          <w:sz w:val="24"/>
          <w:highlight w:val="none"/>
          <w:lang w:val="en-US" w:eastAsia="zh-CN"/>
        </w:rPr>
        <w:t>已按照</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普通公路</w:t>
      </w:r>
      <w:r>
        <w:rPr>
          <w:rFonts w:hint="eastAsia" w:ascii="仿宋" w:hAnsi="仿宋" w:eastAsia="仿宋" w:cs="宋体"/>
          <w:color w:val="auto"/>
          <w:sz w:val="24"/>
          <w:highlight w:val="none"/>
        </w:rPr>
        <w:t>标准文件》</w:t>
      </w:r>
      <w:r>
        <w:rPr>
          <w:rFonts w:hint="eastAsia" w:ascii="仿宋" w:hAnsi="仿宋" w:eastAsia="仿宋" w:cs="宋体"/>
          <w:color w:val="auto"/>
          <w:sz w:val="24"/>
          <w:highlight w:val="none"/>
          <w:lang w:val="en-US" w:eastAsia="zh-CN"/>
        </w:rPr>
        <w:t>的要求建设</w:t>
      </w:r>
      <w:r>
        <w:rPr>
          <w:rFonts w:hint="eastAsia" w:ascii="仿宋" w:hAnsi="仿宋" w:eastAsia="仿宋" w:cs="宋体"/>
          <w:color w:val="auto"/>
          <w:sz w:val="24"/>
          <w:highlight w:val="none"/>
        </w:rPr>
        <w:t>“四川省公路水运工程电子招标投标系统”，招标人在线编制招标文件</w:t>
      </w:r>
      <w:r>
        <w:rPr>
          <w:rFonts w:hint="eastAsia" w:ascii="仿宋" w:hAnsi="仿宋" w:eastAsia="仿宋" w:cs="宋体"/>
          <w:color w:val="auto"/>
          <w:sz w:val="24"/>
          <w:highlight w:val="none"/>
          <w:lang w:eastAsia="zh-CN"/>
        </w:rPr>
        <w:t>。</w:t>
      </w:r>
      <w:r>
        <w:rPr>
          <w:rFonts w:hint="eastAsia" w:ascii="仿宋" w:hAnsi="仿宋" w:eastAsia="仿宋" w:cs="宋体"/>
          <w:color w:val="auto"/>
          <w:sz w:val="24"/>
          <w:szCs w:val="24"/>
          <w:highlight w:val="none"/>
        </w:rPr>
        <w:t>当项目在市（州）交易中心</w:t>
      </w:r>
      <w:r>
        <w:rPr>
          <w:rFonts w:hint="eastAsia" w:ascii="仿宋" w:hAnsi="仿宋" w:eastAsia="仿宋" w:cs="宋体"/>
          <w:color w:val="auto"/>
          <w:sz w:val="24"/>
          <w:szCs w:val="24"/>
          <w:highlight w:val="none"/>
          <w:lang w:eastAsia="zh-CN"/>
        </w:rPr>
        <w:t>分平台</w:t>
      </w:r>
      <w:r>
        <w:rPr>
          <w:rFonts w:hint="eastAsia" w:ascii="仿宋" w:hAnsi="仿宋" w:eastAsia="仿宋" w:cs="宋体"/>
          <w:color w:val="auto"/>
          <w:sz w:val="24"/>
          <w:szCs w:val="24"/>
          <w:highlight w:val="none"/>
        </w:rPr>
        <w:t>交易时，</w:t>
      </w:r>
      <w:r>
        <w:rPr>
          <w:rFonts w:hint="eastAsia" w:ascii="仿宋" w:hAnsi="仿宋" w:eastAsia="仿宋" w:cs="宋体"/>
          <w:color w:val="auto"/>
          <w:sz w:val="24"/>
          <w:szCs w:val="24"/>
          <w:highlight w:val="none"/>
          <w:lang w:eastAsia="zh-CN"/>
        </w:rPr>
        <w:t>其“</w:t>
      </w:r>
      <w:r>
        <w:rPr>
          <w:rFonts w:hint="eastAsia" w:ascii="仿宋" w:hAnsi="仿宋" w:eastAsia="仿宋" w:cs="宋体"/>
          <w:color w:val="auto"/>
          <w:sz w:val="24"/>
          <w:highlight w:val="none"/>
        </w:rPr>
        <w:t>电子招标投标系统</w:t>
      </w:r>
      <w:r>
        <w:rPr>
          <w:rFonts w:hint="eastAsia" w:ascii="仿宋" w:hAnsi="仿宋" w:eastAsia="仿宋" w:cs="宋体"/>
          <w:color w:val="auto"/>
          <w:sz w:val="24"/>
          <w:szCs w:val="24"/>
          <w:highlight w:val="none"/>
          <w:lang w:eastAsia="zh-CN"/>
        </w:rPr>
        <w:t>”应符合</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普通公路标准文件</w:t>
      </w:r>
      <w:r>
        <w:rPr>
          <w:rFonts w:hint="eastAsia" w:ascii="仿宋" w:hAnsi="仿宋" w:eastAsia="仿宋" w:cs="宋体"/>
          <w:color w:val="auto"/>
          <w:sz w:val="24"/>
          <w:highlight w:val="none"/>
        </w:rPr>
        <w:t>》</w:t>
      </w:r>
      <w:bookmarkEnd w:id="8"/>
      <w:r>
        <w:rPr>
          <w:rFonts w:hint="eastAsia" w:ascii="仿宋" w:hAnsi="仿宋" w:eastAsia="仿宋" w:cs="宋体"/>
          <w:color w:val="auto"/>
          <w:sz w:val="24"/>
          <w:highlight w:val="none"/>
          <w:lang w:eastAsia="zh-CN"/>
        </w:rPr>
        <w:t>要求</w:t>
      </w:r>
      <w:r>
        <w:rPr>
          <w:rFonts w:hint="eastAsia" w:ascii="仿宋" w:hAnsi="仿宋" w:eastAsia="仿宋" w:cs="宋体"/>
          <w:color w:val="auto"/>
          <w:sz w:val="24"/>
          <w:highlight w:val="none"/>
        </w:rPr>
        <w:t>。</w:t>
      </w:r>
      <w:bookmarkEnd w:id="9"/>
    </w:p>
    <w:p w14:paraId="5A5EC307">
      <w:pPr>
        <w:pStyle w:val="299"/>
        <w:spacing w:line="360" w:lineRule="auto"/>
        <w:ind w:firstLine="480" w:firstLineChars="200"/>
        <w:rPr>
          <w:rFonts w:ascii="宋体" w:hAnsi="宋体"/>
          <w:color w:val="auto"/>
          <w:sz w:val="24"/>
          <w:highlight w:val="none"/>
        </w:rPr>
      </w:pPr>
      <w:r>
        <w:rPr>
          <w:rFonts w:hint="eastAsia" w:ascii="仿宋" w:hAnsi="仿宋" w:eastAsia="仿宋"/>
          <w:color w:val="auto"/>
          <w:sz w:val="24"/>
          <w:highlight w:val="none"/>
        </w:rPr>
        <w:t>十</w:t>
      </w:r>
      <w:r>
        <w:rPr>
          <w:rFonts w:hint="eastAsia" w:ascii="仿宋" w:hAnsi="仿宋" w:eastAsia="仿宋"/>
          <w:color w:val="auto"/>
          <w:sz w:val="24"/>
          <w:highlight w:val="none"/>
          <w:lang w:val="en-US" w:eastAsia="zh-CN"/>
        </w:rPr>
        <w:t>三</w:t>
      </w:r>
      <w:r>
        <w:rPr>
          <w:rFonts w:hint="eastAsia" w:ascii="仿宋" w:hAnsi="仿宋" w:eastAsia="仿宋"/>
          <w:color w:val="auto"/>
          <w:sz w:val="24"/>
          <w:highlight w:val="none"/>
        </w:rPr>
        <w:t>、各使用单位对《</w:t>
      </w:r>
      <w:r>
        <w:rPr>
          <w:rFonts w:hint="eastAsia" w:ascii="仿宋" w:hAnsi="仿宋" w:eastAsia="仿宋" w:cs="宋体"/>
          <w:color w:val="auto"/>
          <w:sz w:val="24"/>
          <w:highlight w:val="none"/>
          <w:lang w:val="en-US" w:eastAsia="zh-CN"/>
        </w:rPr>
        <w:t>普通公路标准文件</w:t>
      </w:r>
      <w:r>
        <w:rPr>
          <w:rFonts w:hint="eastAsia" w:ascii="仿宋" w:hAnsi="仿宋" w:eastAsia="仿宋"/>
          <w:color w:val="auto"/>
          <w:sz w:val="24"/>
          <w:highlight w:val="none"/>
        </w:rPr>
        <w:t>》在实施过程中，遇到的相关问题或修改意见和建议，请及时反馈四川省交通运输厅</w:t>
      </w:r>
      <w:r>
        <w:rPr>
          <w:rFonts w:hint="eastAsia" w:ascii="仿宋" w:hAnsi="仿宋" w:eastAsia="仿宋"/>
          <w:color w:val="auto"/>
          <w:sz w:val="24"/>
          <w:highlight w:val="none"/>
          <w:lang w:eastAsia="zh-CN"/>
        </w:rPr>
        <w:t>建设管理处、</w:t>
      </w:r>
      <w:r>
        <w:rPr>
          <w:rFonts w:hint="eastAsia" w:ascii="仿宋" w:hAnsi="仿宋" w:eastAsia="仿宋"/>
          <w:color w:val="auto"/>
          <w:sz w:val="24"/>
          <w:highlight w:val="none"/>
        </w:rPr>
        <w:t>四川省交通运输厅公路局。</w:t>
      </w:r>
    </w:p>
    <w:p w14:paraId="32CA9C1F">
      <w:pPr>
        <w:pStyle w:val="299"/>
        <w:rPr>
          <w:color w:val="auto"/>
          <w:sz w:val="24"/>
          <w:highlight w:val="none"/>
        </w:rPr>
      </w:pPr>
      <w:r>
        <w:rPr>
          <w:color w:val="auto"/>
          <w:sz w:val="24"/>
          <w:highlight w:val="none"/>
        </w:rPr>
        <w:br w:type="page"/>
      </w:r>
    </w:p>
    <w:p w14:paraId="36337C9C">
      <w:pPr>
        <w:pStyle w:val="299"/>
        <w:rPr>
          <w:color w:val="auto"/>
          <w:highlight w:val="none"/>
        </w:rPr>
      </w:pPr>
    </w:p>
    <w:p w14:paraId="2D554FA8">
      <w:pPr>
        <w:pStyle w:val="299"/>
        <w:rPr>
          <w:color w:val="auto"/>
          <w:highlight w:val="none"/>
        </w:rPr>
      </w:pPr>
    </w:p>
    <w:p w14:paraId="33070894">
      <w:pPr>
        <w:pStyle w:val="299"/>
        <w:rPr>
          <w:color w:val="auto"/>
          <w:highlight w:val="none"/>
        </w:rPr>
      </w:pPr>
    </w:p>
    <w:p w14:paraId="3CD7109B">
      <w:pPr>
        <w:pStyle w:val="299"/>
        <w:rPr>
          <w:color w:val="auto"/>
          <w:highlight w:val="none"/>
        </w:rPr>
      </w:pPr>
    </w:p>
    <w:p w14:paraId="4C2AE83C">
      <w:pPr>
        <w:pStyle w:val="299"/>
        <w:spacing w:line="360" w:lineRule="auto"/>
        <w:jc w:val="center"/>
        <w:rPr>
          <w:rFonts w:ascii="黑体" w:hAnsi="黑体" w:eastAsia="黑体"/>
          <w:color w:val="auto"/>
          <w:sz w:val="36"/>
          <w:szCs w:val="36"/>
          <w:highlight w:val="none"/>
        </w:rPr>
      </w:pPr>
      <w:r>
        <w:rPr>
          <w:rFonts w:hint="eastAsia" w:ascii="黑体" w:hAnsi="黑体" w:eastAsia="黑体"/>
          <w:color w:val="auto"/>
          <w:sz w:val="36"/>
          <w:szCs w:val="36"/>
          <w:highlight w:val="none"/>
          <w:u w:val="single"/>
        </w:rPr>
        <w:t xml:space="preserve">   </w:t>
      </w:r>
      <w:r>
        <w:rPr>
          <w:rFonts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u w:val="single"/>
          <w:lang w:val="en-US" w:eastAsia="zh-CN"/>
        </w:rPr>
        <w:t xml:space="preserve">          </w:t>
      </w:r>
      <w:r>
        <w:rPr>
          <w:rFonts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lang w:val="en-US" w:eastAsia="zh-CN"/>
        </w:rPr>
        <w:t>招标</w:t>
      </w:r>
      <w:r>
        <w:rPr>
          <w:rFonts w:hint="eastAsia" w:ascii="黑体" w:hAnsi="黑体" w:eastAsia="黑体"/>
          <w:color w:val="auto"/>
          <w:sz w:val="36"/>
          <w:szCs w:val="36"/>
          <w:highlight w:val="none"/>
        </w:rPr>
        <w:t>项目名称）</w:t>
      </w:r>
      <w:r>
        <w:rPr>
          <w:rStyle w:val="59"/>
          <w:rFonts w:ascii="黑体" w:hAnsi="黑体" w:eastAsia="黑体"/>
          <w:color w:val="auto"/>
          <w:sz w:val="36"/>
          <w:szCs w:val="36"/>
          <w:highlight w:val="none"/>
        </w:rPr>
        <w:footnoteReference w:id="0"/>
      </w:r>
      <w:r>
        <w:rPr>
          <w:rFonts w:hint="eastAsia" w:ascii="黑体" w:hAnsi="黑体" w:eastAsia="黑体"/>
          <w:color w:val="auto"/>
          <w:sz w:val="36"/>
          <w:szCs w:val="36"/>
          <w:highlight w:val="none"/>
        </w:rPr>
        <w:t>招标</w:t>
      </w:r>
    </w:p>
    <w:p w14:paraId="0DE5D9E9">
      <w:pPr>
        <w:pStyle w:val="299"/>
        <w:rPr>
          <w:color w:val="auto"/>
          <w:highlight w:val="none"/>
        </w:rPr>
      </w:pPr>
    </w:p>
    <w:p w14:paraId="4344B77E">
      <w:pPr>
        <w:pStyle w:val="299"/>
        <w:rPr>
          <w:color w:val="auto"/>
          <w:highlight w:val="none"/>
        </w:rPr>
      </w:pPr>
    </w:p>
    <w:p w14:paraId="316A616F">
      <w:pPr>
        <w:pStyle w:val="299"/>
        <w:rPr>
          <w:color w:val="auto"/>
          <w:highlight w:val="none"/>
        </w:rPr>
      </w:pPr>
    </w:p>
    <w:p w14:paraId="51B4EB09">
      <w:pPr>
        <w:pStyle w:val="299"/>
        <w:rPr>
          <w:color w:val="auto"/>
          <w:highlight w:val="none"/>
        </w:rPr>
      </w:pPr>
    </w:p>
    <w:p w14:paraId="45B373BF">
      <w:pPr>
        <w:pStyle w:val="299"/>
        <w:rPr>
          <w:color w:val="auto"/>
          <w:highlight w:val="none"/>
        </w:rPr>
      </w:pPr>
    </w:p>
    <w:p w14:paraId="0A70AE2D">
      <w:pPr>
        <w:pStyle w:val="299"/>
        <w:rPr>
          <w:color w:val="auto"/>
          <w:highlight w:val="none"/>
        </w:rPr>
      </w:pPr>
    </w:p>
    <w:p w14:paraId="30F3358A">
      <w:pPr>
        <w:pStyle w:val="299"/>
        <w:rPr>
          <w:color w:val="auto"/>
          <w:highlight w:val="none"/>
        </w:rPr>
      </w:pPr>
    </w:p>
    <w:p w14:paraId="4348BF68">
      <w:pPr>
        <w:pStyle w:val="299"/>
        <w:rPr>
          <w:color w:val="auto"/>
          <w:highlight w:val="none"/>
        </w:rPr>
      </w:pPr>
    </w:p>
    <w:p w14:paraId="2700BAB7">
      <w:pPr>
        <w:pStyle w:val="299"/>
        <w:rPr>
          <w:color w:val="auto"/>
          <w:highlight w:val="none"/>
        </w:rPr>
      </w:pPr>
    </w:p>
    <w:p w14:paraId="2A3DC18F">
      <w:pPr>
        <w:pStyle w:val="299"/>
        <w:rPr>
          <w:color w:val="auto"/>
          <w:highlight w:val="none"/>
        </w:rPr>
      </w:pPr>
    </w:p>
    <w:p w14:paraId="614908BC">
      <w:pPr>
        <w:pStyle w:val="299"/>
        <w:rPr>
          <w:color w:val="auto"/>
          <w:highlight w:val="none"/>
        </w:rPr>
      </w:pPr>
    </w:p>
    <w:p w14:paraId="56BE86F0">
      <w:pPr>
        <w:pStyle w:val="299"/>
        <w:rPr>
          <w:color w:val="auto"/>
          <w:highlight w:val="none"/>
        </w:rPr>
      </w:pPr>
    </w:p>
    <w:p w14:paraId="70A7DC1E">
      <w:pPr>
        <w:pStyle w:val="299"/>
        <w:rPr>
          <w:color w:val="auto"/>
          <w:highlight w:val="none"/>
        </w:rPr>
      </w:pPr>
    </w:p>
    <w:p w14:paraId="33EFAB02">
      <w:pPr>
        <w:pStyle w:val="299"/>
        <w:rPr>
          <w:color w:val="auto"/>
          <w:highlight w:val="none"/>
        </w:rPr>
      </w:pPr>
    </w:p>
    <w:p w14:paraId="74321D45">
      <w:pPr>
        <w:pStyle w:val="299"/>
        <w:jc w:val="center"/>
        <w:rPr>
          <w:rFonts w:ascii="黑体" w:hAnsi="黑体" w:eastAsia="黑体"/>
          <w:color w:val="auto"/>
          <w:sz w:val="80"/>
          <w:szCs w:val="80"/>
          <w:highlight w:val="none"/>
        </w:rPr>
      </w:pPr>
      <w:r>
        <w:rPr>
          <w:rFonts w:hint="eastAsia" w:ascii="黑体" w:hAnsi="黑体" w:eastAsia="黑体"/>
          <w:color w:val="auto"/>
          <w:sz w:val="80"/>
          <w:szCs w:val="80"/>
          <w:highlight w:val="none"/>
        </w:rPr>
        <w:t>招 标 文 件</w:t>
      </w:r>
    </w:p>
    <w:p w14:paraId="0C27D4F9">
      <w:pPr>
        <w:pStyle w:val="299"/>
        <w:rPr>
          <w:color w:val="auto"/>
          <w:highlight w:val="none"/>
        </w:rPr>
      </w:pPr>
    </w:p>
    <w:p w14:paraId="04175E46">
      <w:pPr>
        <w:pStyle w:val="299"/>
        <w:rPr>
          <w:color w:val="auto"/>
          <w:highlight w:val="none"/>
        </w:rPr>
      </w:pPr>
    </w:p>
    <w:p w14:paraId="0D2EBBAF">
      <w:pPr>
        <w:pStyle w:val="299"/>
        <w:rPr>
          <w:color w:val="auto"/>
          <w:highlight w:val="none"/>
        </w:rPr>
      </w:pPr>
    </w:p>
    <w:p w14:paraId="7837D667">
      <w:pPr>
        <w:pStyle w:val="299"/>
        <w:rPr>
          <w:color w:val="auto"/>
          <w:highlight w:val="none"/>
        </w:rPr>
      </w:pPr>
    </w:p>
    <w:p w14:paraId="7CCF3BE8">
      <w:pPr>
        <w:pStyle w:val="299"/>
        <w:rPr>
          <w:color w:val="auto"/>
          <w:highlight w:val="none"/>
        </w:rPr>
      </w:pPr>
    </w:p>
    <w:p w14:paraId="06DF4713">
      <w:pPr>
        <w:pStyle w:val="299"/>
        <w:rPr>
          <w:color w:val="auto"/>
          <w:highlight w:val="none"/>
        </w:rPr>
      </w:pPr>
    </w:p>
    <w:p w14:paraId="1F9CE1DB">
      <w:pPr>
        <w:pStyle w:val="299"/>
        <w:rPr>
          <w:color w:val="auto"/>
          <w:highlight w:val="none"/>
        </w:rPr>
      </w:pPr>
    </w:p>
    <w:p w14:paraId="0307DE1A">
      <w:pPr>
        <w:pStyle w:val="299"/>
        <w:rPr>
          <w:color w:val="auto"/>
          <w:highlight w:val="none"/>
        </w:rPr>
      </w:pPr>
    </w:p>
    <w:p w14:paraId="397CD0E7">
      <w:pPr>
        <w:pStyle w:val="299"/>
        <w:rPr>
          <w:color w:val="auto"/>
          <w:highlight w:val="none"/>
        </w:rPr>
      </w:pPr>
    </w:p>
    <w:p w14:paraId="5C28AB51">
      <w:pPr>
        <w:pStyle w:val="299"/>
        <w:rPr>
          <w:color w:val="auto"/>
          <w:highlight w:val="none"/>
        </w:rPr>
      </w:pPr>
    </w:p>
    <w:p w14:paraId="2DF66B67">
      <w:pPr>
        <w:pStyle w:val="299"/>
        <w:rPr>
          <w:color w:val="auto"/>
          <w:highlight w:val="none"/>
        </w:rPr>
      </w:pPr>
    </w:p>
    <w:p w14:paraId="39A7436D">
      <w:pPr>
        <w:pStyle w:val="299"/>
        <w:rPr>
          <w:color w:val="auto"/>
          <w:highlight w:val="none"/>
        </w:rPr>
      </w:pPr>
    </w:p>
    <w:p w14:paraId="32B28868">
      <w:pPr>
        <w:pStyle w:val="299"/>
        <w:rPr>
          <w:color w:val="auto"/>
          <w:highlight w:val="none"/>
        </w:rPr>
      </w:pPr>
    </w:p>
    <w:p w14:paraId="35699A31">
      <w:pPr>
        <w:pStyle w:val="299"/>
        <w:rPr>
          <w:color w:val="auto"/>
          <w:highlight w:val="none"/>
        </w:rPr>
      </w:pPr>
    </w:p>
    <w:p w14:paraId="3DFDBB29">
      <w:pPr>
        <w:pStyle w:val="299"/>
        <w:rPr>
          <w:color w:val="auto"/>
          <w:highlight w:val="none"/>
        </w:rPr>
      </w:pPr>
    </w:p>
    <w:p w14:paraId="3E1E0F81">
      <w:pPr>
        <w:pStyle w:val="299"/>
        <w:spacing w:line="480" w:lineRule="auto"/>
        <w:ind w:firstLine="560" w:firstLineChars="200"/>
        <w:jc w:val="both"/>
        <w:rPr>
          <w:rFonts w:ascii="黑体" w:hAnsi="黑体" w:eastAsia="黑体"/>
          <w:color w:val="auto"/>
          <w:sz w:val="28"/>
          <w:szCs w:val="28"/>
          <w:highlight w:val="none"/>
        </w:rPr>
      </w:pPr>
      <w:r>
        <w:rPr>
          <w:rFonts w:hint="eastAsia" w:ascii="黑体" w:hAnsi="黑体" w:eastAsia="黑体"/>
          <w:color w:val="auto"/>
          <w:sz w:val="28"/>
          <w:szCs w:val="28"/>
          <w:highlight w:val="none"/>
        </w:rPr>
        <w:t>招标人：</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u w:val="single"/>
          <w:lang w:val="en-US" w:eastAsia="zh-CN"/>
        </w:rPr>
        <w:t xml:space="preserve">       </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（盖单位电子印章）</w:t>
      </w:r>
    </w:p>
    <w:p w14:paraId="4BADCF10">
      <w:pPr>
        <w:pStyle w:val="299"/>
        <w:spacing w:line="480" w:lineRule="auto"/>
        <w:jc w:val="center"/>
        <w:rPr>
          <w:rFonts w:ascii="黑体" w:hAnsi="黑体" w:eastAsia="黑体"/>
          <w:color w:val="auto"/>
          <w:sz w:val="28"/>
          <w:szCs w:val="28"/>
          <w:highlight w:val="none"/>
        </w:rPr>
      </w:pPr>
      <w:r>
        <w:rPr>
          <w:rFonts w:hint="eastAsia" w:ascii="黑体" w:hAnsi="黑体" w:eastAsia="黑体"/>
          <w:b/>
          <w:color w:val="auto"/>
          <w:sz w:val="28"/>
          <w:szCs w:val="28"/>
          <w:highlight w:val="none"/>
        </w:rPr>
        <w:t xml:space="preserve">□ </w:t>
      </w:r>
      <w:r>
        <w:rPr>
          <w:rFonts w:hint="eastAsia" w:ascii="黑体" w:hAnsi="黑体" w:eastAsia="黑体"/>
          <w:color w:val="auto"/>
          <w:sz w:val="28"/>
          <w:szCs w:val="28"/>
          <w:highlight w:val="none"/>
        </w:rPr>
        <w:t>招标代理机构：</w:t>
      </w:r>
      <w:r>
        <w:rPr>
          <w:rFonts w:hint="eastAsia" w:ascii="黑体" w:hAnsi="黑体" w:eastAsia="黑体"/>
          <w:color w:val="auto"/>
          <w:sz w:val="28"/>
          <w:szCs w:val="28"/>
          <w:highlight w:val="none"/>
          <w:u w:val="single"/>
        </w:rPr>
        <w:t xml:space="preserve">          </w:t>
      </w:r>
      <w:r>
        <w:rPr>
          <w:rFonts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（盖单位电子印章）</w:t>
      </w:r>
    </w:p>
    <w:p w14:paraId="1441F4A1">
      <w:pPr>
        <w:pStyle w:val="299"/>
        <w:spacing w:line="480" w:lineRule="auto"/>
        <w:jc w:val="center"/>
        <w:rPr>
          <w:rFonts w:ascii="黑体" w:hAnsi="黑体" w:eastAsia="黑体"/>
          <w:color w:val="auto"/>
          <w:sz w:val="32"/>
          <w:szCs w:val="32"/>
          <w:highlight w:val="none"/>
        </w:rPr>
      </w:pP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年</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月</w:t>
      </w:r>
    </w:p>
    <w:p w14:paraId="3DCE1117">
      <w:pPr>
        <w:pStyle w:val="35"/>
        <w:tabs>
          <w:tab w:val="right" w:leader="dot" w:pos="9282"/>
        </w:tabs>
        <w:rPr>
          <w:color w:val="auto"/>
          <w:sz w:val="44"/>
          <w:szCs w:val="44"/>
          <w:highlight w:val="none"/>
        </w:rPr>
      </w:pPr>
      <w:r>
        <w:rPr>
          <w:rFonts w:hint="eastAsia"/>
          <w:color w:val="auto"/>
          <w:sz w:val="44"/>
          <w:szCs w:val="44"/>
          <w:highlight w:val="none"/>
        </w:rPr>
        <w:t>目   录</w:t>
      </w:r>
    </w:p>
    <w:p w14:paraId="43509CD9">
      <w:pPr>
        <w:jc w:val="center"/>
        <w:rPr>
          <w:rStyle w:val="57"/>
          <w:rFonts w:ascii="黑体" w:hAnsi="黑体" w:eastAsia="黑体" w:cs="黑体"/>
          <w:b/>
          <w:bCs/>
          <w:caps/>
          <w:color w:val="auto"/>
          <w:sz w:val="30"/>
          <w:szCs w:val="30"/>
          <w:highlight w:val="none"/>
          <w:u w:val="none"/>
        </w:rPr>
      </w:pPr>
    </w:p>
    <w:p w14:paraId="17864E82">
      <w:pPr>
        <w:spacing w:before="240" w:beforeLines="100" w:after="240" w:afterLines="100" w:line="480" w:lineRule="auto"/>
        <w:jc w:val="center"/>
        <w:rPr>
          <w:rStyle w:val="57"/>
          <w:rFonts w:ascii="黑体" w:hAnsi="黑体" w:eastAsia="黑体"/>
          <w:color w:val="auto"/>
          <w:sz w:val="30"/>
          <w:szCs w:val="30"/>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\h \z \u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"_Toc53685569" </w:instrText>
      </w:r>
      <w:r>
        <w:rPr>
          <w:color w:val="auto"/>
          <w:highlight w:val="none"/>
        </w:rPr>
        <w:fldChar w:fldCharType="separate"/>
      </w:r>
      <w:r>
        <w:rPr>
          <w:rStyle w:val="57"/>
          <w:rFonts w:hint="eastAsia" w:ascii="黑体" w:hAnsi="黑体" w:eastAsia="黑体"/>
          <w:color w:val="auto"/>
          <w:sz w:val="30"/>
          <w:szCs w:val="30"/>
          <w:highlight w:val="none"/>
        </w:rPr>
        <w:t>第</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一</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卷</w:t>
      </w:r>
      <w:r>
        <w:rPr>
          <w:rStyle w:val="57"/>
          <w:rFonts w:ascii="黑体" w:hAnsi="黑体" w:eastAsia="黑体"/>
          <w:color w:val="auto"/>
          <w:sz w:val="30"/>
          <w:szCs w:val="30"/>
          <w:highlight w:val="none"/>
        </w:rPr>
        <w:tab/>
      </w:r>
      <w:r>
        <w:rPr>
          <w:rStyle w:val="57"/>
          <w:rFonts w:ascii="黑体" w:hAnsi="黑体" w:eastAsia="黑体"/>
          <w:color w:val="auto"/>
          <w:sz w:val="30"/>
          <w:szCs w:val="30"/>
          <w:highlight w:val="none"/>
        </w:rPr>
        <w:fldChar w:fldCharType="end"/>
      </w:r>
    </w:p>
    <w:p w14:paraId="31480176">
      <w:pPr>
        <w:pStyle w:val="35"/>
        <w:tabs>
          <w:tab w:val="right" w:leader="dot" w:pos="8771"/>
        </w:tabs>
        <w:spacing w:line="360" w:lineRule="auto"/>
        <w:rPr>
          <w:rFonts w:asciiTheme="minorEastAsia" w:hAnsiTheme="minorEastAsia" w:eastAsiaTheme="minorEastAsia" w:cstheme="minorBidi"/>
          <w:color w:val="auto"/>
          <w:kern w:val="2"/>
          <w:sz w:val="24"/>
          <w:szCs w:val="24"/>
          <w:highlight w:val="none"/>
          <w:lang w:eastAsia="zh-CN"/>
        </w:rPr>
      </w:pPr>
      <w:r>
        <w:rPr>
          <w:color w:val="auto"/>
          <w:highlight w:val="none"/>
        </w:rPr>
        <w:fldChar w:fldCharType="begin"/>
      </w:r>
      <w:r>
        <w:rPr>
          <w:color w:val="auto"/>
          <w:highlight w:val="none"/>
        </w:rPr>
        <w:instrText xml:space="preserve"> HYPERLINK \l "_Toc53685570" </w:instrText>
      </w:r>
      <w:r>
        <w:rPr>
          <w:color w:val="auto"/>
          <w:highlight w:val="none"/>
        </w:rPr>
        <w:fldChar w:fldCharType="separate"/>
      </w:r>
      <w:r>
        <w:rPr>
          <w:rStyle w:val="57"/>
          <w:rFonts w:hint="eastAsia" w:asciiTheme="minorEastAsia" w:hAnsiTheme="minorEastAsia" w:eastAsiaTheme="minorEastAsia"/>
          <w:color w:val="auto"/>
          <w:sz w:val="24"/>
          <w:szCs w:val="24"/>
          <w:highlight w:val="none"/>
        </w:rPr>
        <w:t>第一章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招标公告</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_Toc53685570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14:paraId="15179AA9">
      <w:pPr>
        <w:pStyle w:val="35"/>
        <w:tabs>
          <w:tab w:val="right" w:leader="dot" w:pos="8771"/>
        </w:tabs>
        <w:spacing w:line="360" w:lineRule="auto"/>
        <w:rPr>
          <w:rFonts w:asciiTheme="minorEastAsia" w:hAnsiTheme="minorEastAsia" w:eastAsiaTheme="minorEastAsia" w:cstheme="minorBidi"/>
          <w:color w:val="auto"/>
          <w:kern w:val="2"/>
          <w:sz w:val="24"/>
          <w:szCs w:val="24"/>
          <w:highlight w:val="none"/>
          <w:lang w:eastAsia="zh-CN"/>
        </w:rPr>
      </w:pPr>
      <w:r>
        <w:rPr>
          <w:color w:val="auto"/>
          <w:highlight w:val="none"/>
        </w:rPr>
        <w:fldChar w:fldCharType="begin"/>
      </w:r>
      <w:r>
        <w:rPr>
          <w:color w:val="auto"/>
          <w:highlight w:val="none"/>
        </w:rPr>
        <w:instrText xml:space="preserve"> HYPERLINK \l "_Toc53685580" </w:instrText>
      </w:r>
      <w:r>
        <w:rPr>
          <w:color w:val="auto"/>
          <w:highlight w:val="none"/>
        </w:rPr>
        <w:fldChar w:fldCharType="separate"/>
      </w:r>
      <w:r>
        <w:rPr>
          <w:rStyle w:val="57"/>
          <w:rFonts w:hint="eastAsia" w:asciiTheme="minorEastAsia" w:hAnsiTheme="minorEastAsia" w:eastAsiaTheme="minorEastAsia"/>
          <w:color w:val="auto"/>
          <w:sz w:val="24"/>
          <w:szCs w:val="24"/>
          <w:highlight w:val="none"/>
        </w:rPr>
        <w:t>第二章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投标人须知</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_Toc53685580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10</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14:paraId="316BCEC6">
      <w:pPr>
        <w:pStyle w:val="35"/>
        <w:tabs>
          <w:tab w:val="right" w:leader="dot" w:pos="8771"/>
        </w:tabs>
        <w:spacing w:line="360" w:lineRule="auto"/>
        <w:rPr>
          <w:rFonts w:asciiTheme="minorEastAsia" w:hAnsiTheme="minorEastAsia" w:eastAsiaTheme="minorEastAsia" w:cstheme="minorBidi"/>
          <w:color w:val="auto"/>
          <w:kern w:val="2"/>
          <w:sz w:val="24"/>
          <w:szCs w:val="24"/>
          <w:highlight w:val="none"/>
          <w:lang w:eastAsia="zh-CN"/>
        </w:rPr>
      </w:pPr>
      <w:r>
        <w:rPr>
          <w:color w:val="auto"/>
          <w:highlight w:val="none"/>
        </w:rPr>
        <w:fldChar w:fldCharType="begin"/>
      </w:r>
      <w:r>
        <w:rPr>
          <w:color w:val="auto"/>
          <w:highlight w:val="none"/>
        </w:rPr>
        <w:instrText xml:space="preserve"> HYPERLINK \l "_Toc53685650" </w:instrText>
      </w:r>
      <w:r>
        <w:rPr>
          <w:color w:val="auto"/>
          <w:highlight w:val="none"/>
        </w:rPr>
        <w:fldChar w:fldCharType="separate"/>
      </w:r>
      <w:r>
        <w:rPr>
          <w:rStyle w:val="57"/>
          <w:rFonts w:hint="eastAsia" w:asciiTheme="minorEastAsia" w:hAnsiTheme="minorEastAsia" w:eastAsiaTheme="minorEastAsia"/>
          <w:color w:val="auto"/>
          <w:sz w:val="24"/>
          <w:szCs w:val="24"/>
          <w:highlight w:val="none"/>
        </w:rPr>
        <w:t>第三章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评标办法</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_Toc53685650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69</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14:paraId="2175207F">
      <w:pPr>
        <w:pStyle w:val="35"/>
        <w:tabs>
          <w:tab w:val="right" w:leader="dot" w:pos="8771"/>
        </w:tabs>
        <w:spacing w:line="360" w:lineRule="auto"/>
        <w:rPr>
          <w:rFonts w:asciiTheme="minorEastAsia" w:hAnsiTheme="minorEastAsia" w:eastAsiaTheme="minorEastAsia" w:cstheme="minorBidi"/>
          <w:color w:val="auto"/>
          <w:kern w:val="2"/>
          <w:sz w:val="24"/>
          <w:szCs w:val="24"/>
          <w:highlight w:val="none"/>
          <w:lang w:eastAsia="zh-CN"/>
        </w:rPr>
      </w:pPr>
      <w:r>
        <w:rPr>
          <w:color w:val="auto"/>
          <w:highlight w:val="none"/>
        </w:rPr>
        <w:fldChar w:fldCharType="begin"/>
      </w:r>
      <w:r>
        <w:rPr>
          <w:color w:val="auto"/>
          <w:highlight w:val="none"/>
        </w:rPr>
        <w:instrText xml:space="preserve"> HYPERLINK \l "_Toc53685712" </w:instrText>
      </w:r>
      <w:r>
        <w:rPr>
          <w:color w:val="auto"/>
          <w:highlight w:val="none"/>
        </w:rPr>
        <w:fldChar w:fldCharType="separate"/>
      </w:r>
      <w:r>
        <w:rPr>
          <w:rStyle w:val="57"/>
          <w:rFonts w:hint="eastAsia" w:asciiTheme="minorEastAsia" w:hAnsiTheme="minorEastAsia" w:eastAsiaTheme="minorEastAsia"/>
          <w:color w:val="auto"/>
          <w:sz w:val="24"/>
          <w:szCs w:val="24"/>
          <w:highlight w:val="none"/>
        </w:rPr>
        <w:t>第四章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合同条款及格式</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_Toc53685712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151</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14:paraId="39CD26C5">
      <w:pPr>
        <w:pStyle w:val="35"/>
        <w:tabs>
          <w:tab w:val="right" w:leader="dot" w:pos="8771"/>
        </w:tabs>
        <w:spacing w:line="360" w:lineRule="auto"/>
        <w:rPr>
          <w:rFonts w:asciiTheme="minorHAnsi" w:hAnsiTheme="minorHAnsi" w:eastAsiaTheme="minorEastAsia" w:cstheme="minorBidi"/>
          <w:color w:val="auto"/>
          <w:kern w:val="2"/>
          <w:sz w:val="24"/>
          <w:szCs w:val="24"/>
          <w:highlight w:val="none"/>
          <w:lang w:eastAsia="zh-CN"/>
        </w:rPr>
      </w:pPr>
      <w:r>
        <w:rPr>
          <w:color w:val="auto"/>
          <w:highlight w:val="none"/>
        </w:rPr>
        <w:fldChar w:fldCharType="begin"/>
      </w:r>
      <w:r>
        <w:rPr>
          <w:color w:val="auto"/>
          <w:highlight w:val="none"/>
        </w:rPr>
        <w:instrText xml:space="preserve"> HYPERLINK \l "_Toc53685806" </w:instrText>
      </w:r>
      <w:r>
        <w:rPr>
          <w:color w:val="auto"/>
          <w:highlight w:val="none"/>
        </w:rPr>
        <w:fldChar w:fldCharType="separate"/>
      </w:r>
      <w:r>
        <w:rPr>
          <w:rStyle w:val="57"/>
          <w:rFonts w:hint="eastAsia" w:asciiTheme="minorEastAsia" w:hAnsiTheme="minorEastAsia" w:eastAsiaTheme="minorEastAsia"/>
          <w:color w:val="auto"/>
          <w:sz w:val="24"/>
          <w:szCs w:val="24"/>
          <w:highlight w:val="none"/>
        </w:rPr>
        <w:t>第五章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工程量清单（另册）</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_Toc53685806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222</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14:paraId="4E30BCE1">
      <w:pPr>
        <w:spacing w:before="240" w:beforeLines="100" w:after="240" w:afterLines="100" w:line="480" w:lineRule="auto"/>
        <w:jc w:val="center"/>
        <w:rPr>
          <w:rFonts w:ascii="黑体" w:hAnsi="黑体" w:eastAsia="黑体" w:cstheme="minorBidi"/>
          <w:color w:val="auto"/>
          <w:sz w:val="30"/>
          <w:szCs w:val="30"/>
          <w:highlight w:val="none"/>
        </w:rPr>
      </w:pPr>
      <w:r>
        <w:rPr>
          <w:color w:val="auto"/>
          <w:highlight w:val="none"/>
        </w:rPr>
        <w:fldChar w:fldCharType="begin"/>
      </w:r>
      <w:r>
        <w:rPr>
          <w:color w:val="auto"/>
          <w:highlight w:val="none"/>
        </w:rPr>
        <w:instrText xml:space="preserve"> HYPERLINK \l "_Toc53685807" </w:instrText>
      </w:r>
      <w:r>
        <w:rPr>
          <w:color w:val="auto"/>
          <w:highlight w:val="none"/>
        </w:rPr>
        <w:fldChar w:fldCharType="separate"/>
      </w:r>
      <w:r>
        <w:rPr>
          <w:rStyle w:val="57"/>
          <w:rFonts w:hint="eastAsia" w:ascii="黑体" w:hAnsi="黑体" w:eastAsia="黑体"/>
          <w:color w:val="auto"/>
          <w:sz w:val="30"/>
          <w:szCs w:val="30"/>
          <w:highlight w:val="none"/>
        </w:rPr>
        <w:t>第</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二</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卷</w:t>
      </w:r>
      <w:r>
        <w:rPr>
          <w:rFonts w:ascii="黑体" w:hAnsi="黑体" w:eastAsia="黑体"/>
          <w:color w:val="auto"/>
          <w:sz w:val="30"/>
          <w:szCs w:val="30"/>
          <w:highlight w:val="none"/>
        </w:rPr>
        <w:tab/>
      </w:r>
      <w:r>
        <w:rPr>
          <w:rFonts w:ascii="黑体" w:hAnsi="黑体" w:eastAsia="黑体"/>
          <w:color w:val="auto"/>
          <w:sz w:val="30"/>
          <w:szCs w:val="30"/>
          <w:highlight w:val="none"/>
        </w:rPr>
        <w:fldChar w:fldCharType="end"/>
      </w:r>
    </w:p>
    <w:p w14:paraId="74F7232B">
      <w:pPr>
        <w:pStyle w:val="35"/>
        <w:tabs>
          <w:tab w:val="right" w:leader="dot" w:pos="8771"/>
        </w:tabs>
        <w:spacing w:line="360" w:lineRule="auto"/>
        <w:rPr>
          <w:rFonts w:asciiTheme="minorEastAsia" w:hAnsiTheme="minorEastAsia" w:eastAsiaTheme="minorEastAsia" w:cstheme="minorBidi"/>
          <w:color w:val="auto"/>
          <w:kern w:val="2"/>
          <w:sz w:val="24"/>
          <w:szCs w:val="24"/>
          <w:highlight w:val="none"/>
          <w:lang w:eastAsia="zh-CN"/>
        </w:rPr>
      </w:pPr>
      <w:r>
        <w:rPr>
          <w:color w:val="auto"/>
          <w:highlight w:val="none"/>
        </w:rPr>
        <w:fldChar w:fldCharType="begin"/>
      </w:r>
      <w:r>
        <w:rPr>
          <w:color w:val="auto"/>
          <w:highlight w:val="none"/>
        </w:rPr>
        <w:instrText xml:space="preserve"> HYPERLINK \l "_Toc53685808" </w:instrText>
      </w:r>
      <w:r>
        <w:rPr>
          <w:color w:val="auto"/>
          <w:highlight w:val="none"/>
        </w:rPr>
        <w:fldChar w:fldCharType="separate"/>
      </w:r>
      <w:r>
        <w:rPr>
          <w:rStyle w:val="57"/>
          <w:rFonts w:hint="eastAsia" w:asciiTheme="minorEastAsia" w:hAnsiTheme="minorEastAsia" w:eastAsiaTheme="minorEastAsia"/>
          <w:color w:val="auto"/>
          <w:sz w:val="24"/>
          <w:szCs w:val="24"/>
          <w:highlight w:val="none"/>
        </w:rPr>
        <w:t>第六章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图纸（另册）</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_Toc53685808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224</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14:paraId="7B69450B">
      <w:pPr>
        <w:spacing w:before="240" w:beforeLines="100" w:after="240" w:afterLines="100" w:line="480" w:lineRule="auto"/>
        <w:jc w:val="center"/>
        <w:rPr>
          <w:rStyle w:val="57"/>
          <w:rFonts w:ascii="黑体" w:hAnsi="黑体" w:eastAsia="黑体"/>
          <w:color w:val="auto"/>
          <w:sz w:val="30"/>
          <w:szCs w:val="30"/>
          <w:highlight w:val="none"/>
        </w:rPr>
      </w:pPr>
      <w:r>
        <w:rPr>
          <w:color w:val="auto"/>
          <w:highlight w:val="none"/>
        </w:rPr>
        <w:fldChar w:fldCharType="begin"/>
      </w:r>
      <w:r>
        <w:rPr>
          <w:color w:val="auto"/>
          <w:highlight w:val="none"/>
        </w:rPr>
        <w:instrText xml:space="preserve"> HYPERLINK \l "_Toc53685809" </w:instrText>
      </w:r>
      <w:r>
        <w:rPr>
          <w:color w:val="auto"/>
          <w:highlight w:val="none"/>
        </w:rPr>
        <w:fldChar w:fldCharType="separate"/>
      </w:r>
      <w:r>
        <w:rPr>
          <w:rStyle w:val="57"/>
          <w:rFonts w:hint="eastAsia" w:ascii="黑体" w:hAnsi="黑体" w:eastAsia="黑体"/>
          <w:color w:val="auto"/>
          <w:sz w:val="30"/>
          <w:szCs w:val="30"/>
          <w:highlight w:val="none"/>
        </w:rPr>
        <w:t>第</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三</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卷</w:t>
      </w:r>
      <w:r>
        <w:rPr>
          <w:rStyle w:val="57"/>
          <w:rFonts w:hint="eastAsia" w:ascii="黑体" w:hAnsi="黑体" w:eastAsia="黑体"/>
          <w:color w:val="auto"/>
          <w:sz w:val="30"/>
          <w:szCs w:val="30"/>
          <w:highlight w:val="none"/>
        </w:rPr>
        <w:fldChar w:fldCharType="end"/>
      </w:r>
    </w:p>
    <w:p w14:paraId="1D7C055A">
      <w:pPr>
        <w:pStyle w:val="35"/>
        <w:tabs>
          <w:tab w:val="right" w:leader="dot" w:pos="8771"/>
        </w:tabs>
        <w:spacing w:line="360" w:lineRule="auto"/>
        <w:rPr>
          <w:rFonts w:asciiTheme="minorEastAsia" w:hAnsiTheme="minorEastAsia" w:eastAsiaTheme="minorEastAsia" w:cstheme="minorBidi"/>
          <w:color w:val="auto"/>
          <w:kern w:val="2"/>
          <w:sz w:val="24"/>
          <w:szCs w:val="24"/>
          <w:highlight w:val="none"/>
          <w:lang w:eastAsia="zh-CN"/>
        </w:rPr>
      </w:pPr>
      <w:r>
        <w:rPr>
          <w:color w:val="auto"/>
          <w:highlight w:val="none"/>
        </w:rPr>
        <w:fldChar w:fldCharType="begin"/>
      </w:r>
      <w:r>
        <w:rPr>
          <w:color w:val="auto"/>
          <w:highlight w:val="none"/>
        </w:rPr>
        <w:instrText xml:space="preserve"> HYPERLINK \l "_Toc53685810" </w:instrText>
      </w:r>
      <w:r>
        <w:rPr>
          <w:color w:val="auto"/>
          <w:highlight w:val="none"/>
        </w:rPr>
        <w:fldChar w:fldCharType="separate"/>
      </w:r>
      <w:r>
        <w:rPr>
          <w:rStyle w:val="57"/>
          <w:rFonts w:hint="eastAsia" w:asciiTheme="minorEastAsia" w:hAnsiTheme="minorEastAsia" w:eastAsiaTheme="minorEastAsia"/>
          <w:color w:val="auto"/>
          <w:sz w:val="24"/>
          <w:szCs w:val="24"/>
          <w:highlight w:val="none"/>
        </w:rPr>
        <w:t>第七章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技术规范（另册）</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_Toc53685810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226</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14:paraId="623A68BA">
      <w:pPr>
        <w:pStyle w:val="35"/>
        <w:tabs>
          <w:tab w:val="right" w:leader="dot" w:pos="8771"/>
        </w:tabs>
        <w:spacing w:line="360" w:lineRule="auto"/>
        <w:rPr>
          <w:rFonts w:asciiTheme="minorEastAsia" w:hAnsiTheme="minorEastAsia" w:eastAsiaTheme="minorEastAsia" w:cstheme="minorBidi"/>
          <w:color w:val="auto"/>
          <w:kern w:val="2"/>
          <w:sz w:val="24"/>
          <w:szCs w:val="24"/>
          <w:highlight w:val="none"/>
          <w:lang w:eastAsia="zh-CN"/>
        </w:rPr>
      </w:pPr>
      <w:r>
        <w:rPr>
          <w:color w:val="auto"/>
          <w:highlight w:val="none"/>
        </w:rPr>
        <w:fldChar w:fldCharType="begin"/>
      </w:r>
      <w:r>
        <w:rPr>
          <w:color w:val="auto"/>
          <w:highlight w:val="none"/>
        </w:rPr>
        <w:instrText xml:space="preserve"> HYPERLINK \l "_Toc53685811" </w:instrText>
      </w:r>
      <w:r>
        <w:rPr>
          <w:color w:val="auto"/>
          <w:highlight w:val="none"/>
        </w:rPr>
        <w:fldChar w:fldCharType="separate"/>
      </w:r>
      <w:r>
        <w:rPr>
          <w:rStyle w:val="57"/>
          <w:rFonts w:hint="eastAsia" w:asciiTheme="minorEastAsia" w:hAnsiTheme="minorEastAsia" w:eastAsiaTheme="minorEastAsia"/>
          <w:color w:val="auto"/>
          <w:sz w:val="24"/>
          <w:szCs w:val="24"/>
          <w:highlight w:val="none"/>
        </w:rPr>
        <w:t>第八章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工程量清单计量规则（另册）</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_Toc53685811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227</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14:paraId="7904AF1D">
      <w:pPr>
        <w:spacing w:before="240" w:beforeLines="100" w:after="240" w:afterLines="100" w:line="480" w:lineRule="auto"/>
        <w:jc w:val="center"/>
        <w:rPr>
          <w:rStyle w:val="57"/>
          <w:rFonts w:ascii="黑体" w:hAnsi="黑体" w:eastAsia="黑体"/>
          <w:color w:val="auto"/>
          <w:sz w:val="30"/>
          <w:szCs w:val="30"/>
          <w:highlight w:val="none"/>
        </w:rPr>
      </w:pPr>
      <w:r>
        <w:rPr>
          <w:color w:val="auto"/>
          <w:highlight w:val="none"/>
        </w:rPr>
        <w:fldChar w:fldCharType="begin"/>
      </w:r>
      <w:r>
        <w:rPr>
          <w:color w:val="auto"/>
          <w:highlight w:val="none"/>
        </w:rPr>
        <w:instrText xml:space="preserve"> HYPERLINK \l "_Toc53685812" </w:instrText>
      </w:r>
      <w:r>
        <w:rPr>
          <w:color w:val="auto"/>
          <w:highlight w:val="none"/>
        </w:rPr>
        <w:fldChar w:fldCharType="separate"/>
      </w:r>
      <w:r>
        <w:rPr>
          <w:rStyle w:val="57"/>
          <w:rFonts w:hint="eastAsia" w:ascii="黑体" w:hAnsi="黑体" w:eastAsia="黑体"/>
          <w:color w:val="auto"/>
          <w:sz w:val="30"/>
          <w:szCs w:val="30"/>
          <w:highlight w:val="none"/>
        </w:rPr>
        <w:t>第</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四</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卷</w:t>
      </w:r>
      <w:r>
        <w:rPr>
          <w:rStyle w:val="57"/>
          <w:rFonts w:hint="eastAsia" w:ascii="黑体" w:hAnsi="黑体" w:eastAsia="黑体"/>
          <w:color w:val="auto"/>
          <w:sz w:val="30"/>
          <w:szCs w:val="30"/>
          <w:highlight w:val="none"/>
        </w:rPr>
        <w:fldChar w:fldCharType="end"/>
      </w:r>
    </w:p>
    <w:p w14:paraId="3AAAB058">
      <w:pPr>
        <w:pStyle w:val="35"/>
        <w:tabs>
          <w:tab w:val="right" w:leader="dot" w:pos="8771"/>
        </w:tabs>
        <w:spacing w:line="360" w:lineRule="auto"/>
        <w:rPr>
          <w:rFonts w:asciiTheme="minorEastAsia" w:hAnsiTheme="minorEastAsia" w:eastAsiaTheme="minorEastAsia" w:cstheme="minorBidi"/>
          <w:color w:val="auto"/>
          <w:kern w:val="2"/>
          <w:sz w:val="24"/>
          <w:szCs w:val="24"/>
          <w:highlight w:val="none"/>
          <w:lang w:eastAsia="zh-CN"/>
        </w:rPr>
      </w:pPr>
      <w:r>
        <w:rPr>
          <w:color w:val="auto"/>
          <w:highlight w:val="none"/>
        </w:rPr>
        <w:fldChar w:fldCharType="begin"/>
      </w:r>
      <w:r>
        <w:rPr>
          <w:color w:val="auto"/>
          <w:highlight w:val="none"/>
        </w:rPr>
        <w:instrText xml:space="preserve"> HYPERLINK \l "_Toc53685813" </w:instrText>
      </w:r>
      <w:r>
        <w:rPr>
          <w:color w:val="auto"/>
          <w:highlight w:val="none"/>
        </w:rPr>
        <w:fldChar w:fldCharType="separate"/>
      </w:r>
      <w:r>
        <w:rPr>
          <w:rStyle w:val="57"/>
          <w:rFonts w:hint="eastAsia" w:asciiTheme="minorEastAsia" w:hAnsiTheme="minorEastAsia" w:eastAsiaTheme="minorEastAsia"/>
          <w:color w:val="auto"/>
          <w:sz w:val="24"/>
          <w:szCs w:val="24"/>
          <w:highlight w:val="none"/>
        </w:rPr>
        <w:t>第九章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lang w:val="en-US" w:eastAsia="zh-CN"/>
        </w:rPr>
        <w:t xml:space="preserve"> </w:t>
      </w:r>
      <w:r>
        <w:rPr>
          <w:rStyle w:val="57"/>
          <w:rFonts w:hint="eastAsia" w:asciiTheme="minorEastAsia" w:hAnsiTheme="minorEastAsia" w:eastAsiaTheme="minorEastAsia"/>
          <w:color w:val="auto"/>
          <w:sz w:val="24"/>
          <w:szCs w:val="24"/>
          <w:highlight w:val="none"/>
        </w:rPr>
        <w:t>投标文件格式</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_Toc53685813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229</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14:paraId="5C76260A">
      <w:pPr>
        <w:rPr>
          <w:rFonts w:ascii="宋体" w:hAnsi="宋体"/>
          <w:color w:val="auto"/>
          <w:sz w:val="30"/>
          <w:szCs w:val="30"/>
          <w:highlight w:val="none"/>
        </w:rPr>
        <w:sectPr>
          <w:footerReference r:id="rId4" w:type="default"/>
          <w:footnotePr>
            <w:numFmt w:val="decimalEnclosedCircleChinese"/>
            <w:numRestart w:val="eachPage"/>
          </w:footnotePr>
          <w:pgSz w:w="11900" w:h="16838"/>
          <w:pgMar w:top="1417" w:right="1417" w:bottom="1417" w:left="1701" w:header="850" w:footer="624" w:gutter="0"/>
          <w:pgNumType w:start="1"/>
          <w:cols w:space="0" w:num="1"/>
          <w:rtlGutter w:val="0"/>
          <w:docGrid w:linePitch="312" w:charSpace="0"/>
        </w:sectPr>
      </w:pPr>
      <w:r>
        <w:rPr>
          <w:rFonts w:ascii="宋体" w:hAnsi="宋体"/>
          <w:color w:val="auto"/>
          <w:sz w:val="28"/>
          <w:szCs w:val="28"/>
          <w:highlight w:val="none"/>
        </w:rPr>
        <w:fldChar w:fldCharType="end"/>
      </w:r>
    </w:p>
    <w:p w14:paraId="3FCA904A">
      <w:pPr>
        <w:rPr>
          <w:rStyle w:val="175"/>
          <w:b w:val="0"/>
          <w:bCs w:val="0"/>
          <w:color w:val="auto"/>
          <w:sz w:val="24"/>
          <w:szCs w:val="24"/>
          <w:highlight w:val="none"/>
        </w:rPr>
      </w:pPr>
      <w:bookmarkStart w:id="10" w:name="_Toc27059842"/>
      <w:bookmarkStart w:id="11" w:name="_Toc27059740"/>
    </w:p>
    <w:p w14:paraId="73297781">
      <w:pPr>
        <w:rPr>
          <w:rStyle w:val="175"/>
          <w:b w:val="0"/>
          <w:bCs w:val="0"/>
          <w:color w:val="auto"/>
          <w:sz w:val="24"/>
          <w:szCs w:val="24"/>
          <w:highlight w:val="none"/>
        </w:rPr>
      </w:pPr>
    </w:p>
    <w:p w14:paraId="483F0C3F">
      <w:pPr>
        <w:pStyle w:val="2"/>
        <w:rPr>
          <w:rStyle w:val="175"/>
          <w:b w:val="0"/>
          <w:bCs w:val="0"/>
          <w:color w:val="auto"/>
          <w:sz w:val="24"/>
          <w:szCs w:val="24"/>
          <w:highlight w:val="none"/>
        </w:rPr>
      </w:pPr>
    </w:p>
    <w:p w14:paraId="1F0B9888">
      <w:pPr>
        <w:pStyle w:val="2"/>
        <w:rPr>
          <w:rStyle w:val="175"/>
          <w:b w:val="0"/>
          <w:bCs w:val="0"/>
          <w:color w:val="auto"/>
          <w:sz w:val="24"/>
          <w:szCs w:val="24"/>
          <w:highlight w:val="none"/>
        </w:rPr>
      </w:pPr>
    </w:p>
    <w:p w14:paraId="42AAB3E8">
      <w:pPr>
        <w:pStyle w:val="2"/>
        <w:rPr>
          <w:rStyle w:val="175"/>
          <w:b w:val="0"/>
          <w:bCs w:val="0"/>
          <w:color w:val="auto"/>
          <w:sz w:val="24"/>
          <w:szCs w:val="24"/>
          <w:highlight w:val="none"/>
        </w:rPr>
      </w:pPr>
    </w:p>
    <w:p w14:paraId="6A8DDD91">
      <w:pPr>
        <w:pStyle w:val="2"/>
        <w:rPr>
          <w:rStyle w:val="175"/>
          <w:b w:val="0"/>
          <w:bCs w:val="0"/>
          <w:color w:val="auto"/>
          <w:sz w:val="24"/>
          <w:szCs w:val="24"/>
          <w:highlight w:val="none"/>
        </w:rPr>
      </w:pPr>
    </w:p>
    <w:p w14:paraId="401DAE72">
      <w:pPr>
        <w:pStyle w:val="2"/>
        <w:rPr>
          <w:rStyle w:val="175"/>
          <w:b w:val="0"/>
          <w:bCs w:val="0"/>
          <w:color w:val="auto"/>
          <w:sz w:val="24"/>
          <w:szCs w:val="24"/>
          <w:highlight w:val="none"/>
        </w:rPr>
      </w:pPr>
    </w:p>
    <w:p w14:paraId="3E7B94C4">
      <w:pPr>
        <w:pStyle w:val="2"/>
        <w:rPr>
          <w:rStyle w:val="175"/>
          <w:b w:val="0"/>
          <w:bCs w:val="0"/>
          <w:color w:val="auto"/>
          <w:sz w:val="24"/>
          <w:szCs w:val="24"/>
          <w:highlight w:val="none"/>
        </w:rPr>
      </w:pPr>
    </w:p>
    <w:p w14:paraId="749F7EE0">
      <w:pPr>
        <w:pStyle w:val="2"/>
        <w:rPr>
          <w:rStyle w:val="175"/>
          <w:b w:val="0"/>
          <w:bCs w:val="0"/>
          <w:color w:val="auto"/>
          <w:sz w:val="24"/>
          <w:szCs w:val="24"/>
          <w:highlight w:val="none"/>
        </w:rPr>
      </w:pPr>
    </w:p>
    <w:p w14:paraId="7A94A929">
      <w:pPr>
        <w:pStyle w:val="2"/>
        <w:rPr>
          <w:rStyle w:val="175"/>
          <w:b w:val="0"/>
          <w:bCs w:val="0"/>
          <w:color w:val="auto"/>
          <w:sz w:val="24"/>
          <w:szCs w:val="24"/>
          <w:highlight w:val="none"/>
        </w:rPr>
      </w:pPr>
    </w:p>
    <w:p w14:paraId="552F0B3B">
      <w:pPr>
        <w:pStyle w:val="2"/>
        <w:rPr>
          <w:rStyle w:val="175"/>
          <w:b w:val="0"/>
          <w:bCs w:val="0"/>
          <w:color w:val="auto"/>
          <w:sz w:val="24"/>
          <w:szCs w:val="24"/>
          <w:highlight w:val="none"/>
        </w:rPr>
      </w:pPr>
    </w:p>
    <w:p w14:paraId="6DD6C65F">
      <w:pPr>
        <w:pStyle w:val="2"/>
        <w:rPr>
          <w:rStyle w:val="175"/>
          <w:b w:val="0"/>
          <w:bCs w:val="0"/>
          <w:color w:val="auto"/>
          <w:sz w:val="24"/>
          <w:szCs w:val="24"/>
          <w:highlight w:val="none"/>
        </w:rPr>
      </w:pPr>
    </w:p>
    <w:p w14:paraId="5D89D664">
      <w:pPr>
        <w:pStyle w:val="2"/>
        <w:rPr>
          <w:rStyle w:val="175"/>
          <w:b w:val="0"/>
          <w:bCs w:val="0"/>
          <w:color w:val="auto"/>
          <w:sz w:val="24"/>
          <w:szCs w:val="24"/>
          <w:highlight w:val="none"/>
        </w:rPr>
      </w:pPr>
    </w:p>
    <w:p w14:paraId="601188F7">
      <w:pPr>
        <w:pStyle w:val="2"/>
        <w:rPr>
          <w:rStyle w:val="175"/>
          <w:b w:val="0"/>
          <w:bCs w:val="0"/>
          <w:color w:val="auto"/>
          <w:sz w:val="24"/>
          <w:szCs w:val="24"/>
          <w:highlight w:val="none"/>
        </w:rPr>
      </w:pPr>
    </w:p>
    <w:p w14:paraId="534B5AF6">
      <w:pPr>
        <w:rPr>
          <w:rStyle w:val="175"/>
          <w:b w:val="0"/>
          <w:bCs w:val="0"/>
          <w:color w:val="auto"/>
          <w:sz w:val="24"/>
          <w:szCs w:val="24"/>
          <w:highlight w:val="none"/>
        </w:rPr>
      </w:pPr>
    </w:p>
    <w:p w14:paraId="287C1676">
      <w:pPr>
        <w:rPr>
          <w:rStyle w:val="175"/>
          <w:b w:val="0"/>
          <w:bCs w:val="0"/>
          <w:color w:val="auto"/>
          <w:sz w:val="24"/>
          <w:szCs w:val="24"/>
          <w:highlight w:val="none"/>
        </w:rPr>
      </w:pPr>
    </w:p>
    <w:p w14:paraId="0A4A1886">
      <w:pPr>
        <w:pStyle w:val="4"/>
        <w:spacing w:before="120" w:after="120" w:line="480" w:lineRule="auto"/>
        <w:jc w:val="center"/>
        <w:rPr>
          <w:rStyle w:val="175"/>
          <w:b/>
          <w:bCs/>
          <w:color w:val="auto"/>
          <w:sz w:val="76"/>
          <w:szCs w:val="76"/>
          <w:highlight w:val="none"/>
        </w:rPr>
      </w:pPr>
      <w:bookmarkStart w:id="12" w:name="_Toc53685569"/>
      <w:bookmarkStart w:id="13" w:name="_Toc27060636"/>
      <w:r>
        <w:rPr>
          <w:rStyle w:val="175"/>
          <w:rFonts w:hint="eastAsia"/>
          <w:b/>
          <w:bCs/>
          <w:color w:val="auto"/>
          <w:sz w:val="76"/>
          <w:szCs w:val="76"/>
          <w:highlight w:val="none"/>
        </w:rPr>
        <w:t>第</w:t>
      </w:r>
      <w:r>
        <w:rPr>
          <w:rStyle w:val="175"/>
          <w:b/>
          <w:bCs/>
          <w:color w:val="auto"/>
          <w:sz w:val="76"/>
          <w:szCs w:val="76"/>
          <w:highlight w:val="none"/>
        </w:rPr>
        <w:t xml:space="preserve"> </w:t>
      </w:r>
      <w:r>
        <w:rPr>
          <w:rStyle w:val="175"/>
          <w:rFonts w:hint="eastAsia"/>
          <w:b/>
          <w:bCs/>
          <w:color w:val="auto"/>
          <w:sz w:val="76"/>
          <w:szCs w:val="76"/>
          <w:highlight w:val="none"/>
        </w:rPr>
        <w:t>一</w:t>
      </w:r>
      <w:r>
        <w:rPr>
          <w:rStyle w:val="175"/>
          <w:b/>
          <w:bCs/>
          <w:color w:val="auto"/>
          <w:sz w:val="76"/>
          <w:szCs w:val="76"/>
          <w:highlight w:val="none"/>
        </w:rPr>
        <w:t xml:space="preserve"> </w:t>
      </w:r>
      <w:r>
        <w:rPr>
          <w:rStyle w:val="175"/>
          <w:rFonts w:hint="eastAsia"/>
          <w:b/>
          <w:bCs/>
          <w:color w:val="auto"/>
          <w:sz w:val="76"/>
          <w:szCs w:val="76"/>
          <w:highlight w:val="none"/>
        </w:rPr>
        <w:t>卷</w:t>
      </w:r>
      <w:bookmarkEnd w:id="10"/>
      <w:bookmarkEnd w:id="11"/>
      <w:bookmarkEnd w:id="12"/>
      <w:bookmarkEnd w:id="13"/>
    </w:p>
    <w:p w14:paraId="4B744869">
      <w:pPr>
        <w:rPr>
          <w:rFonts w:ascii="宋体" w:hAnsi="宋体"/>
          <w:color w:val="auto"/>
          <w:sz w:val="30"/>
          <w:szCs w:val="30"/>
          <w:highlight w:val="none"/>
        </w:rPr>
      </w:pPr>
    </w:p>
    <w:p w14:paraId="52808795">
      <w:pPr>
        <w:tabs>
          <w:tab w:val="center" w:pos="4646"/>
        </w:tabs>
        <w:jc w:val="left"/>
        <w:rPr>
          <w:rStyle w:val="175"/>
          <w:color w:val="auto"/>
          <w:highlight w:val="none"/>
        </w:rPr>
      </w:pPr>
      <w:r>
        <w:rPr>
          <w:rFonts w:ascii="宋体" w:hAnsi="宋体"/>
          <w:color w:val="auto"/>
          <w:sz w:val="30"/>
          <w:szCs w:val="30"/>
          <w:highlight w:val="none"/>
        </w:rPr>
        <w:tab/>
      </w:r>
    </w:p>
    <w:p w14:paraId="2584359E">
      <w:pPr>
        <w:tabs>
          <w:tab w:val="left" w:pos="5542"/>
        </w:tabs>
        <w:spacing w:line="500" w:lineRule="exact"/>
        <w:ind w:firstLine="150" w:firstLineChars="50"/>
        <w:jc w:val="center"/>
        <w:rPr>
          <w:rFonts w:ascii="宋体" w:hAnsi="宋体"/>
          <w:color w:val="auto"/>
          <w:sz w:val="30"/>
          <w:szCs w:val="30"/>
          <w:highlight w:val="none"/>
          <w:u w:val="single"/>
        </w:rPr>
      </w:pPr>
    </w:p>
    <w:p w14:paraId="2187B286">
      <w:pPr>
        <w:tabs>
          <w:tab w:val="left" w:pos="5542"/>
        </w:tabs>
        <w:spacing w:line="500" w:lineRule="exact"/>
        <w:ind w:firstLine="150" w:firstLineChars="50"/>
        <w:jc w:val="center"/>
        <w:rPr>
          <w:rFonts w:ascii="宋体" w:hAnsi="宋体"/>
          <w:color w:val="auto"/>
          <w:sz w:val="30"/>
          <w:szCs w:val="30"/>
          <w:highlight w:val="none"/>
          <w:u w:val="single"/>
        </w:rPr>
      </w:pPr>
    </w:p>
    <w:p w14:paraId="690912C6">
      <w:pPr>
        <w:tabs>
          <w:tab w:val="left" w:pos="5542"/>
        </w:tabs>
        <w:spacing w:line="500" w:lineRule="exact"/>
        <w:ind w:firstLine="150" w:firstLineChars="50"/>
        <w:jc w:val="center"/>
        <w:rPr>
          <w:rFonts w:ascii="宋体" w:hAnsi="宋体"/>
          <w:color w:val="auto"/>
          <w:sz w:val="30"/>
          <w:szCs w:val="30"/>
          <w:highlight w:val="none"/>
          <w:u w:val="single"/>
        </w:rPr>
      </w:pPr>
    </w:p>
    <w:p w14:paraId="0090EE7C">
      <w:pPr>
        <w:tabs>
          <w:tab w:val="left" w:pos="5542"/>
        </w:tabs>
        <w:spacing w:line="500" w:lineRule="exact"/>
        <w:ind w:firstLine="150" w:firstLineChars="50"/>
        <w:jc w:val="center"/>
        <w:rPr>
          <w:rFonts w:ascii="宋体" w:hAnsi="宋体"/>
          <w:color w:val="auto"/>
          <w:sz w:val="30"/>
          <w:szCs w:val="30"/>
          <w:highlight w:val="none"/>
          <w:u w:val="single"/>
        </w:rPr>
      </w:pPr>
    </w:p>
    <w:p w14:paraId="4BAD43FA">
      <w:pPr>
        <w:tabs>
          <w:tab w:val="left" w:pos="5542"/>
        </w:tabs>
        <w:spacing w:line="500" w:lineRule="exact"/>
        <w:ind w:firstLine="150" w:firstLineChars="50"/>
        <w:jc w:val="center"/>
        <w:rPr>
          <w:rFonts w:ascii="宋体" w:hAnsi="宋体"/>
          <w:color w:val="auto"/>
          <w:sz w:val="30"/>
          <w:szCs w:val="30"/>
          <w:highlight w:val="none"/>
          <w:u w:val="single"/>
        </w:rPr>
        <w:sectPr>
          <w:footerReference r:id="rId5" w:type="default"/>
          <w:footnotePr>
            <w:numFmt w:val="decimalEnclosedCircleChinese"/>
            <w:numRestart w:val="eachPage"/>
          </w:footnotePr>
          <w:pgSz w:w="11900" w:h="16838"/>
          <w:pgMar w:top="1417" w:right="1417" w:bottom="1417" w:left="1701" w:header="850" w:footer="624" w:gutter="0"/>
          <w:pgNumType w:start="1"/>
          <w:cols w:space="0" w:num="1"/>
          <w:rtlGutter w:val="0"/>
          <w:docGrid w:linePitch="312" w:charSpace="0"/>
        </w:sectPr>
      </w:pPr>
    </w:p>
    <w:p w14:paraId="3AED8612">
      <w:pPr>
        <w:tabs>
          <w:tab w:val="left" w:pos="5542"/>
        </w:tabs>
        <w:spacing w:line="500" w:lineRule="exact"/>
        <w:ind w:firstLine="150" w:firstLineChars="50"/>
        <w:jc w:val="center"/>
        <w:rPr>
          <w:rFonts w:ascii="宋体" w:hAnsi="宋体"/>
          <w:color w:val="auto"/>
          <w:sz w:val="30"/>
          <w:szCs w:val="30"/>
          <w:highlight w:val="none"/>
          <w:u w:val="single"/>
        </w:rPr>
      </w:pPr>
    </w:p>
    <w:p w14:paraId="2F29E212">
      <w:pPr>
        <w:tabs>
          <w:tab w:val="left" w:pos="5542"/>
        </w:tabs>
        <w:spacing w:line="500" w:lineRule="exact"/>
        <w:ind w:firstLine="150" w:firstLineChars="50"/>
        <w:jc w:val="center"/>
        <w:rPr>
          <w:rFonts w:ascii="宋体" w:hAnsi="宋体"/>
          <w:color w:val="auto"/>
          <w:sz w:val="30"/>
          <w:szCs w:val="30"/>
          <w:highlight w:val="none"/>
          <w:u w:val="single"/>
        </w:rPr>
      </w:pPr>
    </w:p>
    <w:p w14:paraId="07303ED8">
      <w:pPr>
        <w:tabs>
          <w:tab w:val="left" w:pos="5542"/>
        </w:tabs>
        <w:spacing w:line="500" w:lineRule="exact"/>
        <w:ind w:firstLine="150" w:firstLineChars="50"/>
        <w:jc w:val="center"/>
        <w:rPr>
          <w:rFonts w:ascii="宋体" w:hAnsi="宋体"/>
          <w:color w:val="auto"/>
          <w:sz w:val="30"/>
          <w:szCs w:val="30"/>
          <w:highlight w:val="none"/>
          <w:u w:val="single"/>
        </w:rPr>
      </w:pPr>
    </w:p>
    <w:p w14:paraId="0A3E82ED">
      <w:pPr>
        <w:tabs>
          <w:tab w:val="left" w:pos="5542"/>
        </w:tabs>
        <w:spacing w:line="500" w:lineRule="exact"/>
        <w:ind w:firstLine="150" w:firstLineChars="50"/>
        <w:jc w:val="center"/>
        <w:rPr>
          <w:rFonts w:ascii="宋体" w:hAnsi="宋体"/>
          <w:color w:val="auto"/>
          <w:sz w:val="30"/>
          <w:szCs w:val="30"/>
          <w:highlight w:val="none"/>
          <w:u w:val="single"/>
        </w:rPr>
      </w:pPr>
    </w:p>
    <w:p w14:paraId="06B88C1F">
      <w:pPr>
        <w:tabs>
          <w:tab w:val="left" w:pos="5542"/>
        </w:tabs>
        <w:spacing w:line="500" w:lineRule="exact"/>
        <w:ind w:firstLine="150" w:firstLineChars="50"/>
        <w:jc w:val="center"/>
        <w:rPr>
          <w:rFonts w:ascii="宋体" w:hAnsi="宋体"/>
          <w:color w:val="auto"/>
          <w:sz w:val="30"/>
          <w:szCs w:val="30"/>
          <w:highlight w:val="none"/>
          <w:u w:val="single"/>
        </w:rPr>
      </w:pPr>
    </w:p>
    <w:p w14:paraId="2CFEE61F">
      <w:pPr>
        <w:tabs>
          <w:tab w:val="left" w:pos="5542"/>
        </w:tabs>
        <w:spacing w:line="500" w:lineRule="exact"/>
        <w:ind w:firstLine="150" w:firstLineChars="50"/>
        <w:jc w:val="center"/>
        <w:rPr>
          <w:rFonts w:ascii="宋体" w:hAnsi="宋体"/>
          <w:color w:val="auto"/>
          <w:sz w:val="30"/>
          <w:szCs w:val="30"/>
          <w:highlight w:val="none"/>
          <w:u w:val="single"/>
        </w:rPr>
      </w:pPr>
    </w:p>
    <w:p w14:paraId="3E5B4A27">
      <w:pPr>
        <w:tabs>
          <w:tab w:val="left" w:pos="5542"/>
        </w:tabs>
        <w:spacing w:line="500" w:lineRule="exact"/>
        <w:ind w:firstLine="150" w:firstLineChars="50"/>
        <w:jc w:val="center"/>
        <w:rPr>
          <w:rFonts w:ascii="宋体" w:hAnsi="宋体"/>
          <w:color w:val="auto"/>
          <w:sz w:val="30"/>
          <w:szCs w:val="30"/>
          <w:highlight w:val="none"/>
          <w:u w:val="single"/>
        </w:rPr>
      </w:pPr>
    </w:p>
    <w:p w14:paraId="05BFDBD3">
      <w:pPr>
        <w:tabs>
          <w:tab w:val="left" w:pos="5542"/>
        </w:tabs>
        <w:spacing w:line="500" w:lineRule="exact"/>
        <w:ind w:firstLine="150" w:firstLineChars="50"/>
        <w:jc w:val="center"/>
        <w:rPr>
          <w:rFonts w:ascii="宋体" w:hAnsi="宋体"/>
          <w:color w:val="auto"/>
          <w:sz w:val="30"/>
          <w:szCs w:val="30"/>
          <w:highlight w:val="none"/>
          <w:u w:val="single"/>
        </w:rPr>
      </w:pPr>
    </w:p>
    <w:p w14:paraId="3C3FD480">
      <w:pPr>
        <w:tabs>
          <w:tab w:val="left" w:pos="5542"/>
        </w:tabs>
        <w:spacing w:line="500" w:lineRule="exact"/>
        <w:ind w:firstLine="150" w:firstLineChars="50"/>
        <w:jc w:val="center"/>
        <w:rPr>
          <w:rFonts w:ascii="宋体" w:hAnsi="宋体"/>
          <w:color w:val="auto"/>
          <w:sz w:val="30"/>
          <w:szCs w:val="30"/>
          <w:highlight w:val="none"/>
          <w:u w:val="single"/>
        </w:rPr>
      </w:pPr>
    </w:p>
    <w:p w14:paraId="6FF33ACA">
      <w:pPr>
        <w:tabs>
          <w:tab w:val="left" w:pos="5542"/>
        </w:tabs>
        <w:spacing w:line="500" w:lineRule="exact"/>
        <w:ind w:firstLine="150" w:firstLineChars="50"/>
        <w:jc w:val="center"/>
        <w:rPr>
          <w:rFonts w:ascii="宋体" w:hAnsi="宋体"/>
          <w:color w:val="auto"/>
          <w:sz w:val="30"/>
          <w:szCs w:val="30"/>
          <w:highlight w:val="none"/>
          <w:u w:val="single"/>
        </w:rPr>
      </w:pPr>
    </w:p>
    <w:p w14:paraId="077D2AE5">
      <w:pPr>
        <w:pStyle w:val="20"/>
        <w:rPr>
          <w:rFonts w:hint="eastAsia"/>
          <w:b w:val="0"/>
          <w:bCs w:val="0"/>
          <w:color w:val="auto"/>
          <w:szCs w:val="16"/>
          <w:highlight w:val="none"/>
        </w:rPr>
      </w:pPr>
      <w:bookmarkStart w:id="14" w:name="_Toc53685570"/>
      <w:bookmarkStart w:id="15" w:name="_Toc519844447"/>
      <w:r>
        <w:rPr>
          <w:rFonts w:hint="eastAsia"/>
          <w:b w:val="0"/>
          <w:bCs w:val="0"/>
          <w:color w:val="auto"/>
          <w:szCs w:val="16"/>
          <w:highlight w:val="none"/>
        </w:rPr>
        <w:t>第一章  招标公告</w:t>
      </w:r>
      <w:bookmarkEnd w:id="14"/>
      <w:bookmarkEnd w:id="15"/>
    </w:p>
    <w:p w14:paraId="6DF23FF7">
      <w:pPr>
        <w:tabs>
          <w:tab w:val="left" w:pos="5542"/>
        </w:tabs>
        <w:spacing w:line="500" w:lineRule="exact"/>
        <w:ind w:firstLine="150" w:firstLineChars="50"/>
        <w:jc w:val="center"/>
        <w:rPr>
          <w:rFonts w:ascii="宋体" w:hAnsi="宋体"/>
          <w:color w:val="auto"/>
          <w:sz w:val="30"/>
          <w:szCs w:val="30"/>
          <w:highlight w:val="none"/>
          <w:u w:val="single"/>
        </w:rPr>
      </w:pPr>
    </w:p>
    <w:p w14:paraId="10A43F10">
      <w:pPr>
        <w:tabs>
          <w:tab w:val="left" w:pos="5542"/>
        </w:tabs>
        <w:spacing w:line="500" w:lineRule="exact"/>
        <w:ind w:firstLine="150" w:firstLineChars="50"/>
        <w:jc w:val="center"/>
        <w:rPr>
          <w:rFonts w:ascii="宋体" w:hAnsi="宋体"/>
          <w:color w:val="auto"/>
          <w:sz w:val="30"/>
          <w:szCs w:val="30"/>
          <w:highlight w:val="none"/>
          <w:u w:val="single"/>
        </w:rPr>
      </w:pPr>
    </w:p>
    <w:p w14:paraId="15F69957">
      <w:pPr>
        <w:pStyle w:val="41"/>
        <w:spacing w:before="120" w:after="120"/>
        <w:rPr>
          <w:color w:val="auto"/>
          <w:highlight w:val="none"/>
          <w:lang w:eastAsia="zh-CN"/>
        </w:rPr>
      </w:pPr>
    </w:p>
    <w:p w14:paraId="7421B6AF">
      <w:pPr>
        <w:tabs>
          <w:tab w:val="left" w:pos="5542"/>
        </w:tabs>
        <w:spacing w:line="500" w:lineRule="exact"/>
        <w:ind w:firstLine="150" w:firstLineChars="50"/>
        <w:jc w:val="center"/>
        <w:rPr>
          <w:rFonts w:ascii="宋体" w:hAnsi="宋体"/>
          <w:color w:val="auto"/>
          <w:sz w:val="30"/>
          <w:szCs w:val="30"/>
          <w:highlight w:val="none"/>
          <w:u w:val="single"/>
        </w:rPr>
      </w:pPr>
    </w:p>
    <w:p w14:paraId="27C2748A">
      <w:pPr>
        <w:tabs>
          <w:tab w:val="left" w:pos="5542"/>
        </w:tabs>
        <w:spacing w:line="500" w:lineRule="exact"/>
        <w:ind w:firstLine="150" w:firstLineChars="50"/>
        <w:jc w:val="center"/>
        <w:rPr>
          <w:rFonts w:ascii="宋体" w:hAnsi="宋体"/>
          <w:color w:val="auto"/>
          <w:sz w:val="30"/>
          <w:szCs w:val="30"/>
          <w:highlight w:val="none"/>
          <w:u w:val="single"/>
        </w:rPr>
      </w:pPr>
    </w:p>
    <w:p w14:paraId="01D0CC36">
      <w:pPr>
        <w:tabs>
          <w:tab w:val="left" w:pos="5542"/>
        </w:tabs>
        <w:spacing w:line="500" w:lineRule="exact"/>
        <w:ind w:firstLine="150" w:firstLineChars="50"/>
        <w:jc w:val="center"/>
        <w:rPr>
          <w:rFonts w:ascii="宋体" w:hAnsi="宋体"/>
          <w:color w:val="auto"/>
          <w:sz w:val="30"/>
          <w:szCs w:val="30"/>
          <w:highlight w:val="none"/>
          <w:u w:val="single"/>
        </w:rPr>
      </w:pPr>
    </w:p>
    <w:p w14:paraId="38AB49D3">
      <w:pPr>
        <w:tabs>
          <w:tab w:val="left" w:pos="5542"/>
        </w:tabs>
        <w:spacing w:line="500" w:lineRule="exact"/>
        <w:ind w:firstLine="150" w:firstLineChars="50"/>
        <w:jc w:val="center"/>
        <w:rPr>
          <w:rFonts w:ascii="宋体" w:hAnsi="宋体"/>
          <w:color w:val="auto"/>
          <w:sz w:val="30"/>
          <w:szCs w:val="30"/>
          <w:highlight w:val="none"/>
          <w:u w:val="single"/>
        </w:rPr>
      </w:pPr>
    </w:p>
    <w:p w14:paraId="54F3801C">
      <w:pPr>
        <w:tabs>
          <w:tab w:val="left" w:pos="5542"/>
        </w:tabs>
        <w:spacing w:line="500" w:lineRule="exact"/>
        <w:ind w:firstLine="150" w:firstLineChars="50"/>
        <w:jc w:val="center"/>
        <w:rPr>
          <w:rFonts w:ascii="宋体" w:hAnsi="宋体"/>
          <w:color w:val="auto"/>
          <w:sz w:val="30"/>
          <w:szCs w:val="30"/>
          <w:highlight w:val="none"/>
          <w:u w:val="single"/>
        </w:rPr>
      </w:pPr>
    </w:p>
    <w:p w14:paraId="7397257B">
      <w:pPr>
        <w:tabs>
          <w:tab w:val="left" w:pos="5542"/>
        </w:tabs>
        <w:spacing w:line="500" w:lineRule="exact"/>
        <w:ind w:firstLine="150" w:firstLineChars="50"/>
        <w:jc w:val="center"/>
        <w:rPr>
          <w:rFonts w:ascii="宋体" w:hAnsi="宋体"/>
          <w:color w:val="auto"/>
          <w:sz w:val="30"/>
          <w:szCs w:val="30"/>
          <w:highlight w:val="none"/>
          <w:u w:val="single"/>
        </w:rPr>
      </w:pPr>
    </w:p>
    <w:p w14:paraId="4602E5DC">
      <w:pPr>
        <w:tabs>
          <w:tab w:val="left" w:pos="5542"/>
        </w:tabs>
        <w:spacing w:line="500" w:lineRule="exact"/>
        <w:ind w:firstLine="150" w:firstLineChars="50"/>
        <w:jc w:val="center"/>
        <w:rPr>
          <w:rFonts w:ascii="宋体" w:hAnsi="宋体"/>
          <w:color w:val="auto"/>
          <w:sz w:val="30"/>
          <w:szCs w:val="30"/>
          <w:highlight w:val="none"/>
          <w:u w:val="single"/>
        </w:rPr>
      </w:pPr>
    </w:p>
    <w:p w14:paraId="53DDE638">
      <w:pPr>
        <w:tabs>
          <w:tab w:val="left" w:pos="5542"/>
        </w:tabs>
        <w:spacing w:line="500" w:lineRule="exact"/>
        <w:ind w:firstLine="150" w:firstLineChars="50"/>
        <w:jc w:val="center"/>
        <w:rPr>
          <w:rFonts w:ascii="宋体" w:hAnsi="宋体"/>
          <w:color w:val="auto"/>
          <w:sz w:val="30"/>
          <w:szCs w:val="30"/>
          <w:highlight w:val="none"/>
          <w:u w:val="single"/>
        </w:rPr>
      </w:pPr>
    </w:p>
    <w:p w14:paraId="1A58EEA2">
      <w:pPr>
        <w:tabs>
          <w:tab w:val="left" w:pos="5542"/>
        </w:tabs>
        <w:spacing w:line="500" w:lineRule="exact"/>
        <w:rPr>
          <w:rFonts w:ascii="宋体" w:hAnsi="宋体"/>
          <w:color w:val="auto"/>
          <w:sz w:val="30"/>
          <w:szCs w:val="30"/>
          <w:highlight w:val="none"/>
        </w:rPr>
      </w:pPr>
      <w:r>
        <w:rPr>
          <w:rFonts w:ascii="宋体" w:hAnsi="宋体"/>
          <w:color w:val="auto"/>
          <w:sz w:val="30"/>
          <w:szCs w:val="30"/>
          <w:highlight w:val="none"/>
        </w:rPr>
        <w:br w:type="page"/>
      </w:r>
    </w:p>
    <w:p w14:paraId="2AAF701A">
      <w:pPr>
        <w:pStyle w:val="4"/>
        <w:rPr>
          <w:rFonts w:ascii="Times New Roman" w:hAnsi="Times New Roman" w:eastAsia="黑体"/>
          <w:color w:val="auto"/>
          <w:szCs w:val="44"/>
          <w:highlight w:val="none"/>
          <w:u w:val="none"/>
        </w:rPr>
      </w:pPr>
      <w:r>
        <w:rPr>
          <w:rFonts w:hint="default"/>
          <w:color w:val="auto"/>
          <w:highlight w:val="none"/>
        </w:rPr>
        <w:t>第一章</w:t>
      </w:r>
      <w:r>
        <w:rPr>
          <w:color w:val="auto"/>
          <w:highlight w:val="none"/>
        </w:rPr>
        <w:t xml:space="preserve">  招标公告</w:t>
      </w:r>
    </w:p>
    <w:p w14:paraId="68CEC04B">
      <w:pPr>
        <w:tabs>
          <w:tab w:val="left" w:pos="5542"/>
        </w:tabs>
        <w:spacing w:line="360" w:lineRule="auto"/>
        <w:ind w:firstLine="150" w:firstLineChars="50"/>
        <w:jc w:val="center"/>
        <w:rPr>
          <w:rFonts w:ascii="黑体" w:hAnsi="黑体" w:eastAsia="黑体"/>
          <w:b/>
          <w:color w:val="auto"/>
          <w:sz w:val="30"/>
          <w:szCs w:val="30"/>
          <w:highlight w:val="none"/>
        </w:rPr>
      </w:pPr>
      <w:r>
        <w:rPr>
          <w:rFonts w:ascii="黑体" w:hAnsi="黑体" w:eastAsia="黑体"/>
          <w:color w:val="auto"/>
          <w:sz w:val="30"/>
          <w:szCs w:val="30"/>
          <w:highlight w:val="none"/>
          <w:u w:val="single"/>
        </w:rPr>
        <w:t xml:space="preserve">       </w:t>
      </w:r>
      <w:r>
        <w:rPr>
          <w:rFonts w:hint="eastAsia" w:ascii="黑体" w:hAnsi="黑体" w:eastAsia="黑体"/>
          <w:color w:val="auto"/>
          <w:sz w:val="30"/>
          <w:szCs w:val="30"/>
          <w:highlight w:val="none"/>
          <w:u w:val="single"/>
          <w:lang w:val="en-US" w:eastAsia="zh-CN"/>
        </w:rPr>
        <w:t xml:space="preserve">  </w:t>
      </w:r>
      <w:r>
        <w:rPr>
          <w:rFonts w:ascii="黑体" w:hAnsi="黑体" w:eastAsia="黑体"/>
          <w:color w:val="auto"/>
          <w:sz w:val="30"/>
          <w:szCs w:val="30"/>
          <w:highlight w:val="none"/>
          <w:u w:val="single"/>
        </w:rPr>
        <w:t xml:space="preserve"> </w:t>
      </w:r>
      <w:r>
        <w:rPr>
          <w:rFonts w:hint="eastAsia" w:ascii="黑体" w:hAnsi="黑体" w:eastAsia="黑体"/>
          <w:color w:val="auto"/>
          <w:sz w:val="30"/>
          <w:szCs w:val="30"/>
          <w:highlight w:val="none"/>
        </w:rPr>
        <w:t>（</w:t>
      </w:r>
      <w:r>
        <w:rPr>
          <w:rFonts w:hint="eastAsia" w:ascii="黑体" w:hAnsi="黑体" w:eastAsia="黑体"/>
          <w:color w:val="auto"/>
          <w:sz w:val="30"/>
          <w:szCs w:val="30"/>
          <w:highlight w:val="none"/>
          <w:lang w:val="en-US" w:eastAsia="zh-CN"/>
        </w:rPr>
        <w:t>招标</w:t>
      </w:r>
      <w:r>
        <w:rPr>
          <w:rFonts w:hint="eastAsia" w:ascii="黑体" w:hAnsi="黑体" w:eastAsia="黑体"/>
          <w:color w:val="auto"/>
          <w:sz w:val="30"/>
          <w:szCs w:val="30"/>
          <w:highlight w:val="none"/>
        </w:rPr>
        <w:t>项目名称）招标公告</w:t>
      </w:r>
    </w:p>
    <w:p w14:paraId="1A20BD56">
      <w:pPr>
        <w:spacing w:line="360" w:lineRule="auto"/>
        <w:rPr>
          <w:color w:val="auto"/>
          <w:highlight w:val="none"/>
        </w:rPr>
      </w:pPr>
      <w:bookmarkStart w:id="16" w:name="_Toc27060638"/>
      <w:bookmarkStart w:id="17" w:name="_Toc27059651"/>
      <w:bookmarkStart w:id="18" w:name="_Toc519844448"/>
      <w:bookmarkStart w:id="19" w:name="_Toc27059843"/>
      <w:bookmarkStart w:id="20" w:name="_Toc27059741"/>
      <w:bookmarkStart w:id="21" w:name="_Toc27059470"/>
    </w:p>
    <w:p w14:paraId="39D018F3">
      <w:pPr>
        <w:pStyle w:val="5"/>
        <w:rPr>
          <w:color w:val="auto"/>
          <w:highlight w:val="none"/>
        </w:rPr>
      </w:pPr>
      <w:bookmarkStart w:id="22" w:name="_Toc53685571"/>
      <w:r>
        <w:rPr>
          <w:rFonts w:hint="eastAsia"/>
          <w:color w:val="auto"/>
          <w:highlight w:val="none"/>
        </w:rPr>
        <w:t>1．招标条件</w:t>
      </w:r>
      <w:bookmarkEnd w:id="16"/>
      <w:bookmarkEnd w:id="17"/>
      <w:bookmarkEnd w:id="18"/>
      <w:bookmarkEnd w:id="19"/>
      <w:bookmarkEnd w:id="20"/>
      <w:bookmarkEnd w:id="21"/>
      <w:bookmarkEnd w:id="22"/>
    </w:p>
    <w:p w14:paraId="4E3D59C6">
      <w:pPr>
        <w:adjustRightInd w:val="0"/>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本招标项目</w:t>
      </w:r>
      <w:r>
        <w:rPr>
          <w:rFonts w:ascii="宋体" w:hAnsi="宋体"/>
          <w:color w:val="auto"/>
          <w:sz w:val="24"/>
          <w:highlight w:val="none"/>
          <w:u w:val="single"/>
        </w:rPr>
        <w:t xml:space="preserve">              </w:t>
      </w:r>
      <w:r>
        <w:rPr>
          <w:rFonts w:hint="eastAsia" w:ascii="宋体" w:hAnsi="宋体"/>
          <w:color w:val="auto"/>
          <w:sz w:val="24"/>
          <w:highlight w:val="none"/>
        </w:rPr>
        <w:t>（项目名称）已由</w:t>
      </w:r>
      <w:r>
        <w:rPr>
          <w:rFonts w:ascii="宋体" w:hAnsi="宋体"/>
          <w:color w:val="auto"/>
          <w:sz w:val="24"/>
          <w:highlight w:val="none"/>
          <w:u w:val="single"/>
        </w:rPr>
        <w:t xml:space="preserve">        </w:t>
      </w:r>
      <w:r>
        <w:rPr>
          <w:rFonts w:hint="eastAsia" w:ascii="宋体" w:hAnsi="宋体"/>
          <w:color w:val="auto"/>
          <w:sz w:val="24"/>
          <w:highlight w:val="none"/>
        </w:rPr>
        <w:t>（项目审批、核准或备案机关名称）以</w:t>
      </w:r>
      <w:r>
        <w:rPr>
          <w:rFonts w:ascii="宋体" w:hAnsi="宋体"/>
          <w:color w:val="auto"/>
          <w:sz w:val="24"/>
          <w:highlight w:val="none"/>
          <w:u w:val="single"/>
        </w:rPr>
        <w:t xml:space="preserve">              </w:t>
      </w:r>
      <w:r>
        <w:rPr>
          <w:rFonts w:hint="eastAsia" w:ascii="宋体" w:hAnsi="宋体"/>
          <w:color w:val="auto"/>
          <w:sz w:val="24"/>
          <w:highlight w:val="none"/>
        </w:rPr>
        <w:t>（批文名称及编号）批准建设，施工图设计已由</w:t>
      </w:r>
      <w:r>
        <w:rPr>
          <w:rFonts w:ascii="宋体" w:hAnsi="宋体"/>
          <w:color w:val="auto"/>
          <w:sz w:val="24"/>
          <w:highlight w:val="none"/>
          <w:u w:val="single"/>
        </w:rPr>
        <w:t xml:space="preserve">   </w:t>
      </w:r>
    </w:p>
    <w:p w14:paraId="19C52F15">
      <w:pPr>
        <w:adjustRightInd w:val="0"/>
        <w:snapToGrid w:val="0"/>
        <w:spacing w:line="360" w:lineRule="auto"/>
        <w:rPr>
          <w:rFonts w:ascii="宋体" w:hAnsi="宋体"/>
          <w:color w:val="auto"/>
          <w:sz w:val="24"/>
          <w:highlight w:val="none"/>
          <w:u w:val="single"/>
        </w:rPr>
      </w:pPr>
      <w:r>
        <w:rPr>
          <w:rFonts w:ascii="宋体" w:hAnsi="宋体"/>
          <w:color w:val="auto"/>
          <w:sz w:val="24"/>
          <w:highlight w:val="none"/>
          <w:u w:val="single"/>
        </w:rPr>
        <w:t xml:space="preserve">           </w:t>
      </w:r>
      <w:r>
        <w:rPr>
          <w:rFonts w:hint="eastAsia" w:ascii="宋体" w:hAnsi="宋体"/>
          <w:color w:val="auto"/>
          <w:sz w:val="24"/>
          <w:highlight w:val="none"/>
        </w:rPr>
        <w:t>（批准机关名称）以</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（批文名称及编号）批准，项目业主为</w:t>
      </w:r>
      <w:r>
        <w:rPr>
          <w:rFonts w:ascii="宋体" w:hAnsi="宋体"/>
          <w:color w:val="auto"/>
          <w:sz w:val="24"/>
          <w:highlight w:val="none"/>
          <w:u w:val="single"/>
        </w:rPr>
        <w:t xml:space="preserve">        </w:t>
      </w:r>
      <w:r>
        <w:rPr>
          <w:rFonts w:hint="eastAsia" w:ascii="宋体" w:hAnsi="宋体"/>
          <w:color w:val="auto"/>
          <w:sz w:val="24"/>
          <w:highlight w:val="none"/>
        </w:rPr>
        <w:t>，建设资金来自</w:t>
      </w:r>
      <w:r>
        <w:rPr>
          <w:rFonts w:ascii="宋体" w:hAnsi="宋体"/>
          <w:color w:val="auto"/>
          <w:sz w:val="24"/>
          <w:highlight w:val="none"/>
          <w:u w:val="single"/>
        </w:rPr>
        <w:t xml:space="preserve">         </w:t>
      </w:r>
      <w:r>
        <w:rPr>
          <w:rFonts w:hint="eastAsia" w:ascii="宋体" w:hAnsi="宋体"/>
          <w:color w:val="auto"/>
          <w:sz w:val="24"/>
          <w:highlight w:val="none"/>
        </w:rPr>
        <w:t>（资金来源），出资比例为</w:t>
      </w:r>
      <w:r>
        <w:rPr>
          <w:rStyle w:val="59"/>
          <w:rFonts w:ascii="宋体" w:hAnsi="宋体"/>
          <w:color w:val="auto"/>
          <w:sz w:val="24"/>
          <w:highlight w:val="none"/>
        </w:rPr>
        <w:footnoteReference w:id="1"/>
      </w:r>
      <w:r>
        <w:rPr>
          <w:rFonts w:ascii="宋体" w:hAnsi="宋体"/>
          <w:color w:val="auto"/>
          <w:sz w:val="24"/>
          <w:highlight w:val="none"/>
          <w:u w:val="single"/>
        </w:rPr>
        <w:t xml:space="preserve">     </w:t>
      </w:r>
      <w:r>
        <w:rPr>
          <w:rFonts w:hint="eastAsia" w:ascii="宋体" w:hAnsi="宋体"/>
          <w:color w:val="auto"/>
          <w:sz w:val="24"/>
          <w:highlight w:val="none"/>
        </w:rPr>
        <w:t>，招标人为</w:t>
      </w:r>
      <w:r>
        <w:rPr>
          <w:rFonts w:ascii="宋体" w:hAnsi="宋体"/>
          <w:color w:val="auto"/>
          <w:sz w:val="24"/>
          <w:highlight w:val="none"/>
          <w:u w:val="single"/>
        </w:rPr>
        <w:t xml:space="preserve">         </w:t>
      </w:r>
      <w:r>
        <w:rPr>
          <w:rFonts w:hint="eastAsia" w:ascii="宋体" w:hAnsi="宋体"/>
          <w:color w:val="auto"/>
          <w:sz w:val="24"/>
          <w:highlight w:val="none"/>
        </w:rPr>
        <w:t>。项目已具备招标条件，现对该项目的</w:t>
      </w:r>
      <w:r>
        <w:rPr>
          <w:rFonts w:hint="eastAsia" w:ascii="黑体" w:hAnsi="黑体" w:eastAsia="黑体"/>
          <w:color w:val="auto"/>
          <w:sz w:val="30"/>
          <w:szCs w:val="30"/>
          <w:highlight w:val="none"/>
          <w:u w:val="single"/>
        </w:rPr>
        <w:t xml:space="preserve"> </w:t>
      </w:r>
      <w:r>
        <w:rPr>
          <w:rFonts w:ascii="黑体" w:hAnsi="黑体" w:eastAsia="黑体"/>
          <w:color w:val="auto"/>
          <w:sz w:val="30"/>
          <w:szCs w:val="30"/>
          <w:highlight w:val="none"/>
          <w:u w:val="single"/>
        </w:rPr>
        <w:t xml:space="preserve">    </w:t>
      </w:r>
      <w:r>
        <w:rPr>
          <w:rFonts w:hint="eastAsia" w:ascii="宋体" w:hAnsi="宋体"/>
          <w:color w:val="auto"/>
          <w:sz w:val="24"/>
          <w:highlight w:val="none"/>
        </w:rPr>
        <w:t>（招标类别）</w:t>
      </w:r>
      <w:r>
        <w:rPr>
          <w:rFonts w:ascii="宋体" w:hAnsi="宋体" w:cs="宋体"/>
          <w:color w:val="auto"/>
          <w:sz w:val="24"/>
          <w:highlight w:val="none"/>
          <w:u w:val="single"/>
        </w:rPr>
        <w:t xml:space="preserve">    </w:t>
      </w:r>
      <w:r>
        <w:rPr>
          <w:rFonts w:hint="eastAsia" w:ascii="宋体" w:hAnsi="宋体" w:cs="宋体"/>
          <w:color w:val="auto"/>
          <w:sz w:val="24"/>
          <w:highlight w:val="none"/>
        </w:rPr>
        <w:t>标段</w:t>
      </w:r>
      <w:r>
        <w:rPr>
          <w:rStyle w:val="59"/>
          <w:rFonts w:hint="eastAsia" w:ascii="宋体" w:hAnsi="宋体" w:cs="宋体"/>
          <w:color w:val="auto"/>
          <w:sz w:val="24"/>
          <w:highlight w:val="none"/>
        </w:rPr>
        <w:footnoteReference w:id="2"/>
      </w:r>
      <w:r>
        <w:rPr>
          <w:rFonts w:hint="eastAsia" w:ascii="宋体" w:hAnsi="宋体"/>
          <w:color w:val="auto"/>
          <w:sz w:val="24"/>
          <w:highlight w:val="none"/>
        </w:rPr>
        <w:t>进行公开招标。</w:t>
      </w:r>
    </w:p>
    <w:p w14:paraId="55F872E9">
      <w:pPr>
        <w:pStyle w:val="5"/>
        <w:rPr>
          <w:color w:val="auto"/>
          <w:highlight w:val="none"/>
          <w:lang w:val="zh-CN"/>
        </w:rPr>
      </w:pPr>
      <w:bookmarkStart w:id="23" w:name="_Toc27060639"/>
      <w:bookmarkStart w:id="24" w:name="_Toc53685572"/>
      <w:bookmarkStart w:id="25" w:name="_Toc27059652"/>
      <w:bookmarkStart w:id="26" w:name="_Toc27059471"/>
      <w:bookmarkStart w:id="27" w:name="_Toc27059844"/>
      <w:bookmarkStart w:id="28" w:name="_Toc27059742"/>
      <w:bookmarkStart w:id="29" w:name="_Toc519844449"/>
      <w:r>
        <w:rPr>
          <w:color w:val="auto"/>
          <w:highlight w:val="none"/>
          <w:lang w:val="zh-CN"/>
        </w:rPr>
        <w:t>2．项目概况与招标范围</w:t>
      </w:r>
      <w:bookmarkEnd w:id="23"/>
      <w:bookmarkEnd w:id="24"/>
      <w:bookmarkEnd w:id="25"/>
      <w:bookmarkEnd w:id="26"/>
      <w:bookmarkEnd w:id="27"/>
      <w:bookmarkEnd w:id="28"/>
      <w:bookmarkEnd w:id="29"/>
    </w:p>
    <w:p w14:paraId="14400695">
      <w:pPr>
        <w:tabs>
          <w:tab w:val="left" w:pos="5542"/>
        </w:tabs>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rPr>
        <w:t>2.1</w:t>
      </w:r>
      <w:r>
        <w:rPr>
          <w:rFonts w:ascii="宋体" w:hAnsi="宋体"/>
          <w:b/>
          <w:color w:val="auto"/>
          <w:sz w:val="24"/>
          <w:highlight w:val="none"/>
        </w:rPr>
        <w:t xml:space="preserve"> </w:t>
      </w:r>
      <w:r>
        <w:rPr>
          <w:rFonts w:hint="eastAsia" w:ascii="宋体" w:hAnsi="宋体"/>
          <w:color w:val="auto"/>
          <w:sz w:val="24"/>
          <w:highlight w:val="none"/>
          <w:lang w:val="en-US" w:eastAsia="zh-CN"/>
        </w:rPr>
        <w:t>项目</w:t>
      </w:r>
      <w:r>
        <w:rPr>
          <w:rFonts w:hint="eastAsia" w:ascii="宋体" w:hAnsi="宋体"/>
          <w:color w:val="auto"/>
          <w:sz w:val="24"/>
          <w:highlight w:val="none"/>
        </w:rPr>
        <w:t>概况：</w:t>
      </w:r>
      <w:r>
        <w:rPr>
          <w:rFonts w:ascii="宋体" w:hAnsi="宋体"/>
          <w:color w:val="auto"/>
          <w:sz w:val="24"/>
          <w:highlight w:val="none"/>
          <w:u w:val="single"/>
        </w:rPr>
        <w:t xml:space="preserve">     （说明本次招标项目的建设地点、规模）           </w:t>
      </w:r>
      <w:r>
        <w:rPr>
          <w:rFonts w:ascii="宋体" w:hAnsi="宋体"/>
          <w:color w:val="auto"/>
          <w:sz w:val="24"/>
          <w:highlight w:val="none"/>
        </w:rPr>
        <w:t>。</w:t>
      </w:r>
    </w:p>
    <w:p w14:paraId="4EBF42B2">
      <w:pPr>
        <w:tabs>
          <w:tab w:val="left" w:pos="5542"/>
        </w:tabs>
        <w:spacing w:line="360" w:lineRule="auto"/>
        <w:ind w:firstLine="480" w:firstLineChars="200"/>
        <w:rPr>
          <w:rFonts w:ascii="宋体" w:hAnsi="宋体"/>
          <w:color w:val="auto"/>
          <w:sz w:val="24"/>
          <w:highlight w:val="none"/>
          <w:u w:val="single"/>
        </w:rPr>
      </w:pPr>
      <w:r>
        <w:rPr>
          <w:rFonts w:ascii="宋体" w:hAnsi="宋体"/>
          <w:color w:val="auto"/>
          <w:sz w:val="24"/>
          <w:highlight w:val="none"/>
        </w:rPr>
        <w:t>2.2</w:t>
      </w:r>
      <w:r>
        <w:rPr>
          <w:rFonts w:ascii="宋体" w:hAnsi="宋体"/>
          <w:b/>
          <w:color w:val="auto"/>
          <w:sz w:val="24"/>
          <w:highlight w:val="none"/>
        </w:rPr>
        <w:t xml:space="preserve"> </w:t>
      </w:r>
      <w:r>
        <w:rPr>
          <w:rFonts w:hint="eastAsia" w:ascii="宋体" w:hAnsi="宋体"/>
          <w:color w:val="auto"/>
          <w:sz w:val="24"/>
          <w:highlight w:val="none"/>
        </w:rPr>
        <w:t>技术标准：</w:t>
      </w:r>
      <w:r>
        <w:rPr>
          <w:rFonts w:ascii="宋体" w:hAnsi="宋体"/>
          <w:color w:val="auto"/>
          <w:sz w:val="24"/>
          <w:highlight w:val="none"/>
          <w:u w:val="single"/>
        </w:rPr>
        <w:t xml:space="preserve">     （说明本次招标项目的技术标准等）               </w:t>
      </w:r>
      <w:r>
        <w:rPr>
          <w:rFonts w:ascii="宋体" w:hAnsi="宋体"/>
          <w:color w:val="auto"/>
          <w:sz w:val="24"/>
          <w:highlight w:val="none"/>
        </w:rPr>
        <w:t>。</w:t>
      </w:r>
    </w:p>
    <w:p w14:paraId="63C6BEE1">
      <w:pPr>
        <w:tabs>
          <w:tab w:val="left" w:pos="5542"/>
        </w:tabs>
        <w:spacing w:line="360" w:lineRule="auto"/>
        <w:ind w:firstLine="480" w:firstLineChars="200"/>
        <w:rPr>
          <w:rFonts w:ascii="宋体" w:hAnsi="宋体"/>
          <w:color w:val="auto"/>
          <w:sz w:val="24"/>
          <w:highlight w:val="none"/>
          <w:u w:val="single"/>
        </w:rPr>
      </w:pPr>
      <w:r>
        <w:rPr>
          <w:rFonts w:ascii="宋体" w:hAnsi="宋体"/>
          <w:color w:val="auto"/>
          <w:sz w:val="24"/>
          <w:highlight w:val="none"/>
        </w:rPr>
        <w:t>2.3</w:t>
      </w:r>
      <w:r>
        <w:rPr>
          <w:rFonts w:ascii="宋体" w:hAnsi="宋体"/>
          <w:b/>
          <w:color w:val="auto"/>
          <w:sz w:val="24"/>
          <w:highlight w:val="none"/>
        </w:rPr>
        <w:t xml:space="preserve"> </w:t>
      </w:r>
      <w:r>
        <w:rPr>
          <w:rFonts w:hint="eastAsia" w:ascii="宋体" w:hAnsi="宋体"/>
          <w:color w:val="auto"/>
          <w:sz w:val="24"/>
          <w:highlight w:val="none"/>
        </w:rPr>
        <w:t>招标范围及标段划分、计划工期</w:t>
      </w:r>
    </w:p>
    <w:p w14:paraId="7AA0E6D3">
      <w:pPr>
        <w:spacing w:line="360" w:lineRule="auto"/>
        <w:ind w:firstLine="480" w:firstLineChars="200"/>
        <w:rPr>
          <w:rFonts w:ascii="宋体" w:hAnsi="宋体"/>
          <w:color w:val="auto"/>
          <w:sz w:val="24"/>
          <w:highlight w:val="none"/>
        </w:rPr>
      </w:pPr>
      <w:r>
        <w:rPr>
          <w:rFonts w:ascii="宋体" w:hAnsi="宋体"/>
          <w:color w:val="auto"/>
          <w:sz w:val="24"/>
          <w:highlight w:val="none"/>
        </w:rPr>
        <w:t>2.3.1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招标范围</w:t>
      </w:r>
      <w:r>
        <w:rPr>
          <w:rFonts w:ascii="宋体" w:hAnsi="宋体" w:cs="宋体"/>
          <w:color w:val="auto"/>
          <w:sz w:val="24"/>
          <w:highlight w:val="none"/>
          <w:vertAlign w:val="superscript"/>
        </w:rPr>
        <w:footnoteReference w:id="3"/>
      </w:r>
    </w:p>
    <w:p w14:paraId="1160E9B5">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起讫桩号</w:t>
      </w:r>
      <w:r>
        <w:rPr>
          <w:rFonts w:ascii="宋体" w:hAnsi="宋体" w:cs="宋体"/>
          <w:color w:val="auto"/>
          <w:sz w:val="24"/>
          <w:highlight w:val="none"/>
          <w:u w:val="single"/>
        </w:rPr>
        <w:t xml:space="preserve">          </w:t>
      </w:r>
      <w:r>
        <w:rPr>
          <w:rFonts w:hint="eastAsia" w:ascii="宋体" w:hAnsi="宋体" w:cs="宋体"/>
          <w:color w:val="auto"/>
          <w:sz w:val="24"/>
          <w:highlight w:val="none"/>
        </w:rPr>
        <w:t>范围内</w:t>
      </w:r>
      <w:r>
        <w:rPr>
          <w:rFonts w:ascii="宋体" w:hAnsi="宋体" w:cs="宋体"/>
          <w:color w:val="auto"/>
          <w:sz w:val="24"/>
          <w:highlight w:val="none"/>
        </w:rPr>
        <w:t xml:space="preserve"> </w:t>
      </w:r>
      <w:r>
        <w:rPr>
          <w:rFonts w:ascii="宋体" w:hAnsi="宋体" w:cs="宋体"/>
          <w:color w:val="auto"/>
          <w:sz w:val="24"/>
          <w:highlight w:val="none"/>
        </w:rPr>
        <w:sym w:font="Wingdings 2" w:char="00A3"/>
      </w:r>
      <w:r>
        <w:rPr>
          <w:rFonts w:hint="eastAsia" w:ascii="宋体" w:hAnsi="宋体" w:cs="宋体"/>
          <w:color w:val="auto"/>
          <w:sz w:val="24"/>
          <w:highlight w:val="none"/>
        </w:rPr>
        <w:t>路基、□路面、□桥涵、□隧道、□交通安全设施、□绿化及环境保护设施、□房建、□机电、□其他：</w:t>
      </w:r>
      <w:r>
        <w:rPr>
          <w:rFonts w:ascii="宋体" w:hAnsi="宋体" w:cs="宋体"/>
          <w:color w:val="auto"/>
          <w:sz w:val="24"/>
          <w:highlight w:val="none"/>
          <w:u w:val="single"/>
        </w:rPr>
        <w:t xml:space="preserve">       </w:t>
      </w:r>
      <w:r>
        <w:rPr>
          <w:rFonts w:hint="eastAsia" w:ascii="宋体" w:hAnsi="宋体"/>
          <w:color w:val="auto"/>
          <w:sz w:val="24"/>
          <w:highlight w:val="none"/>
        </w:rPr>
        <w:t>。</w:t>
      </w:r>
    </w:p>
    <w:p w14:paraId="5728B3F9">
      <w:pPr>
        <w:spacing w:line="360" w:lineRule="auto"/>
        <w:ind w:firstLine="480" w:firstLineChars="200"/>
        <w:jc w:val="left"/>
        <w:rPr>
          <w:rFonts w:ascii="宋体" w:hAnsi="宋体"/>
          <w:color w:val="auto"/>
          <w:sz w:val="24"/>
          <w:highlight w:val="none"/>
          <w:u w:val="none"/>
        </w:rPr>
      </w:pPr>
      <w:r>
        <w:rPr>
          <w:rFonts w:hint="eastAsia" w:ascii="宋体" w:hAnsi="宋体" w:cs="宋体"/>
          <w:color w:val="auto"/>
          <w:sz w:val="24"/>
          <w:highlight w:val="none"/>
          <w:u w:val="none"/>
        </w:rPr>
        <w:t>……</w:t>
      </w:r>
    </w:p>
    <w:p w14:paraId="78008735">
      <w:pPr>
        <w:spacing w:line="360" w:lineRule="auto"/>
        <w:ind w:firstLine="480" w:firstLineChars="200"/>
        <w:rPr>
          <w:rFonts w:ascii="宋体" w:hAnsi="宋体"/>
          <w:color w:val="auto"/>
          <w:sz w:val="24"/>
          <w:highlight w:val="none"/>
        </w:rPr>
      </w:pPr>
      <w:r>
        <w:rPr>
          <w:rFonts w:ascii="宋体" w:hAnsi="宋体"/>
          <w:color w:val="auto"/>
          <w:sz w:val="24"/>
          <w:highlight w:val="none"/>
        </w:rPr>
        <w:t>2.3.2</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标段划分</w:t>
      </w:r>
    </w:p>
    <w:p w14:paraId="2FD3924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本次招标划分为</w:t>
      </w:r>
      <w:r>
        <w:rPr>
          <w:rFonts w:ascii="宋体" w:hAnsi="宋体"/>
          <w:color w:val="auto"/>
          <w:sz w:val="24"/>
          <w:highlight w:val="none"/>
          <w:u w:val="single"/>
        </w:rPr>
        <w:t xml:space="preserve">      </w:t>
      </w:r>
      <w:r>
        <w:rPr>
          <w:rFonts w:hint="eastAsia" w:ascii="宋体" w:hAnsi="宋体"/>
          <w:color w:val="auto"/>
          <w:sz w:val="24"/>
          <w:highlight w:val="none"/>
        </w:rPr>
        <w:t>个标段，标段号为</w:t>
      </w:r>
      <w:r>
        <w:rPr>
          <w:rFonts w:ascii="宋体" w:hAnsi="宋体"/>
          <w:color w:val="auto"/>
          <w:sz w:val="24"/>
          <w:highlight w:val="none"/>
          <w:u w:val="single"/>
        </w:rPr>
        <w:t xml:space="preserve">               </w:t>
      </w:r>
      <w:r>
        <w:rPr>
          <w:rFonts w:hint="eastAsia" w:ascii="宋体" w:hAnsi="宋体"/>
          <w:color w:val="auto"/>
          <w:sz w:val="24"/>
          <w:highlight w:val="none"/>
        </w:rPr>
        <w:t>。具体标段划分、起讫桩号、主要工程内容及规模见</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rPr>
        <w:t>本公告附表一</w:t>
      </w:r>
      <w:r>
        <w:rPr>
          <w:rStyle w:val="59"/>
          <w:rFonts w:ascii="宋体" w:hAnsi="宋体" w:cs="宋体"/>
          <w:color w:val="auto"/>
          <w:sz w:val="24"/>
          <w:highlight w:val="none"/>
        </w:rPr>
        <w:footnoteReference w:id="4"/>
      </w:r>
      <w:r>
        <w:rPr>
          <w:rFonts w:hint="eastAsia" w:ascii="宋体" w:hAnsi="宋体"/>
          <w:color w:val="auto"/>
          <w:sz w:val="24"/>
          <w:highlight w:val="none"/>
        </w:rPr>
        <w:t>。</w:t>
      </w:r>
    </w:p>
    <w:p w14:paraId="0C2D95AA">
      <w:pPr>
        <w:spacing w:line="360" w:lineRule="auto"/>
        <w:ind w:firstLine="480" w:firstLineChars="200"/>
        <w:rPr>
          <w:rFonts w:ascii="宋体" w:hAnsi="宋体"/>
          <w:color w:val="auto"/>
          <w:sz w:val="24"/>
          <w:highlight w:val="none"/>
        </w:rPr>
      </w:pPr>
      <w:r>
        <w:rPr>
          <w:rFonts w:ascii="宋体" w:hAnsi="宋体"/>
          <w:color w:val="auto"/>
          <w:sz w:val="24"/>
          <w:highlight w:val="none"/>
        </w:rPr>
        <w:t>2.3.3</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计划工期</w:t>
      </w:r>
    </w:p>
    <w:p w14:paraId="54CA89CE">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u w:val="single"/>
        </w:rPr>
        <w:t xml:space="preserve">   </w:t>
      </w:r>
      <w:r>
        <w:rPr>
          <w:rFonts w:hint="eastAsia" w:ascii="宋体" w:hAnsi="宋体" w:cs="宋体"/>
          <w:color w:val="auto"/>
          <w:sz w:val="24"/>
          <w:highlight w:val="none"/>
        </w:rPr>
        <w:t>标段：工期</w:t>
      </w:r>
      <w:r>
        <w:rPr>
          <w:rFonts w:ascii="宋体" w:hAnsi="宋体" w:cs="宋体"/>
          <w:color w:val="auto"/>
          <w:sz w:val="24"/>
          <w:highlight w:val="none"/>
          <w:u w:val="single"/>
        </w:rPr>
        <w:t xml:space="preserve">   </w:t>
      </w:r>
      <w:r>
        <w:rPr>
          <w:rFonts w:hint="eastAsia" w:ascii="宋体" w:hAnsi="宋体" w:cs="宋体"/>
          <w:color w:val="auto"/>
          <w:sz w:val="24"/>
          <w:highlight w:val="none"/>
        </w:rPr>
        <w:t>个月</w:t>
      </w:r>
      <w:r>
        <w:rPr>
          <w:rStyle w:val="59"/>
          <w:rFonts w:ascii="宋体" w:hAnsi="宋体" w:cs="宋体"/>
          <w:color w:val="auto"/>
          <w:sz w:val="24"/>
          <w:highlight w:val="none"/>
        </w:rPr>
        <w:footnoteReference w:id="5"/>
      </w:r>
      <w:bookmarkStart w:id="30" w:name="_Hlk100767550"/>
      <w:r>
        <w:rPr>
          <w:rFonts w:hint="eastAsia" w:ascii="宋体" w:hAnsi="宋体" w:cs="宋体"/>
          <w:color w:val="auto"/>
          <w:sz w:val="24"/>
          <w:highlight w:val="none"/>
          <w:lang w:eastAsia="zh-CN"/>
        </w:rPr>
        <w:t>，</w:t>
      </w:r>
      <w:bookmarkEnd w:id="30"/>
      <w:r>
        <w:rPr>
          <w:rFonts w:hint="eastAsia" w:ascii="宋体" w:hAnsi="宋体" w:cs="宋体"/>
          <w:color w:val="auto"/>
          <w:sz w:val="24"/>
          <w:highlight w:val="none"/>
        </w:rPr>
        <w:t>□试运行期</w:t>
      </w:r>
      <w:r>
        <w:rPr>
          <w:rFonts w:ascii="宋体" w:hAnsi="宋体" w:cs="宋体"/>
          <w:color w:val="auto"/>
          <w:sz w:val="24"/>
          <w:highlight w:val="none"/>
          <w:u w:val="single"/>
        </w:rPr>
        <w:t xml:space="preserve">   </w:t>
      </w:r>
      <w:r>
        <w:rPr>
          <w:rFonts w:hint="eastAsia" w:ascii="宋体" w:hAnsi="宋体" w:cs="宋体"/>
          <w:color w:val="auto"/>
          <w:sz w:val="24"/>
          <w:highlight w:val="none"/>
        </w:rPr>
        <w:t>个月</w:t>
      </w:r>
      <w:r>
        <w:rPr>
          <w:rStyle w:val="59"/>
          <w:rFonts w:ascii="宋体" w:hAnsi="宋体" w:cs="宋体"/>
          <w:color w:val="auto"/>
          <w:sz w:val="24"/>
          <w:highlight w:val="none"/>
        </w:rPr>
        <w:footnoteReference w:id="6"/>
      </w:r>
      <w:r>
        <w:rPr>
          <w:rFonts w:hint="eastAsia" w:ascii="宋体" w:hAnsi="宋体" w:cs="宋体"/>
          <w:color w:val="auto"/>
          <w:sz w:val="24"/>
          <w:highlight w:val="none"/>
          <w:lang w:eastAsia="zh-CN"/>
        </w:rPr>
        <w:t>。</w:t>
      </w:r>
    </w:p>
    <w:p w14:paraId="187E1F1E">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u w:val="none"/>
        </w:rPr>
        <w:t>……</w:t>
      </w:r>
    </w:p>
    <w:p w14:paraId="3F1090B0">
      <w:pPr>
        <w:pStyle w:val="5"/>
        <w:rPr>
          <w:color w:val="auto"/>
          <w:highlight w:val="none"/>
          <w:lang w:val="zh-CN"/>
        </w:rPr>
      </w:pPr>
      <w:bookmarkStart w:id="31" w:name="_Toc27059472"/>
      <w:bookmarkStart w:id="32" w:name="_Toc27060640"/>
      <w:bookmarkStart w:id="33" w:name="_Toc27059653"/>
      <w:bookmarkStart w:id="34" w:name="_Toc27059743"/>
      <w:bookmarkStart w:id="35" w:name="_Toc53685573"/>
      <w:bookmarkStart w:id="36" w:name="_Toc27059845"/>
      <w:bookmarkStart w:id="37" w:name="_Toc519844450"/>
      <w:r>
        <w:rPr>
          <w:color w:val="auto"/>
          <w:highlight w:val="none"/>
          <w:lang w:val="zh-CN"/>
        </w:rPr>
        <w:t>3．投标人资格要求</w:t>
      </w:r>
      <w:bookmarkEnd w:id="31"/>
      <w:bookmarkEnd w:id="32"/>
      <w:bookmarkEnd w:id="33"/>
      <w:bookmarkEnd w:id="34"/>
      <w:bookmarkEnd w:id="35"/>
      <w:bookmarkEnd w:id="36"/>
      <w:bookmarkEnd w:id="37"/>
    </w:p>
    <w:p w14:paraId="6330F950">
      <w:pPr>
        <w:tabs>
          <w:tab w:val="left" w:pos="360"/>
          <w:tab w:val="left" w:pos="5542"/>
        </w:tabs>
        <w:spacing w:line="360" w:lineRule="auto"/>
        <w:ind w:firstLine="480" w:firstLineChars="200"/>
        <w:rPr>
          <w:rFonts w:ascii="宋体" w:hAnsi="宋体"/>
          <w:color w:val="auto"/>
          <w:sz w:val="24"/>
          <w:highlight w:val="none"/>
        </w:rPr>
      </w:pPr>
      <w:r>
        <w:rPr>
          <w:rFonts w:ascii="宋体" w:hAnsi="宋体"/>
          <w:color w:val="auto"/>
          <w:sz w:val="24"/>
          <w:highlight w:val="none"/>
        </w:rPr>
        <w:t>3.1</w:t>
      </w:r>
      <w:r>
        <w:rPr>
          <w:rFonts w:ascii="宋体" w:hAnsi="宋体"/>
          <w:b/>
          <w:color w:val="auto"/>
          <w:sz w:val="24"/>
          <w:highlight w:val="none"/>
        </w:rPr>
        <w:t xml:space="preserve"> </w:t>
      </w:r>
      <w:r>
        <w:rPr>
          <w:rFonts w:hint="eastAsia" w:ascii="宋体" w:hAnsi="宋体"/>
          <w:color w:val="auto"/>
          <w:sz w:val="24"/>
          <w:highlight w:val="none"/>
        </w:rPr>
        <w:t>投标人资格条件：</w:t>
      </w:r>
      <w:r>
        <w:rPr>
          <w:rFonts w:hint="eastAsia" w:ascii="宋体" w:hAnsi="宋体"/>
          <w:color w:val="auto"/>
          <w:sz w:val="24"/>
          <w:highlight w:val="none"/>
          <w:u w:val="single"/>
        </w:rPr>
        <w:t>见</w:t>
      </w:r>
      <w:r>
        <w:rPr>
          <w:rFonts w:hint="eastAsia" w:ascii="宋体" w:hAnsi="宋体" w:cs="宋体"/>
          <w:color w:val="auto"/>
          <w:sz w:val="24"/>
          <w:highlight w:val="none"/>
          <w:u w:val="single"/>
          <w:lang w:val="en-US" w:eastAsia="zh-CN"/>
        </w:rPr>
        <w:t>第二章“</w:t>
      </w:r>
      <w:r>
        <w:rPr>
          <w:rFonts w:hint="eastAsia" w:ascii="宋体" w:hAnsi="宋体" w:cs="宋体"/>
          <w:color w:val="auto"/>
          <w:sz w:val="24"/>
          <w:highlight w:val="none"/>
          <w:u w:val="single"/>
        </w:rPr>
        <w:t>投标人须知</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前附表附录资格审查条件</w:t>
      </w:r>
      <w:r>
        <w:rPr>
          <w:rFonts w:hint="eastAsia" w:ascii="宋体" w:hAnsi="宋体"/>
          <w:color w:val="auto"/>
          <w:sz w:val="24"/>
          <w:highlight w:val="none"/>
        </w:rPr>
        <w:t>。</w:t>
      </w:r>
    </w:p>
    <w:p w14:paraId="4813527D">
      <w:pPr>
        <w:pStyle w:val="22"/>
        <w:tabs>
          <w:tab w:val="left" w:pos="2941"/>
          <w:tab w:val="left" w:pos="3387"/>
        </w:tabs>
        <w:spacing w:line="360" w:lineRule="auto"/>
        <w:ind w:firstLine="480" w:firstLineChars="200"/>
        <w:rPr>
          <w:color w:val="auto"/>
          <w:highlight w:val="none"/>
        </w:rPr>
      </w:pPr>
      <w:r>
        <w:rPr>
          <w:color w:val="auto"/>
          <w:highlight w:val="none"/>
        </w:rPr>
        <w:t xml:space="preserve">3.2 </w:t>
      </w:r>
      <w:r>
        <w:rPr>
          <w:rFonts w:hint="eastAsia"/>
          <w:color w:val="auto"/>
          <w:highlight w:val="none"/>
        </w:rPr>
        <w:t>本次招标：</w:t>
      </w:r>
      <w:r>
        <w:rPr>
          <w:rFonts w:hint="eastAsia"/>
          <w:b/>
          <w:color w:val="auto"/>
          <w:highlight w:val="none"/>
        </w:rPr>
        <w:t>□</w:t>
      </w:r>
      <w:r>
        <w:rPr>
          <w:color w:val="auto"/>
          <w:highlight w:val="none"/>
          <w:u w:val="single"/>
        </w:rPr>
        <w:t xml:space="preserve">       </w:t>
      </w:r>
      <w:r>
        <w:rPr>
          <w:rFonts w:hint="eastAsia"/>
          <w:color w:val="auto"/>
          <w:highlight w:val="none"/>
        </w:rPr>
        <w:t>标段，不接受联合体投标。</w:t>
      </w:r>
    </w:p>
    <w:p w14:paraId="0084E0EA">
      <w:pPr>
        <w:pStyle w:val="22"/>
        <w:tabs>
          <w:tab w:val="left" w:pos="2941"/>
          <w:tab w:val="left" w:pos="3387"/>
        </w:tabs>
        <w:spacing w:line="360" w:lineRule="auto"/>
        <w:ind w:firstLine="482" w:firstLineChars="200"/>
        <w:rPr>
          <w:color w:val="auto"/>
          <w:highlight w:val="none"/>
        </w:rPr>
      </w:pPr>
      <w:r>
        <w:rPr>
          <w:rFonts w:hint="eastAsia"/>
          <w:b/>
          <w:color w:val="auto"/>
          <w:highlight w:val="none"/>
        </w:rPr>
        <w:t>□</w:t>
      </w:r>
      <w:r>
        <w:rPr>
          <w:color w:val="auto"/>
          <w:highlight w:val="none"/>
          <w:u w:val="single"/>
        </w:rPr>
        <w:t xml:space="preserve">      </w:t>
      </w:r>
      <w:r>
        <w:rPr>
          <w:rFonts w:hint="eastAsia"/>
          <w:color w:val="auto"/>
          <w:highlight w:val="none"/>
        </w:rPr>
        <w:t>标段，接受联合体投标，联合体所有成员数量不得超过</w:t>
      </w:r>
      <w:r>
        <w:rPr>
          <w:color w:val="auto"/>
          <w:highlight w:val="none"/>
          <w:u w:val="single"/>
        </w:rPr>
        <w:t xml:space="preserve">    </w:t>
      </w:r>
      <w:r>
        <w:rPr>
          <w:rFonts w:hint="eastAsia"/>
          <w:color w:val="auto"/>
          <w:highlight w:val="none"/>
        </w:rPr>
        <w:t>家，联合体应具有的资格条件要求：</w:t>
      </w:r>
      <w:r>
        <w:rPr>
          <w:rFonts w:hint="eastAsia"/>
          <w:color w:val="auto"/>
          <w:highlight w:val="none"/>
          <w:u w:val="single"/>
        </w:rPr>
        <w:t>见</w:t>
      </w:r>
      <w:r>
        <w:rPr>
          <w:rFonts w:hint="eastAsia" w:ascii="宋体" w:hAnsi="宋体" w:cs="宋体"/>
          <w:color w:val="auto"/>
          <w:sz w:val="24"/>
          <w:highlight w:val="none"/>
          <w:u w:val="single"/>
          <w:lang w:val="en-US" w:eastAsia="zh-CN"/>
        </w:rPr>
        <w:t>第二章“</w:t>
      </w:r>
      <w:r>
        <w:rPr>
          <w:rFonts w:hint="eastAsia" w:ascii="宋体" w:hAnsi="宋体" w:cs="宋体"/>
          <w:color w:val="auto"/>
          <w:sz w:val="24"/>
          <w:highlight w:val="none"/>
          <w:u w:val="single"/>
        </w:rPr>
        <w:t>投标人须知</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前附表附录资格审查条件</w:t>
      </w:r>
      <w:r>
        <w:rPr>
          <w:rFonts w:hint="eastAsia"/>
          <w:color w:val="auto"/>
          <w:kern w:val="0"/>
          <w:highlight w:val="none"/>
        </w:rPr>
        <w:t>。</w:t>
      </w:r>
      <w:r>
        <w:rPr>
          <w:rStyle w:val="59"/>
          <w:rFonts w:hint="eastAsia"/>
          <w:color w:val="auto"/>
          <w:kern w:val="0"/>
          <w:highlight w:val="none"/>
        </w:rPr>
        <w:footnoteReference w:id="7"/>
      </w:r>
    </w:p>
    <w:p w14:paraId="676CA5D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3.3 </w:t>
      </w:r>
      <w:r>
        <w:rPr>
          <w:rFonts w:hint="eastAsia"/>
          <w:color w:val="auto"/>
          <w:sz w:val="24"/>
          <w:highlight w:val="none"/>
        </w:rPr>
        <w:t>每个投标人最多可对</w:t>
      </w:r>
      <w:r>
        <w:rPr>
          <w:color w:val="auto"/>
          <w:sz w:val="24"/>
          <w:highlight w:val="none"/>
          <w:u w:val="single"/>
        </w:rPr>
        <w:t xml:space="preserve">   </w:t>
      </w:r>
      <w:r>
        <w:rPr>
          <w:rFonts w:hint="eastAsia"/>
          <w:color w:val="auto"/>
          <w:sz w:val="24"/>
          <w:highlight w:val="none"/>
        </w:rPr>
        <w:t>个标段投标，允许中</w:t>
      </w:r>
      <w:r>
        <w:rPr>
          <w:color w:val="auto"/>
          <w:sz w:val="24"/>
          <w:highlight w:val="none"/>
          <w:u w:val="single"/>
        </w:rPr>
        <w:t xml:space="preserve">   </w:t>
      </w:r>
      <w:r>
        <w:rPr>
          <w:rFonts w:hint="eastAsia"/>
          <w:color w:val="auto"/>
          <w:sz w:val="24"/>
          <w:highlight w:val="none"/>
        </w:rPr>
        <w:t>个标段。</w:t>
      </w:r>
      <w:bookmarkStart w:id="38" w:name="_Hlk94086780"/>
      <w:r>
        <w:rPr>
          <w:rFonts w:hint="eastAsia"/>
          <w:color w:val="auto"/>
          <w:sz w:val="24"/>
          <w:highlight w:val="none"/>
        </w:rPr>
        <w:t>投标人投标标段数量超过允许投标人投标标段数量时，相关投标均无效。</w:t>
      </w:r>
      <w:bookmarkEnd w:id="38"/>
      <w:r>
        <w:rPr>
          <w:rStyle w:val="59"/>
          <w:rFonts w:hint="eastAsia"/>
          <w:color w:val="auto"/>
          <w:sz w:val="24"/>
          <w:highlight w:val="none"/>
        </w:rPr>
        <w:footnoteReference w:id="8"/>
      </w:r>
    </w:p>
    <w:p w14:paraId="2AB52CBD">
      <w:pPr>
        <w:widowControl/>
        <w:spacing w:line="360" w:lineRule="auto"/>
        <w:ind w:firstLine="482" w:firstLineChars="200"/>
        <w:rPr>
          <w:rFonts w:ascii="宋体" w:hAnsi="宋体" w:cs="宋体"/>
          <w:color w:val="auto"/>
          <w:kern w:val="0"/>
          <w:sz w:val="24"/>
          <w:highlight w:val="none"/>
        </w:rPr>
      </w:pPr>
      <w:r>
        <w:rPr>
          <w:rFonts w:hint="eastAsia" w:ascii="宋体" w:hAnsi="宋体"/>
          <w:b/>
          <w:color w:val="auto"/>
          <w:sz w:val="24"/>
          <w:highlight w:val="none"/>
        </w:rPr>
        <w:t>□</w:t>
      </w:r>
      <w:r>
        <w:rPr>
          <w:rFonts w:ascii="宋体" w:hAnsi="宋体"/>
          <w:color w:val="auto"/>
          <w:sz w:val="24"/>
          <w:highlight w:val="none"/>
        </w:rPr>
        <w:t xml:space="preserve"> </w:t>
      </w:r>
      <w:r>
        <w:rPr>
          <w:rFonts w:hint="eastAsia" w:ascii="宋体" w:hAnsi="宋体" w:cs="宋体"/>
          <w:color w:val="auto"/>
          <w:sz w:val="24"/>
          <w:highlight w:val="none"/>
        </w:rPr>
        <w:t>允许中</w:t>
      </w:r>
      <w:r>
        <w:rPr>
          <w:rFonts w:ascii="宋体" w:hAnsi="宋体" w:cs="宋体"/>
          <w:color w:val="auto"/>
          <w:sz w:val="24"/>
          <w:highlight w:val="none"/>
        </w:rPr>
        <w:t>2个及以上标段</w:t>
      </w:r>
      <w:r>
        <w:rPr>
          <w:rFonts w:hint="eastAsia" w:ascii="宋体" w:hAnsi="宋体" w:cs="宋体"/>
          <w:color w:val="auto"/>
          <w:sz w:val="24"/>
          <w:highlight w:val="none"/>
          <w:lang w:val="en-US" w:eastAsia="zh-CN"/>
        </w:rPr>
        <w:t>的</w:t>
      </w:r>
      <w:r>
        <w:rPr>
          <w:rFonts w:ascii="宋体" w:hAnsi="宋体" w:cs="宋体"/>
          <w:color w:val="auto"/>
          <w:sz w:val="24"/>
          <w:highlight w:val="none"/>
        </w:rPr>
        <w:t>，</w:t>
      </w:r>
      <w:r>
        <w:rPr>
          <w:rFonts w:hint="eastAsia" w:ascii="宋体" w:hAnsi="宋体" w:cs="宋体"/>
          <w:color w:val="auto"/>
          <w:sz w:val="24"/>
          <w:highlight w:val="none"/>
        </w:rPr>
        <w:t>每个标段拟投入</w:t>
      </w:r>
      <w:r>
        <w:rPr>
          <w:rFonts w:ascii="宋体" w:hAnsi="宋体" w:cs="宋体"/>
          <w:color w:val="auto"/>
          <w:sz w:val="24"/>
          <w:highlight w:val="none"/>
        </w:rPr>
        <w:t>主要人员</w:t>
      </w:r>
      <w:r>
        <w:rPr>
          <w:rFonts w:hint="eastAsia" w:ascii="宋体" w:hAnsi="宋体" w:cs="宋体"/>
          <w:color w:val="auto"/>
          <w:sz w:val="24"/>
          <w:highlight w:val="none"/>
        </w:rPr>
        <w:t>不得相同</w:t>
      </w:r>
      <w:r>
        <w:rPr>
          <w:rFonts w:hint="eastAsia" w:ascii="宋体" w:hAnsi="宋体"/>
          <w:color w:val="auto"/>
          <w:sz w:val="24"/>
          <w:highlight w:val="none"/>
        </w:rPr>
        <w:t>。</w:t>
      </w:r>
      <w:r>
        <w:rPr>
          <w:rStyle w:val="59"/>
          <w:rFonts w:ascii="宋体" w:hAnsi="宋体" w:cs="宋体"/>
          <w:color w:val="auto"/>
          <w:sz w:val="24"/>
          <w:highlight w:val="none"/>
        </w:rPr>
        <w:footnoteReference w:id="9"/>
      </w:r>
    </w:p>
    <w:p w14:paraId="5604842B">
      <w:pPr>
        <w:widowControl/>
        <w:spacing w:line="360" w:lineRule="auto"/>
        <w:ind w:firstLine="480" w:firstLineChars="200"/>
        <w:rPr>
          <w:rFonts w:ascii="宋体" w:hAnsi="宋体"/>
          <w:color w:val="auto"/>
          <w:sz w:val="24"/>
          <w:highlight w:val="none"/>
        </w:rPr>
      </w:pPr>
      <w:r>
        <w:rPr>
          <w:rFonts w:ascii="宋体" w:hAnsi="宋体" w:cs="宋体"/>
          <w:color w:val="auto"/>
          <w:kern w:val="0"/>
          <w:sz w:val="24"/>
          <w:highlight w:val="none"/>
        </w:rPr>
        <w:t>3.4</w:t>
      </w:r>
      <w:r>
        <w:rPr>
          <w:rFonts w:ascii="宋体" w:hAnsi="宋体" w:cs="TimesNewRomanPSMT"/>
          <w:color w:val="auto"/>
          <w:kern w:val="0"/>
          <w:sz w:val="24"/>
          <w:highlight w:val="none"/>
        </w:rPr>
        <w:t xml:space="preserve"> 与招标人存在利害关系可能影响招标公正性的单位</w:t>
      </w:r>
      <w:r>
        <w:rPr>
          <w:rFonts w:hint="eastAsia" w:ascii="宋体" w:hAnsi="宋体" w:cs="TimesNewRomanPSMT"/>
          <w:color w:val="auto"/>
          <w:kern w:val="0"/>
          <w:sz w:val="24"/>
          <w:highlight w:val="none"/>
          <w:lang w:eastAsia="zh-CN"/>
        </w:rPr>
        <w:t>，</w:t>
      </w:r>
      <w:r>
        <w:rPr>
          <w:rFonts w:ascii="宋体" w:hAnsi="宋体" w:cs="TimesNewRomanPSMT"/>
          <w:color w:val="auto"/>
          <w:kern w:val="0"/>
          <w:sz w:val="24"/>
          <w:highlight w:val="none"/>
        </w:rPr>
        <w:t>不得参加投标。</w:t>
      </w:r>
      <w:r>
        <w:rPr>
          <w:rFonts w:hint="eastAsia" w:ascii="宋体" w:hAnsi="宋体" w:cs="宋体"/>
          <w:color w:val="auto"/>
          <w:kern w:val="0"/>
          <w:sz w:val="24"/>
          <w:highlight w:val="none"/>
        </w:rPr>
        <w:t>法定代表人为同一人或者存在控股、管理关系的不同单位，不得参加同一标段投标，否则，相关投标均无效。</w:t>
      </w:r>
    </w:p>
    <w:p w14:paraId="0614EC40">
      <w:pPr>
        <w:pStyle w:val="5"/>
        <w:rPr>
          <w:color w:val="auto"/>
          <w:highlight w:val="none"/>
          <w:lang w:val="zh-CN"/>
        </w:rPr>
      </w:pPr>
      <w:bookmarkStart w:id="39" w:name="_Toc27059473"/>
      <w:bookmarkStart w:id="40" w:name="_Toc27059846"/>
      <w:bookmarkStart w:id="41" w:name="_Toc27060641"/>
      <w:bookmarkStart w:id="42" w:name="_Toc53685574"/>
      <w:bookmarkStart w:id="43" w:name="_Toc27059654"/>
      <w:bookmarkStart w:id="44" w:name="_Toc27059744"/>
      <w:bookmarkStart w:id="45" w:name="_Toc519844451"/>
      <w:r>
        <w:rPr>
          <w:color w:val="auto"/>
          <w:highlight w:val="none"/>
          <w:lang w:val="zh-CN"/>
        </w:rPr>
        <w:t>4．招标文件的获取</w:t>
      </w:r>
      <w:bookmarkEnd w:id="39"/>
      <w:bookmarkEnd w:id="40"/>
      <w:bookmarkEnd w:id="41"/>
      <w:bookmarkEnd w:id="42"/>
      <w:bookmarkEnd w:id="43"/>
      <w:bookmarkEnd w:id="44"/>
      <w:r>
        <w:rPr>
          <w:color w:val="auto"/>
          <w:highlight w:val="none"/>
          <w:lang w:val="zh-CN"/>
        </w:rPr>
        <w:t xml:space="preserve"> </w:t>
      </w:r>
      <w:bookmarkEnd w:id="45"/>
    </w:p>
    <w:p w14:paraId="4CD1F881">
      <w:pPr>
        <w:tabs>
          <w:tab w:val="left" w:pos="5542"/>
        </w:tabs>
        <w:wordWrap w:val="0"/>
        <w:spacing w:line="360" w:lineRule="auto"/>
        <w:ind w:firstLine="480" w:firstLineChars="200"/>
        <w:rPr>
          <w:rFonts w:ascii="宋体" w:hAnsi="宋体"/>
          <w:color w:val="auto"/>
          <w:sz w:val="24"/>
          <w:highlight w:val="none"/>
        </w:rPr>
      </w:pPr>
      <w:r>
        <w:rPr>
          <w:rFonts w:ascii="宋体" w:hAnsi="宋体"/>
          <w:color w:val="auto"/>
          <w:sz w:val="24"/>
          <w:highlight w:val="none"/>
        </w:rPr>
        <w:t>凡有意参加投标者，</w:t>
      </w:r>
      <w:r>
        <w:rPr>
          <w:rFonts w:hint="eastAsia" w:ascii="宋体" w:hAnsi="宋体"/>
          <w:color w:val="auto"/>
          <w:sz w:val="24"/>
          <w:highlight w:val="none"/>
          <w:lang w:val="en-US" w:eastAsia="zh-CN"/>
        </w:rPr>
        <w:t>须为</w:t>
      </w:r>
      <w:r>
        <w:rPr>
          <w:rFonts w:hint="eastAsia" w:ascii="宋体" w:hAnsi="宋体"/>
          <w:color w:val="auto"/>
          <w:sz w:val="24"/>
          <w:highlight w:val="none"/>
        </w:rPr>
        <w:t>全国公共资源交易平台（四川省）（网址</w:t>
      </w:r>
      <w:r>
        <w:rPr>
          <w:rFonts w:hint="eastAsia" w:ascii="宋体" w:hAnsi="宋体"/>
          <w:color w:val="auto"/>
          <w:sz w:val="24"/>
          <w:highlight w:val="none"/>
          <w:lang w:eastAsia="zh-CN"/>
        </w:rPr>
        <w:t>https</w:t>
      </w:r>
      <w:r>
        <w:rPr>
          <w:rFonts w:ascii="宋体" w:hAnsi="宋体"/>
          <w:color w:val="auto"/>
          <w:sz w:val="24"/>
          <w:highlight w:val="none"/>
        </w:rPr>
        <w:t>://ggzyjy.sc.gov.cn/</w:t>
      </w:r>
      <w:r>
        <w:rPr>
          <w:rFonts w:hint="eastAsia" w:ascii="宋体" w:hAnsi="宋体"/>
          <w:color w:val="auto"/>
          <w:sz w:val="24"/>
          <w:highlight w:val="none"/>
        </w:rPr>
        <w:t>）的注册网员</w:t>
      </w:r>
      <w:r>
        <w:rPr>
          <w:rStyle w:val="59"/>
          <w:rFonts w:ascii="宋体" w:hAnsi="宋体" w:cs="宋体"/>
          <w:color w:val="auto"/>
          <w:sz w:val="24"/>
          <w:highlight w:val="none"/>
        </w:rPr>
        <w:footnoteReference w:id="10"/>
      </w:r>
      <w:r>
        <w:rPr>
          <w:rFonts w:hint="eastAsia" w:ascii="宋体" w:hAnsi="宋体"/>
          <w:color w:val="auto"/>
          <w:sz w:val="24"/>
          <w:highlight w:val="none"/>
        </w:rPr>
        <w:t>。于</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rPr>
        <w:t>时</w:t>
      </w:r>
      <w:r>
        <w:rPr>
          <w:rFonts w:ascii="宋体" w:hAnsi="宋体"/>
          <w:color w:val="auto"/>
          <w:sz w:val="24"/>
          <w:highlight w:val="none"/>
          <w:u w:val="single"/>
        </w:rPr>
        <w:t xml:space="preserve">  </w:t>
      </w:r>
      <w:r>
        <w:rPr>
          <w:rFonts w:hint="eastAsia" w:ascii="宋体" w:hAnsi="宋体"/>
          <w:color w:val="auto"/>
          <w:sz w:val="24"/>
          <w:highlight w:val="none"/>
        </w:rPr>
        <w:t>分至</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b/>
          <w:color w:val="auto"/>
          <w:sz w:val="24"/>
          <w:highlight w:val="none"/>
          <w:u w:val="single"/>
        </w:rPr>
        <w:t xml:space="preserve">  </w:t>
      </w:r>
      <w:r>
        <w:rPr>
          <w:rFonts w:hint="eastAsia" w:ascii="宋体" w:hAnsi="宋体"/>
          <w:color w:val="auto"/>
          <w:sz w:val="24"/>
          <w:highlight w:val="none"/>
        </w:rPr>
        <w:t>时</w:t>
      </w:r>
      <w:r>
        <w:rPr>
          <w:rFonts w:ascii="宋体" w:hAnsi="宋体"/>
          <w:b/>
          <w:color w:val="auto"/>
          <w:sz w:val="24"/>
          <w:highlight w:val="none"/>
          <w:u w:val="single"/>
        </w:rPr>
        <w:t xml:space="preserve">  </w:t>
      </w:r>
      <w:r>
        <w:rPr>
          <w:rFonts w:hint="eastAsia" w:ascii="宋体" w:hAnsi="宋体"/>
          <w:color w:val="auto"/>
          <w:sz w:val="24"/>
          <w:highlight w:val="none"/>
        </w:rPr>
        <w:t>分（北京时间，下同），在</w:t>
      </w:r>
      <w:bookmarkStart w:id="46" w:name="_Hlk101687153"/>
      <w:r>
        <w:rPr>
          <w:rFonts w:hint="eastAsia" w:ascii="宋体" w:hAnsi="宋体"/>
          <w:color w:val="auto"/>
          <w:sz w:val="24"/>
          <w:highlight w:val="none"/>
        </w:rPr>
        <w:t>“</w:t>
      </w:r>
      <w:bookmarkStart w:id="47" w:name="_Hlk100752431"/>
      <w:r>
        <w:rPr>
          <w:rFonts w:hint="eastAsia" w:ascii="宋体" w:hAnsi="宋体" w:cs="宋体"/>
          <w:color w:val="auto"/>
          <w:sz w:val="24"/>
          <w:highlight w:val="none"/>
        </w:rPr>
        <w:t>四川省公路水运工程电子招投标系统</w:t>
      </w:r>
      <w:bookmarkEnd w:id="47"/>
      <w:r>
        <w:rPr>
          <w:rFonts w:hint="eastAsia" w:ascii="宋体" w:hAnsi="宋体"/>
          <w:color w:val="auto"/>
          <w:sz w:val="24"/>
          <w:highlight w:val="none"/>
        </w:rPr>
        <w:t>”</w:t>
      </w:r>
      <w:r>
        <w:rPr>
          <w:rStyle w:val="59"/>
          <w:rFonts w:hint="eastAsia" w:ascii="宋体" w:hAnsi="宋体"/>
          <w:color w:val="auto"/>
          <w:sz w:val="24"/>
          <w:highlight w:val="none"/>
        </w:rPr>
        <w:footnoteReference w:id="11"/>
      </w:r>
      <w:r>
        <w:rPr>
          <w:rFonts w:hint="eastAsia" w:ascii="宋体" w:hAnsi="宋体"/>
          <w:color w:val="auto"/>
          <w:sz w:val="24"/>
          <w:highlight w:val="none"/>
        </w:rPr>
        <w:t>（</w:t>
      </w:r>
      <w:r>
        <w:rPr>
          <w:rFonts w:hint="eastAsia" w:ascii="宋体" w:hAnsi="宋体" w:cs="宋体"/>
          <w:color w:val="auto"/>
          <w:sz w:val="24"/>
          <w:highlight w:val="none"/>
        </w:rPr>
        <w:t>以下简称“电子交易系统”</w:t>
      </w:r>
      <w:r>
        <w:rPr>
          <w:rFonts w:hint="eastAsia" w:ascii="宋体" w:hAnsi="宋体"/>
          <w:color w:val="auto"/>
          <w:sz w:val="24"/>
          <w:highlight w:val="none"/>
        </w:rPr>
        <w:t>）</w:t>
      </w:r>
      <w:bookmarkEnd w:id="46"/>
      <w:r>
        <w:rPr>
          <w:rFonts w:hint="eastAsia" w:ascii="宋体" w:hAnsi="宋体"/>
          <w:color w:val="auto"/>
          <w:sz w:val="24"/>
          <w:highlight w:val="none"/>
        </w:rPr>
        <w:t>免费</w:t>
      </w:r>
      <w:r>
        <w:rPr>
          <w:rFonts w:ascii="宋体" w:hAnsi="宋体"/>
          <w:color w:val="auto"/>
          <w:sz w:val="24"/>
          <w:highlight w:val="none"/>
        </w:rPr>
        <w:t>匿名</w:t>
      </w:r>
      <w:r>
        <w:rPr>
          <w:rFonts w:hint="eastAsia" w:ascii="宋体" w:hAnsi="宋体"/>
          <w:color w:val="auto"/>
          <w:sz w:val="24"/>
          <w:highlight w:val="none"/>
        </w:rPr>
        <w:t>下载招标文件</w:t>
      </w:r>
      <w:r>
        <w:rPr>
          <w:rFonts w:hint="eastAsia" w:cs="宋体" w:asciiTheme="minorEastAsia" w:hAnsiTheme="minorEastAsia" w:eastAsiaTheme="minorEastAsia"/>
          <w:color w:val="auto"/>
          <w:sz w:val="24"/>
          <w:highlight w:val="none"/>
        </w:rPr>
        <w:t>、□图纸</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olor w:val="auto"/>
          <w:sz w:val="24"/>
          <w:highlight w:val="none"/>
        </w:rPr>
        <w:t>参考资料</w:t>
      </w:r>
      <w:bookmarkStart w:id="48" w:name="_Hlk98611840"/>
      <w:r>
        <w:rPr>
          <w:rStyle w:val="59"/>
          <w:rFonts w:hint="eastAsia" w:ascii="宋体" w:hAnsi="宋体" w:cs="宋体"/>
          <w:color w:val="auto"/>
          <w:sz w:val="24"/>
          <w:highlight w:val="none"/>
        </w:rPr>
        <w:footnoteReference w:id="12"/>
      </w:r>
      <w:bookmarkEnd w:id="48"/>
      <w:r>
        <w:rPr>
          <w:rFonts w:hint="eastAsia" w:ascii="宋体" w:hAnsi="宋体"/>
          <w:color w:val="auto"/>
          <w:sz w:val="24"/>
          <w:highlight w:val="none"/>
        </w:rPr>
        <w:t>。</w:t>
      </w:r>
    </w:p>
    <w:p w14:paraId="480B2279">
      <w:pPr>
        <w:spacing w:line="360" w:lineRule="auto"/>
        <w:ind w:firstLine="482" w:firstLineChars="200"/>
        <w:jc w:val="left"/>
        <w:rPr>
          <w:rFonts w:hint="eastAsia" w:ascii="宋体" w:hAnsi="宋体"/>
          <w:color w:val="auto"/>
          <w:sz w:val="24"/>
          <w:highlight w:val="none"/>
        </w:rPr>
      </w:pPr>
      <w:r>
        <w:rPr>
          <w:rFonts w:hint="eastAsia" w:ascii="宋体" w:hAnsi="宋体"/>
          <w:b/>
          <w:bCs/>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图纸、参考资料获取</w:t>
      </w:r>
      <w:r>
        <w:rPr>
          <w:rStyle w:val="59"/>
          <w:rFonts w:hint="eastAsia" w:ascii="宋体" w:hAnsi="宋体" w:cs="宋体"/>
          <w:color w:val="auto"/>
          <w:sz w:val="24"/>
          <w:highlight w:val="none"/>
        </w:rPr>
        <w:footnoteReference w:id="13"/>
      </w:r>
      <w:r>
        <w:rPr>
          <w:rFonts w:hint="eastAsia" w:ascii="宋体" w:hAnsi="宋体"/>
          <w:color w:val="auto"/>
          <w:sz w:val="24"/>
          <w:highlight w:val="none"/>
        </w:rPr>
        <w:t>：</w:t>
      </w:r>
      <w:r>
        <w:rPr>
          <w:rFonts w:ascii="宋体" w:hAnsi="宋体"/>
          <w:color w:val="auto"/>
          <w:sz w:val="24"/>
          <w:highlight w:val="none"/>
          <w:u w:val="single"/>
        </w:rPr>
        <w:t xml:space="preserve">     （招标人指定获取方式）             </w:t>
      </w:r>
      <w:r>
        <w:rPr>
          <w:rFonts w:hint="eastAsia" w:ascii="宋体" w:hAnsi="宋体"/>
          <w:color w:val="auto"/>
          <w:sz w:val="24"/>
          <w:highlight w:val="none"/>
        </w:rPr>
        <w:t>。</w:t>
      </w:r>
      <w:bookmarkStart w:id="49" w:name="_Toc519844452"/>
    </w:p>
    <w:p w14:paraId="3983BF33">
      <w:pPr>
        <w:keepLines/>
        <w:spacing w:line="360" w:lineRule="auto"/>
        <w:ind w:firstLine="480" w:firstLineChars="200"/>
        <w:jc w:val="left"/>
        <w:rPr>
          <w:rFonts w:hint="eastAsia" w:ascii="宋体" w:hAnsi="宋体"/>
          <w:color w:val="auto"/>
          <w:sz w:val="24"/>
          <w:highlight w:val="none"/>
        </w:rPr>
      </w:pPr>
      <w:bookmarkStart w:id="50" w:name="_Hlk94086860"/>
      <w:r>
        <w:rPr>
          <w:rFonts w:hint="eastAsia" w:ascii="宋体" w:hAnsi="宋体"/>
          <w:color w:val="auto"/>
          <w:sz w:val="24"/>
          <w:highlight w:val="none"/>
        </w:rPr>
        <w:t>投标人未按上述要求下载招标人提供的图纸（如有）、参考资料（如有）的，自行承担由此造成的影响。</w:t>
      </w:r>
      <w:bookmarkEnd w:id="50"/>
    </w:p>
    <w:p w14:paraId="702AE9D4">
      <w:pPr>
        <w:pStyle w:val="5"/>
        <w:rPr>
          <w:color w:val="auto"/>
          <w:highlight w:val="none"/>
          <w:lang w:val="zh-CN"/>
        </w:rPr>
      </w:pPr>
      <w:bookmarkStart w:id="51" w:name="_Toc27059474"/>
      <w:bookmarkStart w:id="52" w:name="_Toc53685575"/>
      <w:bookmarkStart w:id="53" w:name="_Toc27059745"/>
      <w:bookmarkStart w:id="54" w:name="_Toc27059655"/>
      <w:bookmarkStart w:id="55" w:name="_Toc27060642"/>
      <w:bookmarkStart w:id="56" w:name="_Toc27059847"/>
      <w:r>
        <w:rPr>
          <w:color w:val="auto"/>
          <w:highlight w:val="none"/>
          <w:lang w:val="zh-CN"/>
        </w:rPr>
        <w:t>5．投标文件的递交及相关事宜</w:t>
      </w:r>
      <w:bookmarkEnd w:id="49"/>
      <w:bookmarkEnd w:id="51"/>
      <w:bookmarkEnd w:id="52"/>
      <w:bookmarkEnd w:id="53"/>
      <w:bookmarkEnd w:id="54"/>
      <w:bookmarkEnd w:id="55"/>
      <w:bookmarkEnd w:id="56"/>
    </w:p>
    <w:p w14:paraId="5BEF0220">
      <w:pPr>
        <w:tabs>
          <w:tab w:val="left" w:pos="5542"/>
        </w:tabs>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5.1 招标人将 </w:t>
      </w:r>
      <w:r>
        <w:rPr>
          <w:rFonts w:hint="eastAsia" w:ascii="宋体" w:hAnsi="宋体" w:cs="宋体"/>
          <w:b/>
          <w:color w:val="auto"/>
          <w:sz w:val="24"/>
          <w:highlight w:val="none"/>
        </w:rPr>
        <w:t>□</w:t>
      </w:r>
      <w:r>
        <w:rPr>
          <w:rFonts w:ascii="宋体" w:hAnsi="宋体" w:cs="宋体"/>
          <w:color w:val="auto"/>
          <w:sz w:val="24"/>
          <w:highlight w:val="none"/>
        </w:rPr>
        <w:t xml:space="preserve"> </w:t>
      </w:r>
      <w:r>
        <w:rPr>
          <w:rFonts w:hint="eastAsia" w:ascii="宋体" w:hAnsi="宋体"/>
          <w:color w:val="auto"/>
          <w:sz w:val="24"/>
          <w:highlight w:val="none"/>
        </w:rPr>
        <w:t>不组织进行工程现场踏勘和召开投标预备会。</w:t>
      </w:r>
    </w:p>
    <w:p w14:paraId="471AF898">
      <w:pPr>
        <w:tabs>
          <w:tab w:val="left" w:pos="5542"/>
        </w:tabs>
        <w:spacing w:line="360" w:lineRule="auto"/>
        <w:ind w:firstLine="2048" w:firstLineChars="850"/>
        <w:rPr>
          <w:rFonts w:ascii="宋体" w:hAnsi="宋体"/>
          <w:color w:val="auto"/>
          <w:sz w:val="24"/>
          <w:highlight w:val="none"/>
        </w:rPr>
      </w:pPr>
      <w:r>
        <w:rPr>
          <w:rFonts w:hint="eastAsia" w:ascii="宋体" w:hAnsi="宋体" w:cs="宋体"/>
          <w:b/>
          <w:color w:val="auto"/>
          <w:sz w:val="24"/>
          <w:highlight w:val="none"/>
        </w:rPr>
        <w:t>□</w:t>
      </w:r>
      <w:r>
        <w:rPr>
          <w:rFonts w:ascii="宋体" w:hAnsi="宋体" w:cs="宋体"/>
          <w:color w:val="auto"/>
          <w:sz w:val="24"/>
          <w:highlight w:val="none"/>
        </w:rPr>
        <w:t xml:space="preserve"> </w:t>
      </w:r>
      <w:r>
        <w:rPr>
          <w:rFonts w:hint="eastAsia" w:ascii="宋体" w:hAnsi="宋体"/>
          <w:color w:val="auto"/>
          <w:sz w:val="24"/>
          <w:highlight w:val="none"/>
        </w:rPr>
        <w:t>组织进行工程现场踏勘</w:t>
      </w:r>
      <w:r>
        <w:rPr>
          <w:rFonts w:hint="eastAsia" w:ascii="宋体" w:hAnsi="宋体"/>
          <w:color w:val="auto"/>
          <w:sz w:val="24"/>
          <w:highlight w:val="none"/>
          <w:lang w:val="en-US" w:eastAsia="zh-CN"/>
        </w:rPr>
        <w:t>并</w:t>
      </w:r>
      <w:r>
        <w:rPr>
          <w:rFonts w:hint="eastAsia" w:ascii="宋体" w:hAnsi="宋体"/>
          <w:color w:val="auto"/>
          <w:sz w:val="24"/>
          <w:highlight w:val="none"/>
        </w:rPr>
        <w:t>召开投标预备会。</w:t>
      </w:r>
    </w:p>
    <w:p w14:paraId="2A0C4BBD">
      <w:pPr>
        <w:tabs>
          <w:tab w:val="left" w:pos="5542"/>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踏勘现场集中时间：</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color w:val="auto"/>
          <w:sz w:val="24"/>
          <w:highlight w:val="none"/>
        </w:rPr>
        <w:t>年</w:t>
      </w:r>
      <w:r>
        <w:rPr>
          <w:rFonts w:ascii="宋体" w:hAnsi="宋体"/>
          <w:b/>
          <w:color w:val="auto"/>
          <w:sz w:val="24"/>
          <w:highlight w:val="none"/>
          <w:u w:val="single"/>
        </w:rPr>
        <w:t xml:space="preserve">   </w:t>
      </w:r>
      <w:r>
        <w:rPr>
          <w:rFonts w:hint="eastAsia" w:ascii="宋体" w:hAnsi="宋体"/>
          <w:color w:val="auto"/>
          <w:sz w:val="24"/>
          <w:highlight w:val="none"/>
        </w:rPr>
        <w:t>月</w:t>
      </w:r>
      <w:r>
        <w:rPr>
          <w:rFonts w:ascii="宋体" w:hAnsi="宋体"/>
          <w:b/>
          <w:color w:val="auto"/>
          <w:sz w:val="24"/>
          <w:highlight w:val="none"/>
          <w:u w:val="single"/>
        </w:rPr>
        <w:t xml:space="preserve">   </w:t>
      </w:r>
      <w:r>
        <w:rPr>
          <w:rFonts w:hint="eastAsia" w:ascii="宋体" w:hAnsi="宋体"/>
          <w:color w:val="auto"/>
          <w:sz w:val="24"/>
          <w:highlight w:val="none"/>
        </w:rPr>
        <w:t>日</w:t>
      </w:r>
      <w:r>
        <w:rPr>
          <w:rFonts w:ascii="宋体" w:hAnsi="宋体"/>
          <w:b/>
          <w:color w:val="auto"/>
          <w:sz w:val="24"/>
          <w:highlight w:val="none"/>
          <w:u w:val="single"/>
        </w:rPr>
        <w:t xml:space="preserve">   </w:t>
      </w:r>
      <w:r>
        <w:rPr>
          <w:rFonts w:hint="eastAsia" w:ascii="宋体" w:hAnsi="宋体"/>
          <w:color w:val="auto"/>
          <w:sz w:val="24"/>
          <w:highlight w:val="none"/>
        </w:rPr>
        <w:t>时</w:t>
      </w:r>
      <w:r>
        <w:rPr>
          <w:rFonts w:ascii="宋体" w:hAnsi="宋体"/>
          <w:b/>
          <w:color w:val="auto"/>
          <w:sz w:val="24"/>
          <w:highlight w:val="none"/>
          <w:u w:val="single"/>
        </w:rPr>
        <w:t xml:space="preserve">   </w:t>
      </w:r>
      <w:r>
        <w:rPr>
          <w:rFonts w:hint="eastAsia" w:ascii="宋体" w:hAnsi="宋体"/>
          <w:color w:val="auto"/>
          <w:sz w:val="24"/>
          <w:highlight w:val="none"/>
        </w:rPr>
        <w:t>分，集中地点：</w:t>
      </w:r>
      <w:r>
        <w:rPr>
          <w:rFonts w:ascii="宋体" w:hAnsi="宋体"/>
          <w:b/>
          <w:color w:val="auto"/>
          <w:sz w:val="24"/>
          <w:highlight w:val="none"/>
          <w:u w:val="single"/>
        </w:rPr>
        <w:t xml:space="preserve">         </w:t>
      </w:r>
      <w:r>
        <w:rPr>
          <w:rFonts w:hint="eastAsia" w:ascii="宋体" w:hAnsi="宋体"/>
          <w:color w:val="auto"/>
          <w:sz w:val="24"/>
          <w:highlight w:val="none"/>
        </w:rPr>
        <w:t>。</w:t>
      </w:r>
    </w:p>
    <w:p w14:paraId="3AD0C889">
      <w:pPr>
        <w:tabs>
          <w:tab w:val="left" w:pos="5542"/>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投标预备会召开时间：</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ascii="宋体" w:hAnsi="宋体"/>
          <w:b/>
          <w:color w:val="auto"/>
          <w:sz w:val="24"/>
          <w:highlight w:val="none"/>
          <w:u w:val="single"/>
        </w:rPr>
        <w:t xml:space="preserve"> </w:t>
      </w:r>
      <w:r>
        <w:rPr>
          <w:rFonts w:hint="eastAsia" w:ascii="宋体" w:hAnsi="宋体"/>
          <w:color w:val="auto"/>
          <w:sz w:val="24"/>
          <w:highlight w:val="none"/>
        </w:rPr>
        <w:t>年</w:t>
      </w:r>
      <w:r>
        <w:rPr>
          <w:rFonts w:ascii="宋体" w:hAnsi="宋体"/>
          <w:b/>
          <w:color w:val="auto"/>
          <w:sz w:val="24"/>
          <w:highlight w:val="none"/>
          <w:u w:val="single"/>
        </w:rPr>
        <w:t xml:space="preserve">   </w:t>
      </w:r>
      <w:r>
        <w:rPr>
          <w:rFonts w:hint="eastAsia" w:ascii="宋体" w:hAnsi="宋体"/>
          <w:color w:val="auto"/>
          <w:sz w:val="24"/>
          <w:highlight w:val="none"/>
        </w:rPr>
        <w:t>月</w:t>
      </w:r>
      <w:r>
        <w:rPr>
          <w:rFonts w:ascii="宋体" w:hAnsi="宋体"/>
          <w:b/>
          <w:color w:val="auto"/>
          <w:sz w:val="24"/>
          <w:highlight w:val="none"/>
          <w:u w:val="single"/>
        </w:rPr>
        <w:t xml:space="preserve">   </w:t>
      </w:r>
      <w:r>
        <w:rPr>
          <w:rFonts w:hint="eastAsia" w:ascii="宋体" w:hAnsi="宋体"/>
          <w:color w:val="auto"/>
          <w:sz w:val="24"/>
          <w:highlight w:val="none"/>
        </w:rPr>
        <w:t>日</w:t>
      </w:r>
      <w:r>
        <w:rPr>
          <w:rFonts w:ascii="宋体" w:hAnsi="宋体"/>
          <w:b/>
          <w:color w:val="auto"/>
          <w:sz w:val="24"/>
          <w:highlight w:val="none"/>
          <w:u w:val="single"/>
        </w:rPr>
        <w:t xml:space="preserve">   </w:t>
      </w:r>
      <w:r>
        <w:rPr>
          <w:rFonts w:hint="eastAsia" w:ascii="宋体" w:hAnsi="宋体"/>
          <w:color w:val="auto"/>
          <w:sz w:val="24"/>
          <w:highlight w:val="none"/>
        </w:rPr>
        <w:t>时</w:t>
      </w:r>
      <w:r>
        <w:rPr>
          <w:rFonts w:ascii="宋体" w:hAnsi="宋体"/>
          <w:b/>
          <w:color w:val="auto"/>
          <w:sz w:val="24"/>
          <w:highlight w:val="none"/>
          <w:u w:val="single"/>
        </w:rPr>
        <w:t xml:space="preserve">   </w:t>
      </w:r>
      <w:r>
        <w:rPr>
          <w:rFonts w:hint="eastAsia" w:ascii="宋体" w:hAnsi="宋体"/>
          <w:color w:val="auto"/>
          <w:sz w:val="24"/>
          <w:highlight w:val="none"/>
        </w:rPr>
        <w:t>分，召开地点：</w:t>
      </w:r>
      <w:r>
        <w:rPr>
          <w:rFonts w:ascii="宋体" w:hAnsi="宋体"/>
          <w:color w:val="auto"/>
          <w:sz w:val="24"/>
          <w:highlight w:val="none"/>
          <w:u w:val="single"/>
        </w:rPr>
        <w:t xml:space="preserve">       </w:t>
      </w:r>
      <w:r>
        <w:rPr>
          <w:rFonts w:hint="eastAsia" w:ascii="宋体" w:hAnsi="宋体"/>
          <w:color w:val="auto"/>
          <w:sz w:val="24"/>
          <w:highlight w:val="none"/>
        </w:rPr>
        <w:t>。</w:t>
      </w:r>
    </w:p>
    <w:p w14:paraId="00F7B508">
      <w:pPr>
        <w:tabs>
          <w:tab w:val="left" w:pos="5542"/>
        </w:tabs>
        <w:spacing w:line="360" w:lineRule="auto"/>
        <w:ind w:firstLine="480" w:firstLineChars="200"/>
        <w:rPr>
          <w:rFonts w:ascii="宋体" w:hAnsi="宋体"/>
          <w:b/>
          <w:color w:val="auto"/>
          <w:sz w:val="24"/>
          <w:highlight w:val="none"/>
        </w:rPr>
      </w:pPr>
      <w:r>
        <w:rPr>
          <w:rFonts w:ascii="宋体" w:hAnsi="宋体"/>
          <w:color w:val="auto"/>
          <w:sz w:val="24"/>
          <w:highlight w:val="none"/>
        </w:rPr>
        <w:t xml:space="preserve">5.2 </w:t>
      </w:r>
      <w:r>
        <w:rPr>
          <w:rFonts w:hint="eastAsia" w:ascii="宋体" w:hAnsi="宋体"/>
          <w:bCs/>
          <w:color w:val="auto"/>
          <w:sz w:val="24"/>
          <w:highlight w:val="none"/>
        </w:rPr>
        <w:t>投标文件的递交</w:t>
      </w:r>
      <w:r>
        <w:rPr>
          <w:rStyle w:val="59"/>
          <w:rFonts w:ascii="宋体" w:hAnsi="宋体"/>
          <w:color w:val="auto"/>
          <w:sz w:val="24"/>
          <w:highlight w:val="none"/>
        </w:rPr>
        <w:footnoteReference w:id="14"/>
      </w:r>
    </w:p>
    <w:p w14:paraId="3E7803C3">
      <w:pPr>
        <w:tabs>
          <w:tab w:val="left" w:pos="5542"/>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1）投标文件递交的截止时间为</w:t>
      </w:r>
      <w:r>
        <w:rPr>
          <w:rFonts w:ascii="宋体" w:hAnsi="宋体"/>
          <w:b/>
          <w:color w:val="auto"/>
          <w:sz w:val="24"/>
          <w:highlight w:val="none"/>
          <w:u w:val="single"/>
        </w:rPr>
        <w:t xml:space="preserve">     </w:t>
      </w:r>
      <w:r>
        <w:rPr>
          <w:rFonts w:hint="eastAsia" w:ascii="宋体" w:hAnsi="宋体"/>
          <w:color w:val="auto"/>
          <w:sz w:val="24"/>
          <w:highlight w:val="none"/>
        </w:rPr>
        <w:t>年</w:t>
      </w:r>
      <w:r>
        <w:rPr>
          <w:rFonts w:ascii="宋体" w:hAnsi="宋体"/>
          <w:b/>
          <w:color w:val="auto"/>
          <w:sz w:val="24"/>
          <w:highlight w:val="none"/>
          <w:u w:val="single"/>
        </w:rPr>
        <w:t xml:space="preserve">  </w:t>
      </w:r>
      <w:r>
        <w:rPr>
          <w:rFonts w:hint="eastAsia" w:ascii="宋体" w:hAnsi="宋体"/>
          <w:color w:val="auto"/>
          <w:sz w:val="24"/>
          <w:highlight w:val="none"/>
        </w:rPr>
        <w:t>月</w:t>
      </w:r>
      <w:r>
        <w:rPr>
          <w:rFonts w:ascii="宋体" w:hAnsi="宋体"/>
          <w:b/>
          <w:color w:val="auto"/>
          <w:sz w:val="24"/>
          <w:highlight w:val="none"/>
          <w:u w:val="single"/>
        </w:rPr>
        <w:t xml:space="preserve">   </w:t>
      </w:r>
      <w:r>
        <w:rPr>
          <w:rFonts w:hint="eastAsia" w:ascii="宋体" w:hAnsi="宋体"/>
          <w:color w:val="auto"/>
          <w:sz w:val="24"/>
          <w:highlight w:val="none"/>
        </w:rPr>
        <w:t>日</w:t>
      </w:r>
      <w:r>
        <w:rPr>
          <w:rFonts w:ascii="宋体" w:hAnsi="宋体"/>
          <w:b/>
          <w:color w:val="auto"/>
          <w:sz w:val="24"/>
          <w:highlight w:val="none"/>
          <w:u w:val="single"/>
        </w:rPr>
        <w:t xml:space="preserve">   </w:t>
      </w:r>
      <w:r>
        <w:rPr>
          <w:rFonts w:hint="eastAsia" w:ascii="宋体" w:hAnsi="宋体"/>
          <w:color w:val="auto"/>
          <w:sz w:val="24"/>
          <w:highlight w:val="none"/>
        </w:rPr>
        <w:t>时</w:t>
      </w:r>
      <w:r>
        <w:rPr>
          <w:rFonts w:ascii="宋体" w:hAnsi="宋体"/>
          <w:b/>
          <w:color w:val="auto"/>
          <w:sz w:val="24"/>
          <w:highlight w:val="none"/>
          <w:u w:val="single"/>
        </w:rPr>
        <w:t xml:space="preserve">   </w:t>
      </w:r>
      <w:r>
        <w:rPr>
          <w:rFonts w:hint="eastAsia" w:ascii="宋体" w:hAnsi="宋体"/>
          <w:color w:val="auto"/>
          <w:sz w:val="24"/>
          <w:highlight w:val="none"/>
        </w:rPr>
        <w:t>分（投标截止时间，下同）。</w:t>
      </w:r>
    </w:p>
    <w:p w14:paraId="385CC2AE">
      <w:pPr>
        <w:tabs>
          <w:tab w:val="left" w:pos="5542"/>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2）投标人应在投标截止时间前，通过互联网使用单位CA数字证书</w:t>
      </w:r>
      <w:r>
        <w:rPr>
          <w:rFonts w:ascii="宋体" w:hAnsi="宋体" w:cs="宋体"/>
          <w:color w:val="auto"/>
          <w:sz w:val="24"/>
          <w:highlight w:val="none"/>
          <w:vertAlign w:val="superscript"/>
        </w:rPr>
        <w:footnoteReference w:id="15"/>
      </w:r>
      <w:r>
        <w:rPr>
          <w:rFonts w:hint="eastAsia" w:ascii="宋体" w:hAnsi="宋体"/>
          <w:color w:val="auto"/>
          <w:sz w:val="24"/>
          <w:highlight w:val="none"/>
        </w:rPr>
        <w:t>登录 “</w:t>
      </w:r>
      <w:r>
        <w:rPr>
          <w:rFonts w:hint="eastAsia" w:ascii="宋体" w:hAnsi="宋体"/>
          <w:color w:val="auto"/>
          <w:sz w:val="24"/>
          <w:highlight w:val="none"/>
          <w:lang w:eastAsia="zh-CN"/>
        </w:rPr>
        <w:t>电子交易系统</w:t>
      </w:r>
      <w:r>
        <w:rPr>
          <w:rFonts w:hint="eastAsia" w:ascii="宋体" w:hAnsi="宋体"/>
          <w:color w:val="auto"/>
          <w:sz w:val="24"/>
          <w:highlight w:val="none"/>
        </w:rPr>
        <w:t>”，将加密的第一个信封（商务及技术文件）电子投标文件和加密的第二个信封（报价文件）电子投标文件上传</w:t>
      </w:r>
      <w:bookmarkStart w:id="57" w:name="_Hlk98611863"/>
      <w:r>
        <w:rPr>
          <w:rStyle w:val="59"/>
          <w:rFonts w:ascii="宋体" w:hAnsi="宋体" w:cs="宋体"/>
          <w:color w:val="auto"/>
          <w:sz w:val="24"/>
          <w:highlight w:val="none"/>
        </w:rPr>
        <w:footnoteReference w:id="16"/>
      </w:r>
      <w:bookmarkEnd w:id="57"/>
      <w:r>
        <w:rPr>
          <w:rFonts w:hint="eastAsia" w:ascii="宋体" w:hAnsi="宋体"/>
          <w:color w:val="auto"/>
          <w:sz w:val="24"/>
          <w:highlight w:val="none"/>
        </w:rPr>
        <w:t>，上传成功后系统将自动生成电子签收凭证，电子签收凭证时间即为递交时间。</w:t>
      </w:r>
    </w:p>
    <w:p w14:paraId="57147AC3">
      <w:pPr>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若</w:t>
      </w:r>
      <w:r>
        <w:rPr>
          <w:rFonts w:ascii="宋体" w:hAnsi="宋体" w:cs="宋体"/>
          <w:color w:val="auto"/>
          <w:sz w:val="24"/>
          <w:highlight w:val="none"/>
        </w:rPr>
        <w:t>投标人</w:t>
      </w:r>
      <w:r>
        <w:rPr>
          <w:rFonts w:hint="eastAsia" w:ascii="宋体" w:hAnsi="宋体" w:cs="宋体"/>
          <w:color w:val="auto"/>
          <w:sz w:val="24"/>
          <w:highlight w:val="none"/>
        </w:rPr>
        <w:t>以银行保函形式缴纳投标保证金的，</w:t>
      </w:r>
      <w:r>
        <w:rPr>
          <w:rFonts w:ascii="宋体" w:hAnsi="宋体" w:cs="宋体"/>
          <w:color w:val="auto"/>
          <w:sz w:val="24"/>
          <w:highlight w:val="none"/>
        </w:rPr>
        <w:t>投标人应于</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p>
    <w:p w14:paraId="37062D4B">
      <w:pPr>
        <w:spacing w:line="360" w:lineRule="auto"/>
        <w:jc w:val="left"/>
        <w:rPr>
          <w:rFonts w:hAnsi="宋体" w:cs="Courier New"/>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分将投标保证金</w:t>
      </w:r>
      <w:r>
        <w:rPr>
          <w:rFonts w:ascii="宋体" w:hAnsi="宋体" w:cs="宋体"/>
          <w:color w:val="auto"/>
          <w:sz w:val="24"/>
          <w:highlight w:val="none"/>
        </w:rPr>
        <w:t>银行保函</w:t>
      </w:r>
      <w:r>
        <w:rPr>
          <w:rFonts w:hint="eastAsia" w:ascii="宋体" w:hAnsi="宋体" w:cs="宋体"/>
          <w:color w:val="auto"/>
          <w:sz w:val="24"/>
          <w:highlight w:val="none"/>
        </w:rPr>
        <w:t>原件现场递交至</w:t>
      </w:r>
      <w:r>
        <w:rPr>
          <w:rFonts w:ascii="宋体" w:hAnsi="宋体" w:cs="宋体"/>
          <w:color w:val="auto"/>
          <w:sz w:val="24"/>
          <w:highlight w:val="none"/>
          <w:u w:val="single"/>
        </w:rPr>
        <w:t>（详细地址）</w:t>
      </w:r>
      <w:r>
        <w:rPr>
          <w:rFonts w:hint="eastAsia" w:ascii="宋体" w:hAnsi="宋体" w:cs="宋体"/>
          <w:color w:val="auto"/>
          <w:sz w:val="24"/>
          <w:highlight w:val="none"/>
        </w:rPr>
        <w:t>。</w:t>
      </w:r>
    </w:p>
    <w:p w14:paraId="052B1A98">
      <w:pPr>
        <w:tabs>
          <w:tab w:val="left" w:pos="5542"/>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5.3 </w:t>
      </w:r>
      <w:r>
        <w:rPr>
          <w:rFonts w:hint="eastAsia" w:ascii="宋体" w:hAnsi="宋体"/>
          <w:bCs/>
          <w:color w:val="auto"/>
          <w:sz w:val="24"/>
          <w:highlight w:val="none"/>
        </w:rPr>
        <w:t>投标文件的送达</w:t>
      </w:r>
      <w:r>
        <w:rPr>
          <w:rStyle w:val="59"/>
          <w:rFonts w:ascii="宋体" w:hAnsi="宋体"/>
          <w:color w:val="auto"/>
          <w:sz w:val="24"/>
          <w:highlight w:val="none"/>
        </w:rPr>
        <w:footnoteReference w:id="17"/>
      </w:r>
    </w:p>
    <w:p w14:paraId="3111C5F9">
      <w:pPr>
        <w:tabs>
          <w:tab w:val="left" w:pos="5542"/>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1）投标文件逾期未完成上传、未按规定加密上传或未按相应投标标段对应上传的，“</w:t>
      </w:r>
      <w:r>
        <w:rPr>
          <w:rFonts w:hint="eastAsia" w:ascii="宋体" w:hAnsi="宋体"/>
          <w:color w:val="auto"/>
          <w:sz w:val="24"/>
          <w:highlight w:val="none"/>
          <w:lang w:eastAsia="zh-CN"/>
        </w:rPr>
        <w:t>电子交易系统</w:t>
      </w:r>
      <w:r>
        <w:rPr>
          <w:rFonts w:ascii="宋体" w:hAnsi="宋体"/>
          <w:color w:val="auto"/>
          <w:sz w:val="24"/>
          <w:highlight w:val="none"/>
        </w:rPr>
        <w:t>”将拒收相应投标文件。</w:t>
      </w:r>
      <w:bookmarkStart w:id="58" w:name="_Hlk99382130"/>
      <w:r>
        <w:rPr>
          <w:rFonts w:hint="eastAsia" w:ascii="宋体" w:hAnsi="宋体"/>
          <w:color w:val="auto"/>
          <w:sz w:val="24"/>
          <w:highlight w:val="none"/>
        </w:rPr>
        <w:t>若证明是投标人原因导致开标时对其加密的投标文件未解密成功的</w:t>
      </w:r>
      <w:bookmarkEnd w:id="58"/>
      <w:r>
        <w:rPr>
          <w:rFonts w:ascii="宋体" w:hAnsi="宋体"/>
          <w:color w:val="auto"/>
          <w:sz w:val="24"/>
          <w:highlight w:val="none"/>
        </w:rPr>
        <w:t>，视为投标人撤销投标文件。</w:t>
      </w:r>
    </w:p>
    <w:p w14:paraId="563D130A">
      <w:pPr>
        <w:tabs>
          <w:tab w:val="left" w:pos="5542"/>
        </w:tabs>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w:t>
      </w:r>
      <w:r>
        <w:rPr>
          <w:rFonts w:hint="eastAsia" w:hAnsi="宋体" w:cs="Courier New"/>
          <w:color w:val="auto"/>
          <w:sz w:val="24"/>
          <w:highlight w:val="none"/>
        </w:rPr>
        <w:t>（</w:t>
      </w:r>
      <w:r>
        <w:rPr>
          <w:rFonts w:hAnsi="宋体" w:cs="Courier New"/>
          <w:color w:val="auto"/>
          <w:sz w:val="24"/>
          <w:highlight w:val="none"/>
        </w:rPr>
        <w:t>2</w:t>
      </w:r>
      <w:r>
        <w:rPr>
          <w:rFonts w:hint="eastAsia" w:hAnsi="宋体" w:cs="Courier New"/>
          <w:color w:val="auto"/>
          <w:sz w:val="24"/>
          <w:highlight w:val="none"/>
        </w:rPr>
        <w:t>）</w:t>
      </w:r>
      <w:r>
        <w:rPr>
          <w:rFonts w:hint="eastAsia" w:ascii="宋体" w:hAnsi="宋体"/>
          <w:color w:val="auto"/>
          <w:sz w:val="24"/>
          <w:highlight w:val="none"/>
        </w:rPr>
        <w:t>现场递交的</w:t>
      </w:r>
      <w:r>
        <w:rPr>
          <w:rFonts w:hint="eastAsia" w:ascii="宋体" w:hAnsi="宋体" w:cs="宋体"/>
          <w:color w:val="auto"/>
          <w:sz w:val="24"/>
          <w:highlight w:val="none"/>
        </w:rPr>
        <w:t>投标保证金</w:t>
      </w:r>
      <w:r>
        <w:rPr>
          <w:rFonts w:ascii="宋体" w:hAnsi="宋体" w:cs="宋体"/>
          <w:color w:val="auto"/>
          <w:sz w:val="24"/>
          <w:highlight w:val="none"/>
        </w:rPr>
        <w:t>银行保函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原件</w:t>
      </w:r>
      <w:r>
        <w:rPr>
          <w:rFonts w:hint="eastAsia" w:ascii="宋体" w:hAnsi="宋体"/>
          <w:color w:val="auto"/>
          <w:sz w:val="24"/>
          <w:highlight w:val="none"/>
        </w:rPr>
        <w:t>逾期</w:t>
      </w:r>
      <w:r>
        <w:rPr>
          <w:rFonts w:hint="eastAsia" w:ascii="宋体" w:hAnsi="宋体"/>
          <w:color w:val="auto"/>
          <w:sz w:val="24"/>
          <w:highlight w:val="none"/>
          <w:lang w:val="en-US" w:eastAsia="zh-CN"/>
        </w:rPr>
        <w:t>送</w:t>
      </w:r>
      <w:r>
        <w:rPr>
          <w:rFonts w:hint="eastAsia" w:ascii="宋体" w:hAnsi="宋体"/>
          <w:color w:val="auto"/>
          <w:sz w:val="24"/>
          <w:highlight w:val="none"/>
        </w:rPr>
        <w:t>达的、未送达指定地点的，招标人将予以拒收。</w:t>
      </w:r>
    </w:p>
    <w:p w14:paraId="456941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5.4 </w:t>
      </w:r>
      <w:r>
        <w:rPr>
          <w:rFonts w:hint="eastAsia" w:ascii="宋体" w:hAnsi="宋体" w:cs="宋体"/>
          <w:color w:val="auto"/>
          <w:sz w:val="24"/>
          <w:highlight w:val="none"/>
        </w:rPr>
        <w:t>开标</w:t>
      </w:r>
    </w:p>
    <w:p w14:paraId="40640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1）开标时间：</w:t>
      </w:r>
      <w:r>
        <w:rPr>
          <w:rFonts w:hint="eastAsia" w:ascii="宋体" w:hAnsi="宋体" w:cs="宋体"/>
          <w:color w:val="auto"/>
          <w:sz w:val="24"/>
          <w:highlight w:val="none"/>
        </w:rPr>
        <w:t>同</w:t>
      </w:r>
      <w:r>
        <w:rPr>
          <w:rFonts w:ascii="宋体" w:hAnsi="宋体" w:cs="宋体"/>
          <w:color w:val="auto"/>
          <w:sz w:val="24"/>
          <w:highlight w:val="none"/>
        </w:rPr>
        <w:t>投标截止时间</w:t>
      </w:r>
      <w:r>
        <w:rPr>
          <w:rFonts w:hint="eastAsia" w:ascii="宋体" w:hAnsi="宋体" w:cs="宋体"/>
          <w:color w:val="auto"/>
          <w:sz w:val="24"/>
          <w:highlight w:val="none"/>
        </w:rPr>
        <w:t>。</w:t>
      </w:r>
    </w:p>
    <w:p w14:paraId="27E11B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 xml:space="preserve"> </w:t>
      </w:r>
      <w:r>
        <w:rPr>
          <w:rFonts w:ascii="宋体" w:hAnsi="宋体" w:cs="宋体"/>
          <w:color w:val="auto"/>
          <w:sz w:val="24"/>
          <w:highlight w:val="none"/>
        </w:rPr>
        <w:t>开标地点：</w:t>
      </w:r>
      <w:r>
        <w:rPr>
          <w:rFonts w:hint="eastAsia" w:ascii="宋体" w:hAnsi="宋体" w:cs="宋体"/>
          <w:color w:val="auto"/>
          <w:sz w:val="24"/>
          <w:highlight w:val="none"/>
        </w:rPr>
        <w:t>投标人通过互联网使用单位</w:t>
      </w:r>
      <w:r>
        <w:rPr>
          <w:rFonts w:ascii="宋体" w:hAnsi="宋体" w:cs="宋体"/>
          <w:color w:val="auto"/>
          <w:sz w:val="24"/>
          <w:highlight w:val="none"/>
        </w:rPr>
        <w:t>CA数字证书登录“</w:t>
      </w:r>
      <w:r>
        <w:rPr>
          <w:rFonts w:hint="eastAsia" w:ascii="宋体" w:hAnsi="宋体" w:cs="宋体"/>
          <w:color w:val="auto"/>
          <w:sz w:val="24"/>
          <w:highlight w:val="none"/>
          <w:lang w:eastAsia="zh-CN"/>
        </w:rPr>
        <w:t>电子交易系统</w:t>
      </w:r>
      <w:r>
        <w:rPr>
          <w:rFonts w:ascii="宋体" w:hAnsi="宋体" w:cs="宋体"/>
          <w:color w:val="auto"/>
          <w:sz w:val="24"/>
          <w:highlight w:val="none"/>
        </w:rPr>
        <w:t>”，</w:t>
      </w:r>
    </w:p>
    <w:p w14:paraId="6D4FAC3D">
      <w:pPr>
        <w:spacing w:line="360" w:lineRule="auto"/>
        <w:ind w:firstLine="0" w:firstLineChars="0"/>
        <w:rPr>
          <w:rFonts w:ascii="宋体" w:hAnsi="宋体"/>
          <w:bCs/>
          <w:iCs/>
          <w:color w:val="auto"/>
          <w:sz w:val="24"/>
          <w:highlight w:val="none"/>
        </w:rPr>
      </w:pPr>
      <w:r>
        <w:rPr>
          <w:rFonts w:ascii="宋体" w:hAnsi="宋体" w:cs="宋体"/>
          <w:color w:val="auto"/>
          <w:sz w:val="24"/>
          <w:highlight w:val="none"/>
        </w:rPr>
        <w:t>在“不见面开标大厅”参与开标过程</w:t>
      </w:r>
      <w:r>
        <w:rPr>
          <w:rFonts w:ascii="宋体" w:hAnsi="宋体" w:cs="宋体"/>
          <w:color w:val="auto"/>
          <w:sz w:val="24"/>
          <w:highlight w:val="none"/>
          <w:vertAlign w:val="superscript"/>
        </w:rPr>
        <w:footnoteReference w:id="18"/>
      </w:r>
      <w:r>
        <w:rPr>
          <w:rFonts w:ascii="宋体" w:hAnsi="宋体" w:cs="宋体"/>
          <w:color w:val="auto"/>
          <w:sz w:val="24"/>
          <w:highlight w:val="none"/>
        </w:rPr>
        <w:t>。</w:t>
      </w:r>
    </w:p>
    <w:p w14:paraId="646951C3">
      <w:pPr>
        <w:pStyle w:val="5"/>
        <w:rPr>
          <w:color w:val="auto"/>
          <w:highlight w:val="none"/>
        </w:rPr>
      </w:pPr>
      <w:bookmarkStart w:id="59" w:name="_Toc27059656"/>
      <w:bookmarkStart w:id="60" w:name="_Toc53685576"/>
      <w:bookmarkStart w:id="61" w:name="_Toc519844453"/>
      <w:bookmarkStart w:id="62" w:name="_Toc27059475"/>
      <w:bookmarkStart w:id="63" w:name="_Toc27059848"/>
      <w:bookmarkStart w:id="64" w:name="_Toc27059746"/>
      <w:bookmarkStart w:id="65" w:name="_Toc27060643"/>
      <w:r>
        <w:rPr>
          <w:rFonts w:hint="eastAsia"/>
          <w:color w:val="auto"/>
          <w:highlight w:val="none"/>
        </w:rPr>
        <w:t>6．评标方法</w:t>
      </w:r>
      <w:bookmarkEnd w:id="59"/>
      <w:bookmarkEnd w:id="60"/>
      <w:bookmarkEnd w:id="61"/>
      <w:bookmarkEnd w:id="62"/>
      <w:bookmarkEnd w:id="63"/>
      <w:bookmarkEnd w:id="64"/>
      <w:bookmarkEnd w:id="65"/>
    </w:p>
    <w:p w14:paraId="7AF8EBDD">
      <w:pPr>
        <w:tabs>
          <w:tab w:val="left" w:pos="5542"/>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本次招标采用资格后审，双信封形式。评标方法采用</w:t>
      </w:r>
      <w:bookmarkStart w:id="66" w:name="_Toc519844454"/>
      <w:r>
        <w:rPr>
          <w:rStyle w:val="59"/>
          <w:rFonts w:ascii="宋体" w:hAnsi="宋体"/>
          <w:color w:val="auto"/>
          <w:sz w:val="24"/>
          <w:highlight w:val="none"/>
        </w:rPr>
        <w:footnoteReference w:id="19"/>
      </w:r>
      <w:r>
        <w:rPr>
          <w:rFonts w:hint="eastAsia" w:ascii="宋体" w:hAnsi="宋体"/>
          <w:color w:val="auto"/>
          <w:sz w:val="24"/>
          <w:highlight w:val="none"/>
        </w:rPr>
        <w:t>：</w:t>
      </w:r>
    </w:p>
    <w:p w14:paraId="4D9A49BC">
      <w:pPr>
        <w:tabs>
          <w:tab w:val="left" w:pos="5542"/>
        </w:tabs>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sym w:font="Wingdings 2" w:char="00A3"/>
      </w:r>
      <w:r>
        <w:rPr>
          <w:rFonts w:hint="eastAsia" w:ascii="宋体" w:hAnsi="宋体"/>
          <w:color w:val="auto"/>
          <w:sz w:val="24"/>
          <w:highlight w:val="none"/>
        </w:rPr>
        <w:t>合理低价法；</w:t>
      </w:r>
      <w:r>
        <w:rPr>
          <w:rFonts w:hint="eastAsia" w:ascii="宋体" w:hAnsi="宋体"/>
          <w:b/>
          <w:bCs/>
          <w:color w:val="auto"/>
          <w:sz w:val="24"/>
          <w:highlight w:val="none"/>
        </w:rPr>
        <w:sym w:font="Wingdings 2" w:char="00A3"/>
      </w:r>
      <w:r>
        <w:rPr>
          <w:rFonts w:hint="eastAsia" w:ascii="宋体" w:hAnsi="宋体"/>
          <w:color w:val="auto"/>
          <w:sz w:val="24"/>
          <w:highlight w:val="none"/>
        </w:rPr>
        <w:t>技术评分最低标价法；</w:t>
      </w:r>
      <w:r>
        <w:rPr>
          <w:rFonts w:hint="eastAsia" w:ascii="宋体" w:hAnsi="宋体"/>
          <w:b/>
          <w:bCs/>
          <w:color w:val="auto"/>
          <w:sz w:val="24"/>
          <w:highlight w:val="none"/>
        </w:rPr>
        <w:sym w:font="Wingdings 2" w:char="00A3"/>
      </w:r>
      <w:r>
        <w:rPr>
          <w:rFonts w:hint="eastAsia" w:ascii="宋体" w:hAnsi="宋体"/>
          <w:color w:val="auto"/>
          <w:sz w:val="24"/>
          <w:highlight w:val="none"/>
        </w:rPr>
        <w:t>综合评分法；</w:t>
      </w:r>
      <w:r>
        <w:rPr>
          <w:rFonts w:hint="eastAsia" w:ascii="宋体" w:hAnsi="宋体"/>
          <w:b/>
          <w:bCs/>
          <w:color w:val="auto"/>
          <w:sz w:val="24"/>
          <w:highlight w:val="none"/>
        </w:rPr>
        <w:t>□</w:t>
      </w:r>
      <w:r>
        <w:rPr>
          <w:rFonts w:hint="eastAsia" w:ascii="宋体" w:hAnsi="宋体"/>
          <w:color w:val="auto"/>
          <w:sz w:val="24"/>
          <w:highlight w:val="none"/>
        </w:rPr>
        <w:t>经评审的最低投标价法。</w:t>
      </w:r>
    </w:p>
    <w:p w14:paraId="1D2D2548">
      <w:pPr>
        <w:pStyle w:val="5"/>
        <w:rPr>
          <w:color w:val="auto"/>
          <w:highlight w:val="none"/>
        </w:rPr>
      </w:pPr>
      <w:bookmarkStart w:id="67" w:name="_Toc27059657"/>
      <w:bookmarkStart w:id="68" w:name="_Toc53685577"/>
      <w:bookmarkStart w:id="69" w:name="_Toc27059476"/>
      <w:bookmarkStart w:id="70" w:name="_Toc27060644"/>
      <w:bookmarkStart w:id="71" w:name="_Toc27059849"/>
      <w:bookmarkStart w:id="72" w:name="_Toc27059747"/>
      <w:r>
        <w:rPr>
          <w:rFonts w:hint="eastAsia"/>
          <w:color w:val="auto"/>
          <w:highlight w:val="none"/>
        </w:rPr>
        <w:t>7．发布公告的媒介</w:t>
      </w:r>
      <w:bookmarkEnd w:id="66"/>
      <w:bookmarkEnd w:id="67"/>
      <w:bookmarkEnd w:id="68"/>
      <w:bookmarkEnd w:id="69"/>
      <w:bookmarkEnd w:id="70"/>
      <w:bookmarkEnd w:id="71"/>
      <w:bookmarkEnd w:id="72"/>
    </w:p>
    <w:p w14:paraId="29F22891">
      <w:pPr>
        <w:tabs>
          <w:tab w:val="left" w:pos="5542"/>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本次招标公告同时</w:t>
      </w:r>
      <w:r>
        <w:rPr>
          <w:rFonts w:hint="eastAsia" w:ascii="宋体" w:hAnsi="宋体" w:cs="宋体"/>
          <w:color w:val="auto"/>
          <w:kern w:val="0"/>
          <w:sz w:val="24"/>
          <w:highlight w:val="none"/>
        </w:rPr>
        <w:t>在</w:t>
      </w:r>
      <w:r>
        <w:rPr>
          <w:rFonts w:hint="eastAsia" w:ascii="宋体" w:hAnsi="宋体"/>
          <w:color w:val="auto"/>
          <w:sz w:val="24"/>
          <w:highlight w:val="none"/>
        </w:rPr>
        <w:t>全国公共资源交易平台（四川省）</w:t>
      </w:r>
      <w:r>
        <w:rPr>
          <w:rFonts w:hint="eastAsia" w:ascii="宋体" w:hAnsi="宋体"/>
          <w:color w:val="auto"/>
          <w:kern w:val="0"/>
          <w:sz w:val="24"/>
          <w:highlight w:val="none"/>
        </w:rPr>
        <w:t>（</w:t>
      </w:r>
      <w:r>
        <w:rPr>
          <w:color w:val="auto"/>
          <w:highlight w:val="none"/>
        </w:rPr>
        <w:fldChar w:fldCharType="begin"/>
      </w:r>
      <w:r>
        <w:rPr>
          <w:color w:val="auto"/>
          <w:highlight w:val="none"/>
        </w:rPr>
        <w:instrText xml:space="preserve"> HYPERLINK "http://ggzyjy.sc.gov.cn/）、" </w:instrText>
      </w:r>
      <w:r>
        <w:rPr>
          <w:color w:val="auto"/>
          <w:highlight w:val="none"/>
        </w:rPr>
        <w:fldChar w:fldCharType="separate"/>
      </w:r>
      <w:r>
        <w:rPr>
          <w:rStyle w:val="57"/>
          <w:rFonts w:hint="eastAsia" w:ascii="宋体" w:hAnsi="宋体"/>
          <w:color w:val="auto"/>
          <w:kern w:val="0"/>
          <w:sz w:val="24"/>
          <w:highlight w:val="none"/>
          <w:u w:val="none"/>
          <w:lang w:eastAsia="zh-CN"/>
        </w:rPr>
        <w:t>https</w:t>
      </w:r>
      <w:r>
        <w:rPr>
          <w:rStyle w:val="57"/>
          <w:rFonts w:ascii="宋体" w:hAnsi="宋体"/>
          <w:color w:val="auto"/>
          <w:kern w:val="0"/>
          <w:sz w:val="24"/>
          <w:highlight w:val="none"/>
          <w:u w:val="none"/>
        </w:rPr>
        <w:t>://ggzyjy.sc.gov.cn/）</w:t>
      </w:r>
      <w:r>
        <w:rPr>
          <w:rStyle w:val="57"/>
          <w:rFonts w:ascii="宋体" w:hAnsi="宋体"/>
          <w:color w:val="auto"/>
          <w:kern w:val="0"/>
          <w:sz w:val="24"/>
          <w:highlight w:val="none"/>
          <w:u w:val="none"/>
        </w:rPr>
        <w:fldChar w:fldCharType="end"/>
      </w:r>
      <w:r>
        <w:rPr>
          <w:rFonts w:hint="eastAsia" w:ascii="宋体" w:hAnsi="宋体"/>
          <w:color w:val="auto"/>
          <w:sz w:val="24"/>
          <w:highlight w:val="none"/>
        </w:rPr>
        <w:t>以及</w:t>
      </w:r>
      <w:r>
        <w:rPr>
          <w:rFonts w:ascii="宋体" w:hAnsi="宋体"/>
          <w:color w:val="auto"/>
          <w:sz w:val="24"/>
          <w:highlight w:val="none"/>
          <w:u w:val="single"/>
        </w:rPr>
        <w:t xml:space="preserve">           </w:t>
      </w:r>
      <w:r>
        <w:rPr>
          <w:rFonts w:hint="eastAsia" w:ascii="宋体" w:hAnsi="宋体"/>
          <w:color w:val="auto"/>
          <w:sz w:val="24"/>
          <w:highlight w:val="none"/>
        </w:rPr>
        <w:t>（发布公告的媒介名称）</w:t>
      </w:r>
      <w:r>
        <w:rPr>
          <w:rFonts w:hint="eastAsia" w:ascii="宋体" w:hAnsi="宋体" w:cs="宋体"/>
          <w:color w:val="auto"/>
          <w:kern w:val="0"/>
          <w:sz w:val="24"/>
          <w:highlight w:val="none"/>
        </w:rPr>
        <w:t>上发布。</w:t>
      </w:r>
    </w:p>
    <w:p w14:paraId="2E6AEAF6">
      <w:pPr>
        <w:pStyle w:val="5"/>
        <w:rPr>
          <w:color w:val="auto"/>
          <w:highlight w:val="none"/>
        </w:rPr>
      </w:pPr>
      <w:bookmarkStart w:id="73" w:name="_Toc27059748"/>
      <w:bookmarkStart w:id="74" w:name="_Toc27059850"/>
      <w:bookmarkStart w:id="75" w:name="_Toc27059477"/>
      <w:bookmarkStart w:id="76" w:name="_Toc27060645"/>
      <w:bookmarkStart w:id="77" w:name="_Toc27059658"/>
      <w:bookmarkStart w:id="78" w:name="_Toc53685578"/>
      <w:bookmarkStart w:id="79" w:name="_Toc519844455"/>
      <w:r>
        <w:rPr>
          <w:rFonts w:hint="eastAsia"/>
          <w:color w:val="auto"/>
          <w:highlight w:val="none"/>
        </w:rPr>
        <w:t>8．招标工作公开接受社会监督</w:t>
      </w:r>
      <w:bookmarkEnd w:id="73"/>
      <w:bookmarkEnd w:id="74"/>
      <w:bookmarkEnd w:id="75"/>
      <w:bookmarkEnd w:id="76"/>
      <w:bookmarkEnd w:id="77"/>
      <w:bookmarkEnd w:id="78"/>
      <w:bookmarkEnd w:id="79"/>
    </w:p>
    <w:p w14:paraId="3C711843">
      <w:pPr>
        <w:tabs>
          <w:tab w:val="left" w:pos="5542"/>
        </w:tabs>
        <w:spacing w:line="360" w:lineRule="auto"/>
        <w:ind w:firstLine="480" w:firstLineChars="200"/>
        <w:rPr>
          <w:rFonts w:ascii="宋体" w:hAnsi="宋体"/>
          <w:b/>
          <w:color w:val="auto"/>
          <w:sz w:val="24"/>
          <w:highlight w:val="none"/>
        </w:rPr>
      </w:pPr>
      <w:r>
        <w:rPr>
          <w:rFonts w:ascii="宋体" w:hAnsi="宋体"/>
          <w:color w:val="auto"/>
          <w:sz w:val="24"/>
          <w:highlight w:val="none"/>
        </w:rPr>
        <w:t xml:space="preserve">8.1 </w:t>
      </w:r>
      <w:r>
        <w:rPr>
          <w:rFonts w:hint="eastAsia" w:ascii="宋体" w:hAnsi="宋体"/>
          <w:bCs/>
          <w:color w:val="auto"/>
          <w:sz w:val="24"/>
          <w:highlight w:val="none"/>
        </w:rPr>
        <w:t>公示制度</w:t>
      </w:r>
    </w:p>
    <w:p w14:paraId="4F31AB34">
      <w:pPr>
        <w:tabs>
          <w:tab w:val="left" w:pos="5542"/>
        </w:tabs>
        <w:wordWrap w:val="0"/>
        <w:spacing w:line="360" w:lineRule="auto"/>
        <w:ind w:firstLine="480" w:firstLineChars="200"/>
        <w:rPr>
          <w:rFonts w:ascii="宋体" w:hAnsi="宋体"/>
          <w:color w:val="auto"/>
          <w:sz w:val="24"/>
          <w:highlight w:val="none"/>
        </w:rPr>
      </w:pPr>
      <w:r>
        <w:rPr>
          <w:rFonts w:ascii="宋体" w:hAnsi="宋体"/>
          <w:color w:val="auto"/>
          <w:sz w:val="24"/>
          <w:highlight w:val="none"/>
        </w:rPr>
        <w:t>评标结果公示：招标人在收到评标报告之日起3日内，将评标结果在</w:t>
      </w:r>
      <w:r>
        <w:rPr>
          <w:rFonts w:hint="eastAsia" w:ascii="宋体" w:hAnsi="宋体"/>
          <w:color w:val="auto"/>
          <w:sz w:val="24"/>
          <w:highlight w:val="none"/>
        </w:rPr>
        <w:t>全国公共资源交易平台（四川省）（</w:t>
      </w:r>
      <w:r>
        <w:rPr>
          <w:rFonts w:hint="eastAsia" w:ascii="宋体" w:hAnsi="宋体"/>
          <w:color w:val="auto"/>
          <w:sz w:val="24"/>
          <w:highlight w:val="none"/>
          <w:lang w:eastAsia="zh-CN"/>
        </w:rPr>
        <w:t>https</w:t>
      </w:r>
      <w:r>
        <w:rPr>
          <w:rFonts w:ascii="宋体" w:hAnsi="宋体"/>
          <w:color w:val="auto"/>
          <w:sz w:val="24"/>
          <w:highlight w:val="none"/>
        </w:rPr>
        <w:t>://ggzyjy.sc.gov.cn/）</w:t>
      </w:r>
      <w:r>
        <w:rPr>
          <w:rFonts w:hint="eastAsia" w:ascii="宋体" w:hAnsi="宋体" w:cs="宋体"/>
          <w:color w:val="auto"/>
          <w:kern w:val="0"/>
          <w:sz w:val="24"/>
          <w:highlight w:val="none"/>
        </w:rPr>
        <w:t>以及</w:t>
      </w:r>
      <w:r>
        <w:rPr>
          <w:rFonts w:ascii="宋体" w:hAnsi="宋体" w:cs="宋体"/>
          <w:color w:val="auto"/>
          <w:sz w:val="24"/>
          <w:highlight w:val="none"/>
          <w:u w:val="single"/>
        </w:rPr>
        <w:t xml:space="preserve">              </w:t>
      </w:r>
      <w:r>
        <w:rPr>
          <w:rFonts w:hint="eastAsia" w:ascii="宋体" w:hAnsi="宋体"/>
          <w:color w:val="auto"/>
          <w:sz w:val="24"/>
          <w:highlight w:val="none"/>
        </w:rPr>
        <w:t>（发布公告的媒介名称）</w:t>
      </w:r>
      <w:r>
        <w:rPr>
          <w:rFonts w:ascii="宋体" w:hAnsi="宋体"/>
          <w:color w:val="auto"/>
          <w:sz w:val="24"/>
          <w:highlight w:val="none"/>
        </w:rPr>
        <w:t>上公示3个工作日以接受社会公开监督。投标人或者其他利害关系人对评标结果有异议的，应当在</w:t>
      </w:r>
      <w:r>
        <w:rPr>
          <w:rFonts w:hint="eastAsia" w:ascii="宋体" w:hAnsi="宋体"/>
          <w:color w:val="auto"/>
          <w:sz w:val="24"/>
          <w:highlight w:val="none"/>
        </w:rPr>
        <w:t>评标结果</w:t>
      </w:r>
      <w:r>
        <w:rPr>
          <w:rFonts w:ascii="宋体" w:hAnsi="宋体"/>
          <w:color w:val="auto"/>
          <w:sz w:val="24"/>
          <w:highlight w:val="none"/>
        </w:rPr>
        <w:t>公示期间提出。</w:t>
      </w:r>
    </w:p>
    <w:p w14:paraId="441EB9F0">
      <w:pPr>
        <w:tabs>
          <w:tab w:val="left" w:pos="5542"/>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同时</w:t>
      </w:r>
      <w:r>
        <w:rPr>
          <w:rFonts w:ascii="宋体" w:hAnsi="宋体"/>
          <w:color w:val="auto"/>
          <w:sz w:val="24"/>
          <w:highlight w:val="none"/>
        </w:rPr>
        <w:t>招标人将</w:t>
      </w:r>
      <w:r>
        <w:rPr>
          <w:rFonts w:hint="eastAsia" w:ascii="宋体" w:hAnsi="宋体"/>
          <w:color w:val="auto"/>
          <w:sz w:val="24"/>
          <w:highlight w:val="none"/>
        </w:rPr>
        <w:t>把</w:t>
      </w:r>
      <w:r>
        <w:rPr>
          <w:rFonts w:ascii="宋体" w:hAnsi="宋体"/>
          <w:color w:val="auto"/>
          <w:sz w:val="24"/>
          <w:highlight w:val="none"/>
          <w:u w:val="none"/>
        </w:rPr>
        <w:t xml:space="preserve"> </w:t>
      </w:r>
      <w:r>
        <w:rPr>
          <w:rFonts w:ascii="宋体" w:hAnsi="宋体"/>
          <w:b/>
          <w:bCs/>
          <w:color w:val="auto"/>
          <w:sz w:val="24"/>
          <w:highlight w:val="none"/>
          <w:u w:val="none"/>
        </w:rPr>
        <w:t>□</w:t>
      </w:r>
      <w:r>
        <w:rPr>
          <w:rFonts w:ascii="宋体" w:hAnsi="宋体"/>
          <w:color w:val="auto"/>
          <w:sz w:val="24"/>
          <w:highlight w:val="none"/>
          <w:u w:val="single"/>
        </w:rPr>
        <w:t>中标候选人</w:t>
      </w:r>
      <w:r>
        <w:rPr>
          <w:rFonts w:hint="eastAsia" w:ascii="宋体" w:hAnsi="宋体"/>
          <w:color w:val="auto"/>
          <w:sz w:val="24"/>
          <w:highlight w:val="none"/>
        </w:rPr>
        <w:t>、</w:t>
      </w:r>
      <w:r>
        <w:rPr>
          <w:rFonts w:hint="eastAsia" w:ascii="宋体" w:hAnsi="宋体"/>
          <w:b/>
          <w:bCs/>
          <w:color w:val="auto"/>
          <w:sz w:val="24"/>
          <w:highlight w:val="none"/>
          <w:u w:val="none"/>
        </w:rPr>
        <w:t>□</w:t>
      </w:r>
      <w:r>
        <w:rPr>
          <w:rFonts w:hint="eastAsia" w:ascii="宋体" w:hAnsi="宋体"/>
          <w:color w:val="auto"/>
          <w:sz w:val="24"/>
          <w:highlight w:val="none"/>
          <w:u w:val="single"/>
        </w:rPr>
        <w:t>所有投标人</w:t>
      </w:r>
      <w:r>
        <w:rPr>
          <w:rFonts w:ascii="宋体" w:hAnsi="宋体"/>
          <w:color w:val="auto"/>
          <w:sz w:val="24"/>
          <w:highlight w:val="none"/>
        </w:rPr>
        <w:t xml:space="preserve"> 投标文件</w:t>
      </w:r>
      <w:r>
        <w:rPr>
          <w:rFonts w:hint="eastAsia" w:ascii="宋体" w:hAnsi="宋体"/>
          <w:color w:val="auto"/>
          <w:sz w:val="24"/>
          <w:highlight w:val="none"/>
        </w:rPr>
        <w:t>中所提供的</w:t>
      </w:r>
      <w:r>
        <w:rPr>
          <w:rFonts w:hint="eastAsia" w:ascii="宋体" w:hAnsi="宋体"/>
          <w:b/>
          <w:bCs/>
          <w:color w:val="auto"/>
          <w:sz w:val="24"/>
          <w:highlight w:val="none"/>
          <w:u w:val="none"/>
        </w:rPr>
        <w:t>□</w:t>
      </w:r>
      <w:r>
        <w:rPr>
          <w:rFonts w:hint="eastAsia" w:ascii="宋体" w:hAnsi="宋体"/>
          <w:color w:val="auto"/>
          <w:sz w:val="24"/>
          <w:highlight w:val="none"/>
          <w:u w:val="single"/>
        </w:rPr>
        <w:t>近年完成</w:t>
      </w:r>
      <w:r>
        <w:rPr>
          <w:rFonts w:hint="eastAsia" w:ascii="宋体" w:hAnsi="宋体"/>
          <w:color w:val="auto"/>
          <w:sz w:val="24"/>
          <w:highlight w:val="none"/>
          <w:u w:val="single"/>
          <w:lang w:val="en-US" w:eastAsia="zh-CN"/>
        </w:rPr>
        <w:t>的</w:t>
      </w:r>
      <w:r>
        <w:rPr>
          <w:rFonts w:hint="eastAsia" w:ascii="宋体" w:hAnsi="宋体"/>
          <w:color w:val="auto"/>
          <w:sz w:val="24"/>
          <w:highlight w:val="none"/>
          <w:u w:val="single"/>
        </w:rPr>
        <w:t>类似项目情况</w:t>
      </w:r>
      <w:r>
        <w:rPr>
          <w:rFonts w:hint="eastAsia" w:ascii="宋体" w:hAnsi="宋体"/>
          <w:color w:val="auto"/>
          <w:sz w:val="24"/>
          <w:highlight w:val="none"/>
        </w:rPr>
        <w:t>、</w:t>
      </w:r>
      <w:r>
        <w:rPr>
          <w:rFonts w:hint="eastAsia" w:ascii="宋体" w:hAnsi="宋体"/>
          <w:b/>
          <w:bCs/>
          <w:color w:val="auto"/>
          <w:sz w:val="24"/>
          <w:highlight w:val="none"/>
          <w:u w:val="none"/>
        </w:rPr>
        <w:t>□</w:t>
      </w:r>
      <w:r>
        <w:rPr>
          <w:rFonts w:hint="eastAsia" w:ascii="宋体" w:hAnsi="宋体"/>
          <w:color w:val="auto"/>
          <w:sz w:val="24"/>
          <w:highlight w:val="none"/>
          <w:u w:val="single"/>
        </w:rPr>
        <w:t>拟委任</w:t>
      </w:r>
      <w:r>
        <w:rPr>
          <w:rFonts w:hint="eastAsia" w:ascii="宋体" w:hAnsi="宋体"/>
          <w:color w:val="auto"/>
          <w:sz w:val="24"/>
          <w:highlight w:val="none"/>
          <w:u w:val="single"/>
          <w:lang w:val="en-US" w:eastAsia="zh-CN"/>
        </w:rPr>
        <w:t>的</w:t>
      </w:r>
      <w:r>
        <w:rPr>
          <w:rFonts w:hint="eastAsia" w:ascii="宋体" w:hAnsi="宋体"/>
          <w:color w:val="auto"/>
          <w:sz w:val="24"/>
          <w:highlight w:val="none"/>
          <w:u w:val="single"/>
        </w:rPr>
        <w:t>主要人员</w:t>
      </w:r>
      <w:bookmarkStart w:id="80" w:name="_Hlk94086912"/>
      <w:r>
        <w:rPr>
          <w:rFonts w:hint="eastAsia" w:ascii="宋体" w:hAnsi="宋体"/>
          <w:color w:val="auto"/>
          <w:sz w:val="24"/>
          <w:highlight w:val="none"/>
          <w:u w:val="single"/>
          <w:lang w:val="en-US" w:eastAsia="zh-CN"/>
        </w:rPr>
        <w:t>资历</w:t>
      </w:r>
      <w:r>
        <w:rPr>
          <w:rStyle w:val="59"/>
          <w:rFonts w:ascii="宋体" w:hAnsi="宋体"/>
          <w:color w:val="auto"/>
          <w:sz w:val="24"/>
          <w:highlight w:val="none"/>
        </w:rPr>
        <w:footnoteReference w:id="20"/>
      </w:r>
      <w:bookmarkEnd w:id="80"/>
      <w:r>
        <w:rPr>
          <w:rFonts w:hint="eastAsia" w:ascii="宋体" w:hAnsi="宋体"/>
          <w:color w:val="auto"/>
          <w:sz w:val="24"/>
          <w:highlight w:val="none"/>
        </w:rPr>
        <w:t>等</w:t>
      </w:r>
      <w:r>
        <w:rPr>
          <w:rFonts w:ascii="宋体" w:hAnsi="宋体"/>
          <w:color w:val="auto"/>
          <w:sz w:val="24"/>
          <w:highlight w:val="none"/>
        </w:rPr>
        <w:t>内容作为公示资料</w:t>
      </w:r>
      <w:r>
        <w:rPr>
          <w:rFonts w:hint="eastAsia" w:ascii="宋体" w:hAnsi="宋体"/>
          <w:color w:val="auto"/>
          <w:sz w:val="24"/>
          <w:highlight w:val="none"/>
        </w:rPr>
        <w:t>在全国公共资源交易平台（四川省）（</w:t>
      </w:r>
      <w:r>
        <w:rPr>
          <w:rFonts w:hint="eastAsia" w:ascii="宋体" w:hAnsi="宋体"/>
          <w:color w:val="auto"/>
          <w:sz w:val="24"/>
          <w:highlight w:val="none"/>
          <w:lang w:eastAsia="zh-CN"/>
        </w:rPr>
        <w:t>https</w:t>
      </w:r>
      <w:r>
        <w:rPr>
          <w:rFonts w:ascii="宋体" w:hAnsi="宋体"/>
          <w:color w:val="auto"/>
          <w:sz w:val="24"/>
          <w:highlight w:val="none"/>
        </w:rPr>
        <w:t>://ggzyjy.sc.gov.cn/）</w:t>
      </w:r>
      <w:r>
        <w:rPr>
          <w:rFonts w:hint="eastAsia" w:ascii="宋体" w:hAnsi="宋体" w:cs="宋体"/>
          <w:color w:val="auto"/>
          <w:kern w:val="0"/>
          <w:sz w:val="24"/>
          <w:highlight w:val="none"/>
        </w:rPr>
        <w:t>以及</w:t>
      </w:r>
      <w:r>
        <w:rPr>
          <w:rFonts w:ascii="宋体" w:hAnsi="宋体" w:cs="宋体"/>
          <w:color w:val="auto"/>
          <w:sz w:val="24"/>
          <w:highlight w:val="none"/>
          <w:u w:val="single"/>
        </w:rPr>
        <w:t xml:space="preserve">              </w:t>
      </w:r>
      <w:r>
        <w:rPr>
          <w:rFonts w:hint="eastAsia" w:ascii="宋体" w:hAnsi="宋体"/>
          <w:color w:val="auto"/>
          <w:sz w:val="24"/>
          <w:highlight w:val="none"/>
        </w:rPr>
        <w:t>（发布公告的媒介名称）</w:t>
      </w:r>
      <w:r>
        <w:rPr>
          <w:rFonts w:ascii="宋体" w:hAnsi="宋体"/>
          <w:color w:val="auto"/>
          <w:sz w:val="24"/>
          <w:highlight w:val="none"/>
        </w:rPr>
        <w:t>进行公示</w:t>
      </w:r>
      <w:r>
        <w:rPr>
          <w:rFonts w:hint="eastAsia" w:ascii="宋体" w:hAnsi="宋体"/>
          <w:color w:val="auto"/>
          <w:sz w:val="24"/>
          <w:highlight w:val="none"/>
        </w:rPr>
        <w:t>。</w:t>
      </w:r>
      <w:r>
        <w:rPr>
          <w:rFonts w:ascii="宋体" w:hAnsi="宋体"/>
          <w:color w:val="auto"/>
          <w:sz w:val="24"/>
          <w:highlight w:val="none"/>
        </w:rPr>
        <w:t>公示截止日同评标结果公示截止日，公示期间接受社会公开监督。</w:t>
      </w:r>
    </w:p>
    <w:p w14:paraId="73706751">
      <w:pPr>
        <w:spacing w:line="360" w:lineRule="auto"/>
        <w:ind w:firstLine="480" w:firstLineChars="200"/>
        <w:rPr>
          <w:rFonts w:ascii="宋体" w:hAnsi="宋体" w:cs="宋体"/>
          <w:color w:val="auto"/>
          <w:sz w:val="24"/>
          <w:highlight w:val="none"/>
        </w:rPr>
      </w:pPr>
      <w:bookmarkStart w:id="81" w:name="_Hlk98781015"/>
      <w:r>
        <w:rPr>
          <w:rFonts w:ascii="宋体" w:hAnsi="宋体" w:cs="宋体"/>
          <w:color w:val="auto"/>
          <w:sz w:val="24"/>
          <w:highlight w:val="none"/>
        </w:rPr>
        <w:t>8.2</w:t>
      </w:r>
      <w:r>
        <w:rPr>
          <w:rFonts w:hint="eastAsia" w:ascii="宋体" w:hAnsi="宋体" w:cs="宋体"/>
          <w:b/>
          <w:color w:val="auto"/>
          <w:sz w:val="24"/>
          <w:highlight w:val="none"/>
        </w:rPr>
        <w:t xml:space="preserve"> </w:t>
      </w:r>
      <w:bookmarkStart w:id="82" w:name="_Hlk94031514"/>
      <w:r>
        <w:rPr>
          <w:rFonts w:hint="eastAsia" w:ascii="宋体" w:hAnsi="宋体" w:cs="宋体"/>
          <w:bCs/>
          <w:color w:val="auto"/>
          <w:sz w:val="24"/>
          <w:highlight w:val="none"/>
        </w:rPr>
        <w:t>异议、</w:t>
      </w:r>
      <w:bookmarkEnd w:id="82"/>
      <w:r>
        <w:rPr>
          <w:rFonts w:hint="eastAsia" w:ascii="宋体" w:hAnsi="宋体" w:cs="宋体"/>
          <w:color w:val="auto"/>
          <w:sz w:val="24"/>
          <w:highlight w:val="none"/>
        </w:rPr>
        <w:t>投诉处理</w:t>
      </w:r>
    </w:p>
    <w:p w14:paraId="3D741247">
      <w:pPr>
        <w:widowControl/>
        <w:spacing w:line="360" w:lineRule="auto"/>
        <w:ind w:firstLine="480" w:firstLineChars="200"/>
        <w:rPr>
          <w:rFonts w:hint="eastAsia" w:ascii="宋体" w:hAnsi="宋体"/>
          <w:color w:val="auto"/>
          <w:sz w:val="24"/>
          <w:highlight w:val="none"/>
        </w:rPr>
      </w:pPr>
      <w:bookmarkStart w:id="83" w:name="_Hlk94031524"/>
      <w:r>
        <w:rPr>
          <w:rFonts w:hint="eastAsia" w:ascii="宋体" w:hAnsi="宋体"/>
          <w:color w:val="auto"/>
          <w:sz w:val="24"/>
          <w:highlight w:val="none"/>
        </w:rPr>
        <w:t>8</w:t>
      </w:r>
      <w:r>
        <w:rPr>
          <w:rFonts w:ascii="宋体" w:hAnsi="宋体"/>
          <w:color w:val="auto"/>
          <w:sz w:val="24"/>
          <w:highlight w:val="none"/>
        </w:rPr>
        <w:t>.2.1</w:t>
      </w:r>
      <w:r>
        <w:rPr>
          <w:rFonts w:hint="eastAsia" w:ascii="宋体" w:hAnsi="宋体"/>
          <w:color w:val="auto"/>
          <w:sz w:val="24"/>
          <w:highlight w:val="none"/>
        </w:rPr>
        <w:t>异议处理</w:t>
      </w:r>
    </w:p>
    <w:p w14:paraId="1CD30F6A">
      <w:pPr>
        <w:widowControl/>
        <w:numPr>
          <w:ilvl w:val="0"/>
          <w:numId w:val="0"/>
        </w:num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投标人对招标文件的异议</w:t>
      </w:r>
      <w:r>
        <w:rPr>
          <w:rFonts w:hint="eastAsia" w:ascii="宋体" w:hAnsi="宋体"/>
          <w:color w:val="auto"/>
          <w:sz w:val="24"/>
          <w:highlight w:val="none"/>
          <w:lang w:val="en-US" w:eastAsia="zh-CN"/>
        </w:rPr>
        <w:t>可</w:t>
      </w:r>
      <w:r>
        <w:rPr>
          <w:rFonts w:hint="eastAsia" w:ascii="宋体" w:hAnsi="宋体"/>
          <w:color w:val="auto"/>
          <w:sz w:val="24"/>
          <w:highlight w:val="none"/>
        </w:rPr>
        <w:t>通过“电子交易系统”在“</w:t>
      </w:r>
      <w:r>
        <w:rPr>
          <w:rFonts w:hint="eastAsia" w:ascii="宋体" w:hAnsi="宋体"/>
          <w:color w:val="auto"/>
          <w:sz w:val="24"/>
          <w:highlight w:val="none"/>
          <w:lang w:val="en-US" w:eastAsia="zh-CN"/>
        </w:rPr>
        <w:t>澄清与</w:t>
      </w:r>
      <w:r>
        <w:rPr>
          <w:rFonts w:hint="eastAsia" w:ascii="宋体" w:hAnsi="宋体"/>
          <w:color w:val="auto"/>
          <w:sz w:val="24"/>
          <w:highlight w:val="none"/>
        </w:rPr>
        <w:t>异议”</w:t>
      </w:r>
      <w:r>
        <w:rPr>
          <w:rFonts w:ascii="宋体" w:hAnsi="宋体" w:cs="宋体"/>
          <w:color w:val="auto"/>
          <w:sz w:val="24"/>
          <w:highlight w:val="none"/>
          <w:vertAlign w:val="superscript"/>
        </w:rPr>
        <w:footnoteReference w:id="21"/>
      </w:r>
      <w:r>
        <w:rPr>
          <w:rFonts w:hint="eastAsia" w:ascii="宋体" w:hAnsi="宋体"/>
          <w:color w:val="auto"/>
          <w:sz w:val="24"/>
          <w:highlight w:val="none"/>
        </w:rPr>
        <w:t>菜单中</w:t>
      </w:r>
      <w:r>
        <w:rPr>
          <w:rFonts w:hint="eastAsia" w:ascii="宋体" w:hAnsi="宋体"/>
          <w:color w:val="auto"/>
          <w:sz w:val="24"/>
          <w:highlight w:val="none"/>
          <w:lang w:val="en-US" w:eastAsia="zh-CN"/>
        </w:rPr>
        <w:t>进行</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也可采用符合</w:t>
      </w:r>
      <w:r>
        <w:rPr>
          <w:rFonts w:hint="eastAsia" w:ascii="宋体" w:hAnsi="宋体" w:cs="宋体"/>
          <w:snapToGrid w:val="0"/>
          <w:color w:val="auto"/>
          <w:kern w:val="0"/>
          <w:sz w:val="24"/>
          <w:highlight w:val="none"/>
          <w:lang w:val="en-US" w:eastAsia="zh-CN"/>
        </w:rPr>
        <w:t>第二章“投标人须知”</w:t>
      </w:r>
      <w:r>
        <w:rPr>
          <w:rFonts w:hint="eastAsia" w:ascii="宋体" w:hAnsi="宋体" w:eastAsia="宋体" w:cs="宋体"/>
          <w:snapToGrid w:val="0"/>
          <w:color w:val="auto"/>
          <w:kern w:val="0"/>
          <w:sz w:val="24"/>
          <w:highlight w:val="none"/>
          <w:lang w:val="en-US" w:eastAsia="zh-CN"/>
        </w:rPr>
        <w:t>前附表第8.5.2项</w:t>
      </w:r>
      <w:r>
        <w:rPr>
          <w:rFonts w:hint="eastAsia" w:ascii="宋体" w:hAnsi="宋体" w:cs="宋体"/>
          <w:snapToGrid w:val="0"/>
          <w:color w:val="auto"/>
          <w:kern w:val="0"/>
          <w:sz w:val="24"/>
          <w:highlight w:val="none"/>
          <w:lang w:val="en-US" w:eastAsia="zh-CN"/>
        </w:rPr>
        <w:t>要求</w:t>
      </w:r>
      <w:r>
        <w:rPr>
          <w:rFonts w:hint="eastAsia" w:ascii="宋体" w:hAnsi="宋体" w:eastAsia="宋体" w:cs="宋体"/>
          <w:snapToGrid w:val="0"/>
          <w:color w:val="auto"/>
          <w:kern w:val="0"/>
          <w:sz w:val="24"/>
          <w:highlight w:val="none"/>
          <w:lang w:val="en-US" w:eastAsia="zh-CN"/>
        </w:rPr>
        <w:t>的书面方式进行</w:t>
      </w:r>
      <w:r>
        <w:rPr>
          <w:rFonts w:hint="eastAsia" w:ascii="宋体" w:hAnsi="宋体"/>
          <w:color w:val="auto"/>
          <w:sz w:val="24"/>
          <w:highlight w:val="none"/>
          <w:lang w:val="en-US" w:eastAsia="zh-CN"/>
        </w:rPr>
        <w:t>。</w:t>
      </w:r>
    </w:p>
    <w:p w14:paraId="2616A963">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2）投标人对开标如有异议，应在</w:t>
      </w:r>
      <w:r>
        <w:rPr>
          <w:rFonts w:hint="eastAsia" w:ascii="宋体" w:hAnsi="宋体"/>
          <w:color w:val="auto"/>
          <w:sz w:val="24"/>
          <w:highlight w:val="none"/>
        </w:rPr>
        <w:t>系统进入异议倒计时时间内，点击“开标异议提问”提出。</w:t>
      </w:r>
      <w:r>
        <w:rPr>
          <w:rFonts w:hint="eastAsia" w:ascii="宋体" w:hAnsi="宋体" w:cs="宋体"/>
          <w:color w:val="auto"/>
          <w:sz w:val="24"/>
          <w:highlight w:val="none"/>
        </w:rPr>
        <w:t>招标人应在“异议回复”栏当场作出答复。</w:t>
      </w:r>
    </w:p>
    <w:p w14:paraId="0EF49AA6">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（3）投标人对评标结果如有异议，应在中标候选人公示期间提出</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投标人提出异议可通过“电子交易系统”在“</w:t>
      </w:r>
      <w:r>
        <w:rPr>
          <w:rFonts w:hint="eastAsia" w:ascii="宋体" w:hAnsi="宋体" w:cs="宋体"/>
          <w:color w:val="auto"/>
          <w:sz w:val="24"/>
          <w:highlight w:val="none"/>
          <w:lang w:val="en-US" w:eastAsia="zh-CN"/>
        </w:rPr>
        <w:t>澄清与</w:t>
      </w:r>
      <w:r>
        <w:rPr>
          <w:rFonts w:hint="eastAsia" w:ascii="宋体" w:hAnsi="宋体" w:cs="宋体"/>
          <w:color w:val="auto"/>
          <w:sz w:val="24"/>
          <w:highlight w:val="none"/>
        </w:rPr>
        <w:t>异议</w:t>
      </w:r>
      <w:r>
        <w:rPr>
          <w:rFonts w:hint="eastAsia" w:ascii="宋体" w:hAnsi="宋体" w:cs="宋体"/>
          <w:color w:val="auto"/>
          <w:sz w:val="24"/>
          <w:highlight w:val="none"/>
          <w:lang w:eastAsia="zh-CN"/>
        </w:rPr>
        <w:t>”</w:t>
      </w:r>
      <w:r>
        <w:rPr>
          <w:rFonts w:hint="eastAsia" w:ascii="宋体" w:hAnsi="宋体" w:cs="宋体"/>
          <w:color w:val="auto"/>
          <w:sz w:val="24"/>
          <w:highlight w:val="none"/>
        </w:rPr>
        <w:t>菜单中进行</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也可采用符合</w:t>
      </w:r>
      <w:r>
        <w:rPr>
          <w:rFonts w:hint="eastAsia" w:ascii="宋体" w:hAnsi="宋体" w:cs="宋体"/>
          <w:snapToGrid w:val="0"/>
          <w:color w:val="auto"/>
          <w:kern w:val="0"/>
          <w:sz w:val="24"/>
          <w:highlight w:val="none"/>
          <w:lang w:val="en-US" w:eastAsia="zh-CN"/>
        </w:rPr>
        <w:t>第二章“投标人须知”</w:t>
      </w:r>
      <w:r>
        <w:rPr>
          <w:rFonts w:hint="eastAsia" w:ascii="宋体" w:hAnsi="宋体" w:eastAsia="宋体" w:cs="宋体"/>
          <w:snapToGrid w:val="0"/>
          <w:color w:val="auto"/>
          <w:kern w:val="0"/>
          <w:sz w:val="24"/>
          <w:highlight w:val="none"/>
          <w:lang w:val="en-US" w:eastAsia="zh-CN"/>
        </w:rPr>
        <w:t>前附表第8.5.2项</w:t>
      </w:r>
      <w:r>
        <w:rPr>
          <w:rFonts w:hint="eastAsia" w:ascii="宋体" w:hAnsi="宋体" w:cs="宋体"/>
          <w:snapToGrid w:val="0"/>
          <w:color w:val="auto"/>
          <w:kern w:val="0"/>
          <w:sz w:val="24"/>
          <w:highlight w:val="none"/>
          <w:lang w:val="en-US" w:eastAsia="zh-CN"/>
        </w:rPr>
        <w:t>要求</w:t>
      </w:r>
      <w:r>
        <w:rPr>
          <w:rFonts w:hint="eastAsia" w:ascii="宋体" w:hAnsi="宋体" w:eastAsia="宋体" w:cs="宋体"/>
          <w:snapToGrid w:val="0"/>
          <w:color w:val="auto"/>
          <w:kern w:val="0"/>
          <w:sz w:val="24"/>
          <w:highlight w:val="none"/>
          <w:lang w:val="en-US" w:eastAsia="zh-CN"/>
        </w:rPr>
        <w:t>的书面方式进行</w:t>
      </w:r>
      <w:r>
        <w:rPr>
          <w:rFonts w:hint="eastAsia" w:ascii="宋体" w:hAnsi="宋体" w:cs="宋体"/>
          <w:color w:val="auto"/>
          <w:sz w:val="24"/>
          <w:highlight w:val="none"/>
        </w:rPr>
        <w:t>。</w:t>
      </w:r>
    </w:p>
    <w:p w14:paraId="7B4673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.2.2</w:t>
      </w:r>
      <w:r>
        <w:rPr>
          <w:rFonts w:hint="eastAsia" w:ascii="宋体" w:hAnsi="宋体" w:cs="宋体"/>
          <w:color w:val="auto"/>
          <w:sz w:val="24"/>
          <w:highlight w:val="none"/>
        </w:rPr>
        <w:t>投诉处理</w:t>
      </w:r>
      <w:bookmarkEnd w:id="81"/>
      <w:bookmarkEnd w:id="83"/>
    </w:p>
    <w:p w14:paraId="41CEFF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行政监督部门按照</w:t>
      </w:r>
      <w:r>
        <w:rPr>
          <w:rFonts w:hint="eastAsia" w:ascii="宋体" w:hAnsi="宋体" w:cs="宋体"/>
          <w:color w:val="auto"/>
          <w:sz w:val="24"/>
          <w:highlight w:val="none"/>
          <w:u w:val="single"/>
        </w:rPr>
        <w:t>《工程建设项目招标投标活动投诉处理办法》（2013年3月11日国家发展改革委等九部委令第23号修改）、《四川省公路工程建设项目招标投标管理实施细则》（川交发〔2019〕32号）</w:t>
      </w:r>
      <w:r>
        <w:rPr>
          <w:rFonts w:hint="eastAsia" w:ascii="宋体" w:hAnsi="宋体" w:cs="宋体"/>
          <w:color w:val="auto"/>
          <w:sz w:val="24"/>
          <w:highlight w:val="none"/>
        </w:rPr>
        <w:t>的规定接受投诉。投诉材料要求、投诉受理条件及查处按照上述规定执行。超出投诉时效的，则不予受理。</w:t>
      </w:r>
    </w:p>
    <w:p w14:paraId="02A96022">
      <w:pPr>
        <w:widowControl/>
        <w:spacing w:line="360" w:lineRule="auto"/>
        <w:ind w:firstLine="480" w:firstLineChars="200"/>
        <w:rPr>
          <w:rFonts w:ascii="宋体" w:hAnsi="宋体"/>
          <w:b/>
          <w:color w:val="auto"/>
          <w:sz w:val="24"/>
          <w:highlight w:val="none"/>
        </w:rPr>
      </w:pPr>
      <w:r>
        <w:rPr>
          <w:rFonts w:ascii="宋体" w:hAnsi="宋体"/>
          <w:color w:val="auto"/>
          <w:sz w:val="24"/>
          <w:highlight w:val="none"/>
        </w:rPr>
        <w:t>8.3</w:t>
      </w:r>
      <w:r>
        <w:rPr>
          <w:rFonts w:ascii="宋体" w:hAnsi="宋体"/>
          <w:b/>
          <w:color w:val="auto"/>
          <w:sz w:val="24"/>
          <w:highlight w:val="none"/>
        </w:rPr>
        <w:t xml:space="preserve">  </w:t>
      </w:r>
      <w:r>
        <w:rPr>
          <w:rFonts w:hint="eastAsia" w:ascii="宋体" w:hAnsi="宋体"/>
          <w:bCs/>
          <w:color w:val="auto"/>
          <w:sz w:val="24"/>
          <w:highlight w:val="none"/>
        </w:rPr>
        <w:t>行政监督部门</w:t>
      </w:r>
    </w:p>
    <w:p w14:paraId="79856154">
      <w:pPr>
        <w:pStyle w:val="299"/>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行政监督部门：</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40AB841A">
      <w:pPr>
        <w:pStyle w:val="299"/>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p>
    <w:p w14:paraId="2E5C03D7">
      <w:pPr>
        <w:pStyle w:val="299"/>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4EA4731A">
      <w:pPr>
        <w:pStyle w:val="299"/>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38624E1F">
      <w:pPr>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7F9A77C7">
      <w:pPr>
        <w:pStyle w:val="299"/>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行政监督部门：</w:t>
      </w:r>
      <w:r>
        <w:rPr>
          <w:rFonts w:ascii="宋体" w:hAnsi="宋体" w:cs="宋体"/>
          <w:color w:val="auto"/>
          <w:sz w:val="24"/>
          <w:highlight w:val="none"/>
          <w:u w:val="single"/>
        </w:rPr>
        <w:t xml:space="preserve">         </w:t>
      </w:r>
    </w:p>
    <w:p w14:paraId="7CA2D571">
      <w:pPr>
        <w:pStyle w:val="299"/>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80720C7">
      <w:pPr>
        <w:pStyle w:val="299"/>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p>
    <w:p w14:paraId="5F7848B5">
      <w:pPr>
        <w:pStyle w:val="299"/>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3D1980B5">
      <w:pPr>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619B32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w:t>
      </w:r>
    </w:p>
    <w:p w14:paraId="45A17A75">
      <w:pPr>
        <w:pStyle w:val="5"/>
        <w:rPr>
          <w:color w:val="auto"/>
          <w:highlight w:val="none"/>
        </w:rPr>
      </w:pPr>
      <w:bookmarkStart w:id="84" w:name="_Toc27060646"/>
      <w:bookmarkStart w:id="85" w:name="_Toc27059851"/>
      <w:bookmarkStart w:id="86" w:name="_Toc519844456"/>
      <w:bookmarkStart w:id="87" w:name="_Toc27059478"/>
      <w:bookmarkStart w:id="88" w:name="_Toc53685579"/>
      <w:bookmarkStart w:id="89" w:name="_Toc27059659"/>
      <w:bookmarkStart w:id="90" w:name="_Toc27059749"/>
      <w:r>
        <w:rPr>
          <w:rFonts w:hint="eastAsia"/>
          <w:color w:val="auto"/>
          <w:highlight w:val="none"/>
        </w:rPr>
        <w:t>9．联系方式</w:t>
      </w:r>
      <w:bookmarkEnd w:id="84"/>
      <w:bookmarkEnd w:id="85"/>
      <w:bookmarkEnd w:id="86"/>
      <w:bookmarkEnd w:id="87"/>
      <w:bookmarkEnd w:id="88"/>
      <w:bookmarkEnd w:id="89"/>
      <w:bookmarkEnd w:id="90"/>
    </w:p>
    <w:p w14:paraId="5F534859">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招</w:t>
      </w:r>
      <w:r>
        <w:rPr>
          <w:rFonts w:ascii="宋体" w:hAnsi="宋体" w:cs="宋体"/>
          <w:color w:val="auto"/>
          <w:sz w:val="24"/>
          <w:highlight w:val="none"/>
        </w:rPr>
        <w:t xml:space="preserve"> </w:t>
      </w:r>
      <w:r>
        <w:rPr>
          <w:rFonts w:hint="eastAsia" w:ascii="宋体" w:hAnsi="宋体" w:cs="宋体"/>
          <w:color w:val="auto"/>
          <w:sz w:val="24"/>
          <w:highlight w:val="none"/>
        </w:rPr>
        <w:t>标</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76664ABF">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3BA0E3F3">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2BC01D2">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w:t>
      </w:r>
      <w:r>
        <w:rPr>
          <w:rFonts w:ascii="宋体" w:hAnsi="宋体" w:cs="宋体"/>
          <w:color w:val="auto"/>
          <w:sz w:val="24"/>
          <w:highlight w:val="none"/>
        </w:rPr>
        <w:t xml:space="preserve"> </w:t>
      </w:r>
      <w:r>
        <w:rPr>
          <w:rFonts w:hint="eastAsia" w:ascii="宋体" w:hAnsi="宋体" w:cs="宋体"/>
          <w:color w:val="auto"/>
          <w:sz w:val="24"/>
          <w:highlight w:val="none"/>
        </w:rPr>
        <w:t>系</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029766B">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E15E387">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409CD679">
      <w:pPr>
        <w:spacing w:line="360" w:lineRule="auto"/>
        <w:ind w:firstLine="600" w:firstLineChars="250"/>
        <w:rPr>
          <w:rFonts w:hint="eastAsia" w:ascii="宋体" w:hAnsi="宋体" w:cs="宋体"/>
          <w:color w:val="auto"/>
          <w:sz w:val="24"/>
          <w:highlight w:val="none"/>
        </w:rPr>
      </w:pPr>
    </w:p>
    <w:p w14:paraId="1C1630EC">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招标代理机构：</w:t>
      </w:r>
      <w:r>
        <w:rPr>
          <w:rFonts w:ascii="宋体" w:hAnsi="宋体" w:cs="宋体"/>
          <w:color w:val="auto"/>
          <w:sz w:val="24"/>
          <w:highlight w:val="none"/>
          <w:u w:val="single"/>
        </w:rPr>
        <w:t xml:space="preserve">        </w:t>
      </w:r>
      <w:r>
        <w:rPr>
          <w:rStyle w:val="59"/>
          <w:rFonts w:ascii="宋体" w:hAnsi="宋体" w:cs="宋体"/>
          <w:color w:val="auto"/>
          <w:sz w:val="24"/>
          <w:highlight w:val="none"/>
        </w:rPr>
        <w:footnoteReference w:id="22"/>
      </w:r>
      <w:r>
        <w:rPr>
          <w:rFonts w:ascii="宋体" w:hAnsi="宋体" w:cs="宋体"/>
          <w:color w:val="auto"/>
          <w:sz w:val="24"/>
          <w:highlight w:val="none"/>
        </w:rPr>
        <w:t xml:space="preserve">  </w:t>
      </w:r>
    </w:p>
    <w:p w14:paraId="706AC2FE">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sym w:font="Wingdings 2" w:char="00A3"/>
      </w: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B953CB7">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2651703E">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联</w:t>
      </w:r>
      <w:r>
        <w:rPr>
          <w:rFonts w:ascii="宋体" w:hAnsi="宋体" w:cs="宋体"/>
          <w:color w:val="auto"/>
          <w:sz w:val="24"/>
          <w:highlight w:val="none"/>
        </w:rPr>
        <w:t xml:space="preserve"> </w:t>
      </w:r>
      <w:r>
        <w:rPr>
          <w:rFonts w:hint="eastAsia" w:ascii="宋体" w:hAnsi="宋体" w:cs="宋体"/>
          <w:color w:val="auto"/>
          <w:sz w:val="24"/>
          <w:highlight w:val="none"/>
        </w:rPr>
        <w:t>系</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5B37D683">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25E7684A">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3597FB63">
      <w:pPr>
        <w:spacing w:line="360" w:lineRule="auto"/>
        <w:ind w:firstLine="5400" w:firstLineChars="2250"/>
        <w:rPr>
          <w:rFonts w:ascii="宋体" w:hAnsi="宋体"/>
          <w:color w:val="auto"/>
          <w:sz w:val="24"/>
          <w:highlight w:val="none"/>
          <w:u w:val="single"/>
        </w:rPr>
      </w:pPr>
    </w:p>
    <w:p w14:paraId="22F6AE57">
      <w:pPr>
        <w:spacing w:line="360" w:lineRule="auto"/>
        <w:ind w:firstLine="5400" w:firstLineChars="225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5012D539">
      <w:pPr>
        <w:tabs>
          <w:tab w:val="left" w:pos="5542"/>
        </w:tabs>
        <w:spacing w:line="360" w:lineRule="auto"/>
        <w:ind w:firstLine="120" w:firstLineChars="50"/>
        <w:jc w:val="left"/>
        <w:rPr>
          <w:rFonts w:ascii="黑体" w:hAnsi="黑体" w:eastAsia="黑体"/>
          <w:color w:val="auto"/>
          <w:sz w:val="24"/>
          <w:highlight w:val="none"/>
        </w:rPr>
      </w:pPr>
      <w:r>
        <w:rPr>
          <w:rFonts w:ascii="宋体" w:hAnsi="宋体"/>
          <w:color w:val="auto"/>
          <w:sz w:val="24"/>
          <w:highlight w:val="none"/>
        </w:rPr>
        <w:br w:type="page"/>
      </w:r>
      <w:r>
        <w:rPr>
          <w:rFonts w:hint="eastAsia" w:ascii="黑体" w:hAnsi="黑体" w:eastAsia="黑体"/>
          <w:color w:val="auto"/>
          <w:sz w:val="24"/>
          <w:highlight w:val="none"/>
        </w:rPr>
        <w:t>附表一</w:t>
      </w:r>
      <w:r>
        <w:rPr>
          <w:rStyle w:val="59"/>
          <w:rFonts w:hint="eastAsia" w:ascii="黑体" w:hAnsi="黑体" w:eastAsia="黑体"/>
          <w:color w:val="auto"/>
          <w:sz w:val="24"/>
          <w:highlight w:val="none"/>
        </w:rPr>
        <w:footnoteReference w:id="23"/>
      </w:r>
    </w:p>
    <w:p w14:paraId="6C41EB23">
      <w:pPr>
        <w:tabs>
          <w:tab w:val="left" w:pos="5542"/>
        </w:tabs>
        <w:wordWrap w:val="0"/>
        <w:spacing w:line="360" w:lineRule="auto"/>
        <w:ind w:firstLine="140" w:firstLineChars="50"/>
        <w:jc w:val="center"/>
        <w:rPr>
          <w:rFonts w:ascii="黑体" w:hAnsi="黑体" w:eastAsia="黑体"/>
          <w:color w:val="auto"/>
          <w:sz w:val="28"/>
          <w:szCs w:val="28"/>
          <w:highlight w:val="none"/>
          <w:u w:val="single"/>
        </w:rPr>
      </w:pPr>
      <w:r>
        <w:rPr>
          <w:rFonts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招标</w:t>
      </w:r>
      <w:r>
        <w:rPr>
          <w:rFonts w:hint="eastAsia" w:ascii="黑体" w:hAnsi="黑体" w:eastAsia="黑体"/>
          <w:color w:val="auto"/>
          <w:sz w:val="28"/>
          <w:szCs w:val="28"/>
          <w:highlight w:val="none"/>
        </w:rPr>
        <w:t>项目名称）招标</w:t>
      </w:r>
    </w:p>
    <w:p w14:paraId="030ECF87">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标段划分及主要工程内容</w:t>
      </w:r>
    </w:p>
    <w:tbl>
      <w:tblPr>
        <w:tblStyle w:val="4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462"/>
        <w:gridCol w:w="3871"/>
        <w:gridCol w:w="1403"/>
      </w:tblGrid>
      <w:tr w14:paraId="4244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0" w:type="dxa"/>
            <w:vAlign w:val="center"/>
          </w:tcPr>
          <w:p w14:paraId="180B5158">
            <w:pPr>
              <w:spacing w:line="500" w:lineRule="exact"/>
              <w:jc w:val="center"/>
              <w:rPr>
                <w:rFonts w:ascii="宋体" w:hAnsi="宋体"/>
                <w:color w:val="auto"/>
                <w:szCs w:val="21"/>
                <w:highlight w:val="none"/>
              </w:rPr>
            </w:pPr>
            <w:r>
              <w:rPr>
                <w:rFonts w:hint="eastAsia" w:ascii="宋体" w:hAnsi="宋体"/>
                <w:color w:val="auto"/>
                <w:szCs w:val="21"/>
                <w:highlight w:val="none"/>
              </w:rPr>
              <w:t>标段号</w:t>
            </w:r>
          </w:p>
        </w:tc>
        <w:tc>
          <w:tcPr>
            <w:tcW w:w="2462" w:type="dxa"/>
            <w:vAlign w:val="center"/>
          </w:tcPr>
          <w:p w14:paraId="4E1212A4">
            <w:pPr>
              <w:spacing w:line="500" w:lineRule="exact"/>
              <w:jc w:val="center"/>
              <w:rPr>
                <w:rFonts w:ascii="宋体" w:hAnsi="宋体"/>
                <w:color w:val="auto"/>
                <w:szCs w:val="21"/>
                <w:highlight w:val="none"/>
              </w:rPr>
            </w:pPr>
            <w:r>
              <w:rPr>
                <w:rFonts w:hint="eastAsia" w:ascii="宋体" w:hAnsi="宋体"/>
                <w:color w:val="auto"/>
                <w:szCs w:val="21"/>
                <w:highlight w:val="none"/>
                <w:lang w:val="en-US" w:eastAsia="zh-CN"/>
              </w:rPr>
              <w:t>起讫桩号</w:t>
            </w:r>
          </w:p>
        </w:tc>
        <w:tc>
          <w:tcPr>
            <w:tcW w:w="3871" w:type="dxa"/>
            <w:vAlign w:val="center"/>
          </w:tcPr>
          <w:p w14:paraId="5ED2F1D5">
            <w:pPr>
              <w:spacing w:line="500" w:lineRule="exact"/>
              <w:jc w:val="center"/>
              <w:rPr>
                <w:rFonts w:ascii="宋体" w:hAnsi="宋体"/>
                <w:color w:val="auto"/>
                <w:szCs w:val="21"/>
                <w:highlight w:val="none"/>
              </w:rPr>
            </w:pPr>
            <w:r>
              <w:rPr>
                <w:rFonts w:hint="eastAsia" w:ascii="宋体" w:hAnsi="宋体"/>
                <w:color w:val="auto"/>
                <w:szCs w:val="21"/>
                <w:highlight w:val="none"/>
              </w:rPr>
              <w:t>主要工程内容</w:t>
            </w:r>
          </w:p>
        </w:tc>
        <w:tc>
          <w:tcPr>
            <w:tcW w:w="1403" w:type="dxa"/>
            <w:vAlign w:val="center"/>
          </w:tcPr>
          <w:p w14:paraId="3604EBB4">
            <w:pPr>
              <w:spacing w:line="500" w:lineRule="exact"/>
              <w:jc w:val="center"/>
              <w:rPr>
                <w:rFonts w:ascii="宋体" w:hAnsi="宋体"/>
                <w:color w:val="auto"/>
                <w:szCs w:val="21"/>
                <w:highlight w:val="none"/>
              </w:rPr>
            </w:pPr>
            <w:r>
              <w:rPr>
                <w:rFonts w:hint="eastAsia" w:ascii="宋体" w:hAnsi="宋体"/>
                <w:color w:val="auto"/>
                <w:szCs w:val="21"/>
                <w:highlight w:val="none"/>
              </w:rPr>
              <w:t>备注</w:t>
            </w:r>
          </w:p>
        </w:tc>
      </w:tr>
      <w:tr w14:paraId="4A87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190" w:type="dxa"/>
            <w:vAlign w:val="center"/>
          </w:tcPr>
          <w:p w14:paraId="256DCC3F">
            <w:pPr>
              <w:spacing w:line="500" w:lineRule="exact"/>
              <w:rPr>
                <w:rFonts w:ascii="宋体" w:hAnsi="宋体"/>
                <w:color w:val="auto"/>
                <w:szCs w:val="21"/>
                <w:highlight w:val="none"/>
              </w:rPr>
            </w:pPr>
          </w:p>
        </w:tc>
        <w:tc>
          <w:tcPr>
            <w:tcW w:w="2462" w:type="dxa"/>
            <w:vAlign w:val="center"/>
          </w:tcPr>
          <w:p w14:paraId="3BEA17DC">
            <w:pPr>
              <w:spacing w:line="500" w:lineRule="exact"/>
              <w:rPr>
                <w:rFonts w:ascii="宋体" w:hAnsi="宋体"/>
                <w:color w:val="auto"/>
                <w:szCs w:val="21"/>
                <w:highlight w:val="none"/>
              </w:rPr>
            </w:pPr>
          </w:p>
        </w:tc>
        <w:tc>
          <w:tcPr>
            <w:tcW w:w="3871" w:type="dxa"/>
            <w:vAlign w:val="center"/>
          </w:tcPr>
          <w:p w14:paraId="7854DC81">
            <w:pPr>
              <w:spacing w:line="500" w:lineRule="exact"/>
              <w:rPr>
                <w:rFonts w:ascii="宋体" w:hAnsi="宋体"/>
                <w:color w:val="auto"/>
                <w:szCs w:val="21"/>
                <w:highlight w:val="none"/>
              </w:rPr>
            </w:pPr>
          </w:p>
        </w:tc>
        <w:tc>
          <w:tcPr>
            <w:tcW w:w="1403" w:type="dxa"/>
            <w:vAlign w:val="center"/>
          </w:tcPr>
          <w:p w14:paraId="42163889">
            <w:pPr>
              <w:spacing w:line="500" w:lineRule="exact"/>
              <w:rPr>
                <w:rFonts w:ascii="宋体" w:hAnsi="宋体"/>
                <w:color w:val="auto"/>
                <w:szCs w:val="21"/>
                <w:highlight w:val="none"/>
              </w:rPr>
            </w:pPr>
          </w:p>
        </w:tc>
      </w:tr>
      <w:tr w14:paraId="2E6E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90" w:type="dxa"/>
            <w:vAlign w:val="center"/>
          </w:tcPr>
          <w:p w14:paraId="615A7792">
            <w:pPr>
              <w:spacing w:line="500" w:lineRule="exact"/>
              <w:jc w:val="center"/>
              <w:rPr>
                <w:rFonts w:ascii="宋体" w:hAnsi="宋体"/>
                <w:color w:val="auto"/>
                <w:szCs w:val="21"/>
                <w:highlight w:val="none"/>
              </w:rPr>
            </w:pPr>
          </w:p>
        </w:tc>
        <w:tc>
          <w:tcPr>
            <w:tcW w:w="2462" w:type="dxa"/>
            <w:vAlign w:val="center"/>
          </w:tcPr>
          <w:p w14:paraId="0A44D36D">
            <w:pPr>
              <w:spacing w:line="500" w:lineRule="exact"/>
              <w:rPr>
                <w:rFonts w:ascii="宋体" w:hAnsi="宋体"/>
                <w:color w:val="auto"/>
                <w:szCs w:val="21"/>
                <w:highlight w:val="none"/>
              </w:rPr>
            </w:pPr>
          </w:p>
        </w:tc>
        <w:tc>
          <w:tcPr>
            <w:tcW w:w="3871" w:type="dxa"/>
            <w:vAlign w:val="center"/>
          </w:tcPr>
          <w:p w14:paraId="15A195A9">
            <w:pPr>
              <w:spacing w:line="500" w:lineRule="exact"/>
              <w:rPr>
                <w:rFonts w:ascii="宋体" w:hAnsi="宋体"/>
                <w:color w:val="auto"/>
                <w:szCs w:val="21"/>
                <w:highlight w:val="none"/>
              </w:rPr>
            </w:pPr>
          </w:p>
        </w:tc>
        <w:tc>
          <w:tcPr>
            <w:tcW w:w="1403" w:type="dxa"/>
            <w:vAlign w:val="center"/>
          </w:tcPr>
          <w:p w14:paraId="0C9D8A4D">
            <w:pPr>
              <w:spacing w:line="500" w:lineRule="exact"/>
              <w:rPr>
                <w:rFonts w:ascii="宋体" w:hAnsi="宋体"/>
                <w:color w:val="auto"/>
                <w:szCs w:val="21"/>
                <w:highlight w:val="none"/>
              </w:rPr>
            </w:pPr>
          </w:p>
        </w:tc>
      </w:tr>
      <w:tr w14:paraId="69E5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190" w:type="dxa"/>
            <w:vAlign w:val="center"/>
          </w:tcPr>
          <w:p w14:paraId="5581B654">
            <w:pPr>
              <w:spacing w:line="500" w:lineRule="exact"/>
              <w:jc w:val="center"/>
              <w:rPr>
                <w:rFonts w:ascii="宋体" w:hAnsi="宋体"/>
                <w:color w:val="auto"/>
                <w:szCs w:val="21"/>
                <w:highlight w:val="none"/>
              </w:rPr>
            </w:pPr>
          </w:p>
        </w:tc>
        <w:tc>
          <w:tcPr>
            <w:tcW w:w="2462" w:type="dxa"/>
            <w:vAlign w:val="center"/>
          </w:tcPr>
          <w:p w14:paraId="72C5E042">
            <w:pPr>
              <w:spacing w:line="500" w:lineRule="exact"/>
              <w:jc w:val="center"/>
              <w:rPr>
                <w:rFonts w:ascii="宋体" w:hAnsi="宋体"/>
                <w:color w:val="auto"/>
                <w:szCs w:val="21"/>
                <w:highlight w:val="none"/>
              </w:rPr>
            </w:pPr>
          </w:p>
        </w:tc>
        <w:tc>
          <w:tcPr>
            <w:tcW w:w="3871" w:type="dxa"/>
            <w:vAlign w:val="center"/>
          </w:tcPr>
          <w:p w14:paraId="00186FC0">
            <w:pPr>
              <w:spacing w:line="500" w:lineRule="exact"/>
              <w:jc w:val="center"/>
              <w:rPr>
                <w:rFonts w:ascii="宋体" w:hAnsi="宋体"/>
                <w:color w:val="auto"/>
                <w:szCs w:val="21"/>
                <w:highlight w:val="none"/>
              </w:rPr>
            </w:pPr>
          </w:p>
        </w:tc>
        <w:tc>
          <w:tcPr>
            <w:tcW w:w="1403" w:type="dxa"/>
            <w:vAlign w:val="center"/>
          </w:tcPr>
          <w:p w14:paraId="6E79714F">
            <w:pPr>
              <w:spacing w:line="500" w:lineRule="exact"/>
              <w:jc w:val="center"/>
              <w:rPr>
                <w:rFonts w:ascii="宋体" w:hAnsi="宋体"/>
                <w:color w:val="auto"/>
                <w:szCs w:val="21"/>
                <w:highlight w:val="none"/>
              </w:rPr>
            </w:pPr>
          </w:p>
        </w:tc>
      </w:tr>
      <w:tr w14:paraId="285D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190" w:type="dxa"/>
            <w:vAlign w:val="center"/>
          </w:tcPr>
          <w:p w14:paraId="442F3B22">
            <w:pPr>
              <w:spacing w:line="500" w:lineRule="exact"/>
              <w:jc w:val="center"/>
              <w:rPr>
                <w:rFonts w:ascii="宋体" w:hAnsi="宋体"/>
                <w:color w:val="auto"/>
                <w:szCs w:val="21"/>
                <w:highlight w:val="none"/>
              </w:rPr>
            </w:pPr>
          </w:p>
        </w:tc>
        <w:tc>
          <w:tcPr>
            <w:tcW w:w="2462" w:type="dxa"/>
            <w:vAlign w:val="center"/>
          </w:tcPr>
          <w:p w14:paraId="56A06F40">
            <w:pPr>
              <w:spacing w:line="500" w:lineRule="exact"/>
              <w:jc w:val="center"/>
              <w:rPr>
                <w:rFonts w:ascii="宋体" w:hAnsi="宋体"/>
                <w:color w:val="auto"/>
                <w:szCs w:val="21"/>
                <w:highlight w:val="none"/>
              </w:rPr>
            </w:pPr>
          </w:p>
        </w:tc>
        <w:tc>
          <w:tcPr>
            <w:tcW w:w="3871" w:type="dxa"/>
            <w:vAlign w:val="center"/>
          </w:tcPr>
          <w:p w14:paraId="78276BE1">
            <w:pPr>
              <w:spacing w:line="500" w:lineRule="exact"/>
              <w:jc w:val="center"/>
              <w:rPr>
                <w:rFonts w:ascii="宋体" w:hAnsi="宋体"/>
                <w:color w:val="auto"/>
                <w:szCs w:val="21"/>
                <w:highlight w:val="none"/>
              </w:rPr>
            </w:pPr>
          </w:p>
        </w:tc>
        <w:tc>
          <w:tcPr>
            <w:tcW w:w="1403" w:type="dxa"/>
            <w:vAlign w:val="center"/>
          </w:tcPr>
          <w:p w14:paraId="7EE1104C">
            <w:pPr>
              <w:spacing w:line="500" w:lineRule="exact"/>
              <w:jc w:val="center"/>
              <w:rPr>
                <w:rFonts w:ascii="宋体" w:hAnsi="宋体"/>
                <w:color w:val="auto"/>
                <w:szCs w:val="21"/>
                <w:highlight w:val="none"/>
              </w:rPr>
            </w:pPr>
          </w:p>
        </w:tc>
      </w:tr>
      <w:tr w14:paraId="19AD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190" w:type="dxa"/>
            <w:vAlign w:val="center"/>
          </w:tcPr>
          <w:p w14:paraId="778076EB">
            <w:pPr>
              <w:spacing w:line="500" w:lineRule="exact"/>
              <w:jc w:val="center"/>
              <w:rPr>
                <w:rFonts w:ascii="宋体" w:hAnsi="宋体"/>
                <w:color w:val="auto"/>
                <w:szCs w:val="21"/>
                <w:highlight w:val="none"/>
              </w:rPr>
            </w:pPr>
          </w:p>
        </w:tc>
        <w:tc>
          <w:tcPr>
            <w:tcW w:w="2462" w:type="dxa"/>
            <w:vAlign w:val="center"/>
          </w:tcPr>
          <w:p w14:paraId="11B5782D">
            <w:pPr>
              <w:spacing w:line="500" w:lineRule="exact"/>
              <w:jc w:val="center"/>
              <w:rPr>
                <w:rFonts w:ascii="宋体" w:hAnsi="宋体"/>
                <w:color w:val="auto"/>
                <w:szCs w:val="21"/>
                <w:highlight w:val="none"/>
              </w:rPr>
            </w:pPr>
          </w:p>
        </w:tc>
        <w:tc>
          <w:tcPr>
            <w:tcW w:w="3871" w:type="dxa"/>
            <w:vAlign w:val="center"/>
          </w:tcPr>
          <w:p w14:paraId="700C02A6">
            <w:pPr>
              <w:spacing w:line="500" w:lineRule="exact"/>
              <w:jc w:val="center"/>
              <w:rPr>
                <w:rFonts w:ascii="宋体" w:hAnsi="宋体"/>
                <w:color w:val="auto"/>
                <w:szCs w:val="21"/>
                <w:highlight w:val="none"/>
              </w:rPr>
            </w:pPr>
          </w:p>
        </w:tc>
        <w:tc>
          <w:tcPr>
            <w:tcW w:w="1403" w:type="dxa"/>
            <w:vAlign w:val="center"/>
          </w:tcPr>
          <w:p w14:paraId="442B4B50">
            <w:pPr>
              <w:spacing w:line="500" w:lineRule="exact"/>
              <w:jc w:val="center"/>
              <w:rPr>
                <w:rFonts w:ascii="宋体" w:hAnsi="宋体"/>
                <w:color w:val="auto"/>
                <w:szCs w:val="21"/>
                <w:highlight w:val="none"/>
              </w:rPr>
            </w:pPr>
          </w:p>
        </w:tc>
      </w:tr>
      <w:tr w14:paraId="7F44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190" w:type="dxa"/>
            <w:vAlign w:val="center"/>
          </w:tcPr>
          <w:p w14:paraId="05B5D831">
            <w:pPr>
              <w:widowControl/>
              <w:spacing w:line="20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cs="宋体"/>
                <w:b w:val="0"/>
                <w:bCs/>
                <w:color w:val="auto"/>
                <w:szCs w:val="21"/>
                <w:highlight w:val="none"/>
              </w:rPr>
              <w:t>……</w:t>
            </w:r>
          </w:p>
        </w:tc>
        <w:tc>
          <w:tcPr>
            <w:tcW w:w="2462" w:type="dxa"/>
            <w:vAlign w:val="center"/>
          </w:tcPr>
          <w:p w14:paraId="114CEC96">
            <w:pPr>
              <w:widowControl/>
              <w:spacing w:line="20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cs="宋体"/>
                <w:b w:val="0"/>
                <w:bCs/>
                <w:color w:val="auto"/>
                <w:szCs w:val="21"/>
                <w:highlight w:val="none"/>
              </w:rPr>
              <w:t>……</w:t>
            </w:r>
          </w:p>
        </w:tc>
        <w:tc>
          <w:tcPr>
            <w:tcW w:w="3871" w:type="dxa"/>
            <w:vAlign w:val="center"/>
          </w:tcPr>
          <w:p w14:paraId="3797DC33">
            <w:pPr>
              <w:widowControl/>
              <w:spacing w:line="200" w:lineRule="exact"/>
              <w:jc w:val="center"/>
              <w:rPr>
                <w:rFonts w:ascii="宋体" w:hAnsi="宋体"/>
                <w:bCs/>
                <w:color w:val="auto"/>
                <w:szCs w:val="21"/>
                <w:highlight w:val="none"/>
              </w:rPr>
            </w:pPr>
            <w:r>
              <w:rPr>
                <w:rFonts w:hint="eastAsia" w:ascii="宋体" w:hAnsi="宋体" w:cs="宋体"/>
                <w:b w:val="0"/>
                <w:bCs/>
                <w:color w:val="auto"/>
                <w:szCs w:val="21"/>
                <w:highlight w:val="none"/>
              </w:rPr>
              <w:t>……</w:t>
            </w:r>
          </w:p>
        </w:tc>
        <w:tc>
          <w:tcPr>
            <w:tcW w:w="1403" w:type="dxa"/>
            <w:vAlign w:val="center"/>
          </w:tcPr>
          <w:p w14:paraId="2DA39FE2">
            <w:pPr>
              <w:widowControl/>
              <w:spacing w:line="200" w:lineRule="exact"/>
              <w:jc w:val="center"/>
              <w:rPr>
                <w:rFonts w:ascii="宋体" w:hAnsi="宋体"/>
                <w:bCs/>
                <w:color w:val="auto"/>
                <w:szCs w:val="21"/>
                <w:highlight w:val="none"/>
              </w:rPr>
            </w:pPr>
            <w:r>
              <w:rPr>
                <w:rFonts w:hint="eastAsia" w:ascii="宋体" w:hAnsi="宋体" w:cs="宋体"/>
                <w:b w:val="0"/>
                <w:bCs/>
                <w:color w:val="auto"/>
                <w:szCs w:val="21"/>
                <w:highlight w:val="none"/>
              </w:rPr>
              <w:t>……</w:t>
            </w:r>
          </w:p>
        </w:tc>
      </w:tr>
    </w:tbl>
    <w:p w14:paraId="2530B21B">
      <w:pPr>
        <w:spacing w:line="500" w:lineRule="exact"/>
        <w:jc w:val="center"/>
        <w:rPr>
          <w:rFonts w:ascii="宋体" w:hAnsi="宋体"/>
          <w:color w:val="auto"/>
          <w:sz w:val="24"/>
          <w:highlight w:val="none"/>
        </w:rPr>
      </w:pPr>
    </w:p>
    <w:p w14:paraId="551F8C7B">
      <w:pPr>
        <w:spacing w:line="500" w:lineRule="exact"/>
        <w:rPr>
          <w:rFonts w:ascii="宋体" w:hAnsi="宋体"/>
          <w:color w:val="auto"/>
          <w:sz w:val="24"/>
          <w:highlight w:val="none"/>
        </w:rPr>
      </w:pPr>
    </w:p>
    <w:p w14:paraId="4770D85D">
      <w:pPr>
        <w:spacing w:line="500" w:lineRule="exact"/>
        <w:rPr>
          <w:rFonts w:ascii="宋体" w:hAnsi="宋体"/>
          <w:color w:val="auto"/>
          <w:sz w:val="24"/>
          <w:highlight w:val="none"/>
        </w:rPr>
      </w:pPr>
    </w:p>
    <w:p w14:paraId="7A7844F8">
      <w:pPr>
        <w:spacing w:line="500" w:lineRule="exact"/>
        <w:rPr>
          <w:rFonts w:ascii="宋体" w:hAnsi="宋体"/>
          <w:color w:val="auto"/>
          <w:sz w:val="24"/>
          <w:highlight w:val="none"/>
        </w:rPr>
      </w:pPr>
    </w:p>
    <w:p w14:paraId="26A5A03A">
      <w:pPr>
        <w:spacing w:line="500" w:lineRule="exact"/>
        <w:rPr>
          <w:rFonts w:ascii="宋体" w:hAnsi="宋体"/>
          <w:color w:val="auto"/>
          <w:sz w:val="24"/>
          <w:highlight w:val="none"/>
        </w:rPr>
      </w:pPr>
    </w:p>
    <w:p w14:paraId="51D21670">
      <w:pPr>
        <w:spacing w:line="500" w:lineRule="exact"/>
        <w:rPr>
          <w:rFonts w:ascii="宋体" w:hAnsi="宋体"/>
          <w:color w:val="auto"/>
          <w:sz w:val="24"/>
          <w:highlight w:val="none"/>
        </w:rPr>
      </w:pPr>
    </w:p>
    <w:p w14:paraId="2D9A8CB8">
      <w:pPr>
        <w:spacing w:line="500" w:lineRule="exact"/>
        <w:rPr>
          <w:rFonts w:ascii="宋体" w:hAnsi="宋体"/>
          <w:color w:val="auto"/>
          <w:sz w:val="24"/>
          <w:highlight w:val="none"/>
        </w:rPr>
      </w:pPr>
    </w:p>
    <w:p w14:paraId="67D05299">
      <w:pPr>
        <w:spacing w:line="500" w:lineRule="exact"/>
        <w:rPr>
          <w:rFonts w:ascii="宋体" w:hAnsi="宋体"/>
          <w:color w:val="auto"/>
          <w:sz w:val="24"/>
          <w:highlight w:val="none"/>
        </w:rPr>
      </w:pPr>
    </w:p>
    <w:p w14:paraId="2F7543E5">
      <w:pPr>
        <w:spacing w:line="500" w:lineRule="exact"/>
        <w:rPr>
          <w:rFonts w:ascii="宋体" w:hAnsi="宋体"/>
          <w:color w:val="auto"/>
          <w:sz w:val="24"/>
          <w:highlight w:val="none"/>
        </w:rPr>
      </w:pPr>
    </w:p>
    <w:p w14:paraId="3ABB84B2">
      <w:pPr>
        <w:spacing w:line="500" w:lineRule="exact"/>
        <w:rPr>
          <w:rFonts w:ascii="宋体" w:hAnsi="宋体"/>
          <w:color w:val="auto"/>
          <w:sz w:val="24"/>
          <w:highlight w:val="none"/>
        </w:rPr>
      </w:pPr>
    </w:p>
    <w:p w14:paraId="1F09A1E0">
      <w:pPr>
        <w:spacing w:line="500" w:lineRule="exact"/>
        <w:rPr>
          <w:rFonts w:ascii="宋体" w:hAnsi="宋体"/>
          <w:color w:val="auto"/>
          <w:sz w:val="24"/>
          <w:highlight w:val="none"/>
        </w:rPr>
      </w:pPr>
    </w:p>
    <w:p w14:paraId="0255B486">
      <w:pPr>
        <w:spacing w:line="500" w:lineRule="exact"/>
        <w:rPr>
          <w:rFonts w:ascii="宋体" w:hAnsi="宋体"/>
          <w:color w:val="auto"/>
          <w:sz w:val="24"/>
          <w:highlight w:val="none"/>
        </w:rPr>
      </w:pPr>
    </w:p>
    <w:p w14:paraId="506C153B">
      <w:pPr>
        <w:spacing w:line="500" w:lineRule="exact"/>
        <w:rPr>
          <w:rFonts w:ascii="宋体" w:hAnsi="宋体"/>
          <w:color w:val="auto"/>
          <w:sz w:val="24"/>
          <w:highlight w:val="none"/>
        </w:rPr>
      </w:pPr>
    </w:p>
    <w:p w14:paraId="6942DAC8">
      <w:pPr>
        <w:spacing w:line="500" w:lineRule="exact"/>
        <w:rPr>
          <w:rFonts w:ascii="宋体" w:hAnsi="宋体"/>
          <w:color w:val="auto"/>
          <w:sz w:val="24"/>
          <w:highlight w:val="none"/>
        </w:rPr>
      </w:pPr>
    </w:p>
    <w:p w14:paraId="37416C57">
      <w:pPr>
        <w:spacing w:line="500" w:lineRule="exact"/>
        <w:rPr>
          <w:rFonts w:ascii="宋体" w:hAnsi="宋体"/>
          <w:color w:val="auto"/>
          <w:sz w:val="24"/>
          <w:highlight w:val="none"/>
        </w:rPr>
      </w:pPr>
    </w:p>
    <w:p w14:paraId="3F650A94">
      <w:pPr>
        <w:spacing w:line="500" w:lineRule="exact"/>
        <w:rPr>
          <w:rFonts w:ascii="宋体" w:hAnsi="宋体"/>
          <w:color w:val="auto"/>
          <w:sz w:val="24"/>
          <w:highlight w:val="none"/>
        </w:rPr>
      </w:pPr>
    </w:p>
    <w:p w14:paraId="56AAB6E1">
      <w:pPr>
        <w:spacing w:line="500" w:lineRule="exact"/>
        <w:rPr>
          <w:rFonts w:ascii="宋体" w:hAnsi="宋体"/>
          <w:color w:val="auto"/>
          <w:sz w:val="24"/>
          <w:highlight w:val="none"/>
        </w:rPr>
      </w:pPr>
    </w:p>
    <w:p w14:paraId="49A297D0">
      <w:pPr>
        <w:spacing w:line="500" w:lineRule="exact"/>
        <w:rPr>
          <w:rFonts w:ascii="宋体" w:hAnsi="宋体"/>
          <w:color w:val="auto"/>
          <w:sz w:val="24"/>
          <w:highlight w:val="none"/>
        </w:rPr>
      </w:pPr>
    </w:p>
    <w:p w14:paraId="002A28C0">
      <w:pPr>
        <w:spacing w:line="500" w:lineRule="exact"/>
        <w:rPr>
          <w:rFonts w:ascii="宋体" w:hAnsi="宋体"/>
          <w:color w:val="auto"/>
          <w:sz w:val="24"/>
          <w:highlight w:val="none"/>
        </w:rPr>
      </w:pPr>
    </w:p>
    <w:p w14:paraId="037C9063">
      <w:pPr>
        <w:spacing w:line="500" w:lineRule="exact"/>
        <w:rPr>
          <w:rFonts w:ascii="宋体" w:hAnsi="宋体"/>
          <w:color w:val="auto"/>
          <w:sz w:val="24"/>
          <w:highlight w:val="none"/>
        </w:rPr>
      </w:pPr>
    </w:p>
    <w:p w14:paraId="3DC9D61C">
      <w:pPr>
        <w:spacing w:line="500" w:lineRule="exact"/>
        <w:rPr>
          <w:rFonts w:ascii="宋体" w:hAnsi="宋体"/>
          <w:color w:val="auto"/>
          <w:sz w:val="24"/>
          <w:highlight w:val="none"/>
        </w:rPr>
        <w:sectPr>
          <w:headerReference r:id="rId6" w:type="default"/>
          <w:footnotePr>
            <w:numFmt w:val="decimalEnclosedCircleChinese"/>
            <w:numRestart w:val="eachPage"/>
          </w:footnotePr>
          <w:pgSz w:w="11900" w:h="16838"/>
          <w:pgMar w:top="1417" w:right="1417" w:bottom="1417" w:left="1701" w:header="850" w:footer="624" w:gutter="0"/>
          <w:cols w:space="0" w:num="1"/>
          <w:rtlGutter w:val="0"/>
          <w:docGrid w:linePitch="312" w:charSpace="0"/>
        </w:sectPr>
      </w:pPr>
    </w:p>
    <w:p w14:paraId="6B05A753">
      <w:pPr>
        <w:pStyle w:val="20"/>
        <w:rPr>
          <w:rFonts w:hint="eastAsia"/>
          <w:color w:val="auto"/>
          <w:highlight w:val="none"/>
        </w:rPr>
      </w:pPr>
      <w:bookmarkStart w:id="91" w:name="_Toc53685580"/>
      <w:bookmarkStart w:id="92" w:name="_Toc27059750"/>
      <w:bookmarkStart w:id="93" w:name="_Toc27059852"/>
      <w:bookmarkStart w:id="94" w:name="_Toc53685581"/>
      <w:bookmarkStart w:id="95" w:name="_Toc27059479"/>
      <w:bookmarkStart w:id="96" w:name="_Toc27060648"/>
      <w:bookmarkStart w:id="97" w:name="_Toc519844458"/>
      <w:bookmarkStart w:id="98" w:name="_Toc27059660"/>
      <w:r>
        <w:rPr>
          <w:rFonts w:hint="default"/>
          <w:b w:val="0"/>
          <w:bCs w:val="0"/>
          <w:color w:val="auto"/>
          <w:szCs w:val="24"/>
          <w:highlight w:val="none"/>
          <w:lang w:val="en-US" w:eastAsia="zh-CN"/>
        </w:rPr>
        <w:t xml:space="preserve">第二章  </w:t>
      </w:r>
      <w:r>
        <w:rPr>
          <w:rFonts w:hint="default"/>
          <w:b w:val="0"/>
          <w:bCs w:val="0"/>
          <w:color w:val="auto"/>
          <w:szCs w:val="24"/>
          <w:highlight w:val="none"/>
        </w:rPr>
        <w:t>投标人须知</w:t>
      </w:r>
      <w:bookmarkEnd w:id="91"/>
    </w:p>
    <w:p w14:paraId="23133AED">
      <w:pPr>
        <w:rPr>
          <w:color w:val="auto"/>
          <w:highlight w:val="none"/>
        </w:rPr>
      </w:pPr>
      <w:r>
        <w:rPr>
          <w:rStyle w:val="175"/>
          <w:rFonts w:hint="eastAsia"/>
          <w:b/>
          <w:bCs w:val="0"/>
          <w:color w:val="auto"/>
          <w:szCs w:val="52"/>
          <w:highlight w:val="none"/>
        </w:rPr>
        <w:br w:type="page"/>
      </w:r>
    </w:p>
    <w:p w14:paraId="2D97ED20">
      <w:pPr>
        <w:rPr>
          <w:color w:val="auto"/>
          <w:highlight w:val="none"/>
        </w:rPr>
      </w:pPr>
    </w:p>
    <w:p w14:paraId="76B455B0">
      <w:pPr>
        <w:pStyle w:val="4"/>
        <w:rPr>
          <w:rFonts w:hint="eastAsia" w:ascii="黑体" w:hAnsi="黑体" w:eastAsia="黑体" w:cs="黑体"/>
          <w:b w:val="0"/>
          <w:bCs/>
          <w:color w:val="auto"/>
          <w:sz w:val="30"/>
          <w:szCs w:val="36"/>
          <w:highlight w:val="none"/>
        </w:rPr>
      </w:pPr>
      <w:r>
        <w:rPr>
          <w:rFonts w:hint="eastAsia" w:ascii="Times New Roman" w:hAnsi="Times New Roman" w:cs="Times New Roman"/>
          <w:b w:val="0"/>
          <w:bCs w:val="0"/>
          <w:color w:val="auto"/>
          <w:sz w:val="36"/>
          <w:szCs w:val="44"/>
          <w:highlight w:val="none"/>
        </w:rPr>
        <w:t>第二章  投标人须知</w:t>
      </w:r>
    </w:p>
    <w:p w14:paraId="6244C51C">
      <w:pPr>
        <w:pStyle w:val="5"/>
        <w:spacing w:before="0" w:beforeLines="0" w:after="0" w:afterLines="0" w:line="360" w:lineRule="auto"/>
        <w:rPr>
          <w:rFonts w:ascii="黑体" w:hAnsi="黑体"/>
          <w:color w:val="auto"/>
          <w:sz w:val="30"/>
          <w:szCs w:val="30"/>
          <w:highlight w:val="none"/>
        </w:rPr>
      </w:pPr>
      <w:r>
        <w:rPr>
          <w:rFonts w:hint="eastAsia" w:ascii="黑体" w:hAnsi="黑体"/>
          <w:color w:val="auto"/>
          <w:sz w:val="30"/>
          <w:szCs w:val="30"/>
          <w:highlight w:val="none"/>
        </w:rPr>
        <w:t>投标人须知前附表</w:t>
      </w:r>
      <w:bookmarkEnd w:id="92"/>
      <w:bookmarkEnd w:id="93"/>
      <w:bookmarkEnd w:id="94"/>
      <w:bookmarkEnd w:id="95"/>
      <w:bookmarkEnd w:id="96"/>
      <w:bookmarkEnd w:id="97"/>
      <w:bookmarkEnd w:id="98"/>
    </w:p>
    <w:p w14:paraId="33BEA04C">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“投标人须知前附表”是用于进一步明确正文中的未尽事宜，由招标人根据本项目具体特点和实际需要编写和填写，与正文无抵触且与招标文件其他章节相衔接。</w:t>
      </w:r>
      <w:r>
        <w:rPr>
          <w:rFonts w:hint="eastAsia" w:ascii="宋体" w:hAnsi="宋体"/>
          <w:color w:val="auto"/>
          <w:sz w:val="24"/>
          <w:highlight w:val="none"/>
        </w:rPr>
        <w:t>“投标人须知前附表”</w:t>
      </w:r>
      <w:r>
        <w:rPr>
          <w:rFonts w:hint="eastAsia" w:ascii="宋体" w:hAnsi="宋体" w:cs="宋体"/>
          <w:color w:val="auto"/>
          <w:sz w:val="24"/>
          <w:highlight w:val="none"/>
        </w:rPr>
        <w:t>内容与本须知正文不一致的，以</w:t>
      </w:r>
      <w:r>
        <w:rPr>
          <w:rFonts w:hint="eastAsia" w:ascii="宋体" w:hAnsi="宋体"/>
          <w:color w:val="auto"/>
          <w:sz w:val="24"/>
          <w:highlight w:val="none"/>
        </w:rPr>
        <w:t>“投标人须知前附表”</w:t>
      </w:r>
      <w:r>
        <w:rPr>
          <w:rFonts w:hint="eastAsia" w:ascii="宋体" w:hAnsi="宋体" w:cs="宋体"/>
          <w:color w:val="auto"/>
          <w:sz w:val="24"/>
          <w:highlight w:val="none"/>
        </w:rPr>
        <w:t>内容为准。“投标人须知前附表”中的附录表格同属“投标人须知前附表”内容，具有同等效力。</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145"/>
        <w:gridCol w:w="5833"/>
      </w:tblGrid>
      <w:tr w14:paraId="19FC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1" w:type="dxa"/>
            <w:vAlign w:val="center"/>
          </w:tcPr>
          <w:p w14:paraId="2AFFCB94">
            <w:pPr>
              <w:adjustRightInd w:val="0"/>
              <w:snapToGrid w:val="0"/>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2145" w:type="dxa"/>
            <w:vAlign w:val="center"/>
          </w:tcPr>
          <w:p w14:paraId="729C3626">
            <w:pPr>
              <w:adjustRightInd w:val="0"/>
              <w:snapToGrid w:val="0"/>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5833" w:type="dxa"/>
            <w:vAlign w:val="center"/>
          </w:tcPr>
          <w:p w14:paraId="7609F53A">
            <w:pPr>
              <w:adjustRightInd w:val="0"/>
              <w:snapToGrid w:val="0"/>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编列内容</w:t>
            </w:r>
          </w:p>
        </w:tc>
      </w:tr>
      <w:tr w14:paraId="5824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1B415C7">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w:t>
            </w:r>
          </w:p>
        </w:tc>
        <w:tc>
          <w:tcPr>
            <w:tcW w:w="2145" w:type="dxa"/>
            <w:vAlign w:val="center"/>
          </w:tcPr>
          <w:p w14:paraId="27E6A9B1">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招标人</w:t>
            </w:r>
          </w:p>
        </w:tc>
        <w:tc>
          <w:tcPr>
            <w:tcW w:w="5833" w:type="dxa"/>
            <w:vAlign w:val="center"/>
          </w:tcPr>
          <w:p w14:paraId="417D8EF8">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名称、地址、联系人、电话：见招标公告</w:t>
            </w:r>
          </w:p>
        </w:tc>
      </w:tr>
      <w:tr w14:paraId="612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69E8840">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1.1.3</w:t>
            </w:r>
          </w:p>
        </w:tc>
        <w:tc>
          <w:tcPr>
            <w:tcW w:w="2145" w:type="dxa"/>
            <w:vAlign w:val="center"/>
          </w:tcPr>
          <w:p w14:paraId="2D4D982F">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招标代理机构</w:t>
            </w:r>
          </w:p>
        </w:tc>
        <w:tc>
          <w:tcPr>
            <w:tcW w:w="5833" w:type="dxa"/>
            <w:vAlign w:val="center"/>
          </w:tcPr>
          <w:p w14:paraId="7EB06E39">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名称、地址、联系人、电话：见招标公告</w:t>
            </w:r>
          </w:p>
        </w:tc>
      </w:tr>
      <w:tr w14:paraId="3E17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503CDAE">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1.1.4</w:t>
            </w:r>
          </w:p>
        </w:tc>
        <w:tc>
          <w:tcPr>
            <w:tcW w:w="2145" w:type="dxa"/>
            <w:vAlign w:val="center"/>
          </w:tcPr>
          <w:p w14:paraId="0355DB03">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招标项目名称</w:t>
            </w:r>
          </w:p>
        </w:tc>
        <w:tc>
          <w:tcPr>
            <w:tcW w:w="5833" w:type="dxa"/>
            <w:vAlign w:val="center"/>
          </w:tcPr>
          <w:p w14:paraId="5D096AFF">
            <w:pPr>
              <w:adjustRightInd w:val="0"/>
              <w:snapToGrid w:val="0"/>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（招标类别）</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标段</w:t>
            </w:r>
          </w:p>
        </w:tc>
      </w:tr>
      <w:tr w14:paraId="585C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8A56C91">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1.1.5</w:t>
            </w:r>
          </w:p>
        </w:tc>
        <w:tc>
          <w:tcPr>
            <w:tcW w:w="2145" w:type="dxa"/>
            <w:vAlign w:val="center"/>
          </w:tcPr>
          <w:p w14:paraId="272FFED9">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建设地点</w:t>
            </w:r>
          </w:p>
        </w:tc>
        <w:tc>
          <w:tcPr>
            <w:tcW w:w="5833" w:type="dxa"/>
            <w:vAlign w:val="bottom"/>
          </w:tcPr>
          <w:p w14:paraId="0007A712">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见招标公告</w:t>
            </w:r>
          </w:p>
        </w:tc>
      </w:tr>
      <w:tr w14:paraId="1D5D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58F8CFB">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1.2.1</w:t>
            </w:r>
          </w:p>
        </w:tc>
        <w:tc>
          <w:tcPr>
            <w:tcW w:w="2145" w:type="dxa"/>
            <w:vAlign w:val="center"/>
          </w:tcPr>
          <w:p w14:paraId="37F2B51B">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资金来源及比例</w:t>
            </w:r>
          </w:p>
        </w:tc>
        <w:tc>
          <w:tcPr>
            <w:tcW w:w="5833" w:type="dxa"/>
            <w:vAlign w:val="center"/>
          </w:tcPr>
          <w:p w14:paraId="29DB1365">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见招标公告</w:t>
            </w:r>
          </w:p>
        </w:tc>
      </w:tr>
      <w:tr w14:paraId="7EC1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90BF418">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1.2.2</w:t>
            </w:r>
          </w:p>
        </w:tc>
        <w:tc>
          <w:tcPr>
            <w:tcW w:w="2145" w:type="dxa"/>
            <w:vAlign w:val="center"/>
          </w:tcPr>
          <w:p w14:paraId="5A19B79E">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资金落实情况</w:t>
            </w:r>
          </w:p>
        </w:tc>
        <w:tc>
          <w:tcPr>
            <w:tcW w:w="5833" w:type="dxa"/>
            <w:vAlign w:val="center"/>
          </w:tcPr>
          <w:p w14:paraId="717E16EC">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见招标公告</w:t>
            </w:r>
          </w:p>
        </w:tc>
      </w:tr>
      <w:tr w14:paraId="3AAD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FCBEB7D">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1.3.1</w:t>
            </w:r>
          </w:p>
        </w:tc>
        <w:tc>
          <w:tcPr>
            <w:tcW w:w="2145" w:type="dxa"/>
            <w:vAlign w:val="center"/>
          </w:tcPr>
          <w:p w14:paraId="084BEB5A">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招标范围</w:t>
            </w:r>
          </w:p>
        </w:tc>
        <w:tc>
          <w:tcPr>
            <w:tcW w:w="5833" w:type="dxa"/>
            <w:vAlign w:val="center"/>
          </w:tcPr>
          <w:p w14:paraId="431E9865">
            <w:pPr>
              <w:adjustRightInd w:val="0"/>
              <w:snapToGrid w:val="0"/>
              <w:spacing w:line="40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见招标公告</w:t>
            </w:r>
          </w:p>
        </w:tc>
      </w:tr>
      <w:tr w14:paraId="74E0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82E84C9">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1.3.2</w:t>
            </w:r>
          </w:p>
        </w:tc>
        <w:tc>
          <w:tcPr>
            <w:tcW w:w="2145" w:type="dxa"/>
            <w:vAlign w:val="center"/>
          </w:tcPr>
          <w:p w14:paraId="7769F86F">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计划工期</w:t>
            </w:r>
          </w:p>
        </w:tc>
        <w:tc>
          <w:tcPr>
            <w:tcW w:w="5833" w:type="dxa"/>
            <w:vAlign w:val="bottom"/>
          </w:tcPr>
          <w:p w14:paraId="261CF55A">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见招标公告</w:t>
            </w:r>
          </w:p>
        </w:tc>
      </w:tr>
      <w:tr w14:paraId="568A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A7AED42">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1.3.3</w:t>
            </w:r>
          </w:p>
        </w:tc>
        <w:tc>
          <w:tcPr>
            <w:tcW w:w="2145" w:type="dxa"/>
            <w:vAlign w:val="center"/>
          </w:tcPr>
          <w:p w14:paraId="7B2B9372">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质量要求</w:t>
            </w:r>
          </w:p>
        </w:tc>
        <w:tc>
          <w:tcPr>
            <w:tcW w:w="5833" w:type="dxa"/>
            <w:vAlign w:val="center"/>
          </w:tcPr>
          <w:p w14:paraId="22CF7F0F">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标段工程交工验收的质量评定：合格 </w:t>
            </w:r>
          </w:p>
          <w:p w14:paraId="3B8DA8EA">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标段工程竣工验收的质量评定：□优良  □合格</w:t>
            </w:r>
          </w:p>
          <w:p w14:paraId="0B7A29C2">
            <w:pPr>
              <w:pStyle w:val="299"/>
              <w:adjustRightInd w:val="0"/>
              <w:snapToGrid w:val="0"/>
              <w:spacing w:line="40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房建工程交（竣）工验收的质量评定</w:t>
            </w:r>
            <w:r>
              <w:rPr>
                <w:rStyle w:val="59"/>
                <w:rFonts w:ascii="宋体" w:hAnsi="宋体" w:cs="宋体"/>
                <w:color w:val="auto"/>
                <w:szCs w:val="21"/>
                <w:highlight w:val="none"/>
              </w:rPr>
              <w:footnoteReference w:id="24"/>
            </w:r>
            <w:r>
              <w:rPr>
                <w:rFonts w:hint="eastAsia" w:ascii="宋体" w:hAnsi="宋体" w:cs="宋体"/>
                <w:color w:val="auto"/>
                <w:szCs w:val="21"/>
                <w:highlight w:val="none"/>
              </w:rPr>
              <w:t>：合格</w:t>
            </w:r>
          </w:p>
          <w:p w14:paraId="1D96C47C">
            <w:pPr>
              <w:adjustRightInd w:val="0"/>
              <w:snapToGrid w:val="0"/>
              <w:spacing w:line="400" w:lineRule="exact"/>
              <w:rPr>
                <w:rFonts w:asciiTheme="minorEastAsia" w:hAnsiTheme="minorEastAsia" w:eastAsiaTheme="minorEastAsia"/>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9"/>
                <w:rFonts w:ascii="宋体" w:hAnsi="宋体" w:cs="宋体"/>
                <w:color w:val="auto"/>
                <w:szCs w:val="21"/>
                <w:highlight w:val="none"/>
              </w:rPr>
              <w:footnoteReference w:id="25"/>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0FFB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6627B78">
            <w:pPr>
              <w:pStyle w:val="33"/>
              <w:adjustRightInd w:val="0"/>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1.3.4</w:t>
            </w:r>
          </w:p>
        </w:tc>
        <w:tc>
          <w:tcPr>
            <w:tcW w:w="2145" w:type="dxa"/>
            <w:vAlign w:val="center"/>
          </w:tcPr>
          <w:p w14:paraId="45060984">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安全目标</w:t>
            </w:r>
            <w:r>
              <w:rPr>
                <w:rFonts w:asciiTheme="minorEastAsia" w:hAnsiTheme="minorEastAsia" w:eastAsiaTheme="minorEastAsia"/>
                <w:color w:val="auto"/>
                <w:szCs w:val="21"/>
                <w:highlight w:val="none"/>
                <w:vertAlign w:val="superscript"/>
              </w:rPr>
              <w:footnoteReference w:id="26"/>
            </w:r>
          </w:p>
        </w:tc>
        <w:tc>
          <w:tcPr>
            <w:tcW w:w="5833" w:type="dxa"/>
            <w:vAlign w:val="center"/>
          </w:tcPr>
          <w:p w14:paraId="07D7A8FC">
            <w:pPr>
              <w:adjustRightInd w:val="0"/>
              <w:snapToGrid w:val="0"/>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p>
        </w:tc>
      </w:tr>
      <w:tr w14:paraId="3526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77E4B02">
            <w:pPr>
              <w:pStyle w:val="33"/>
              <w:adjustRightInd w:val="0"/>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1.4.1</w:t>
            </w:r>
          </w:p>
        </w:tc>
        <w:tc>
          <w:tcPr>
            <w:tcW w:w="2145" w:type="dxa"/>
            <w:vAlign w:val="center"/>
          </w:tcPr>
          <w:p w14:paraId="22FF3B9C">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投标人资质条件、能力和信誉</w:t>
            </w:r>
          </w:p>
        </w:tc>
        <w:tc>
          <w:tcPr>
            <w:tcW w:w="5833" w:type="dxa"/>
            <w:vAlign w:val="center"/>
          </w:tcPr>
          <w:p w14:paraId="6D5B0CFF">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资质最低要求：见附录1</w:t>
            </w:r>
          </w:p>
          <w:p w14:paraId="0A00EFFA">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财务最低要求：见附录2</w:t>
            </w:r>
          </w:p>
          <w:p w14:paraId="534811CA">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业绩最低要求：见附录3</w:t>
            </w:r>
          </w:p>
          <w:p w14:paraId="4D4C59C4">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信誉最低要求：见附录4</w:t>
            </w:r>
          </w:p>
          <w:p w14:paraId="68FECF0C">
            <w:pPr>
              <w:adjustRightInd w:val="0"/>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主要人员最低要求：</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见附录5</w:t>
            </w:r>
          </w:p>
          <w:p w14:paraId="55F913E9">
            <w:pPr>
              <w:adjustRightInd w:val="0"/>
              <w:snapToGrid w:val="0"/>
              <w:spacing w:line="400" w:lineRule="exact"/>
              <w:ind w:firstLine="1897" w:firstLineChars="9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无</w:t>
            </w:r>
          </w:p>
          <w:p w14:paraId="5DABE9A7">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r>
              <w:rPr>
                <w:rFonts w:hint="eastAsia" w:ascii="宋体" w:hAnsi="宋体" w:eastAsia="宋体" w:cs="宋体"/>
                <w:color w:val="auto"/>
                <w:szCs w:val="21"/>
                <w:highlight w:val="none"/>
                <w:vertAlign w:val="superscript"/>
              </w:rPr>
              <w:footnoteReference w:id="27"/>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见附录6</w:t>
            </w:r>
          </w:p>
          <w:p w14:paraId="3524B7B3">
            <w:pPr>
              <w:adjustRightInd w:val="0"/>
              <w:snapToGrid w:val="0"/>
              <w:spacing w:line="400" w:lineRule="exact"/>
              <w:ind w:firstLine="1265" w:firstLineChars="6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见附录7</w:t>
            </w:r>
          </w:p>
          <w:p w14:paraId="373CBD78">
            <w:pPr>
              <w:adjustRightInd w:val="0"/>
              <w:snapToGrid w:val="0"/>
              <w:spacing w:line="400" w:lineRule="exact"/>
              <w:ind w:firstLine="1265" w:firstLineChars="600"/>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见附录</w:t>
            </w:r>
            <w:r>
              <w:rPr>
                <w:rFonts w:hint="eastAsia" w:ascii="宋体" w:hAnsi="宋体" w:eastAsia="宋体" w:cs="宋体"/>
                <w:color w:val="auto"/>
                <w:szCs w:val="21"/>
                <w:highlight w:val="none"/>
                <w:lang w:val="en-US" w:eastAsia="zh-CN"/>
              </w:rPr>
              <w:t>8</w:t>
            </w:r>
          </w:p>
          <w:p w14:paraId="6EE7B9F8">
            <w:pPr>
              <w:adjustRightInd w:val="0"/>
              <w:snapToGrid w:val="0"/>
              <w:spacing w:line="400" w:lineRule="exact"/>
              <w:ind w:firstLine="1265" w:firstLineChars="600"/>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无</w:t>
            </w:r>
          </w:p>
          <w:p w14:paraId="620B543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注：上述要求应附相关证明材料，证明材料以第九章“投标文件格式”中要求为准</w:t>
            </w:r>
          </w:p>
        </w:tc>
      </w:tr>
      <w:tr w14:paraId="3E31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8E8E7F5">
            <w:pPr>
              <w:pStyle w:val="33"/>
              <w:adjustRightInd w:val="0"/>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1.4.2</w:t>
            </w:r>
          </w:p>
        </w:tc>
        <w:tc>
          <w:tcPr>
            <w:tcW w:w="2145" w:type="dxa"/>
            <w:vAlign w:val="center"/>
          </w:tcPr>
          <w:p w14:paraId="1D5B159F">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是否接受</w:t>
            </w:r>
          </w:p>
          <w:p w14:paraId="68FB7389">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联合体投标</w:t>
            </w:r>
          </w:p>
        </w:tc>
        <w:tc>
          <w:tcPr>
            <w:tcW w:w="5833" w:type="dxa"/>
            <w:vAlign w:val="center"/>
          </w:tcPr>
          <w:p w14:paraId="55328501">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标段，不接受</w:t>
            </w:r>
          </w:p>
          <w:p w14:paraId="71E0C83D">
            <w:pPr>
              <w:pStyle w:val="299"/>
              <w:adjustRightInd w:val="0"/>
              <w:snapToGrid w:val="0"/>
              <w:spacing w:line="4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标段，接受，应满足下列要求</w:t>
            </w:r>
            <w:r>
              <w:rPr>
                <w:rStyle w:val="59"/>
                <w:rFonts w:hint="eastAsia" w:asciiTheme="minorEastAsia" w:hAnsiTheme="minorEastAsia" w:eastAsiaTheme="minorEastAsia"/>
                <w:color w:val="auto"/>
                <w:szCs w:val="21"/>
                <w:highlight w:val="none"/>
              </w:rPr>
              <w:footnoteReference w:id="28"/>
            </w:r>
            <w:r>
              <w:rPr>
                <w:rFonts w:hint="eastAsia" w:asciiTheme="minorEastAsia" w:hAnsiTheme="minorEastAsia" w:eastAsiaTheme="minorEastAsia"/>
                <w:color w:val="auto"/>
                <w:szCs w:val="21"/>
                <w:highlight w:val="none"/>
              </w:rPr>
              <w:t>：</w:t>
            </w:r>
          </w:p>
          <w:p w14:paraId="5225E24F">
            <w:pPr>
              <w:pStyle w:val="299"/>
              <w:adjustRightInd w:val="0"/>
              <w:snapToGrid w:val="0"/>
              <w:spacing w:line="400" w:lineRule="exact"/>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1）联合体所有成员数量不得超过</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家；</w:t>
            </w:r>
          </w:p>
          <w:p w14:paraId="7317D67C">
            <w:pPr>
              <w:pStyle w:val="256"/>
              <w:tabs>
                <w:tab w:val="left" w:pos="477"/>
              </w:tabs>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2）联合体应具有的资格条件要求：</w:t>
            </w:r>
            <w:r>
              <w:rPr>
                <w:rFonts w:hint="eastAsia" w:asciiTheme="minorEastAsia" w:hAnsiTheme="minorEastAsia" w:eastAsiaTheme="minorEastAsia"/>
                <w:color w:val="auto"/>
                <w:szCs w:val="21"/>
                <w:highlight w:val="none"/>
                <w:u w:val="single"/>
              </w:rPr>
              <w:t>见投标人须知前附表附录资格审查条件</w:t>
            </w:r>
            <w:r>
              <w:rPr>
                <w:rFonts w:hint="eastAsia" w:asciiTheme="minorEastAsia" w:hAnsiTheme="minorEastAsia" w:eastAsiaTheme="minorEastAsia"/>
                <w:color w:val="auto"/>
                <w:szCs w:val="21"/>
                <w:highlight w:val="none"/>
              </w:rPr>
              <w:t>；</w:t>
            </w:r>
          </w:p>
          <w:p w14:paraId="207DC35D">
            <w:pPr>
              <w:pStyle w:val="299"/>
              <w:adjustRightInd w:val="0"/>
              <w:snapToGrid w:val="0"/>
              <w:spacing w:line="4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w:t>
            </w:r>
            <w:r>
              <w:rPr>
                <w:rFonts w:hint="eastAsia" w:ascii="宋体" w:hAnsi="宋体" w:eastAsia="宋体" w:cs="宋体"/>
                <w:color w:val="auto"/>
                <w:szCs w:val="21"/>
                <w:highlight w:val="none"/>
                <w:u w:val="single"/>
              </w:rPr>
              <w:t>……</w:t>
            </w:r>
          </w:p>
          <w:p w14:paraId="6E6F9E22">
            <w:pPr>
              <w:pStyle w:val="256"/>
              <w:tabs>
                <w:tab w:val="left" w:pos="477"/>
              </w:tabs>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注：本次招标未列入接受联合体投标的标段均视为不接受联合体</w:t>
            </w:r>
          </w:p>
        </w:tc>
      </w:tr>
      <w:tr w14:paraId="4F05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22D1A38">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1.4.3</w:t>
            </w:r>
          </w:p>
        </w:tc>
        <w:tc>
          <w:tcPr>
            <w:tcW w:w="2145" w:type="dxa"/>
            <w:vAlign w:val="center"/>
          </w:tcPr>
          <w:p w14:paraId="1C0F2ED7">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投标人不得存在的其他关联情形</w:t>
            </w:r>
          </w:p>
        </w:tc>
        <w:tc>
          <w:tcPr>
            <w:tcW w:w="5833" w:type="dxa"/>
            <w:vAlign w:val="center"/>
          </w:tcPr>
          <w:p w14:paraId="5E271DCD">
            <w:pPr>
              <w:pStyle w:val="256"/>
              <w:adjustRightInd w:val="0"/>
              <w:snapToGrid w:val="0"/>
              <w:spacing w:line="400" w:lineRule="exact"/>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1．第（3）目补充：单位负责人，是指单位法定代表人或者法律、行政法规规定代表单位行使职权的主要负责人</w:t>
            </w:r>
            <w:r>
              <w:rPr>
                <w:rFonts w:hint="eastAsia" w:asciiTheme="minorEastAsia" w:hAnsiTheme="minorEastAsia" w:eastAsiaTheme="minorEastAsia"/>
                <w:color w:val="auto"/>
                <w:szCs w:val="21"/>
                <w:highlight w:val="none"/>
                <w:lang w:eastAsia="zh-CN"/>
              </w:rPr>
              <w:t>；</w:t>
            </w:r>
          </w:p>
          <w:p w14:paraId="105C704F">
            <w:pPr>
              <w:pStyle w:val="256"/>
              <w:adjustRightInd w:val="0"/>
              <w:snapToGrid w:val="0"/>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2．第（4）</w:t>
            </w:r>
            <w:r>
              <w:rPr>
                <w:rFonts w:hint="eastAsia" w:asciiTheme="minorEastAsia" w:hAnsiTheme="minorEastAsia" w:eastAsiaTheme="minorEastAsia"/>
                <w:color w:val="auto"/>
                <w:szCs w:val="21"/>
                <w:highlight w:val="none"/>
              </w:rPr>
              <w:t>目补充：</w:t>
            </w:r>
          </w:p>
          <w:p w14:paraId="5101F9A3">
            <w:pPr>
              <w:pStyle w:val="256"/>
              <w:adjustRightInd w:val="0"/>
              <w:snapToGrid w:val="0"/>
              <w:spacing w:line="400" w:lineRule="exact"/>
              <w:ind w:firstLine="210" w:firstLineChars="1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color w:val="auto"/>
                <w:szCs w:val="21"/>
                <w:highlight w:val="none"/>
                <w:lang w:val="en-US" w:eastAsia="zh-CN"/>
              </w:rPr>
              <w:t>股东</w:t>
            </w:r>
            <w:r>
              <w:rPr>
                <w:rFonts w:asciiTheme="minorEastAsia" w:hAnsiTheme="minorEastAsia" w:eastAsiaTheme="minorEastAsia"/>
                <w:color w:val="auto"/>
                <w:szCs w:val="21"/>
                <w:highlight w:val="none"/>
              </w:rPr>
              <w:t>。</w:t>
            </w:r>
          </w:p>
          <w:p w14:paraId="4440A640">
            <w:pPr>
              <w:pStyle w:val="256"/>
              <w:adjustRightInd w:val="0"/>
              <w:snapToGrid w:val="0"/>
              <w:spacing w:line="400" w:lineRule="exact"/>
              <w:ind w:firstLine="210" w:firstLineChars="100"/>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管理关系，是指不具有出资持股关系的其他单位之间存在的管理与被管理关系</w:t>
            </w:r>
            <w:r>
              <w:rPr>
                <w:rFonts w:hint="eastAsia" w:asciiTheme="minorEastAsia" w:hAnsiTheme="minorEastAsia" w:eastAsiaTheme="minorEastAsia"/>
                <w:color w:val="auto"/>
                <w:szCs w:val="21"/>
                <w:highlight w:val="none"/>
                <w:lang w:eastAsia="zh-CN"/>
              </w:rPr>
              <w:t>；</w:t>
            </w:r>
          </w:p>
          <w:p w14:paraId="4D21A5F4">
            <w:pPr>
              <w:pStyle w:val="256"/>
              <w:adjustRightInd w:val="0"/>
              <w:snapToGrid w:val="0"/>
              <w:spacing w:line="400" w:lineRule="exact"/>
              <w:rPr>
                <w:rFonts w:cs="Times New Roman"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3．第（1</w:t>
            </w:r>
            <w:r>
              <w:rPr>
                <w:rFonts w:hint="eastAsia" w:asciiTheme="minorEastAsia" w:hAnsiTheme="minorEastAsia" w:eastAsiaTheme="minorEastAsia"/>
                <w:color w:val="auto"/>
                <w:szCs w:val="21"/>
                <w:highlight w:val="none"/>
                <w:lang w:val="en-US" w:eastAsia="zh-CN"/>
              </w:rPr>
              <w:t>2</w:t>
            </w:r>
            <w:r>
              <w:rPr>
                <w:rFonts w:asciiTheme="minorEastAsia" w:hAnsiTheme="minorEastAsia" w:eastAsiaTheme="minorEastAsia"/>
                <w:color w:val="auto"/>
                <w:szCs w:val="21"/>
                <w:highlight w:val="none"/>
              </w:rPr>
              <w:t>）目其他关联</w:t>
            </w:r>
            <w:r>
              <w:rPr>
                <w:rFonts w:hint="eastAsia" w:asciiTheme="minorEastAsia" w:hAnsiTheme="minorEastAsia" w:eastAsiaTheme="minorEastAsia"/>
                <w:color w:val="auto"/>
                <w:szCs w:val="21"/>
                <w:highlight w:val="none"/>
                <w:lang w:val="en-US" w:eastAsia="zh-CN"/>
              </w:rPr>
              <w:t>情形</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 xml:space="preserve">                </w:t>
            </w:r>
          </w:p>
        </w:tc>
      </w:tr>
      <w:tr w14:paraId="68C8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B4A99AE">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1.4.4</w:t>
            </w:r>
          </w:p>
        </w:tc>
        <w:tc>
          <w:tcPr>
            <w:tcW w:w="2145" w:type="dxa"/>
            <w:vAlign w:val="center"/>
          </w:tcPr>
          <w:p w14:paraId="12766BBE">
            <w:pPr>
              <w:adjustRightInd w:val="0"/>
              <w:snapToGrid w:val="0"/>
              <w:spacing w:line="40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投标人不得存在的其他不良状况或不良信用记录</w:t>
            </w:r>
          </w:p>
        </w:tc>
        <w:tc>
          <w:tcPr>
            <w:tcW w:w="5833" w:type="dxa"/>
            <w:vAlign w:val="center"/>
          </w:tcPr>
          <w:p w14:paraId="4C2E0972">
            <w:pPr>
              <w:adjustRightInd w:val="0"/>
              <w:snapToGrid w:val="0"/>
              <w:spacing w:line="400" w:lineRule="exact"/>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1．本项第（4）、（5）、（6）目要求见本</w:t>
            </w:r>
            <w:r>
              <w:rPr>
                <w:rFonts w:hint="eastAsia" w:asciiTheme="minorEastAsia" w:hAnsiTheme="minorEastAsia" w:eastAsiaTheme="minorEastAsia"/>
                <w:color w:val="auto"/>
                <w:szCs w:val="21"/>
                <w:highlight w:val="none"/>
              </w:rPr>
              <w:t>须知</w:t>
            </w:r>
            <w:r>
              <w:rPr>
                <w:rFonts w:asciiTheme="minorEastAsia" w:hAnsiTheme="minorEastAsia" w:eastAsiaTheme="minorEastAsia"/>
                <w:color w:val="auto"/>
                <w:szCs w:val="21"/>
                <w:highlight w:val="none"/>
              </w:rPr>
              <w:t>前附表第1.4.1项</w:t>
            </w:r>
            <w:r>
              <w:rPr>
                <w:rFonts w:hint="eastAsia" w:asciiTheme="minorEastAsia" w:hAnsiTheme="minorEastAsia" w:eastAsiaTheme="minorEastAsia"/>
                <w:color w:val="auto"/>
                <w:szCs w:val="21"/>
                <w:highlight w:val="none"/>
                <w:lang w:val="en-US" w:eastAsia="zh-CN"/>
              </w:rPr>
              <w:t>中“信誉最低要求”</w:t>
            </w:r>
            <w:r>
              <w:rPr>
                <w:rFonts w:hint="eastAsia" w:asciiTheme="minorEastAsia" w:hAnsiTheme="minorEastAsia" w:eastAsiaTheme="minorEastAsia"/>
                <w:color w:val="auto"/>
                <w:szCs w:val="21"/>
                <w:highlight w:val="none"/>
                <w:lang w:eastAsia="zh-CN"/>
              </w:rPr>
              <w:t>；</w:t>
            </w:r>
          </w:p>
          <w:p w14:paraId="0E7370D9">
            <w:pPr>
              <w:adjustRightInd w:val="0"/>
              <w:snapToGrid w:val="0"/>
              <w:spacing w:line="400" w:lineRule="exact"/>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第（</w:t>
            </w:r>
            <w:r>
              <w:rPr>
                <w:rFonts w:asciiTheme="minorEastAsia" w:hAnsiTheme="minorEastAsia" w:eastAsiaTheme="minorEastAsia"/>
                <w:color w:val="auto"/>
                <w:szCs w:val="21"/>
                <w:highlight w:val="none"/>
              </w:rPr>
              <w:t>7）目</w:t>
            </w:r>
            <w:r>
              <w:rPr>
                <w:rFonts w:hint="eastAsia" w:asciiTheme="minorEastAsia" w:hAnsiTheme="minorEastAsia" w:eastAsiaTheme="minorEastAsia"/>
                <w:color w:val="auto"/>
                <w:szCs w:val="21"/>
                <w:highlight w:val="none"/>
              </w:rPr>
              <w:t>其他不良状况或不良</w:t>
            </w:r>
            <w:r>
              <w:rPr>
                <w:rFonts w:hint="eastAsia" w:asciiTheme="minorEastAsia" w:hAnsiTheme="minorEastAsia" w:eastAsiaTheme="minorEastAsia"/>
                <w:color w:val="auto"/>
                <w:szCs w:val="21"/>
                <w:highlight w:val="none"/>
                <w:lang w:val="en-US" w:eastAsia="zh-CN"/>
              </w:rPr>
              <w:t>信用</w:t>
            </w:r>
            <w:r>
              <w:rPr>
                <w:rFonts w:hint="eastAsia" w:asciiTheme="minorEastAsia" w:hAnsiTheme="minorEastAsia" w:eastAsiaTheme="minorEastAsia"/>
                <w:color w:val="auto"/>
                <w:szCs w:val="21"/>
                <w:highlight w:val="none"/>
              </w:rPr>
              <w:t>记录：</w:t>
            </w:r>
            <w:r>
              <w:rPr>
                <w:rFonts w:asciiTheme="minorEastAsia" w:hAnsiTheme="minorEastAsia" w:eastAsiaTheme="minorEastAsia"/>
                <w:color w:val="auto"/>
                <w:szCs w:val="21"/>
                <w:highlight w:val="none"/>
                <w:u w:val="single"/>
              </w:rPr>
              <w:t xml:space="preserve">                 </w:t>
            </w:r>
          </w:p>
        </w:tc>
      </w:tr>
      <w:tr w14:paraId="7EA2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388CD91">
            <w:pPr>
              <w:wordWrap w:val="0"/>
              <w:adjustRightInd w:val="0"/>
              <w:snapToGrid w:val="0"/>
              <w:spacing w:line="340" w:lineRule="exact"/>
              <w:jc w:val="center"/>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lang w:val="en-US" w:eastAsia="zh-CN"/>
              </w:rPr>
              <w:t>1.4.5</w:t>
            </w:r>
          </w:p>
        </w:tc>
        <w:tc>
          <w:tcPr>
            <w:tcW w:w="2145" w:type="dxa"/>
            <w:vAlign w:val="center"/>
          </w:tcPr>
          <w:p w14:paraId="32A80856">
            <w:pPr>
              <w:wordWrap w:val="0"/>
              <w:adjustRightInd w:val="0"/>
              <w:snapToGrid w:val="0"/>
              <w:spacing w:line="34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lang w:val="en-US" w:eastAsia="zh-CN"/>
              </w:rPr>
              <w:t>投标人应进入交通运输部“</w:t>
            </w:r>
            <w:r>
              <w:rPr>
                <w:rFonts w:hint="eastAsia" w:ascii="宋体" w:hAnsi="宋体" w:cs="宋体"/>
                <w:color w:val="auto"/>
                <w:szCs w:val="21"/>
                <w:highlight w:val="none"/>
              </w:rPr>
              <w:t>全国公路建设市场监督管理系统</w:t>
            </w:r>
            <w:r>
              <w:rPr>
                <w:rFonts w:hint="eastAsia" w:asciiTheme="minorEastAsia" w:hAnsiTheme="minorEastAsia" w:eastAsiaTheme="minorEastAsia"/>
                <w:color w:val="auto"/>
                <w:szCs w:val="21"/>
                <w:highlight w:val="none"/>
                <w:lang w:val="en-US" w:eastAsia="zh-CN"/>
              </w:rPr>
              <w:t>”中的施工资质企业名录</w:t>
            </w:r>
          </w:p>
        </w:tc>
        <w:tc>
          <w:tcPr>
            <w:tcW w:w="5833" w:type="dxa"/>
            <w:vAlign w:val="center"/>
          </w:tcPr>
          <w:p w14:paraId="6BEB585D">
            <w:pPr>
              <w:adjustRightInd w:val="0"/>
              <w:snapToGrid w:val="0"/>
              <w:spacing w:line="34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采纳</w:t>
            </w:r>
          </w:p>
          <w:p w14:paraId="30EAF118">
            <w:pPr>
              <w:wordWrap w:val="0"/>
              <w:adjustRightInd w:val="0"/>
              <w:snapToGrid w:val="0"/>
              <w:spacing w:line="34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不采纳</w:t>
            </w:r>
          </w:p>
        </w:tc>
      </w:tr>
      <w:tr w14:paraId="10D1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0F7CC66">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1.10.2</w:t>
            </w:r>
          </w:p>
        </w:tc>
        <w:tc>
          <w:tcPr>
            <w:tcW w:w="2145" w:type="dxa"/>
            <w:vAlign w:val="center"/>
          </w:tcPr>
          <w:p w14:paraId="5984C977">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投标人在投标预备会前提出问题</w:t>
            </w:r>
          </w:p>
        </w:tc>
        <w:tc>
          <w:tcPr>
            <w:tcW w:w="5833" w:type="dxa"/>
            <w:vAlign w:val="center"/>
          </w:tcPr>
          <w:p w14:paraId="25E27634">
            <w:pPr>
              <w:adjustRightInd w:val="0"/>
              <w:snapToGrid w:val="0"/>
              <w:spacing w:line="400" w:lineRule="exact"/>
              <w:ind w:left="420" w:hanging="420" w:hanging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时间：在召开预备会时间之前（如有）</w:t>
            </w:r>
          </w:p>
          <w:p w14:paraId="4B52A823">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形式：以匿名方式在“</w:t>
            </w:r>
            <w:r>
              <w:rPr>
                <w:rFonts w:hint="eastAsia" w:asciiTheme="minorEastAsia" w:hAnsiTheme="minorEastAsia" w:eastAsiaTheme="minorEastAsia"/>
                <w:color w:val="auto"/>
                <w:szCs w:val="21"/>
                <w:highlight w:val="none"/>
                <w:lang w:eastAsia="zh-CN"/>
              </w:rPr>
              <w:t>电子交易系统</w:t>
            </w:r>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lang w:val="en-US" w:eastAsia="zh-CN"/>
              </w:rPr>
              <w:t>澄清与异议</w:t>
            </w:r>
            <w:r>
              <w:rPr>
                <w:rFonts w:hint="eastAsia" w:asciiTheme="minorEastAsia" w:hAnsiTheme="minorEastAsia" w:eastAsiaTheme="minorEastAsia"/>
                <w:color w:val="auto"/>
                <w:szCs w:val="21"/>
                <w:highlight w:val="none"/>
              </w:rPr>
              <w:t>”菜单中提出问题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也可采用</w:t>
            </w:r>
            <w:r>
              <w:rPr>
                <w:rFonts w:hint="eastAsia" w:ascii="宋体" w:hAnsi="宋体" w:eastAsia="宋体" w:cs="宋体"/>
                <w:snapToGrid w:val="0"/>
                <w:color w:val="auto"/>
                <w:kern w:val="0"/>
                <w:highlight w:val="none"/>
                <w:lang w:val="en-US" w:eastAsia="zh-CN"/>
              </w:rPr>
              <w:t>匿名书面方式进行</w:t>
            </w:r>
          </w:p>
        </w:tc>
      </w:tr>
      <w:tr w14:paraId="0EAE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B317E7F">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1.11.1</w:t>
            </w:r>
          </w:p>
        </w:tc>
        <w:tc>
          <w:tcPr>
            <w:tcW w:w="2145" w:type="dxa"/>
            <w:vAlign w:val="center"/>
          </w:tcPr>
          <w:p w14:paraId="72CF87C5">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w:t>
            </w:r>
          </w:p>
        </w:tc>
        <w:tc>
          <w:tcPr>
            <w:tcW w:w="5833" w:type="dxa"/>
            <w:vAlign w:val="center"/>
          </w:tcPr>
          <w:p w14:paraId="558BA7A2">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不允许</w:t>
            </w:r>
          </w:p>
          <w:p w14:paraId="64A74225">
            <w:pPr>
              <w:adjustRightInd w:val="0"/>
              <w:snapToGrid w:val="0"/>
              <w:spacing w:line="400" w:lineRule="exact"/>
              <w:ind w:left="211" w:hanging="211" w:hanging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允许：</w:t>
            </w:r>
          </w:p>
          <w:p w14:paraId="5F1CB0EB">
            <w:pPr>
              <w:adjustRightInd w:val="0"/>
              <w:snapToGrid w:val="0"/>
              <w:spacing w:line="400" w:lineRule="exact"/>
              <w:ind w:left="0" w:leftChars="0" w:firstLine="210" w:firstLineChars="1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□允许分包的专项工程：</w:t>
            </w:r>
            <w:r>
              <w:rPr>
                <w:rFonts w:cs="宋体" w:asciiTheme="minorEastAsia" w:hAnsiTheme="minorEastAsia" w:eastAsiaTheme="minorEastAsia"/>
                <w:color w:val="auto"/>
                <w:szCs w:val="21"/>
                <w:highlight w:val="none"/>
                <w:u w:val="single"/>
              </w:rPr>
              <w:t xml:space="preserve">                </w:t>
            </w:r>
          </w:p>
          <w:p w14:paraId="0380E4E6">
            <w:pPr>
              <w:adjustRightInd w:val="0"/>
              <w:snapToGrid w:val="0"/>
              <w:spacing w:line="400" w:lineRule="exact"/>
              <w:ind w:firstLine="210" w:firstLineChars="1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对分包人的资格要求：</w:t>
            </w:r>
            <w:r>
              <w:rPr>
                <w:rFonts w:cs="宋体" w:asciiTheme="minorEastAsia" w:hAnsiTheme="minorEastAsia" w:eastAsiaTheme="minorEastAsia"/>
                <w:color w:val="auto"/>
                <w:szCs w:val="21"/>
                <w:highlight w:val="none"/>
                <w:u w:val="single"/>
              </w:rPr>
              <w:t xml:space="preserve">              </w:t>
            </w:r>
          </w:p>
        </w:tc>
      </w:tr>
      <w:tr w14:paraId="26C8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6CEEA67">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1.12.3</w:t>
            </w:r>
          </w:p>
        </w:tc>
        <w:tc>
          <w:tcPr>
            <w:tcW w:w="2145" w:type="dxa"/>
            <w:vAlign w:val="center"/>
          </w:tcPr>
          <w:p w14:paraId="16F12AAF">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细微偏差</w:t>
            </w:r>
          </w:p>
        </w:tc>
        <w:tc>
          <w:tcPr>
            <w:tcW w:w="5833" w:type="dxa"/>
            <w:vAlign w:val="center"/>
          </w:tcPr>
          <w:p w14:paraId="5EC2182E">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本项细化为：</w:t>
            </w:r>
          </w:p>
          <w:p w14:paraId="535B9EE5">
            <w:pPr>
              <w:adjustRightInd w:val="0"/>
              <w:snapToGrid w:val="0"/>
              <w:spacing w:line="400" w:lineRule="exact"/>
              <w:ind w:firstLine="210" w:firstLineChars="1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投标文件存在第三章“评标办法”中所列任一否决投标情形以外的情况均视为细微偏差</w:t>
            </w:r>
          </w:p>
        </w:tc>
      </w:tr>
      <w:tr w14:paraId="3620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F24DAF0">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1.12.4</w:t>
            </w:r>
          </w:p>
        </w:tc>
        <w:tc>
          <w:tcPr>
            <w:tcW w:w="2145" w:type="dxa"/>
            <w:vAlign w:val="center"/>
          </w:tcPr>
          <w:p w14:paraId="351181E1">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细微偏差的处理</w:t>
            </w:r>
          </w:p>
        </w:tc>
        <w:tc>
          <w:tcPr>
            <w:tcW w:w="5833" w:type="dxa"/>
            <w:vAlign w:val="center"/>
          </w:tcPr>
          <w:p w14:paraId="68C93C91">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见第三章“评标办法”</w:t>
            </w:r>
          </w:p>
        </w:tc>
      </w:tr>
      <w:tr w14:paraId="38F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259278B">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w:t>
            </w:r>
          </w:p>
        </w:tc>
        <w:tc>
          <w:tcPr>
            <w:tcW w:w="2145" w:type="dxa"/>
            <w:vAlign w:val="center"/>
          </w:tcPr>
          <w:p w14:paraId="2A47A0BD">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构成招标文件</w:t>
            </w:r>
          </w:p>
          <w:p w14:paraId="213C33FD">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的其他资料</w:t>
            </w:r>
            <w:r>
              <w:rPr>
                <w:rStyle w:val="59"/>
                <w:rFonts w:asciiTheme="minorEastAsia" w:hAnsiTheme="minorEastAsia" w:eastAsiaTheme="minorEastAsia"/>
                <w:color w:val="auto"/>
                <w:szCs w:val="21"/>
                <w:highlight w:val="none"/>
              </w:rPr>
              <w:footnoteReference w:id="29"/>
            </w:r>
          </w:p>
        </w:tc>
        <w:tc>
          <w:tcPr>
            <w:tcW w:w="5833" w:type="dxa"/>
            <w:vAlign w:val="center"/>
          </w:tcPr>
          <w:p w14:paraId="57E5C3E2">
            <w:pPr>
              <w:adjustRightInd w:val="0"/>
              <w:snapToGrid w:val="0"/>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p>
        </w:tc>
      </w:tr>
      <w:tr w14:paraId="78B4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077076A">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2.2.1</w:t>
            </w:r>
          </w:p>
        </w:tc>
        <w:tc>
          <w:tcPr>
            <w:tcW w:w="2145" w:type="dxa"/>
            <w:vAlign w:val="center"/>
          </w:tcPr>
          <w:p w14:paraId="316B71E4">
            <w:pPr>
              <w:adjustRightInd w:val="0"/>
              <w:snapToGrid w:val="0"/>
              <w:spacing w:line="40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投标人要求澄清</w:t>
            </w:r>
          </w:p>
          <w:p w14:paraId="510FEC16">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招标文件</w:t>
            </w:r>
          </w:p>
        </w:tc>
        <w:tc>
          <w:tcPr>
            <w:tcW w:w="5833" w:type="dxa"/>
            <w:vAlign w:val="center"/>
          </w:tcPr>
          <w:p w14:paraId="29C37867">
            <w:pPr>
              <w:adjustRightInd w:val="0"/>
              <w:snapToGrid w:val="0"/>
              <w:spacing w:line="400" w:lineRule="exact"/>
              <w:ind w:left="420" w:hanging="420" w:hanging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时间：递交投标文件截止</w:t>
            </w:r>
            <w:r>
              <w:rPr>
                <w:rFonts w:hint="eastAsia" w:asciiTheme="minorEastAsia" w:hAnsiTheme="minorEastAsia" w:eastAsiaTheme="minorEastAsia"/>
                <w:color w:val="auto"/>
                <w:szCs w:val="21"/>
                <w:highlight w:val="none"/>
                <w:lang w:val="en-US" w:eastAsia="zh-CN"/>
              </w:rPr>
              <w:t>时间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日前。</w:t>
            </w:r>
          </w:p>
          <w:p w14:paraId="06FBC7DE">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形式：以匿名方式在“</w:t>
            </w:r>
            <w:r>
              <w:rPr>
                <w:rFonts w:hint="eastAsia" w:asciiTheme="minorEastAsia" w:hAnsiTheme="minorEastAsia" w:eastAsiaTheme="minorEastAsia"/>
                <w:color w:val="auto"/>
                <w:szCs w:val="21"/>
                <w:highlight w:val="none"/>
                <w:lang w:eastAsia="zh-CN"/>
              </w:rPr>
              <w:t>电子交易系统</w:t>
            </w:r>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lang w:val="en-US" w:eastAsia="zh-CN"/>
              </w:rPr>
              <w:t>澄清与异议</w:t>
            </w:r>
            <w:r>
              <w:rPr>
                <w:rFonts w:hint="eastAsia" w:asciiTheme="minorEastAsia" w:hAnsiTheme="minorEastAsia" w:eastAsiaTheme="minorEastAsia"/>
                <w:color w:val="auto"/>
                <w:szCs w:val="21"/>
                <w:highlight w:val="none"/>
              </w:rPr>
              <w:t>”菜单中</w:t>
            </w:r>
            <w:r>
              <w:rPr>
                <w:rFonts w:asciiTheme="minorEastAsia" w:hAnsiTheme="minorEastAsia" w:eastAsiaTheme="minorEastAsia"/>
                <w:color w:val="auto"/>
                <w:szCs w:val="21"/>
                <w:highlight w:val="none"/>
              </w:rPr>
              <w:t>提出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也可采用</w:t>
            </w:r>
            <w:r>
              <w:rPr>
                <w:rFonts w:hint="eastAsia" w:ascii="宋体" w:hAnsi="宋体" w:eastAsia="宋体" w:cs="宋体"/>
                <w:snapToGrid w:val="0"/>
                <w:color w:val="auto"/>
                <w:kern w:val="0"/>
                <w:highlight w:val="none"/>
                <w:lang w:val="en-US" w:eastAsia="zh-CN"/>
              </w:rPr>
              <w:t>匿名书面方式进行</w:t>
            </w:r>
          </w:p>
        </w:tc>
      </w:tr>
      <w:tr w14:paraId="7B4A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305D1B0">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2.2.2</w:t>
            </w:r>
          </w:p>
        </w:tc>
        <w:tc>
          <w:tcPr>
            <w:tcW w:w="2145" w:type="dxa"/>
            <w:vAlign w:val="center"/>
          </w:tcPr>
          <w:p w14:paraId="12B1AFEA">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招标文件澄清</w:t>
            </w:r>
          </w:p>
          <w:p w14:paraId="01A2761A">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发出的形式</w:t>
            </w:r>
          </w:p>
        </w:tc>
        <w:tc>
          <w:tcPr>
            <w:tcW w:w="5833" w:type="dxa"/>
            <w:vAlign w:val="center"/>
          </w:tcPr>
          <w:p w14:paraId="72E911FD">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招标人将以补遗书形式在全国公共资源交易平台（四川省）</w:t>
            </w:r>
            <w:r>
              <w:rPr>
                <w:rFonts w:asciiTheme="minorEastAsia" w:hAnsiTheme="minorEastAsia" w:eastAsiaTheme="minorEastAsia"/>
                <w:color w:val="auto"/>
                <w:szCs w:val="21"/>
                <w:highlight w:val="none"/>
              </w:rPr>
              <w:t>（</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Theme="minorEastAsia" w:hAnsiTheme="minorEastAsia" w:eastAsiaTheme="minorEastAsia"/>
                <w:color w:val="auto"/>
                <w:szCs w:val="21"/>
                <w:highlight w:val="none"/>
                <w:lang w:eastAsia="zh-CN"/>
              </w:rPr>
              <w:t>https</w:t>
            </w:r>
            <w:r>
              <w:rPr>
                <w:rFonts w:asciiTheme="minorEastAsia" w:hAnsiTheme="minorEastAsia" w:eastAsiaTheme="minorEastAsia"/>
                <w:color w:val="auto"/>
                <w:szCs w:val="21"/>
                <w:highlight w:val="none"/>
              </w:rPr>
              <w:t>://ggzyjy.sc.gov.cn/）</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以及</w:t>
            </w:r>
            <w:r>
              <w:rPr>
                <w:rFonts w:ascii="宋体" w:hAnsi="宋体" w:cs="宋体"/>
                <w:color w:val="auto"/>
                <w:szCs w:val="21"/>
                <w:highlight w:val="none"/>
                <w:u w:val="single"/>
              </w:rPr>
              <w:t xml:space="preserve">          </w:t>
            </w:r>
            <w:r>
              <w:rPr>
                <w:rFonts w:hint="eastAsia" w:ascii="宋体" w:hAnsi="宋体"/>
                <w:color w:val="auto"/>
                <w:szCs w:val="21"/>
                <w:highlight w:val="none"/>
              </w:rPr>
              <w:t>（发布公告的媒介名称）</w:t>
            </w:r>
            <w:r>
              <w:rPr>
                <w:rFonts w:hint="eastAsia" w:asciiTheme="minorEastAsia" w:hAnsiTheme="minorEastAsia" w:eastAsiaTheme="minorEastAsia"/>
                <w:color w:val="auto"/>
                <w:szCs w:val="21"/>
                <w:highlight w:val="none"/>
              </w:rPr>
              <w:t>发出招标文件澄清</w:t>
            </w:r>
          </w:p>
        </w:tc>
      </w:tr>
      <w:tr w14:paraId="1419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6A1017E">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2.2.3</w:t>
            </w:r>
          </w:p>
        </w:tc>
        <w:tc>
          <w:tcPr>
            <w:tcW w:w="2145" w:type="dxa"/>
            <w:vAlign w:val="center"/>
          </w:tcPr>
          <w:p w14:paraId="0ADA46E7">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投标人确认收到</w:t>
            </w:r>
          </w:p>
          <w:p w14:paraId="7F9DF670">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招标文件澄清时间</w:t>
            </w:r>
          </w:p>
        </w:tc>
        <w:tc>
          <w:tcPr>
            <w:tcW w:w="5833" w:type="dxa"/>
            <w:vAlign w:val="center"/>
          </w:tcPr>
          <w:p w14:paraId="392B39F5">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无须确认。投标人应实时关注补遗书发布媒介，并及时下载澄清内容。因投标人自身原因未及时获知澄清内容而导致的任何后果将由投标人自行承担</w:t>
            </w:r>
          </w:p>
        </w:tc>
      </w:tr>
      <w:tr w14:paraId="1F05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07CF14F">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2.3.1</w:t>
            </w:r>
          </w:p>
        </w:tc>
        <w:tc>
          <w:tcPr>
            <w:tcW w:w="2145" w:type="dxa"/>
            <w:vAlign w:val="center"/>
          </w:tcPr>
          <w:p w14:paraId="711D2883">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招标文件修改</w:t>
            </w:r>
          </w:p>
          <w:p w14:paraId="0AC8235B">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发出的形式</w:t>
            </w:r>
          </w:p>
        </w:tc>
        <w:tc>
          <w:tcPr>
            <w:tcW w:w="5833" w:type="dxa"/>
            <w:vAlign w:val="center"/>
          </w:tcPr>
          <w:p w14:paraId="5B462695">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招标人将以补遗书形式发出招标文件的修改，发出媒介见本须知前附表第</w:t>
            </w:r>
            <w:r>
              <w:rPr>
                <w:rFonts w:asciiTheme="minorEastAsia" w:hAnsiTheme="minorEastAsia" w:eastAsiaTheme="minorEastAsia"/>
                <w:color w:val="auto"/>
                <w:szCs w:val="21"/>
                <w:highlight w:val="none"/>
              </w:rPr>
              <w:t>2.2.2项</w:t>
            </w:r>
          </w:p>
        </w:tc>
      </w:tr>
      <w:tr w14:paraId="52BB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62E0032">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2.3.2</w:t>
            </w:r>
          </w:p>
        </w:tc>
        <w:tc>
          <w:tcPr>
            <w:tcW w:w="2145" w:type="dxa"/>
            <w:vAlign w:val="center"/>
          </w:tcPr>
          <w:p w14:paraId="5E4DF4A1">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投标人确认收到</w:t>
            </w:r>
          </w:p>
          <w:p w14:paraId="2470DBEA">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招标文件修改</w:t>
            </w:r>
          </w:p>
        </w:tc>
        <w:tc>
          <w:tcPr>
            <w:tcW w:w="5833" w:type="dxa"/>
            <w:vAlign w:val="center"/>
          </w:tcPr>
          <w:p w14:paraId="59714360">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无须确认。投标人应实时关注补遗书发布媒介，并及时下载修改内容。因投标人自身原因未及时获知招标文件修改内容而导致的任何后果将由投标人自行承担</w:t>
            </w:r>
          </w:p>
        </w:tc>
      </w:tr>
      <w:tr w14:paraId="327B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C4755A9">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2.4</w:t>
            </w:r>
          </w:p>
        </w:tc>
        <w:tc>
          <w:tcPr>
            <w:tcW w:w="2145" w:type="dxa"/>
            <w:vAlign w:val="center"/>
          </w:tcPr>
          <w:p w14:paraId="2AA349B0">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招标文件的异议</w:t>
            </w:r>
          </w:p>
        </w:tc>
        <w:tc>
          <w:tcPr>
            <w:tcW w:w="5833" w:type="dxa"/>
            <w:vAlign w:val="center"/>
          </w:tcPr>
          <w:p w14:paraId="7781FE7A">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本款补充：</w:t>
            </w:r>
          </w:p>
          <w:p w14:paraId="0DB5811F">
            <w:pPr>
              <w:adjustRightInd w:val="0"/>
              <w:snapToGrid w:val="0"/>
              <w:spacing w:line="400" w:lineRule="exact"/>
              <w:ind w:firstLine="210" w:firstLineChars="100"/>
              <w:rPr>
                <w:rFonts w:ascii="宋体" w:hAnsi="宋体" w:eastAsia="宋体" w:cs="宋体"/>
                <w:color w:val="auto"/>
                <w:kern w:val="2"/>
                <w:sz w:val="21"/>
                <w:szCs w:val="21"/>
                <w:highlight w:val="none"/>
                <w:u w:val="single"/>
                <w:lang w:val="en-US" w:eastAsia="zh-CN" w:bidi="ar-SA"/>
              </w:rPr>
            </w:pPr>
            <w:r>
              <w:rPr>
                <w:rFonts w:hint="eastAsia" w:asciiTheme="minorEastAsia" w:hAnsiTheme="minorEastAsia" w:eastAsiaTheme="minorEastAsia"/>
                <w:color w:val="auto"/>
                <w:szCs w:val="21"/>
                <w:highlight w:val="none"/>
              </w:rPr>
              <w:t>投标人提出异议可通过“电子交易系统”在“澄清与异议”菜单中进行</w:t>
            </w:r>
            <w:r>
              <w:rPr>
                <w:rFonts w:hint="eastAsia" w:ascii="宋体" w:hAnsi="宋体" w:cs="宋体"/>
                <w:snapToGrid w:val="0"/>
                <w:color w:val="auto"/>
                <w:kern w:val="0"/>
                <w:highlight w:val="none"/>
              </w:rPr>
              <w:t xml:space="preserve">，也可采用符合本须知前附表第8.5.2项要求的书面方式进行  </w:t>
            </w:r>
          </w:p>
        </w:tc>
      </w:tr>
      <w:tr w14:paraId="022B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E3A83FB">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3.1.1</w:t>
            </w:r>
          </w:p>
        </w:tc>
        <w:tc>
          <w:tcPr>
            <w:tcW w:w="2145" w:type="dxa"/>
            <w:vAlign w:val="center"/>
          </w:tcPr>
          <w:p w14:paraId="6E843FC0">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投标文件的组成</w:t>
            </w:r>
            <w:r>
              <w:rPr>
                <w:rStyle w:val="59"/>
                <w:rFonts w:ascii="宋体" w:hAnsi="宋体" w:cs="宋体"/>
                <w:color w:val="auto"/>
                <w:szCs w:val="21"/>
                <w:highlight w:val="none"/>
              </w:rPr>
              <w:footnoteReference w:id="30"/>
            </w:r>
          </w:p>
        </w:tc>
        <w:tc>
          <w:tcPr>
            <w:tcW w:w="5833" w:type="dxa"/>
            <w:vAlign w:val="center"/>
          </w:tcPr>
          <w:p w14:paraId="2BCBEB51">
            <w:pPr>
              <w:adjustRightInd w:val="0"/>
              <w:snapToGrid w:val="0"/>
              <w:spacing w:line="400" w:lineRule="exact"/>
              <w:rPr>
                <w:rFonts w:asciiTheme="minorEastAsia" w:hAnsiTheme="minorEastAsia" w:eastAsiaTheme="minorEastAsia"/>
                <w:color w:val="auto"/>
                <w:szCs w:val="21"/>
                <w:highlight w:val="none"/>
              </w:rPr>
            </w:pPr>
            <w:r>
              <w:rPr>
                <w:rFonts w:ascii="宋体" w:hAnsi="宋体" w:cs="宋体"/>
                <w:color w:val="auto"/>
                <w:szCs w:val="21"/>
                <w:highlight w:val="none"/>
                <w:u w:val="single"/>
              </w:rPr>
              <w:t>见第</w:t>
            </w:r>
            <w:r>
              <w:rPr>
                <w:rFonts w:hint="eastAsia" w:ascii="宋体" w:hAnsi="宋体" w:cs="宋体"/>
                <w:color w:val="auto"/>
                <w:szCs w:val="21"/>
                <w:highlight w:val="none"/>
                <w:u w:val="single"/>
              </w:rPr>
              <w:t>九</w:t>
            </w:r>
            <w:r>
              <w:rPr>
                <w:rFonts w:ascii="宋体" w:hAnsi="宋体" w:cs="宋体"/>
                <w:color w:val="auto"/>
                <w:szCs w:val="21"/>
                <w:highlight w:val="none"/>
                <w:u w:val="single"/>
              </w:rPr>
              <w:t>章</w:t>
            </w:r>
            <w:r>
              <w:rPr>
                <w:rFonts w:hint="eastAsia" w:ascii="宋体" w:hAnsi="宋体" w:cs="宋体"/>
                <w:color w:val="auto"/>
                <w:szCs w:val="21"/>
                <w:highlight w:val="none"/>
                <w:u w:val="single"/>
              </w:rPr>
              <w:t>“投标文件格式”</w:t>
            </w:r>
          </w:p>
        </w:tc>
      </w:tr>
      <w:tr w14:paraId="443A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D743C8B">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3.2.1</w:t>
            </w:r>
          </w:p>
        </w:tc>
        <w:tc>
          <w:tcPr>
            <w:tcW w:w="2145" w:type="dxa"/>
            <w:vAlign w:val="center"/>
          </w:tcPr>
          <w:p w14:paraId="6600C991">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增值税税金的</w:t>
            </w:r>
          </w:p>
          <w:p w14:paraId="0A830FA4">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计算方法</w:t>
            </w:r>
          </w:p>
        </w:tc>
        <w:tc>
          <w:tcPr>
            <w:tcW w:w="5833" w:type="dxa"/>
            <w:vAlign w:val="center"/>
          </w:tcPr>
          <w:p w14:paraId="18DB5047">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一般计税法</w:t>
            </w:r>
          </w:p>
          <w:p w14:paraId="6A6AF058">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其</w:t>
            </w:r>
            <w:r>
              <w:rPr>
                <w:rFonts w:hint="eastAsia" w:asciiTheme="minorEastAsia" w:hAnsiTheme="minorEastAsia" w:eastAsiaTheme="minorEastAsia"/>
                <w:color w:val="auto"/>
                <w:szCs w:val="21"/>
                <w:highlight w:val="none"/>
                <w:lang w:val="en-US" w:eastAsia="zh-CN"/>
              </w:rPr>
              <w:t>他</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 xml:space="preserve">            </w:t>
            </w:r>
          </w:p>
        </w:tc>
      </w:tr>
      <w:tr w14:paraId="602D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F33963B">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3.2.1</w:t>
            </w:r>
          </w:p>
        </w:tc>
        <w:tc>
          <w:tcPr>
            <w:tcW w:w="2145" w:type="dxa"/>
            <w:vAlign w:val="center"/>
          </w:tcPr>
          <w:p w14:paraId="73D6FC40">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工程量清单的</w:t>
            </w:r>
          </w:p>
          <w:p w14:paraId="3975FD3A">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填写方式</w:t>
            </w:r>
            <w:r>
              <w:rPr>
                <w:rStyle w:val="59"/>
                <w:rFonts w:hint="eastAsia" w:asciiTheme="minorEastAsia" w:hAnsiTheme="minorEastAsia" w:eastAsiaTheme="minorEastAsia"/>
                <w:color w:val="auto"/>
                <w:szCs w:val="21"/>
                <w:highlight w:val="none"/>
              </w:rPr>
              <w:footnoteReference w:id="31"/>
            </w:r>
          </w:p>
        </w:tc>
        <w:tc>
          <w:tcPr>
            <w:tcW w:w="5833" w:type="dxa"/>
            <w:vAlign w:val="center"/>
          </w:tcPr>
          <w:p w14:paraId="123796EF">
            <w:pPr>
              <w:adjustRightInd w:val="0"/>
              <w:snapToGrid w:val="0"/>
              <w:spacing w:line="40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投标人按照招标人提供的工程量固化清单电子文件填写工程量清单</w:t>
            </w:r>
          </w:p>
          <w:p w14:paraId="142D5017">
            <w:pPr>
              <w:adjustRightInd w:val="0"/>
              <w:snapToGrid w:val="0"/>
              <w:spacing w:line="400" w:lineRule="exac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其他填写方式：</w:t>
            </w:r>
            <w:r>
              <w:rPr>
                <w:rFonts w:hint="eastAsia" w:asciiTheme="minorEastAsia" w:hAnsiTheme="minorEastAsia" w:eastAsiaTheme="minorEastAsia"/>
                <w:color w:val="auto"/>
                <w:szCs w:val="21"/>
                <w:highlight w:val="none"/>
                <w:u w:val="single"/>
                <w:lang w:val="en-US" w:eastAsia="zh-CN"/>
              </w:rPr>
              <w:t xml:space="preserve">          </w:t>
            </w:r>
          </w:p>
        </w:tc>
      </w:tr>
      <w:tr w14:paraId="02FB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8F23151">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3.2.3</w:t>
            </w:r>
          </w:p>
        </w:tc>
        <w:tc>
          <w:tcPr>
            <w:tcW w:w="2145" w:type="dxa"/>
            <w:vAlign w:val="center"/>
          </w:tcPr>
          <w:p w14:paraId="0B5BAC3E">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报价方式</w:t>
            </w:r>
            <w:r>
              <w:rPr>
                <w:rStyle w:val="59"/>
                <w:rFonts w:hint="eastAsia" w:asciiTheme="minorEastAsia" w:hAnsiTheme="minorEastAsia" w:eastAsiaTheme="minorEastAsia"/>
                <w:color w:val="auto"/>
                <w:szCs w:val="21"/>
                <w:highlight w:val="none"/>
              </w:rPr>
              <w:footnoteReference w:id="32"/>
            </w:r>
          </w:p>
        </w:tc>
        <w:tc>
          <w:tcPr>
            <w:tcW w:w="5833" w:type="dxa"/>
            <w:vAlign w:val="center"/>
          </w:tcPr>
          <w:p w14:paraId="25C132E4">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单价</w:t>
            </w:r>
          </w:p>
          <w:p w14:paraId="0B095FD0">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总价</w:t>
            </w:r>
          </w:p>
          <w:p w14:paraId="2156CAE0">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其他</w:t>
            </w:r>
            <w:r>
              <w:rPr>
                <w:rStyle w:val="59"/>
                <w:rFonts w:hint="eastAsia" w:asciiTheme="minorEastAsia" w:hAnsiTheme="minorEastAsia" w:eastAsiaTheme="minorEastAsia"/>
                <w:color w:val="auto"/>
                <w:szCs w:val="21"/>
                <w:highlight w:val="none"/>
              </w:rPr>
              <w:footnoteReference w:id="33"/>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p>
        </w:tc>
      </w:tr>
      <w:tr w14:paraId="7D0E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1" w:type="dxa"/>
            <w:vAlign w:val="center"/>
          </w:tcPr>
          <w:p w14:paraId="7DDD2150">
            <w:pPr>
              <w:adjustRightInd w:val="0"/>
              <w:snapToGrid w:val="0"/>
              <w:spacing w:line="400" w:lineRule="exact"/>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3.2.8</w:t>
            </w:r>
          </w:p>
        </w:tc>
        <w:tc>
          <w:tcPr>
            <w:tcW w:w="2145" w:type="dxa"/>
            <w:vAlign w:val="center"/>
          </w:tcPr>
          <w:p w14:paraId="052BD98E">
            <w:pPr>
              <w:adjustRightInd w:val="0"/>
              <w:snapToGrid w:val="0"/>
              <w:spacing w:line="400" w:lineRule="exact"/>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最高投标限价</w:t>
            </w:r>
          </w:p>
        </w:tc>
        <w:tc>
          <w:tcPr>
            <w:tcW w:w="5833" w:type="dxa"/>
            <w:vAlign w:val="center"/>
          </w:tcPr>
          <w:p w14:paraId="782AD34C">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无</w:t>
            </w:r>
          </w:p>
          <w:p w14:paraId="05E19A10">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有</w:t>
            </w:r>
          </w:p>
          <w:p w14:paraId="57DC31A0">
            <w:pPr>
              <w:pStyle w:val="299"/>
              <w:adjustRightInd w:val="0"/>
              <w:snapToGrid w:val="0"/>
              <w:spacing w:line="400" w:lineRule="exact"/>
              <w:ind w:firstLine="210" w:firstLine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最高投标限价为：</w:t>
            </w:r>
            <w:r>
              <w:rPr>
                <w:rStyle w:val="59"/>
                <w:rFonts w:cs="宋体" w:asciiTheme="minorEastAsia" w:hAnsiTheme="minorEastAsia" w:eastAsiaTheme="minorEastAsia"/>
                <w:color w:val="auto"/>
                <w:szCs w:val="21"/>
                <w:highlight w:val="none"/>
              </w:rPr>
              <w:footnoteReference w:id="34"/>
            </w:r>
          </w:p>
          <w:tbl>
            <w:tblPr>
              <w:tblStyle w:val="49"/>
              <w:tblW w:w="54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5"/>
            </w:tblGrid>
            <w:tr w14:paraId="3C99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25" w:type="dxa"/>
                  <w:vAlign w:val="center"/>
                </w:tcPr>
                <w:p w14:paraId="48406D0C">
                  <w:pPr>
                    <w:pStyle w:val="299"/>
                    <w:adjustRightInd w:val="0"/>
                    <w:snapToGrid w:val="0"/>
                    <w:spacing w:line="40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标段号：</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rPr>
                    <w:t xml:space="preserve">   </w:t>
                  </w:r>
                </w:p>
                <w:p w14:paraId="68D511F6">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最高投标限价：</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万元，其中：</w:t>
                  </w:r>
                </w:p>
                <w:p w14:paraId="08947F36">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竞争性部分报价：</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asciiTheme="minorEastAsia" w:hAnsiTheme="minorEastAsia" w:eastAsiaTheme="minorEastAsia"/>
                      <w:color w:val="auto"/>
                      <w:szCs w:val="21"/>
                      <w:highlight w:val="none"/>
                    </w:rPr>
                    <w:t>万元</w:t>
                  </w:r>
                  <w:r>
                    <w:rPr>
                      <w:rFonts w:hint="eastAsia" w:asciiTheme="minorEastAsia" w:hAnsiTheme="minorEastAsia" w:eastAsiaTheme="minorEastAsia"/>
                      <w:color w:val="auto"/>
                      <w:szCs w:val="21"/>
                      <w:highlight w:val="none"/>
                    </w:rPr>
                    <w:t>；</w:t>
                  </w:r>
                </w:p>
                <w:p w14:paraId="2D70AB87">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2）非竞争性部分报价：</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万元</w:t>
                  </w:r>
                  <w:r>
                    <w:rPr>
                      <w:rFonts w:hint="eastAsia" w:asciiTheme="minorEastAsia" w:hAnsiTheme="minorEastAsia" w:eastAsiaTheme="minorEastAsia"/>
                      <w:color w:val="auto"/>
                      <w:szCs w:val="21"/>
                      <w:highlight w:val="none"/>
                    </w:rPr>
                    <w:t>，其中：</w:t>
                  </w:r>
                </w:p>
                <w:p w14:paraId="63282C9E">
                  <w:pPr>
                    <w:pStyle w:val="299"/>
                    <w:adjustRightInd w:val="0"/>
                    <w:snapToGrid w:val="0"/>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 1 \* GB3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①</w:t>
                  </w:r>
                  <w:r>
                    <w:rPr>
                      <w:rFonts w:asciiTheme="minorEastAsia" w:hAnsiTheme="minorEastAsia" w:eastAsiaTheme="minorEastAsia"/>
                      <w:color w:val="auto"/>
                      <w:szCs w:val="21"/>
                      <w:highlight w:val="none"/>
                    </w:rPr>
                    <w:fldChar w:fldCharType="end"/>
                  </w:r>
                  <w:r>
                    <w:rPr>
                      <w:rFonts w:asciiTheme="minorEastAsia" w:hAnsiTheme="minorEastAsia" w:eastAsiaTheme="minorEastAsia"/>
                      <w:color w:val="auto"/>
                      <w:szCs w:val="21"/>
                      <w:highlight w:val="none"/>
                    </w:rPr>
                    <w:t>安全生产费：</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万元；</w:t>
                  </w:r>
                </w:p>
                <w:p w14:paraId="3F65EE68">
                  <w:pPr>
                    <w:pStyle w:val="299"/>
                    <w:adjustRightInd w:val="0"/>
                    <w:snapToGrid w:val="0"/>
                    <w:spacing w:line="400" w:lineRule="exact"/>
                    <w:ind w:firstLine="420" w:firstLineChars="200"/>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 2 \* GB3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暂估价：</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万元</w:t>
                  </w:r>
                  <w:r>
                    <w:rPr>
                      <w:rFonts w:hint="eastAsia" w:asciiTheme="minorEastAsia" w:hAnsiTheme="minorEastAsia" w:eastAsiaTheme="minorEastAsia"/>
                      <w:color w:val="auto"/>
                      <w:szCs w:val="21"/>
                      <w:highlight w:val="none"/>
                      <w:lang w:eastAsia="zh-CN"/>
                    </w:rPr>
                    <w:t>；</w:t>
                  </w:r>
                </w:p>
                <w:p w14:paraId="5BB81307">
                  <w:pPr>
                    <w:pStyle w:val="299"/>
                    <w:adjustRightInd w:val="0"/>
                    <w:snapToGrid w:val="0"/>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 3 \* GB3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③</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暂列金额：</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万元。</w:t>
                  </w:r>
                </w:p>
                <w:p w14:paraId="04B5EE74">
                  <w:pPr>
                    <w:pStyle w:val="299"/>
                    <w:adjustRightInd w:val="0"/>
                    <w:snapToGrid w:val="0"/>
                    <w:spacing w:line="400" w:lineRule="exact"/>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p>
              </w:tc>
            </w:tr>
          </w:tbl>
          <w:p w14:paraId="5B28F50E">
            <w:pPr>
              <w:pStyle w:val="299"/>
              <w:adjustRightInd w:val="0"/>
              <w:snapToGrid w:val="0"/>
              <w:spacing w:line="400" w:lineRule="exact"/>
              <w:ind w:firstLine="210" w:firstLine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公布的最高投标限价作为投标人投标报价的控制上限，最高投标限价包括竞争性部分报价和非竞争性部分报价。凡是投标报价超过最高投标限价的，其投标将被否决</w:t>
            </w:r>
          </w:p>
          <w:p w14:paraId="19315619">
            <w:pPr>
              <w:adjustRightInd w:val="0"/>
              <w:snapToGrid w:val="0"/>
              <w:spacing w:line="400" w:lineRule="exact"/>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 xml:space="preserve">  □ 最高投标限价以补遗书的形式发布</w:t>
            </w:r>
          </w:p>
        </w:tc>
      </w:tr>
      <w:tr w14:paraId="7614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BF3203C">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3.2.9</w:t>
            </w:r>
          </w:p>
        </w:tc>
        <w:tc>
          <w:tcPr>
            <w:tcW w:w="2145" w:type="dxa"/>
            <w:vAlign w:val="center"/>
          </w:tcPr>
          <w:p w14:paraId="26582B37">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投标报价的其他要求</w:t>
            </w:r>
          </w:p>
        </w:tc>
        <w:tc>
          <w:tcPr>
            <w:tcW w:w="5833" w:type="dxa"/>
            <w:vAlign w:val="center"/>
          </w:tcPr>
          <w:p w14:paraId="616A9558">
            <w:pPr>
              <w:adjustRightInd w:val="0"/>
              <w:snapToGrid w:val="0"/>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p>
        </w:tc>
      </w:tr>
      <w:tr w14:paraId="1ADE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D3983D2">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3.3.1</w:t>
            </w:r>
          </w:p>
        </w:tc>
        <w:tc>
          <w:tcPr>
            <w:tcW w:w="2145" w:type="dxa"/>
            <w:vAlign w:val="center"/>
          </w:tcPr>
          <w:p w14:paraId="4626F973">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投标有效期</w:t>
            </w:r>
          </w:p>
        </w:tc>
        <w:tc>
          <w:tcPr>
            <w:tcW w:w="5833" w:type="dxa"/>
            <w:vAlign w:val="center"/>
          </w:tcPr>
          <w:p w14:paraId="71738F65">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自投标人提交投标文件截止之日起计算</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tc>
      </w:tr>
      <w:tr w14:paraId="36EE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B2D3CE4">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3.4.1</w:t>
            </w:r>
          </w:p>
        </w:tc>
        <w:tc>
          <w:tcPr>
            <w:tcW w:w="2145" w:type="dxa"/>
            <w:vAlign w:val="center"/>
          </w:tcPr>
          <w:p w14:paraId="4B9FDB89">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投标保证金</w:t>
            </w:r>
          </w:p>
        </w:tc>
        <w:tc>
          <w:tcPr>
            <w:tcW w:w="5833" w:type="dxa"/>
            <w:vAlign w:val="center"/>
          </w:tcPr>
          <w:p w14:paraId="680B3CD9">
            <w:pPr>
              <w:adjustRightInd/>
              <w:snapToGrid/>
              <w:spacing w:line="400" w:lineRule="exact"/>
              <w:ind w:firstLine="0" w:firstLineChars="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是否要求投标人递交投标保证金：</w:t>
            </w:r>
          </w:p>
          <w:p w14:paraId="59E8B798">
            <w:pPr>
              <w:adjustRightInd/>
              <w:snapToGrid/>
              <w:spacing w:line="400" w:lineRule="exact"/>
              <w:ind w:firstLine="0" w:firstLineChars="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A3"/>
            </w:r>
            <w:r>
              <w:rPr>
                <w:rFonts w:cs="宋体" w:asciiTheme="minorEastAsia" w:hAnsiTheme="minorEastAsia" w:eastAsiaTheme="minorEastAsia"/>
                <w:color w:val="auto"/>
                <w:szCs w:val="21"/>
                <w:highlight w:val="none"/>
              </w:rPr>
              <w:t xml:space="preserve"> 不要求</w:t>
            </w:r>
          </w:p>
          <w:p w14:paraId="6D4CDA63">
            <w:pPr>
              <w:adjustRightInd/>
              <w:snapToGrid/>
              <w:spacing w:line="400" w:lineRule="exact"/>
              <w:ind w:firstLine="0" w:firstLineChars="0"/>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要求</w:t>
            </w:r>
          </w:p>
          <w:p w14:paraId="46472410">
            <w:pPr>
              <w:adjustRightInd/>
              <w:snapToGrid/>
              <w:spacing w:line="400" w:lineRule="exact"/>
              <w:ind w:firstLine="0" w:firstLineChars="0"/>
              <w:rPr>
                <w:rFonts w:cs="Courier New" w:asciiTheme="minorEastAsia" w:hAnsiTheme="minorEastAsia" w:eastAsiaTheme="minorEastAsia"/>
                <w:color w:val="auto"/>
                <w:highlight w:val="none"/>
              </w:rPr>
            </w:pPr>
            <w:r>
              <w:rPr>
                <w:rFonts w:hint="eastAsia" w:cs="Courier New" w:asciiTheme="minorEastAsia" w:hAnsiTheme="minorEastAsia" w:eastAsiaTheme="minorEastAsia"/>
                <w:color w:val="auto"/>
                <w:highlight w:val="none"/>
              </w:rPr>
              <w:t>（</w:t>
            </w:r>
            <w:r>
              <w:rPr>
                <w:rFonts w:cs="Courier New" w:asciiTheme="minorEastAsia" w:hAnsiTheme="minorEastAsia" w:eastAsiaTheme="minorEastAsia"/>
                <w:color w:val="auto"/>
                <w:highlight w:val="none"/>
              </w:rPr>
              <w:t>1）投标保证金的金额</w:t>
            </w:r>
            <w:r>
              <w:rPr>
                <w:rFonts w:cs="Courier New" w:asciiTheme="minorEastAsia" w:hAnsiTheme="minorEastAsia" w:eastAsiaTheme="minorEastAsia"/>
                <w:color w:val="auto"/>
                <w:highlight w:val="none"/>
                <w:vertAlign w:val="superscript"/>
              </w:rPr>
              <w:footnoteReference w:id="35"/>
            </w:r>
            <w:r>
              <w:rPr>
                <w:rFonts w:cs="Courier New" w:asciiTheme="minorEastAsia" w:hAnsiTheme="minorEastAsia" w:eastAsiaTheme="minorEastAsia"/>
                <w:color w:val="auto"/>
                <w:highlight w:val="none"/>
              </w:rPr>
              <w:t>：</w:t>
            </w:r>
          </w:p>
          <w:p w14:paraId="060C5B85">
            <w:pPr>
              <w:adjustRightInd/>
              <w:snapToGrid/>
              <w:spacing w:line="400" w:lineRule="exact"/>
              <w:ind w:firstLine="525" w:firstLineChars="250"/>
              <w:rPr>
                <w:rFonts w:cs="Courier New" w:asciiTheme="minorEastAsia" w:hAnsiTheme="minorEastAsia" w:eastAsiaTheme="minorEastAsia"/>
                <w:color w:val="auto"/>
                <w:highlight w:val="none"/>
              </w:rPr>
            </w:pPr>
            <w:r>
              <w:rPr>
                <w:rFonts w:cs="Courier New" w:asciiTheme="minorEastAsia" w:hAnsiTheme="minorEastAsia" w:eastAsiaTheme="minorEastAsia"/>
                <w:color w:val="auto"/>
                <w:highlight w:val="none"/>
                <w:u w:val="single"/>
              </w:rPr>
              <w:t xml:space="preserve">    </w:t>
            </w:r>
            <w:r>
              <w:rPr>
                <w:rFonts w:hint="eastAsia" w:cs="Courier New" w:asciiTheme="minorEastAsia" w:hAnsiTheme="minorEastAsia" w:eastAsiaTheme="minorEastAsia"/>
                <w:color w:val="auto"/>
                <w:highlight w:val="none"/>
              </w:rPr>
              <w:t>标段</w:t>
            </w:r>
            <w:r>
              <w:rPr>
                <w:rFonts w:cs="Courier New" w:asciiTheme="minorEastAsia" w:hAnsiTheme="minorEastAsia" w:eastAsiaTheme="minorEastAsia"/>
                <w:color w:val="auto"/>
                <w:highlight w:val="none"/>
                <w:u w:val="single"/>
              </w:rPr>
              <w:t xml:space="preserve">     </w:t>
            </w:r>
            <w:r>
              <w:rPr>
                <w:rFonts w:hint="eastAsia" w:cs="Courier New" w:asciiTheme="minorEastAsia" w:hAnsiTheme="minorEastAsia" w:eastAsiaTheme="minorEastAsia"/>
                <w:color w:val="auto"/>
                <w:highlight w:val="none"/>
              </w:rPr>
              <w:t>万元；</w:t>
            </w:r>
          </w:p>
          <w:p w14:paraId="2B88682B">
            <w:pPr>
              <w:adjustRightInd/>
              <w:snapToGrid/>
              <w:spacing w:line="400" w:lineRule="exact"/>
              <w:ind w:firstLine="315" w:firstLineChars="150"/>
              <w:rPr>
                <w:rFonts w:hint="eastAsia" w:cs="Courier New" w:asciiTheme="minorEastAsia" w:hAnsiTheme="minorEastAsia" w:eastAsiaTheme="minorEastAsia"/>
                <w:color w:val="auto"/>
                <w:highlight w:val="none"/>
                <w:u w:val="none"/>
                <w:lang w:val="en-US" w:eastAsia="zh-CN"/>
              </w:rPr>
            </w:pPr>
            <w:r>
              <w:rPr>
                <w:rFonts w:cs="Courier New" w:asciiTheme="minorEastAsia" w:hAnsiTheme="minorEastAsia" w:eastAsiaTheme="minorEastAsia"/>
                <w:color w:val="auto"/>
                <w:highlight w:val="none"/>
              </w:rPr>
              <w:t xml:space="preserve"> </w:t>
            </w:r>
            <w:r>
              <w:rPr>
                <w:rFonts w:hint="eastAsia" w:cs="Courier New" w:asciiTheme="minorEastAsia" w:hAnsiTheme="minorEastAsia" w:eastAsiaTheme="minorEastAsia"/>
                <w:color w:val="auto"/>
                <w:highlight w:val="none"/>
                <w:u w:val="none"/>
                <w:lang w:val="en-US" w:eastAsia="zh-CN"/>
              </w:rPr>
              <w:t xml:space="preserve"> </w:t>
            </w:r>
            <w:r>
              <w:rPr>
                <w:rFonts w:cs="Courier New" w:asciiTheme="minorEastAsia" w:hAnsiTheme="minorEastAsia" w:eastAsiaTheme="minorEastAsia"/>
                <w:color w:val="auto"/>
                <w:highlight w:val="none"/>
                <w:u w:val="single"/>
              </w:rPr>
              <w:t xml:space="preserve">    </w:t>
            </w:r>
            <w:r>
              <w:rPr>
                <w:rFonts w:hint="eastAsia" w:cs="Courier New" w:asciiTheme="minorEastAsia" w:hAnsiTheme="minorEastAsia" w:eastAsiaTheme="minorEastAsia"/>
                <w:color w:val="auto"/>
                <w:highlight w:val="none"/>
              </w:rPr>
              <w:t>标段</w:t>
            </w:r>
            <w:r>
              <w:rPr>
                <w:rFonts w:cs="Courier New" w:asciiTheme="minorEastAsia" w:hAnsiTheme="minorEastAsia" w:eastAsiaTheme="minorEastAsia"/>
                <w:color w:val="auto"/>
                <w:highlight w:val="none"/>
                <w:u w:val="single"/>
              </w:rPr>
              <w:t xml:space="preserve">     </w:t>
            </w:r>
            <w:r>
              <w:rPr>
                <w:rFonts w:hint="eastAsia" w:cs="Courier New" w:asciiTheme="minorEastAsia" w:hAnsiTheme="minorEastAsia" w:eastAsiaTheme="minorEastAsia"/>
                <w:color w:val="auto"/>
                <w:highlight w:val="none"/>
              </w:rPr>
              <w:t>万元；</w:t>
            </w:r>
          </w:p>
          <w:p w14:paraId="76E86285">
            <w:pPr>
              <w:adjustRightInd/>
              <w:snapToGrid/>
              <w:spacing w:line="400" w:lineRule="exact"/>
              <w:ind w:firstLine="525" w:firstLineChars="250"/>
              <w:rPr>
                <w:rFonts w:hint="eastAsia"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lang w:val="en-US" w:eastAsia="zh-CN"/>
              </w:rPr>
              <w:t xml:space="preserve"> </w:t>
            </w:r>
          </w:p>
          <w:p w14:paraId="463E0ADA">
            <w:pPr>
              <w:adjustRightInd/>
              <w:snapToGrid/>
              <w:spacing w:line="400" w:lineRule="exact"/>
              <w:ind w:firstLine="0" w:firstLineChars="0"/>
              <w:rPr>
                <w:rFonts w:hint="eastAsia" w:cs="Courier New" w:asciiTheme="minorEastAsia" w:hAnsiTheme="minorEastAsia" w:eastAsiaTheme="minorEastAsia"/>
                <w:color w:val="auto"/>
                <w:highlight w:val="none"/>
              </w:rPr>
            </w:pPr>
            <w:r>
              <w:rPr>
                <w:rFonts w:hint="eastAsia" w:cs="Courier New" w:asciiTheme="minorEastAsia" w:hAnsiTheme="minorEastAsia" w:eastAsiaTheme="minorEastAsia"/>
                <w:color w:val="auto"/>
                <w:highlight w:val="none"/>
                <w:lang w:eastAsia="zh-CN"/>
              </w:rPr>
              <w:t>（</w:t>
            </w:r>
            <w:r>
              <w:rPr>
                <w:rFonts w:hint="eastAsia" w:cs="Courier New" w:asciiTheme="minorEastAsia" w:hAnsiTheme="minorEastAsia" w:eastAsiaTheme="minorEastAsia"/>
                <w:color w:val="auto"/>
                <w:highlight w:val="none"/>
                <w:lang w:val="en-US" w:eastAsia="zh-CN"/>
              </w:rPr>
              <w:t>2</w:t>
            </w:r>
            <w:r>
              <w:rPr>
                <w:rFonts w:hint="eastAsia" w:cs="Courier New" w:asciiTheme="minorEastAsia" w:hAnsiTheme="minorEastAsia" w:eastAsiaTheme="minorEastAsia"/>
                <w:color w:val="auto"/>
                <w:highlight w:val="none"/>
                <w:lang w:eastAsia="zh-CN"/>
              </w:rPr>
              <w:t>）</w:t>
            </w:r>
            <w:r>
              <w:rPr>
                <w:rFonts w:cs="Courier New" w:asciiTheme="minorEastAsia" w:hAnsiTheme="minorEastAsia" w:eastAsiaTheme="minorEastAsia"/>
                <w:color w:val="auto"/>
                <w:highlight w:val="none"/>
              </w:rPr>
              <w:t>投标保证金可采用的形式</w:t>
            </w:r>
            <w:r>
              <w:rPr>
                <w:rFonts w:cs="Courier New" w:asciiTheme="minorEastAsia" w:hAnsiTheme="minorEastAsia" w:eastAsiaTheme="minorEastAsia"/>
                <w:color w:val="auto"/>
                <w:highlight w:val="none"/>
                <w:vertAlign w:val="superscript"/>
              </w:rPr>
              <w:footnoteReference w:id="36"/>
            </w:r>
            <w:r>
              <w:rPr>
                <w:rFonts w:hint="eastAsia" w:cs="Courier New" w:asciiTheme="minorEastAsia" w:hAnsiTheme="minorEastAsia" w:eastAsiaTheme="minorEastAsia"/>
                <w:color w:val="auto"/>
                <w:highlight w:val="none"/>
              </w:rPr>
              <w:t>：</w:t>
            </w:r>
          </w:p>
          <w:p w14:paraId="228B1B98">
            <w:pPr>
              <w:adjustRightInd/>
              <w:snapToGrid/>
              <w:spacing w:line="400" w:lineRule="exact"/>
              <w:ind w:firstLine="211" w:firstLineChars="100"/>
              <w:rPr>
                <w:rFonts w:cs="Courier New" w:asciiTheme="minorEastAsia" w:hAnsiTheme="minorEastAsia" w:eastAsiaTheme="minorEastAsia"/>
                <w:color w:val="auto"/>
                <w:highlight w:val="none"/>
              </w:rPr>
            </w:pPr>
            <w:r>
              <w:rPr>
                <w:rFonts w:hint="eastAsia" w:cs="Courier New" w:asciiTheme="minorEastAsia" w:hAnsiTheme="minorEastAsia" w:eastAsiaTheme="minorEastAsia"/>
                <w:b/>
                <w:bCs/>
                <w:color w:val="auto"/>
                <w:highlight w:val="none"/>
              </w:rPr>
              <w:t>□</w:t>
            </w:r>
            <w:r>
              <w:rPr>
                <w:rFonts w:cs="Courier New" w:asciiTheme="minorEastAsia" w:hAnsiTheme="minorEastAsia" w:eastAsiaTheme="minorEastAsia"/>
                <w:b/>
                <w:bCs/>
                <w:color w:val="auto"/>
                <w:highlight w:val="none"/>
              </w:rPr>
              <w:t xml:space="preserve"> </w:t>
            </w:r>
            <w:r>
              <w:rPr>
                <w:rFonts w:cs="Courier New" w:asciiTheme="minorEastAsia" w:hAnsiTheme="minorEastAsia" w:eastAsiaTheme="minorEastAsia"/>
                <w:color w:val="auto"/>
                <w:highlight w:val="none"/>
              </w:rPr>
              <w:t xml:space="preserve">银行保函 </w:t>
            </w:r>
          </w:p>
          <w:p w14:paraId="4687D03D">
            <w:pPr>
              <w:pStyle w:val="27"/>
              <w:adjustRightInd w:val="0"/>
              <w:snapToGrid w:val="0"/>
              <w:spacing w:line="400" w:lineRule="exact"/>
              <w:ind w:firstLine="210" w:firstLineChars="100"/>
              <w:rPr>
                <w:rFonts w:asciiTheme="minorEastAsia" w:hAnsiTheme="minorEastAsia" w:eastAsiaTheme="minorEastAsia"/>
                <w:color w:val="auto"/>
                <w:highlight w:val="none"/>
                <w:u w:val="single"/>
              </w:rPr>
            </w:pPr>
            <w:r>
              <w:rPr>
                <w:rFonts w:hint="eastAsia" w:cs="Courier New" w:asciiTheme="minorEastAsia" w:hAnsiTheme="minorEastAsia" w:eastAsiaTheme="minorEastAsia"/>
                <w:color w:val="auto"/>
                <w:szCs w:val="21"/>
                <w:highlight w:val="none"/>
              </w:rPr>
              <w:t>若采用银行保函形式提交的，出具保函的银行级别：</w:t>
            </w:r>
            <w:r>
              <w:rPr>
                <w:rFonts w:hint="eastAsia" w:asciiTheme="minorEastAsia" w:hAnsiTheme="minorEastAsia" w:eastAsiaTheme="minorEastAsia"/>
                <w:color w:val="auto"/>
                <w:highlight w:val="none"/>
              </w:rPr>
              <w:t>基本账户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或</w:t>
            </w:r>
            <w:r>
              <w:rPr>
                <w:rFonts w:hint="eastAsia" w:asciiTheme="minorEastAsia" w:hAnsiTheme="minorEastAsia" w:eastAsiaTheme="minorEastAsia"/>
                <w:color w:val="auto"/>
                <w:highlight w:val="none"/>
              </w:rPr>
              <w:t>基本存款账户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开户银行或基本账户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或</w:t>
            </w:r>
            <w:r>
              <w:rPr>
                <w:rFonts w:hint="eastAsia" w:asciiTheme="minorEastAsia" w:hAnsiTheme="minorEastAsia" w:eastAsiaTheme="minorEastAsia"/>
                <w:color w:val="auto"/>
                <w:highlight w:val="none"/>
              </w:rPr>
              <w:t>基本存款账户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所在银行系统内其他</w:t>
            </w:r>
            <w:r>
              <w:rPr>
                <w:rFonts w:asciiTheme="minorEastAsia" w:hAnsiTheme="minorEastAsia" w:eastAsiaTheme="minorEastAsia"/>
                <w:color w:val="auto"/>
                <w:highlight w:val="none"/>
              </w:rPr>
              <w:t>支行及以上银行</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银行保函为电子保函的不受此限</w:t>
            </w:r>
            <w:r>
              <w:rPr>
                <w:rFonts w:hint="eastAsia" w:asciiTheme="minorEastAsia" w:hAnsiTheme="minorEastAsia" w:eastAsiaTheme="minorEastAsia"/>
                <w:color w:val="auto"/>
                <w:highlight w:val="none"/>
                <w:lang w:eastAsia="zh-CN"/>
              </w:rPr>
              <w:t>。</w:t>
            </w:r>
          </w:p>
          <w:p w14:paraId="5BB393DF">
            <w:pPr>
              <w:adjustRightInd w:val="0"/>
              <w:snapToGrid w:val="0"/>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银行保函应采用招标文件提供的格式，若采用银行自有格式，其提交的银行保函内容</w:t>
            </w:r>
            <w:r>
              <w:rPr>
                <w:rFonts w:asciiTheme="minorEastAsia" w:hAnsiTheme="minorEastAsia" w:eastAsiaTheme="minorEastAsia"/>
                <w:color w:val="auto"/>
                <w:szCs w:val="21"/>
                <w:highlight w:val="none"/>
              </w:rPr>
              <w:t>不得</w:t>
            </w:r>
            <w:r>
              <w:rPr>
                <w:rFonts w:hint="eastAsia" w:asciiTheme="minorEastAsia" w:hAnsiTheme="minorEastAsia" w:eastAsiaTheme="minorEastAsia"/>
                <w:color w:val="auto"/>
                <w:szCs w:val="21"/>
                <w:highlight w:val="none"/>
              </w:rPr>
              <w:t>对担保金额、担保范围、担保期限、担保内容作出降低担保效力的</w:t>
            </w:r>
            <w:r>
              <w:rPr>
                <w:rFonts w:asciiTheme="minorEastAsia" w:hAnsiTheme="minorEastAsia" w:eastAsiaTheme="minorEastAsia"/>
                <w:color w:val="auto"/>
                <w:szCs w:val="21"/>
                <w:highlight w:val="none"/>
              </w:rPr>
              <w:t>实质性修改</w:t>
            </w:r>
            <w:r>
              <w:rPr>
                <w:rFonts w:hint="eastAsia" w:asciiTheme="minorEastAsia" w:hAnsiTheme="minorEastAsia" w:eastAsiaTheme="minorEastAsia"/>
                <w:color w:val="auto"/>
                <w:szCs w:val="21"/>
                <w:highlight w:val="none"/>
              </w:rPr>
              <w:t>。投标保证金有效期应当不低于投标有效期。招标人如果按本章第</w:t>
            </w:r>
            <w:r>
              <w:rPr>
                <w:rFonts w:asciiTheme="minorEastAsia" w:hAnsiTheme="minorEastAsia" w:eastAsiaTheme="minorEastAsia"/>
                <w:color w:val="auto"/>
                <w:szCs w:val="21"/>
                <w:highlight w:val="none"/>
              </w:rPr>
              <w:t>3.3.3项的规定延长了投标有效期，则投标保证金的有效期也相应延长。</w:t>
            </w:r>
          </w:p>
          <w:p w14:paraId="77BE334A">
            <w:pPr>
              <w:adjustRightInd w:val="0"/>
              <w:snapToGrid w:val="0"/>
              <w:spacing w:line="400" w:lineRule="exact"/>
              <w:ind w:firstLine="420" w:firstLineChars="200"/>
              <w:rPr>
                <w:rFonts w:cs="Courier New"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sym w:font="Wingdings 2" w:char="00A3"/>
            </w:r>
            <w:r>
              <w:rPr>
                <w:rFonts w:hint="eastAsia" w:cs="宋体" w:asciiTheme="minorEastAsia" w:hAnsiTheme="minorEastAsia" w:eastAsiaTheme="minorEastAsia"/>
                <w:color w:val="auto"/>
                <w:szCs w:val="21"/>
                <w:highlight w:val="none"/>
                <w:lang w:val="en-US" w:eastAsia="zh-CN"/>
              </w:rPr>
              <w:t xml:space="preserve"> 投标人应将</w:t>
            </w:r>
            <w:r>
              <w:rPr>
                <w:rFonts w:hint="eastAsia" w:cs="宋体" w:asciiTheme="minorEastAsia" w:hAnsiTheme="minorEastAsia" w:eastAsiaTheme="minorEastAsia"/>
                <w:color w:val="auto"/>
                <w:szCs w:val="21"/>
                <w:highlight w:val="none"/>
              </w:rPr>
              <w:t>银行保函的原件原色扫描件装入投标文件内，银行保函原件在</w:t>
            </w:r>
            <w:r>
              <w:rPr>
                <w:rFonts w:cs="宋体" w:asciiTheme="minorEastAsia" w:hAnsiTheme="minorEastAsia" w:eastAsiaTheme="minorEastAsia"/>
                <w:color w:val="auto"/>
                <w:szCs w:val="21"/>
                <w:highlight w:val="none"/>
              </w:rPr>
              <w:t>投标截止时间前</w:t>
            </w:r>
            <w:r>
              <w:rPr>
                <w:rFonts w:hint="eastAsia" w:cs="宋体" w:asciiTheme="minorEastAsia" w:hAnsiTheme="minorEastAsia" w:eastAsiaTheme="minorEastAsia"/>
                <w:color w:val="auto"/>
                <w:szCs w:val="21"/>
                <w:highlight w:val="none"/>
              </w:rPr>
              <w:t>现场递交至</w:t>
            </w:r>
            <w:r>
              <w:rPr>
                <w:rFonts w:hint="eastAsia" w:cs="宋体" w:asciiTheme="minorEastAsia" w:hAnsiTheme="minorEastAsia" w:eastAsiaTheme="minorEastAsia"/>
                <w:color w:val="auto"/>
                <w:szCs w:val="21"/>
                <w:highlight w:val="none"/>
                <w:u w:val="single"/>
              </w:rPr>
              <w:t>招标公告约定的地点</w:t>
            </w:r>
            <w:r>
              <w:rPr>
                <w:rFonts w:hint="eastAsia" w:cs="宋体" w:asciiTheme="minorEastAsia" w:hAnsiTheme="minorEastAsia" w:eastAsiaTheme="minorEastAsia"/>
                <w:color w:val="auto"/>
                <w:szCs w:val="21"/>
                <w:highlight w:val="none"/>
              </w:rPr>
              <w:t>。</w:t>
            </w:r>
            <w:r>
              <w:rPr>
                <w:rStyle w:val="59"/>
                <w:rFonts w:hint="eastAsia" w:ascii="宋体" w:hAnsi="宋体"/>
                <w:color w:val="auto"/>
                <w:sz w:val="24"/>
                <w:highlight w:val="none"/>
              </w:rPr>
              <w:footnoteReference w:id="37"/>
            </w:r>
            <w:r>
              <w:rPr>
                <w:rFonts w:hint="eastAsia" w:cs="宋体" w:asciiTheme="minorEastAsia" w:hAnsiTheme="minorEastAsia" w:eastAsiaTheme="minorEastAsia"/>
                <w:color w:val="auto"/>
                <w:szCs w:val="21"/>
                <w:highlight w:val="none"/>
              </w:rPr>
              <w:t>投标人同时还应按照规定参加远程电子开标</w:t>
            </w:r>
          </w:p>
          <w:p w14:paraId="6011D553">
            <w:pPr>
              <w:adjustRightInd w:val="0"/>
              <w:snapToGrid w:val="0"/>
              <w:spacing w:line="400" w:lineRule="exact"/>
              <w:ind w:firstLine="211" w:firstLineChars="100"/>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b/>
                <w:bCs/>
                <w:color w:val="auto"/>
                <w:szCs w:val="21"/>
                <w:highlight w:val="none"/>
              </w:rPr>
              <w:t>□</w:t>
            </w:r>
            <w:r>
              <w:rPr>
                <w:rFonts w:cs="Courier New" w:asciiTheme="minorEastAsia" w:hAnsiTheme="minorEastAsia" w:eastAsiaTheme="minorEastAsia"/>
                <w:b/>
                <w:bCs/>
                <w:color w:val="auto"/>
                <w:szCs w:val="21"/>
                <w:highlight w:val="none"/>
              </w:rPr>
              <w:t xml:space="preserve"> </w:t>
            </w:r>
            <w:r>
              <w:rPr>
                <w:rFonts w:cs="Courier New" w:asciiTheme="minorEastAsia" w:hAnsiTheme="minorEastAsia" w:eastAsiaTheme="minorEastAsia"/>
                <w:color w:val="auto"/>
                <w:szCs w:val="21"/>
                <w:highlight w:val="none"/>
              </w:rPr>
              <w:t xml:space="preserve">现金 </w:t>
            </w:r>
          </w:p>
          <w:p w14:paraId="048237E7">
            <w:pPr>
              <w:adjustRightInd w:val="0"/>
              <w:snapToGrid w:val="0"/>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若采用现金</w:t>
            </w:r>
            <w:r>
              <w:rPr>
                <w:rFonts w:hint="eastAsia" w:cs="Courier New" w:asciiTheme="minorEastAsia" w:hAnsiTheme="minorEastAsia" w:eastAsiaTheme="minorEastAsia"/>
                <w:color w:val="auto"/>
                <w:szCs w:val="21"/>
                <w:highlight w:val="none"/>
              </w:rPr>
              <w:t>形式，投标人应通过</w:t>
            </w:r>
            <w:r>
              <w:rPr>
                <w:rFonts w:hint="eastAsia" w:asciiTheme="minorEastAsia" w:hAnsiTheme="minorEastAsia" w:eastAsiaTheme="minorEastAsia"/>
                <w:color w:val="auto"/>
                <w:szCs w:val="21"/>
                <w:highlight w:val="none"/>
              </w:rPr>
              <w:t>银行</w:t>
            </w:r>
            <w:r>
              <w:rPr>
                <w:rFonts w:asciiTheme="minorEastAsia" w:hAnsiTheme="minorEastAsia" w:eastAsiaTheme="minorEastAsia"/>
                <w:color w:val="auto"/>
                <w:szCs w:val="21"/>
                <w:highlight w:val="none"/>
              </w:rPr>
              <w:t>电汇</w:t>
            </w:r>
            <w:r>
              <w:rPr>
                <w:rFonts w:hint="eastAsia" w:asciiTheme="minorEastAsia" w:hAnsiTheme="minorEastAsia" w:eastAsiaTheme="minorEastAsia"/>
                <w:color w:val="auto"/>
                <w:szCs w:val="21"/>
                <w:highlight w:val="none"/>
              </w:rPr>
              <w:t>或现金转账方式由投标人的基本账户</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或基本存款账户</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转入招标人指定的账户，且须在投标截止时间前（宜在投标截止期前一天）到账。投标人须将电汇回执单或现金转账凭证原件原色扫描件装入投标文件。</w:t>
            </w:r>
          </w:p>
          <w:p w14:paraId="2A78DC7A">
            <w:pPr>
              <w:pStyle w:val="27"/>
              <w:adjustRightInd w:val="0"/>
              <w:snapToGrid w:val="0"/>
              <w:spacing w:line="400" w:lineRule="exact"/>
              <w:ind w:firstLine="21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w:t>
            </w:r>
            <w:r>
              <w:rPr>
                <w:rFonts w:hint="eastAsia" w:cs="Courier New" w:asciiTheme="minorEastAsia" w:hAnsiTheme="minorEastAsia" w:eastAsiaTheme="minorEastAsia"/>
                <w:color w:val="auto"/>
                <w:highlight w:val="none"/>
              </w:rPr>
              <w:t>人指定的</w:t>
            </w:r>
            <w:r>
              <w:rPr>
                <w:rFonts w:asciiTheme="minorEastAsia" w:hAnsiTheme="minorEastAsia" w:eastAsiaTheme="minorEastAsia"/>
                <w:color w:val="auto"/>
                <w:highlight w:val="none"/>
              </w:rPr>
              <w:t>开户银行及账号</w:t>
            </w:r>
            <w:r>
              <w:rPr>
                <w:rFonts w:hint="eastAsia" w:asciiTheme="minorEastAsia" w:hAnsiTheme="minorEastAsia" w:eastAsiaTheme="minorEastAsia"/>
                <w:color w:val="auto"/>
                <w:highlight w:val="none"/>
              </w:rPr>
              <w:t>如下</w:t>
            </w:r>
            <w:r>
              <w:rPr>
                <w:rFonts w:asciiTheme="minorEastAsia" w:hAnsiTheme="minorEastAsia" w:eastAsiaTheme="minorEastAsia"/>
                <w:color w:val="auto"/>
                <w:highlight w:val="none"/>
              </w:rPr>
              <w:t>：</w:t>
            </w:r>
          </w:p>
          <w:p w14:paraId="55E6EF04">
            <w:pPr>
              <w:pStyle w:val="27"/>
              <w:adjustRightInd w:val="0"/>
              <w:snapToGrid w:val="0"/>
              <w:spacing w:line="400" w:lineRule="exact"/>
              <w:ind w:left="0" w:leftChars="0"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账户名称：</w:t>
            </w:r>
            <w:r>
              <w:rPr>
                <w:rFonts w:asciiTheme="minorEastAsia" w:hAnsiTheme="minorEastAsia" w:eastAsiaTheme="minorEastAsia"/>
                <w:color w:val="auto"/>
                <w:highlight w:val="none"/>
                <w:u w:val="single"/>
              </w:rPr>
              <w:t xml:space="preserve">                   </w:t>
            </w:r>
          </w:p>
          <w:p w14:paraId="6FBF97F3">
            <w:pPr>
              <w:pStyle w:val="27"/>
              <w:adjustRightInd w:val="0"/>
              <w:snapToGrid w:val="0"/>
              <w:spacing w:line="400" w:lineRule="exact"/>
              <w:ind w:left="0" w:leftChars="0"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开户银行：</w:t>
            </w:r>
            <w:r>
              <w:rPr>
                <w:rFonts w:asciiTheme="minorEastAsia" w:hAnsiTheme="minorEastAsia" w:eastAsiaTheme="minorEastAsia"/>
                <w:color w:val="auto"/>
                <w:highlight w:val="none"/>
                <w:u w:val="single"/>
              </w:rPr>
              <w:t xml:space="preserve">                   </w:t>
            </w:r>
          </w:p>
          <w:p w14:paraId="4CC21768">
            <w:pPr>
              <w:pStyle w:val="27"/>
              <w:adjustRightInd w:val="0"/>
              <w:snapToGrid w:val="0"/>
              <w:spacing w:line="400" w:lineRule="exact"/>
              <w:ind w:left="0" w:leftChars="0" w:firstLine="420" w:firstLineChars="200"/>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账</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号：</w:t>
            </w:r>
            <w:r>
              <w:rPr>
                <w:rFonts w:asciiTheme="minorEastAsia" w:hAnsiTheme="minorEastAsia" w:eastAsiaTheme="minorEastAsia"/>
                <w:color w:val="auto"/>
                <w:highlight w:val="none"/>
                <w:u w:val="single"/>
              </w:rPr>
              <w:t xml:space="preserve">                   </w:t>
            </w:r>
          </w:p>
          <w:p w14:paraId="202232DE">
            <w:pPr>
              <w:adjustRightInd w:val="0"/>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sym w:font="Wingdings 2" w:char="00A3"/>
            </w:r>
            <w:r>
              <w:rPr>
                <w:rFonts w:hint="eastAsia" w:asciiTheme="minorEastAsia" w:hAnsiTheme="minorEastAsia" w:eastAsiaTheme="minorEastAsia"/>
                <w:color w:val="auto"/>
                <w:szCs w:val="21"/>
                <w:highlight w:val="none"/>
              </w:rPr>
              <w:t>其他账号：</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p>
          <w:p w14:paraId="1EB0BF58">
            <w:pPr>
              <w:pStyle w:val="299"/>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cs="Courier New"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 xml:space="preserve"> </w:t>
            </w:r>
            <w:r>
              <w:rPr>
                <w:rFonts w:asciiTheme="minorEastAsia" w:hAnsiTheme="minorEastAsia" w:eastAsiaTheme="minorEastAsia"/>
                <w:color w:val="auto"/>
                <w:szCs w:val="21"/>
                <w:highlight w:val="none"/>
              </w:rPr>
              <w:t>支票</w:t>
            </w:r>
          </w:p>
          <w:p w14:paraId="6D2E5D9E">
            <w:pPr>
              <w:pStyle w:val="299"/>
              <w:adjustRightInd w:val="0"/>
              <w:snapToGrid w:val="0"/>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由投标人的基本账户</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或基本存款账户</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转入招标人指定的账户，且须在投标截止时间前（宜在投标截止期前一天）到账。投标人须将转账回执单原件原色扫描件装入投标文件</w:t>
            </w:r>
          </w:p>
          <w:p w14:paraId="1F1CF590">
            <w:pPr>
              <w:adjustRightInd/>
              <w:snapToGrid/>
              <w:spacing w:line="400" w:lineRule="exact"/>
              <w:ind w:firstLine="211" w:firstLineChars="100"/>
              <w:rPr>
                <w:rFonts w:hint="eastAsia" w:cs="Courier New" w:asciiTheme="minorEastAsia" w:hAnsiTheme="minorEastAsia" w:eastAsiaTheme="minorEastAsia"/>
                <w:color w:val="auto"/>
                <w:highlight w:val="none"/>
              </w:rPr>
            </w:pPr>
            <w:r>
              <w:rPr>
                <w:rFonts w:hint="eastAsia" w:cs="Courier New" w:asciiTheme="minorEastAsia" w:hAnsiTheme="minorEastAsia" w:eastAsiaTheme="minorEastAsia"/>
                <w:b/>
                <w:bCs/>
                <w:color w:val="auto"/>
                <w:szCs w:val="21"/>
                <w:highlight w:val="none"/>
              </w:rPr>
              <w:t>□</w:t>
            </w:r>
            <w:r>
              <w:rPr>
                <w:rFonts w:cs="Courier New" w:asciiTheme="minorEastAsia" w:hAnsiTheme="minorEastAsia" w:eastAsiaTheme="minorEastAsia"/>
                <w:b/>
                <w:bCs/>
                <w:color w:val="auto"/>
                <w:szCs w:val="21"/>
                <w:highlight w:val="none"/>
              </w:rPr>
              <w:t xml:space="preserve"> </w:t>
            </w:r>
            <w:r>
              <w:rPr>
                <w:rFonts w:hint="eastAsia" w:asciiTheme="minorEastAsia" w:hAnsiTheme="minorEastAsia" w:eastAsiaTheme="minorEastAsia"/>
                <w:color w:val="auto"/>
                <w:szCs w:val="21"/>
                <w:highlight w:val="none"/>
              </w:rPr>
              <w:t>其他形式</w:t>
            </w:r>
            <w:r>
              <w:rPr>
                <w:rFonts w:cs="宋体" w:asciiTheme="minorEastAsia" w:hAnsiTheme="minorEastAsia" w:eastAsiaTheme="minorEastAsia"/>
                <w:color w:val="auto"/>
                <w:szCs w:val="21"/>
                <w:highlight w:val="none"/>
                <w:vertAlign w:val="superscript"/>
              </w:rPr>
              <w:footnoteReference w:id="38"/>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p>
        </w:tc>
      </w:tr>
      <w:tr w14:paraId="2D4B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A194E82">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3.4.3</w:t>
            </w:r>
          </w:p>
        </w:tc>
        <w:tc>
          <w:tcPr>
            <w:tcW w:w="2145" w:type="dxa"/>
            <w:vAlign w:val="center"/>
          </w:tcPr>
          <w:p w14:paraId="1D28EFA5">
            <w:pPr>
              <w:adjustRightInd w:val="0"/>
              <w:snapToGrid w:val="0"/>
              <w:spacing w:line="400" w:lineRule="exact"/>
              <w:jc w:val="center"/>
              <w:rPr>
                <w:rFonts w:hint="eastAsia" w:cs="宋体" w:asciiTheme="minorEastAsia" w:hAnsiTheme="minorEastAsia" w:eastAsiaTheme="minorEastAsia"/>
                <w:color w:val="auto"/>
                <w:szCs w:val="21"/>
                <w:highlight w:val="none"/>
              </w:rPr>
            </w:pPr>
          </w:p>
          <w:p w14:paraId="4104A696">
            <w:pPr>
              <w:adjustRightInd w:val="0"/>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投标保证金的利息</w:t>
            </w:r>
          </w:p>
          <w:p w14:paraId="713D1093">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计算原则</w:t>
            </w:r>
            <w:r>
              <w:rPr>
                <w:rStyle w:val="59"/>
                <w:rFonts w:cs="宋体" w:asciiTheme="minorEastAsia" w:hAnsiTheme="minorEastAsia" w:eastAsiaTheme="minorEastAsia"/>
                <w:color w:val="auto"/>
                <w:szCs w:val="21"/>
                <w:highlight w:val="none"/>
              </w:rPr>
              <w:footnoteReference w:id="39"/>
            </w:r>
          </w:p>
        </w:tc>
        <w:tc>
          <w:tcPr>
            <w:tcW w:w="5833" w:type="dxa"/>
            <w:vAlign w:val="center"/>
          </w:tcPr>
          <w:p w14:paraId="26B32754">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投标保证金以现金或者支票形式递交的，投标保证金的利息计算原则：</w:t>
            </w:r>
          </w:p>
          <w:p w14:paraId="70751CB5">
            <w:pPr>
              <w:pStyle w:val="299"/>
              <w:adjustRightInd w:val="0"/>
              <w:snapToGrid w:val="0"/>
              <w:spacing w:line="400" w:lineRule="exact"/>
              <w:ind w:firstLine="210" w:firstLine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14:paraId="296A8AC2">
            <w:pPr>
              <w:pStyle w:val="299"/>
              <w:adjustRightInd w:val="0"/>
              <w:snapToGrid w:val="0"/>
              <w:spacing w:line="400" w:lineRule="exact"/>
              <w:ind w:firstLine="210" w:firstLine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其他规定</w:t>
            </w:r>
            <w:r>
              <w:rPr>
                <w:rStyle w:val="59"/>
                <w:rFonts w:cs="宋体" w:asciiTheme="minorEastAsia" w:hAnsiTheme="minorEastAsia" w:eastAsiaTheme="minorEastAsia"/>
                <w:color w:val="auto"/>
                <w:szCs w:val="21"/>
                <w:highlight w:val="none"/>
              </w:rPr>
              <w:footnoteReference w:id="40"/>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b/>
                <w:color w:val="auto"/>
                <w:szCs w:val="21"/>
                <w:highlight w:val="none"/>
                <w:u w:val="single"/>
              </w:rPr>
              <w:t xml:space="preserve">       </w:t>
            </w:r>
            <w:r>
              <w:rPr>
                <w:rFonts w:cs="宋体" w:asciiTheme="minorEastAsia" w:hAnsiTheme="minorEastAsia" w:eastAsiaTheme="minorEastAsia"/>
                <w:color w:val="auto"/>
                <w:szCs w:val="21"/>
                <w:highlight w:val="none"/>
                <w:u w:val="single"/>
              </w:rPr>
              <w:t xml:space="preserve">      </w:t>
            </w:r>
          </w:p>
          <w:p w14:paraId="2096FB09">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投标保证金采用银行保函的</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不适用</w:t>
            </w:r>
          </w:p>
        </w:tc>
      </w:tr>
      <w:tr w14:paraId="4FA9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0BA41A0">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3.4.3</w:t>
            </w:r>
          </w:p>
        </w:tc>
        <w:tc>
          <w:tcPr>
            <w:tcW w:w="2145" w:type="dxa"/>
            <w:vAlign w:val="center"/>
          </w:tcPr>
          <w:p w14:paraId="694BAC71">
            <w:pPr>
              <w:pStyle w:val="299"/>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投标保证金的</w:t>
            </w:r>
          </w:p>
          <w:p w14:paraId="5FC66DCF">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退还方式</w:t>
            </w:r>
            <w:r>
              <w:rPr>
                <w:rStyle w:val="59"/>
                <w:rFonts w:cs="宋体" w:asciiTheme="minorEastAsia" w:hAnsiTheme="minorEastAsia" w:eastAsiaTheme="minorEastAsia"/>
                <w:color w:val="auto"/>
                <w:szCs w:val="21"/>
                <w:highlight w:val="none"/>
              </w:rPr>
              <w:footnoteReference w:id="41"/>
            </w:r>
          </w:p>
        </w:tc>
        <w:tc>
          <w:tcPr>
            <w:tcW w:w="5833" w:type="dxa"/>
            <w:vAlign w:val="center"/>
          </w:tcPr>
          <w:p w14:paraId="0C6AB1D1">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银行保函的退还：</w:t>
            </w:r>
          </w:p>
          <w:p w14:paraId="710E848F">
            <w:pPr>
              <w:adjustRightInd w:val="0"/>
              <w:snapToGrid w:val="0"/>
              <w:spacing w:line="400" w:lineRule="exact"/>
              <w:ind w:firstLine="210" w:firstLineChars="1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银行保函由投标人法定代表人或其委托代理人凭单位介绍信及身份证原件在招标人处领取</w:t>
            </w:r>
            <w:r>
              <w:rPr>
                <w:rFonts w:hint="eastAsia" w:asciiTheme="minorEastAsia" w:hAnsiTheme="minorEastAsia" w:eastAsiaTheme="minorEastAsia"/>
                <w:color w:val="auto"/>
                <w:szCs w:val="21"/>
                <w:highlight w:val="none"/>
              </w:rPr>
              <w:t>。</w:t>
            </w:r>
          </w:p>
          <w:p w14:paraId="64E12C82">
            <w:pPr>
              <w:adjustRightInd w:val="0"/>
              <w:snapToGrid w:val="0"/>
              <w:spacing w:line="400" w:lineRule="exact"/>
              <w:ind w:firstLine="210" w:firstLineChars="100"/>
              <w:rPr>
                <w:rFonts w:cs="宋体"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招标人的联系方式</w:t>
            </w:r>
            <w:r>
              <w:rPr>
                <w:rFonts w:cs="宋体" w:asciiTheme="minorEastAsia" w:hAnsiTheme="minorEastAsia" w:eastAsiaTheme="minorEastAsia"/>
                <w:color w:val="auto"/>
                <w:spacing w:val="1"/>
                <w:kern w:val="0"/>
                <w:szCs w:val="21"/>
                <w:highlight w:val="none"/>
              </w:rPr>
              <w:t xml:space="preserve"> </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u w:val="single"/>
              </w:rPr>
              <w:t xml:space="preserve">                  </w:t>
            </w:r>
          </w:p>
          <w:p w14:paraId="5071E78A">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现金、支票形式的退还：</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p>
          <w:p w14:paraId="2CE0866A">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其他：</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p>
        </w:tc>
      </w:tr>
      <w:tr w14:paraId="06B5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43670A2">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3.4.4</w:t>
            </w:r>
          </w:p>
        </w:tc>
        <w:tc>
          <w:tcPr>
            <w:tcW w:w="2145" w:type="dxa"/>
            <w:vAlign w:val="center"/>
          </w:tcPr>
          <w:p w14:paraId="6DD117B0">
            <w:pPr>
              <w:adjustRightInd w:val="0"/>
              <w:snapToGrid w:val="0"/>
              <w:spacing w:line="40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其他不予退还</w:t>
            </w:r>
          </w:p>
          <w:p w14:paraId="16EBD756">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投标保证金的情形</w:t>
            </w:r>
          </w:p>
        </w:tc>
        <w:tc>
          <w:tcPr>
            <w:tcW w:w="5833" w:type="dxa"/>
            <w:vAlign w:val="center"/>
          </w:tcPr>
          <w:p w14:paraId="1EF3F019">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3）其他不予退还投标保证金的情形：</w:t>
            </w:r>
          </w:p>
          <w:p w14:paraId="582AC374">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投标人存在弄虚作假且对其初步评审、详细评审产生影响的行为；</w:t>
            </w:r>
          </w:p>
          <w:p w14:paraId="5E196DFE">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投标人有串通投标行为；</w:t>
            </w:r>
          </w:p>
          <w:p w14:paraId="208E2BDF">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投标人有行贿行为；</w:t>
            </w:r>
          </w:p>
          <w:p w14:paraId="7B8906B3">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asciiTheme="minorEastAsia" w:hAnsiTheme="minorEastAsia" w:eastAsiaTheme="minorEastAsia"/>
                <w:color w:val="auto"/>
                <w:szCs w:val="21"/>
                <w:highlight w:val="none"/>
              </w:rPr>
              <w:t xml:space="preserve"> 投标人</w:t>
            </w:r>
            <w:r>
              <w:rPr>
                <w:rFonts w:hint="eastAsia" w:asciiTheme="minorEastAsia" w:hAnsiTheme="minorEastAsia" w:eastAsiaTheme="minorEastAsia"/>
                <w:color w:val="auto"/>
                <w:szCs w:val="21"/>
                <w:highlight w:val="none"/>
              </w:rPr>
              <w:t>有其他行为：</w:t>
            </w:r>
            <w:r>
              <w:rPr>
                <w:rFonts w:asciiTheme="minorEastAsia" w:hAnsiTheme="minorEastAsia" w:eastAsiaTheme="minorEastAsia"/>
                <w:color w:val="auto"/>
                <w:szCs w:val="21"/>
                <w:highlight w:val="none"/>
                <w:u w:val="single"/>
              </w:rPr>
              <w:t xml:space="preserve">        </w:t>
            </w:r>
          </w:p>
          <w:p w14:paraId="08712D6E">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注：串通投标、弄虚作假具体情形</w:t>
            </w:r>
            <w:r>
              <w:rPr>
                <w:rFonts w:hint="eastAsia" w:asciiTheme="minorEastAsia" w:hAnsiTheme="minorEastAsia" w:eastAsiaTheme="minorEastAsia"/>
                <w:color w:val="auto"/>
                <w:szCs w:val="21"/>
                <w:highlight w:val="none"/>
                <w:lang w:val="en-US" w:eastAsia="zh-CN"/>
              </w:rPr>
              <w:t>见</w:t>
            </w:r>
            <w:r>
              <w:rPr>
                <w:rFonts w:hint="eastAsia" w:asciiTheme="minorEastAsia" w:hAnsiTheme="minorEastAsia" w:eastAsiaTheme="minorEastAsia"/>
                <w:color w:val="auto"/>
                <w:szCs w:val="21"/>
                <w:highlight w:val="none"/>
              </w:rPr>
              <w:t>第三章“评标办法”</w:t>
            </w:r>
          </w:p>
        </w:tc>
      </w:tr>
      <w:tr w14:paraId="65C4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721B163">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w:t>
            </w:r>
          </w:p>
        </w:tc>
        <w:tc>
          <w:tcPr>
            <w:tcW w:w="2145" w:type="dxa"/>
            <w:vAlign w:val="center"/>
          </w:tcPr>
          <w:p w14:paraId="4940A43D">
            <w:pPr>
              <w:adjustRightInd w:val="0"/>
              <w:snapToGrid w:val="0"/>
              <w:spacing w:line="40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资格审查资料</w:t>
            </w:r>
          </w:p>
          <w:p w14:paraId="699C1619">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的特殊要求</w:t>
            </w:r>
          </w:p>
        </w:tc>
        <w:tc>
          <w:tcPr>
            <w:tcW w:w="5833" w:type="dxa"/>
            <w:vAlign w:val="center"/>
          </w:tcPr>
          <w:p w14:paraId="75F55021">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无</w:t>
            </w:r>
          </w:p>
          <w:p w14:paraId="150E52E3">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有，具体要求：</w:t>
            </w:r>
            <w:r>
              <w:rPr>
                <w:rFonts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rPr>
              <w:t xml:space="preserve"> </w:t>
            </w:r>
          </w:p>
        </w:tc>
      </w:tr>
      <w:tr w14:paraId="6044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BD8D050">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3.5.1</w:t>
            </w:r>
          </w:p>
        </w:tc>
        <w:tc>
          <w:tcPr>
            <w:tcW w:w="2145" w:type="dxa"/>
            <w:vAlign w:val="center"/>
          </w:tcPr>
          <w:p w14:paraId="7810BFB1">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投标人基本情况表</w:t>
            </w:r>
          </w:p>
        </w:tc>
        <w:tc>
          <w:tcPr>
            <w:tcW w:w="5833" w:type="dxa"/>
            <w:vAlign w:val="center"/>
          </w:tcPr>
          <w:p w14:paraId="57883807">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“投标人基本情况表”应附的证明材料以第九章“投标文件格式”中要求为准</w:t>
            </w:r>
          </w:p>
        </w:tc>
      </w:tr>
      <w:tr w14:paraId="7DD0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14:paraId="3B5E6753">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3.5.2</w:t>
            </w:r>
          </w:p>
        </w:tc>
        <w:tc>
          <w:tcPr>
            <w:tcW w:w="2145" w:type="dxa"/>
            <w:vAlign w:val="center"/>
          </w:tcPr>
          <w:p w14:paraId="798F1309">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近年财务状况的年份要求</w:t>
            </w:r>
          </w:p>
        </w:tc>
        <w:tc>
          <w:tcPr>
            <w:tcW w:w="5833" w:type="dxa"/>
            <w:vAlign w:val="center"/>
          </w:tcPr>
          <w:p w14:paraId="4433C846">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时间要求：</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p>
          <w:p w14:paraId="4A208051">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证明材料为：</w:t>
            </w:r>
          </w:p>
          <w:p w14:paraId="21A8E274">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“近年财务状况</w:t>
            </w:r>
            <w:r>
              <w:rPr>
                <w:rFonts w:hint="eastAsia" w:asciiTheme="minorEastAsia" w:hAnsiTheme="minorEastAsia" w:eastAsiaTheme="minorEastAsia"/>
                <w:color w:val="auto"/>
                <w:szCs w:val="21"/>
                <w:highlight w:val="none"/>
                <w:lang w:val="en-US" w:eastAsia="zh-CN"/>
              </w:rPr>
              <w:t>表</w:t>
            </w:r>
            <w:r>
              <w:rPr>
                <w:rFonts w:hint="eastAsia" w:asciiTheme="minorEastAsia" w:hAnsiTheme="minorEastAsia" w:eastAsiaTheme="minorEastAsia"/>
                <w:color w:val="auto"/>
                <w:szCs w:val="21"/>
                <w:highlight w:val="none"/>
              </w:rPr>
              <w:t>”应附的证明材料以第九章“投标文件格式”中要求为准</w:t>
            </w:r>
          </w:p>
        </w:tc>
      </w:tr>
      <w:tr w14:paraId="48C2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B392C28">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3.5.3</w:t>
            </w:r>
          </w:p>
        </w:tc>
        <w:tc>
          <w:tcPr>
            <w:tcW w:w="2145" w:type="dxa"/>
            <w:vAlign w:val="center"/>
          </w:tcPr>
          <w:p w14:paraId="14B4A98F">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近年完成的类似项目情况的时间要求</w:t>
            </w:r>
          </w:p>
        </w:tc>
        <w:tc>
          <w:tcPr>
            <w:tcW w:w="5833" w:type="dxa"/>
            <w:vAlign w:val="center"/>
          </w:tcPr>
          <w:p w14:paraId="41D675D3">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时间要求：</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rPr>
              <w:t>～投标截止日</w:t>
            </w:r>
          </w:p>
          <w:p w14:paraId="61711545">
            <w:pPr>
              <w:pStyle w:val="27"/>
              <w:adjustRightInd w:val="0"/>
              <w:snapToGrid w:val="0"/>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证明材料为：</w:t>
            </w:r>
          </w:p>
          <w:p w14:paraId="77F9E09B">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“近年完成</w:t>
            </w:r>
            <w:r>
              <w:rPr>
                <w:rFonts w:hint="eastAsia" w:asciiTheme="minorEastAsia" w:hAnsiTheme="minorEastAsia" w:eastAsiaTheme="minorEastAsia"/>
                <w:color w:val="auto"/>
                <w:szCs w:val="21"/>
                <w:highlight w:val="none"/>
                <w:lang w:val="en-US" w:eastAsia="zh-CN"/>
              </w:rPr>
              <w:t>的</w:t>
            </w:r>
            <w:r>
              <w:rPr>
                <w:rFonts w:hint="eastAsia" w:asciiTheme="minorEastAsia" w:hAnsiTheme="minorEastAsia" w:eastAsiaTheme="minorEastAsia"/>
                <w:color w:val="auto"/>
                <w:szCs w:val="21"/>
                <w:highlight w:val="none"/>
              </w:rPr>
              <w:t>类似项目情况</w:t>
            </w:r>
            <w:r>
              <w:rPr>
                <w:rFonts w:hint="eastAsia" w:asciiTheme="minorEastAsia" w:hAnsiTheme="minorEastAsia" w:eastAsiaTheme="minorEastAsia"/>
                <w:color w:val="auto"/>
                <w:szCs w:val="21"/>
                <w:highlight w:val="none"/>
                <w:lang w:val="en-US" w:eastAsia="zh-CN"/>
              </w:rPr>
              <w:t>表</w:t>
            </w:r>
            <w:r>
              <w:rPr>
                <w:rFonts w:hint="eastAsia" w:asciiTheme="minorEastAsia" w:hAnsiTheme="minorEastAsia" w:eastAsiaTheme="minorEastAsia"/>
                <w:color w:val="auto"/>
                <w:szCs w:val="21"/>
                <w:highlight w:val="none"/>
              </w:rPr>
              <w:t>”应附的</w:t>
            </w:r>
            <w:r>
              <w:rPr>
                <w:rFonts w:hint="eastAsia" w:cs="宋体" w:asciiTheme="minorEastAsia" w:hAnsiTheme="minorEastAsia" w:eastAsiaTheme="minorEastAsia"/>
                <w:color w:val="auto"/>
                <w:szCs w:val="21"/>
                <w:highlight w:val="none"/>
              </w:rPr>
              <w:t>证明材料以第九章“投标文件格式”中要求为准</w:t>
            </w:r>
          </w:p>
        </w:tc>
      </w:tr>
      <w:tr w14:paraId="4E97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1022FF8">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3.5.4</w:t>
            </w:r>
          </w:p>
        </w:tc>
        <w:tc>
          <w:tcPr>
            <w:tcW w:w="2145" w:type="dxa"/>
            <w:vAlign w:val="center"/>
          </w:tcPr>
          <w:p w14:paraId="23595270">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投标人信誉情况表</w:t>
            </w:r>
          </w:p>
        </w:tc>
        <w:tc>
          <w:tcPr>
            <w:tcW w:w="5833" w:type="dxa"/>
            <w:vAlign w:val="center"/>
          </w:tcPr>
          <w:p w14:paraId="088A8E2A">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证明材料为：</w:t>
            </w:r>
          </w:p>
          <w:p w14:paraId="2DDB35DD">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“投标人信誉情况表”应附的</w:t>
            </w:r>
            <w:r>
              <w:rPr>
                <w:rFonts w:hint="eastAsia" w:cs="宋体" w:asciiTheme="minorEastAsia" w:hAnsiTheme="minorEastAsia" w:eastAsiaTheme="minorEastAsia"/>
                <w:color w:val="auto"/>
                <w:szCs w:val="21"/>
                <w:highlight w:val="none"/>
              </w:rPr>
              <w:t>证明材料以第九章“投标文件格式”中要求为准</w:t>
            </w:r>
          </w:p>
        </w:tc>
      </w:tr>
      <w:tr w14:paraId="3F05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D269EE7">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3.5.5</w:t>
            </w:r>
          </w:p>
        </w:tc>
        <w:tc>
          <w:tcPr>
            <w:tcW w:w="2145" w:type="dxa"/>
            <w:vAlign w:val="center"/>
          </w:tcPr>
          <w:p w14:paraId="6597D788">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拟委任的主要人员资历表</w:t>
            </w:r>
          </w:p>
        </w:tc>
        <w:tc>
          <w:tcPr>
            <w:tcW w:w="5833" w:type="dxa"/>
            <w:vAlign w:val="center"/>
          </w:tcPr>
          <w:p w14:paraId="13655378">
            <w:pPr>
              <w:adjustRightInd w:val="0"/>
              <w:snapToGrid w:val="0"/>
              <w:spacing w:line="40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拟委任的主要人员：</w:t>
            </w:r>
            <w:r>
              <w:rPr>
                <w:rFonts w:asciiTheme="minorEastAsia" w:hAnsiTheme="minorEastAsia" w:eastAsiaTheme="minorEastAsia"/>
                <w:color w:val="auto"/>
                <w:szCs w:val="21"/>
                <w:highlight w:val="none"/>
                <w:u w:val="single"/>
              </w:rPr>
              <w:t xml:space="preserve">           </w:t>
            </w:r>
          </w:p>
          <w:p w14:paraId="6F67E0A8">
            <w:pPr>
              <w:adjustRightInd w:val="0"/>
              <w:snapToGrid w:val="0"/>
              <w:spacing w:line="400" w:lineRule="exact"/>
              <w:ind w:firstLine="0" w:firstLineChars="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证明材料为</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“拟委任的主要人员资历表”应附的</w:t>
            </w:r>
            <w:r>
              <w:rPr>
                <w:rFonts w:hint="eastAsia" w:cs="宋体" w:asciiTheme="minorEastAsia" w:hAnsiTheme="minorEastAsia" w:eastAsiaTheme="minorEastAsia"/>
                <w:color w:val="auto"/>
                <w:szCs w:val="21"/>
                <w:highlight w:val="none"/>
              </w:rPr>
              <w:t>证明材料以第九章“投标文件格式”中要求为准。</w:t>
            </w:r>
          </w:p>
          <w:p w14:paraId="5E983C15">
            <w:pPr>
              <w:autoSpaceDE w:val="0"/>
              <w:autoSpaceDN w:val="0"/>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kern w:val="0"/>
                <w:szCs w:val="21"/>
                <w:highlight w:val="none"/>
              </w:rPr>
              <w:t xml:space="preserve"> </w:t>
            </w:r>
            <w:r>
              <w:rPr>
                <w:rFonts w:hint="eastAsia" w:asciiTheme="minorEastAsia" w:hAnsiTheme="minorEastAsia" w:eastAsiaTheme="minorEastAsia"/>
                <w:color w:val="auto"/>
                <w:szCs w:val="21"/>
                <w:highlight w:val="none"/>
              </w:rPr>
              <w:t>拟委任的主要人员</w:t>
            </w:r>
            <w:r>
              <w:rPr>
                <w:rFonts w:hint="eastAsia" w:cs="宋体" w:asciiTheme="minorEastAsia" w:hAnsiTheme="minorEastAsia" w:eastAsiaTheme="minorEastAsia"/>
                <w:color w:val="auto"/>
                <w:kern w:val="0"/>
                <w:szCs w:val="21"/>
                <w:highlight w:val="none"/>
              </w:rPr>
              <w:t>不</w:t>
            </w:r>
            <w:r>
              <w:rPr>
                <w:rFonts w:hint="eastAsia" w:cs="宋体" w:asciiTheme="minorEastAsia" w:hAnsiTheme="minorEastAsia" w:eastAsiaTheme="minorEastAsia"/>
                <w:color w:val="auto"/>
                <w:kern w:val="0"/>
                <w:szCs w:val="21"/>
                <w:highlight w:val="none"/>
                <w:lang w:val="en-US" w:eastAsia="zh-CN"/>
              </w:rPr>
              <w:t>作</w:t>
            </w:r>
            <w:r>
              <w:rPr>
                <w:rFonts w:hint="eastAsia" w:cs="宋体" w:asciiTheme="minorEastAsia" w:hAnsiTheme="minorEastAsia" w:eastAsiaTheme="minorEastAsia"/>
                <w:color w:val="auto"/>
                <w:kern w:val="0"/>
                <w:szCs w:val="21"/>
                <w:highlight w:val="none"/>
              </w:rPr>
              <w:t>为资格审查强制性条件，投标人若成为中标人，则在签订合同前，须上报满足招标文件第四章第三节“</w:t>
            </w:r>
            <w:r>
              <w:rPr>
                <w:rFonts w:hint="eastAsia" w:cs="宋体" w:asciiTheme="minorEastAsia" w:hAnsiTheme="minorEastAsia" w:eastAsiaTheme="minorEastAsia"/>
                <w:color w:val="auto"/>
                <w:kern w:val="0"/>
                <w:szCs w:val="21"/>
                <w:highlight w:val="none"/>
                <w:u w:val="single"/>
              </w:rPr>
              <w:t>附件四</w:t>
            </w:r>
            <w:r>
              <w:rPr>
                <w:rFonts w:hint="eastAsia" w:cs="宋体" w:asciiTheme="minorEastAsia" w:hAnsiTheme="minorEastAsia" w:eastAsiaTheme="minorEastAsia"/>
                <w:color w:val="auto"/>
                <w:kern w:val="0"/>
                <w:szCs w:val="21"/>
                <w:highlight w:val="none"/>
                <w:u w:val="single"/>
                <w:lang w:val="en-US" w:eastAsia="zh-CN"/>
              </w:rPr>
              <w:t xml:space="preserve"> </w:t>
            </w:r>
            <w:r>
              <w:rPr>
                <w:rFonts w:hint="eastAsia" w:cs="宋体" w:asciiTheme="minorEastAsia" w:hAnsiTheme="minorEastAsia" w:eastAsiaTheme="minorEastAsia"/>
                <w:color w:val="auto"/>
                <w:kern w:val="0"/>
                <w:szCs w:val="21"/>
                <w:highlight w:val="none"/>
                <w:u w:val="single"/>
              </w:rPr>
              <w:t>主要人员最低要求</w:t>
            </w:r>
            <w:r>
              <w:rPr>
                <w:rFonts w:hint="eastAsia" w:cs="宋体" w:asciiTheme="minorEastAsia" w:hAnsiTheme="minorEastAsia" w:eastAsiaTheme="minorEastAsia"/>
                <w:color w:val="auto"/>
                <w:kern w:val="0"/>
                <w:szCs w:val="21"/>
                <w:highlight w:val="none"/>
              </w:rPr>
              <w:t>”的相关具体人员，经招标人或发包人审核同意后签订合同，并按填报的人员进场开展工作</w:t>
            </w:r>
          </w:p>
        </w:tc>
      </w:tr>
      <w:tr w14:paraId="274A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B60103F">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3.5.6</w:t>
            </w:r>
          </w:p>
        </w:tc>
        <w:tc>
          <w:tcPr>
            <w:tcW w:w="2145" w:type="dxa"/>
            <w:vAlign w:val="center"/>
          </w:tcPr>
          <w:p w14:paraId="590C1340">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拟委任的其他管理</w:t>
            </w:r>
            <w:r>
              <w:rPr>
                <w:rFonts w:asciiTheme="minorEastAsia" w:hAnsiTheme="minorEastAsia" w:eastAsiaTheme="minorEastAsia"/>
                <w:color w:val="auto"/>
                <w:szCs w:val="21"/>
                <w:highlight w:val="none"/>
              </w:rPr>
              <w:t>和技术</w:t>
            </w:r>
            <w:r>
              <w:rPr>
                <w:rFonts w:hint="eastAsia" w:asciiTheme="minorEastAsia" w:hAnsiTheme="minorEastAsia" w:eastAsiaTheme="minorEastAsia"/>
                <w:color w:val="auto"/>
                <w:szCs w:val="21"/>
                <w:highlight w:val="none"/>
              </w:rPr>
              <w:t>人员资历表</w:t>
            </w:r>
          </w:p>
        </w:tc>
        <w:tc>
          <w:tcPr>
            <w:tcW w:w="5833" w:type="dxa"/>
            <w:vAlign w:val="center"/>
          </w:tcPr>
          <w:p w14:paraId="5834A790">
            <w:pPr>
              <w:adjustRightInd w:val="0"/>
              <w:snapToGrid w:val="0"/>
              <w:spacing w:line="40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拟委任的</w:t>
            </w:r>
            <w:r>
              <w:rPr>
                <w:rFonts w:hint="eastAsia" w:asciiTheme="minorEastAsia" w:hAnsiTheme="minorEastAsia" w:eastAsiaTheme="minorEastAsia"/>
                <w:color w:val="auto"/>
                <w:szCs w:val="21"/>
                <w:highlight w:val="none"/>
                <w:lang w:val="en-US" w:eastAsia="zh-CN"/>
              </w:rPr>
              <w:t>其他管理和技术</w:t>
            </w:r>
            <w:r>
              <w:rPr>
                <w:rFonts w:hint="eastAsia" w:asciiTheme="minorEastAsia" w:hAnsiTheme="minorEastAsia" w:eastAsiaTheme="minorEastAsia"/>
                <w:color w:val="auto"/>
                <w:szCs w:val="21"/>
                <w:highlight w:val="none"/>
              </w:rPr>
              <w:t>人员：</w:t>
            </w:r>
            <w:r>
              <w:rPr>
                <w:rFonts w:asciiTheme="minorEastAsia" w:hAnsiTheme="minorEastAsia" w:eastAsiaTheme="minorEastAsia"/>
                <w:color w:val="auto"/>
                <w:szCs w:val="21"/>
                <w:highlight w:val="none"/>
                <w:u w:val="single"/>
              </w:rPr>
              <w:t xml:space="preserve">           </w:t>
            </w:r>
          </w:p>
          <w:p w14:paraId="08ADD114">
            <w:pPr>
              <w:adjustRightInd w:val="0"/>
              <w:snapToGrid w:val="0"/>
              <w:spacing w:line="400" w:lineRule="exact"/>
              <w:ind w:firstLine="0" w:firstLineChars="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证明材料为</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拟委任的其他管理</w:t>
            </w:r>
            <w:r>
              <w:rPr>
                <w:rFonts w:asciiTheme="minorEastAsia" w:hAnsiTheme="minorEastAsia" w:eastAsiaTheme="minorEastAsia"/>
                <w:color w:val="auto"/>
                <w:szCs w:val="21"/>
                <w:highlight w:val="none"/>
              </w:rPr>
              <w:t>和技术</w:t>
            </w:r>
            <w:r>
              <w:rPr>
                <w:rFonts w:hint="eastAsia" w:asciiTheme="minorEastAsia" w:hAnsiTheme="minorEastAsia" w:eastAsiaTheme="minorEastAsia"/>
                <w:color w:val="auto"/>
                <w:szCs w:val="21"/>
                <w:highlight w:val="none"/>
              </w:rPr>
              <w:t>人员资历表</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应附的</w:t>
            </w:r>
            <w:r>
              <w:rPr>
                <w:rFonts w:hint="eastAsia" w:cs="宋体" w:asciiTheme="minorEastAsia" w:hAnsiTheme="minorEastAsia" w:eastAsiaTheme="minorEastAsia"/>
                <w:color w:val="auto"/>
                <w:szCs w:val="21"/>
                <w:highlight w:val="none"/>
              </w:rPr>
              <w:t>证明材料以第九章“投标文件格式”中要求为准</w:t>
            </w:r>
          </w:p>
          <w:p w14:paraId="58951E72">
            <w:pPr>
              <w:autoSpaceDE w:val="0"/>
              <w:autoSpaceDN w:val="0"/>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kern w:val="0"/>
                <w:szCs w:val="21"/>
                <w:highlight w:val="none"/>
              </w:rPr>
              <w:t xml:space="preserve"> </w:t>
            </w:r>
            <w:r>
              <w:rPr>
                <w:rFonts w:hint="eastAsia" w:asciiTheme="minorEastAsia" w:hAnsiTheme="minorEastAsia" w:eastAsiaTheme="minorEastAsia"/>
                <w:color w:val="auto"/>
                <w:szCs w:val="21"/>
                <w:highlight w:val="none"/>
              </w:rPr>
              <w:t>拟委任的其他管理</w:t>
            </w:r>
            <w:r>
              <w:rPr>
                <w:rFonts w:asciiTheme="minorEastAsia" w:hAnsiTheme="minorEastAsia" w:eastAsiaTheme="minorEastAsia"/>
                <w:color w:val="auto"/>
                <w:szCs w:val="21"/>
                <w:highlight w:val="none"/>
              </w:rPr>
              <w:t>和技术</w:t>
            </w:r>
            <w:r>
              <w:rPr>
                <w:rFonts w:hint="eastAsia" w:asciiTheme="minorEastAsia" w:hAnsiTheme="minorEastAsia" w:eastAsiaTheme="minorEastAsia"/>
                <w:color w:val="auto"/>
                <w:szCs w:val="21"/>
                <w:highlight w:val="none"/>
              </w:rPr>
              <w:t>人员</w:t>
            </w:r>
            <w:r>
              <w:rPr>
                <w:rFonts w:hint="eastAsia" w:cs="宋体" w:asciiTheme="minorEastAsia" w:hAnsiTheme="minorEastAsia" w:eastAsiaTheme="minorEastAsia"/>
                <w:color w:val="auto"/>
                <w:kern w:val="0"/>
                <w:szCs w:val="21"/>
                <w:highlight w:val="none"/>
              </w:rPr>
              <w:t>不</w:t>
            </w:r>
            <w:r>
              <w:rPr>
                <w:rFonts w:hint="eastAsia" w:cs="宋体" w:asciiTheme="minorEastAsia" w:hAnsiTheme="minorEastAsia" w:eastAsiaTheme="minorEastAsia"/>
                <w:color w:val="auto"/>
                <w:kern w:val="0"/>
                <w:szCs w:val="21"/>
                <w:highlight w:val="none"/>
                <w:lang w:val="en-US" w:eastAsia="zh-CN"/>
              </w:rPr>
              <w:t>作</w:t>
            </w:r>
            <w:r>
              <w:rPr>
                <w:rFonts w:hint="eastAsia" w:cs="宋体" w:asciiTheme="minorEastAsia" w:hAnsiTheme="minorEastAsia" w:eastAsiaTheme="minorEastAsia"/>
                <w:color w:val="auto"/>
                <w:kern w:val="0"/>
                <w:szCs w:val="21"/>
                <w:highlight w:val="none"/>
              </w:rPr>
              <w:t>为资格审查强制性条件，投标人若成为中标人，则在签订合同前，须上报满足招标文件第四章第三节“</w:t>
            </w:r>
            <w:r>
              <w:rPr>
                <w:rFonts w:hint="eastAsia" w:cs="宋体" w:asciiTheme="minorEastAsia" w:hAnsiTheme="minorEastAsia" w:eastAsiaTheme="minorEastAsia"/>
                <w:color w:val="auto"/>
                <w:kern w:val="0"/>
                <w:szCs w:val="21"/>
                <w:highlight w:val="none"/>
                <w:u w:val="single"/>
              </w:rPr>
              <w:t>附件</w:t>
            </w:r>
            <w:r>
              <w:rPr>
                <w:rFonts w:hint="eastAsia" w:cs="宋体" w:asciiTheme="minorEastAsia" w:hAnsiTheme="minorEastAsia" w:eastAsiaTheme="minorEastAsia"/>
                <w:color w:val="auto"/>
                <w:kern w:val="0"/>
                <w:szCs w:val="21"/>
                <w:highlight w:val="none"/>
                <w:u w:val="single"/>
                <w:lang w:val="en-US" w:eastAsia="zh-CN"/>
              </w:rPr>
              <w:t xml:space="preserve">五 </w:t>
            </w:r>
            <w:r>
              <w:rPr>
                <w:rFonts w:hint="eastAsia" w:cs="宋体" w:asciiTheme="minorEastAsia" w:hAnsiTheme="minorEastAsia" w:eastAsiaTheme="minorEastAsia"/>
                <w:color w:val="auto"/>
                <w:kern w:val="0"/>
                <w:szCs w:val="21"/>
                <w:highlight w:val="none"/>
                <w:u w:val="single"/>
              </w:rPr>
              <w:t>其他管理和技术人员最低要求</w:t>
            </w:r>
            <w:r>
              <w:rPr>
                <w:rFonts w:hint="eastAsia" w:cs="宋体" w:asciiTheme="minorEastAsia" w:hAnsiTheme="minorEastAsia" w:eastAsiaTheme="minorEastAsia"/>
                <w:color w:val="auto"/>
                <w:kern w:val="0"/>
                <w:szCs w:val="21"/>
                <w:highlight w:val="none"/>
              </w:rPr>
              <w:t>”的相关具体人员，经招标人或发包人审核同意后签订合同，并按填报的人员进场开展工作</w:t>
            </w:r>
          </w:p>
        </w:tc>
      </w:tr>
      <w:tr w14:paraId="7293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1AB443F">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3.5.7</w:t>
            </w:r>
          </w:p>
        </w:tc>
        <w:tc>
          <w:tcPr>
            <w:tcW w:w="2145" w:type="dxa"/>
            <w:vAlign w:val="center"/>
          </w:tcPr>
          <w:p w14:paraId="4E4A58C8">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拟投入本标段的主要施工机械和试验检测设备</w:t>
            </w:r>
          </w:p>
        </w:tc>
        <w:tc>
          <w:tcPr>
            <w:tcW w:w="5833" w:type="dxa"/>
            <w:vAlign w:val="center"/>
          </w:tcPr>
          <w:p w14:paraId="7E48A2C4">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b/>
                <w:color w:val="auto"/>
                <w:szCs w:val="21"/>
                <w:highlight w:val="none"/>
                <w:lang w:val="en-US" w:eastAsia="zh-CN"/>
              </w:rPr>
              <w:t xml:space="preserve"> </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拟投入本标段的主要施工机械表</w:t>
            </w:r>
            <w:r>
              <w:rPr>
                <w:rFonts w:hint="eastAsia" w:cs="宋体"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拟配备本标段的主要材料试验、测量、质检仪器设备表</w:t>
            </w:r>
            <w:r>
              <w:rPr>
                <w:rFonts w:hint="eastAsia" w:cs="宋体"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应附</w:t>
            </w:r>
            <w:r>
              <w:rPr>
                <w:rFonts w:hint="eastAsia" w:asciiTheme="minorEastAsia" w:hAnsiTheme="minorEastAsia" w:eastAsiaTheme="minorEastAsia"/>
                <w:color w:val="auto"/>
                <w:szCs w:val="21"/>
                <w:highlight w:val="none"/>
              </w:rPr>
              <w:t>的</w:t>
            </w:r>
            <w:r>
              <w:rPr>
                <w:rFonts w:hint="eastAsia" w:cs="宋体" w:asciiTheme="minorEastAsia" w:hAnsiTheme="minorEastAsia" w:eastAsiaTheme="minorEastAsia"/>
                <w:color w:val="auto"/>
                <w:szCs w:val="21"/>
                <w:highlight w:val="none"/>
              </w:rPr>
              <w:t>证明材料以第九章“投标文件格式”中要求为准</w:t>
            </w:r>
          </w:p>
          <w:p w14:paraId="7E88CC73">
            <w:pPr>
              <w:autoSpaceDE w:val="0"/>
              <w:autoSpaceDN w:val="0"/>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kern w:val="0"/>
                <w:szCs w:val="21"/>
                <w:highlight w:val="none"/>
              </w:rPr>
              <w:t xml:space="preserve"> </w:t>
            </w:r>
            <w:r>
              <w:rPr>
                <w:rFonts w:hint="eastAsia" w:asciiTheme="minorEastAsia" w:hAnsiTheme="minorEastAsia" w:eastAsiaTheme="minorEastAsia"/>
                <w:color w:val="auto"/>
                <w:szCs w:val="21"/>
                <w:highlight w:val="none"/>
              </w:rPr>
              <w:t>拟投入本标段的“主要施工机械”“主要试验检测设备”</w:t>
            </w:r>
            <w:r>
              <w:rPr>
                <w:rFonts w:hint="eastAsia" w:asciiTheme="minorEastAsia" w:hAnsiTheme="minorEastAsia" w:eastAsiaTheme="minorEastAsia"/>
                <w:color w:val="auto"/>
                <w:szCs w:val="21"/>
                <w:highlight w:val="none"/>
                <w:lang w:eastAsia="zh-CN"/>
              </w:rPr>
              <w:t>不作为</w:t>
            </w:r>
            <w:r>
              <w:rPr>
                <w:rFonts w:hint="eastAsia" w:cs="宋体" w:asciiTheme="minorEastAsia" w:hAnsiTheme="minorEastAsia" w:eastAsiaTheme="minorEastAsia"/>
                <w:color w:val="auto"/>
                <w:kern w:val="0"/>
                <w:szCs w:val="21"/>
                <w:highlight w:val="none"/>
              </w:rPr>
              <w:t>资格审查强制性条件；投标人若成为中标人，则在签订合同前，须上报满足招标文件第四章第三节“</w:t>
            </w:r>
            <w:r>
              <w:rPr>
                <w:rFonts w:hint="eastAsia" w:cs="宋体" w:asciiTheme="minorEastAsia" w:hAnsiTheme="minorEastAsia" w:eastAsiaTheme="minorEastAsia"/>
                <w:color w:val="auto"/>
                <w:kern w:val="0"/>
                <w:szCs w:val="21"/>
                <w:highlight w:val="none"/>
                <w:u w:val="single"/>
              </w:rPr>
              <w:t>附件</w:t>
            </w:r>
            <w:r>
              <w:rPr>
                <w:rFonts w:hint="eastAsia" w:cs="宋体" w:asciiTheme="minorEastAsia" w:hAnsiTheme="minorEastAsia" w:eastAsiaTheme="minorEastAsia"/>
                <w:color w:val="auto"/>
                <w:kern w:val="0"/>
                <w:szCs w:val="21"/>
                <w:highlight w:val="none"/>
                <w:u w:val="single"/>
                <w:lang w:val="en-US" w:eastAsia="zh-CN"/>
              </w:rPr>
              <w:t xml:space="preserve">六 </w:t>
            </w:r>
            <w:r>
              <w:rPr>
                <w:rFonts w:hint="eastAsia" w:cs="宋体" w:asciiTheme="minorEastAsia" w:hAnsiTheme="minorEastAsia" w:eastAsiaTheme="minorEastAsia"/>
                <w:color w:val="auto"/>
                <w:kern w:val="0"/>
                <w:szCs w:val="21"/>
                <w:highlight w:val="none"/>
                <w:u w:val="single"/>
              </w:rPr>
              <w:t>主要机械设备和试验检测设备最低要求</w:t>
            </w:r>
            <w:r>
              <w:rPr>
                <w:rFonts w:hint="eastAsia" w:cs="宋体" w:asciiTheme="minorEastAsia" w:hAnsiTheme="minorEastAsia" w:eastAsiaTheme="minorEastAsia"/>
                <w:color w:val="auto"/>
                <w:kern w:val="0"/>
                <w:szCs w:val="21"/>
                <w:highlight w:val="none"/>
              </w:rPr>
              <w:t>”的</w:t>
            </w:r>
            <w:r>
              <w:rPr>
                <w:rFonts w:hint="eastAsia" w:ascii="宋体" w:hAnsi="宋体" w:cs="宋体"/>
                <w:color w:val="auto"/>
                <w:szCs w:val="21"/>
                <w:highlight w:val="none"/>
              </w:rPr>
              <w:t>本标段配备的主要设备，在经招标人审批后作为投入本标段的主要设备且不允许更换</w:t>
            </w:r>
          </w:p>
          <w:p w14:paraId="603BA901">
            <w:pPr>
              <w:autoSpaceDE w:val="0"/>
              <w:autoSpaceDN w:val="0"/>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kern w:val="0"/>
                <w:szCs w:val="21"/>
                <w:highlight w:val="none"/>
              </w:rPr>
              <w:t xml:space="preserve"> </w:t>
            </w:r>
            <w:r>
              <w:rPr>
                <w:rFonts w:hint="eastAsia" w:asciiTheme="minorEastAsia" w:hAnsiTheme="minorEastAsia" w:eastAsiaTheme="minorEastAsia"/>
                <w:color w:val="auto"/>
                <w:szCs w:val="21"/>
                <w:highlight w:val="none"/>
              </w:rPr>
              <w:t>拟投入本标段的“主要施工机械”“主要试验检测设备”均不</w:t>
            </w:r>
            <w:r>
              <w:rPr>
                <w:rFonts w:hint="eastAsia" w:asciiTheme="minorEastAsia" w:hAnsiTheme="minorEastAsia" w:eastAsiaTheme="minorEastAsia"/>
                <w:color w:val="auto"/>
                <w:szCs w:val="21"/>
                <w:highlight w:val="none"/>
                <w:lang w:eastAsia="zh-CN"/>
              </w:rPr>
              <w:t>作</w:t>
            </w:r>
            <w:r>
              <w:rPr>
                <w:rFonts w:hint="eastAsia" w:cs="宋体" w:asciiTheme="minorEastAsia" w:hAnsiTheme="minorEastAsia" w:eastAsiaTheme="minorEastAsia"/>
                <w:color w:val="auto"/>
                <w:kern w:val="0"/>
                <w:szCs w:val="21"/>
                <w:highlight w:val="none"/>
              </w:rPr>
              <w:t>要求，由承包人根据项目实际情况配备，满足现场需要</w:t>
            </w:r>
          </w:p>
        </w:tc>
      </w:tr>
      <w:tr w14:paraId="3F92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9867D69">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3.5.8</w:t>
            </w:r>
          </w:p>
        </w:tc>
        <w:tc>
          <w:tcPr>
            <w:tcW w:w="2145" w:type="dxa"/>
            <w:vAlign w:val="center"/>
          </w:tcPr>
          <w:p w14:paraId="0CE29AB6">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拟用于本标段的关键机电设备</w:t>
            </w:r>
          </w:p>
        </w:tc>
        <w:tc>
          <w:tcPr>
            <w:tcW w:w="5833" w:type="dxa"/>
            <w:vAlign w:val="center"/>
          </w:tcPr>
          <w:p w14:paraId="0A7ADC7A">
            <w:pPr>
              <w:adjustRightInd w:val="0"/>
              <w:snapToGrid w:val="0"/>
              <w:spacing w:line="400" w:lineRule="exact"/>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b/>
                <w:color w:val="auto"/>
                <w:szCs w:val="21"/>
                <w:highlight w:val="none"/>
                <w:lang w:val="en-US" w:eastAsia="zh-CN"/>
              </w:rPr>
              <w:t xml:space="preserve"> </w:t>
            </w:r>
            <w:r>
              <w:rPr>
                <w:rFonts w:hint="eastAsia" w:cs="宋体" w:asciiTheme="minorEastAsia" w:hAnsiTheme="minorEastAsia" w:eastAsiaTheme="minorEastAsia"/>
                <w:b w:val="0"/>
                <w:bCs/>
                <w:color w:val="auto"/>
                <w:szCs w:val="21"/>
                <w:highlight w:val="none"/>
                <w:lang w:val="en-US" w:eastAsia="zh-CN"/>
              </w:rPr>
              <w:t>不适用</w:t>
            </w:r>
          </w:p>
          <w:p w14:paraId="477CE332">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A3"/>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拟用于本标段的关键机电设备品牌</w:t>
            </w:r>
            <w:r>
              <w:rPr>
                <w:rFonts w:asciiTheme="minorEastAsia" w:hAnsiTheme="minorEastAsia" w:eastAsiaTheme="minorEastAsia"/>
                <w:color w:val="auto"/>
                <w:szCs w:val="21"/>
                <w:highlight w:val="none"/>
              </w:rPr>
              <w:t>及主要</w:t>
            </w:r>
            <w:r>
              <w:rPr>
                <w:rFonts w:hint="eastAsia" w:asciiTheme="minorEastAsia" w:hAnsiTheme="minorEastAsia" w:eastAsiaTheme="minorEastAsia"/>
                <w:color w:val="auto"/>
                <w:szCs w:val="21"/>
                <w:highlight w:val="none"/>
              </w:rPr>
              <w:t>技术性能</w:t>
            </w:r>
            <w:r>
              <w:rPr>
                <w:rFonts w:asciiTheme="minorEastAsia" w:hAnsiTheme="minorEastAsia" w:eastAsiaTheme="minorEastAsia"/>
                <w:color w:val="auto"/>
                <w:szCs w:val="21"/>
                <w:highlight w:val="none"/>
              </w:rPr>
              <w:t>指标</w:t>
            </w:r>
            <w:r>
              <w:rPr>
                <w:rFonts w:hint="eastAsia" w:asciiTheme="minorEastAsia" w:hAnsiTheme="minorEastAsia" w:eastAsiaTheme="minorEastAsia"/>
                <w:color w:val="auto"/>
                <w:szCs w:val="21"/>
                <w:highlight w:val="none"/>
              </w:rPr>
              <w:t>表</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应附的</w:t>
            </w:r>
            <w:r>
              <w:rPr>
                <w:rFonts w:hint="eastAsia" w:cs="宋体" w:asciiTheme="minorEastAsia" w:hAnsiTheme="minorEastAsia" w:eastAsiaTheme="minorEastAsia"/>
                <w:color w:val="auto"/>
                <w:szCs w:val="21"/>
                <w:highlight w:val="none"/>
              </w:rPr>
              <w:t>证明材料以第九章“投标文件格式”中要求为准</w:t>
            </w:r>
          </w:p>
          <w:p w14:paraId="2584DBFB">
            <w:pPr>
              <w:autoSpaceDE w:val="0"/>
              <w:autoSpaceDN w:val="0"/>
              <w:adjustRightInd w:val="0"/>
              <w:snapToGrid w:val="0"/>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asciiTheme="minorEastAsia" w:hAnsiTheme="minorEastAsia" w:eastAsiaTheme="minorEastAsia"/>
                <w:color w:val="auto"/>
                <w:szCs w:val="21"/>
                <w:highlight w:val="none"/>
              </w:rPr>
              <w:t>“拟用于本标段的关键机电设备品牌</w:t>
            </w:r>
            <w:r>
              <w:rPr>
                <w:rFonts w:asciiTheme="minorEastAsia" w:hAnsiTheme="minorEastAsia" w:eastAsiaTheme="minorEastAsia"/>
                <w:color w:val="auto"/>
                <w:szCs w:val="21"/>
                <w:highlight w:val="none"/>
              </w:rPr>
              <w:t>及主要</w:t>
            </w:r>
            <w:r>
              <w:rPr>
                <w:rFonts w:hint="eastAsia" w:asciiTheme="minorEastAsia" w:hAnsiTheme="minorEastAsia" w:eastAsiaTheme="minorEastAsia"/>
                <w:color w:val="auto"/>
                <w:szCs w:val="21"/>
                <w:highlight w:val="none"/>
              </w:rPr>
              <w:t>技术性能</w:t>
            </w:r>
            <w:r>
              <w:rPr>
                <w:rFonts w:asciiTheme="minorEastAsia" w:hAnsiTheme="minorEastAsia" w:eastAsiaTheme="minorEastAsia"/>
                <w:color w:val="auto"/>
                <w:szCs w:val="21"/>
                <w:highlight w:val="none"/>
              </w:rPr>
              <w:t>指标</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不作为资格审查强制性条件；投标人若成为中标人，则在签订合同前，须上报满足招标文件第四章第三节</w:t>
            </w:r>
            <w:r>
              <w:rPr>
                <w:rFonts w:hint="eastAsia" w:cs="宋体" w:asciiTheme="minorEastAsia" w:hAnsiTheme="minorEastAsia" w:eastAsiaTheme="minorEastAsia"/>
                <w:color w:val="auto"/>
                <w:kern w:val="0"/>
                <w:szCs w:val="21"/>
                <w:highlight w:val="none"/>
                <w:u w:val="single"/>
              </w:rPr>
              <w:t>“附件十</w:t>
            </w:r>
            <w:r>
              <w:rPr>
                <w:rFonts w:hint="eastAsia" w:cs="宋体" w:asciiTheme="minorEastAsia" w:hAnsiTheme="minorEastAsia" w:eastAsiaTheme="minorEastAsia"/>
                <w:color w:val="auto"/>
                <w:kern w:val="0"/>
                <w:szCs w:val="21"/>
                <w:highlight w:val="none"/>
                <w:u w:val="single"/>
                <w:lang w:val="en-US" w:eastAsia="zh-CN"/>
              </w:rPr>
              <w:t xml:space="preserve">五 </w:t>
            </w:r>
            <w:r>
              <w:rPr>
                <w:rFonts w:hint="eastAsia" w:asciiTheme="minorEastAsia" w:hAnsiTheme="minorEastAsia" w:eastAsiaTheme="minorEastAsia"/>
                <w:color w:val="auto"/>
                <w:szCs w:val="21"/>
                <w:highlight w:val="none"/>
                <w:u w:val="single"/>
              </w:rPr>
              <w:t>拟用于本标段的关键机电设备品牌</w:t>
            </w:r>
            <w:r>
              <w:rPr>
                <w:rFonts w:asciiTheme="minorEastAsia" w:hAnsiTheme="minorEastAsia" w:eastAsiaTheme="minorEastAsia"/>
                <w:color w:val="auto"/>
                <w:szCs w:val="21"/>
                <w:highlight w:val="none"/>
                <w:u w:val="single"/>
              </w:rPr>
              <w:t>及主要</w:t>
            </w:r>
            <w:r>
              <w:rPr>
                <w:rFonts w:hint="eastAsia" w:asciiTheme="minorEastAsia" w:hAnsiTheme="minorEastAsia" w:eastAsiaTheme="minorEastAsia"/>
                <w:color w:val="auto"/>
                <w:szCs w:val="21"/>
                <w:highlight w:val="none"/>
                <w:u w:val="single"/>
              </w:rPr>
              <w:t>技术性能</w:t>
            </w:r>
            <w:r>
              <w:rPr>
                <w:rFonts w:asciiTheme="minorEastAsia" w:hAnsiTheme="minorEastAsia" w:eastAsiaTheme="minorEastAsia"/>
                <w:color w:val="auto"/>
                <w:szCs w:val="21"/>
                <w:highlight w:val="none"/>
                <w:u w:val="single"/>
              </w:rPr>
              <w:t>指标</w:t>
            </w:r>
            <w:r>
              <w:rPr>
                <w:rFonts w:hint="eastAsia" w:asciiTheme="minorEastAsia" w:hAnsiTheme="minorEastAsia" w:eastAsiaTheme="minorEastAsia"/>
                <w:color w:val="auto"/>
                <w:szCs w:val="21"/>
                <w:highlight w:val="none"/>
                <w:u w:val="single"/>
              </w:rPr>
              <w:t>表</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要求的</w:t>
            </w:r>
            <w:r>
              <w:rPr>
                <w:rFonts w:asciiTheme="minorEastAsia" w:hAnsiTheme="minorEastAsia" w:eastAsiaTheme="minorEastAsia"/>
                <w:color w:val="auto"/>
                <w:szCs w:val="21"/>
                <w:highlight w:val="none"/>
              </w:rPr>
              <w:t>关键机电设备</w:t>
            </w:r>
            <w:r>
              <w:rPr>
                <w:rFonts w:hint="eastAsia" w:cs="宋体" w:asciiTheme="minorEastAsia" w:hAnsiTheme="minorEastAsia" w:eastAsiaTheme="minorEastAsia"/>
                <w:color w:val="auto"/>
                <w:kern w:val="0"/>
                <w:szCs w:val="21"/>
                <w:highlight w:val="none"/>
              </w:rPr>
              <w:t>的主要</w:t>
            </w:r>
            <w:r>
              <w:rPr>
                <w:rFonts w:cs="宋体" w:asciiTheme="minorEastAsia" w:hAnsiTheme="minorEastAsia" w:eastAsiaTheme="minorEastAsia"/>
                <w:color w:val="auto"/>
                <w:kern w:val="0"/>
                <w:szCs w:val="21"/>
                <w:highlight w:val="none"/>
              </w:rPr>
              <w:t>技术性能指标</w:t>
            </w:r>
            <w:r>
              <w:rPr>
                <w:rFonts w:hint="eastAsia" w:cs="宋体" w:asciiTheme="minorEastAsia" w:hAnsiTheme="minorEastAsia" w:eastAsiaTheme="minorEastAsia"/>
                <w:color w:val="auto"/>
                <w:kern w:val="0"/>
                <w:szCs w:val="21"/>
                <w:highlight w:val="none"/>
              </w:rPr>
              <w:t>响应情况、</w:t>
            </w:r>
            <w:r>
              <w:rPr>
                <w:rFonts w:cs="宋体" w:asciiTheme="minorEastAsia" w:hAnsiTheme="minorEastAsia" w:eastAsiaTheme="minorEastAsia"/>
                <w:color w:val="auto"/>
                <w:kern w:val="0"/>
                <w:szCs w:val="21"/>
                <w:highlight w:val="none"/>
              </w:rPr>
              <w:t>品牌及</w:t>
            </w:r>
            <w:r>
              <w:rPr>
                <w:rFonts w:hint="eastAsia" w:cs="宋体" w:asciiTheme="minorEastAsia" w:hAnsiTheme="minorEastAsia" w:eastAsiaTheme="minorEastAsia"/>
                <w:color w:val="auto"/>
                <w:kern w:val="0"/>
                <w:szCs w:val="21"/>
                <w:highlight w:val="none"/>
              </w:rPr>
              <w:t>型号</w:t>
            </w:r>
            <w:r>
              <w:rPr>
                <w:rFonts w:hint="eastAsia" w:ascii="宋体" w:hAnsi="宋体" w:cs="宋体"/>
                <w:color w:val="auto"/>
                <w:szCs w:val="21"/>
                <w:highlight w:val="none"/>
              </w:rPr>
              <w:t>，</w:t>
            </w:r>
            <w:r>
              <w:rPr>
                <w:rFonts w:hint="eastAsia" w:asciiTheme="minorEastAsia" w:hAnsiTheme="minorEastAsia" w:eastAsiaTheme="minorEastAsia"/>
                <w:color w:val="auto"/>
                <w:szCs w:val="21"/>
                <w:highlight w:val="none"/>
              </w:rPr>
              <w:t>并附该表</w:t>
            </w:r>
            <w:r>
              <w:rPr>
                <w:rFonts w:asciiTheme="minorEastAsia" w:hAnsiTheme="minorEastAsia" w:eastAsiaTheme="minorEastAsia"/>
                <w:color w:val="auto"/>
                <w:szCs w:val="21"/>
                <w:highlight w:val="none"/>
              </w:rPr>
              <w:t>要求的</w:t>
            </w:r>
            <w:r>
              <w:rPr>
                <w:rFonts w:hint="eastAsia" w:cs="宋体" w:asciiTheme="minorEastAsia" w:hAnsiTheme="minorEastAsia" w:eastAsiaTheme="minorEastAsia"/>
                <w:color w:val="auto"/>
                <w:szCs w:val="21"/>
                <w:highlight w:val="none"/>
              </w:rPr>
              <w:t>证明材料</w:t>
            </w:r>
          </w:p>
        </w:tc>
      </w:tr>
      <w:tr w14:paraId="111D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8FF48E7">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3.5.1</w:t>
            </w:r>
            <w:r>
              <w:rPr>
                <w:rFonts w:hint="eastAsia" w:asciiTheme="minorEastAsia" w:hAnsiTheme="minorEastAsia" w:eastAsiaTheme="minorEastAsia"/>
                <w:color w:val="auto"/>
                <w:szCs w:val="21"/>
                <w:highlight w:val="none"/>
                <w:lang w:val="en-US" w:eastAsia="zh-CN"/>
              </w:rPr>
              <w:t>2</w:t>
            </w:r>
          </w:p>
        </w:tc>
        <w:tc>
          <w:tcPr>
            <w:tcW w:w="2145" w:type="dxa"/>
            <w:vAlign w:val="center"/>
          </w:tcPr>
          <w:p w14:paraId="034BE3BD">
            <w:pPr>
              <w:adjustRightInd w:val="0"/>
              <w:snapToGrid w:val="0"/>
              <w:spacing w:line="40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w:t>
            </w:r>
          </w:p>
          <w:p w14:paraId="295255F3">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的真实性要求</w:t>
            </w:r>
          </w:p>
        </w:tc>
        <w:tc>
          <w:tcPr>
            <w:tcW w:w="5833" w:type="dxa"/>
            <w:vAlign w:val="center"/>
          </w:tcPr>
          <w:p w14:paraId="310ACC2E">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w:t>
            </w:r>
            <w:r>
              <w:rPr>
                <w:rFonts w:hint="eastAsia" w:asciiTheme="minorEastAsia" w:hAnsiTheme="minorEastAsia" w:eastAsiaTheme="minorEastAsia"/>
                <w:color w:val="auto"/>
                <w:szCs w:val="21"/>
                <w:highlight w:val="none"/>
              </w:rPr>
              <w:t>最后</w:t>
            </w:r>
            <w:r>
              <w:rPr>
                <w:rFonts w:hint="eastAsia" w:cs="宋体" w:asciiTheme="minorEastAsia" w:hAnsiTheme="minorEastAsia" w:eastAsiaTheme="minorEastAsia"/>
                <w:color w:val="auto"/>
                <w:szCs w:val="21"/>
                <w:highlight w:val="none"/>
              </w:rPr>
              <w:t>补充：</w:t>
            </w:r>
          </w:p>
          <w:p w14:paraId="5BC5C96B">
            <w:pPr>
              <w:adjustRightInd w:val="0"/>
              <w:snapToGrid w:val="0"/>
              <w:spacing w:line="400" w:lineRule="exact"/>
              <w:ind w:firstLine="210" w:firstLineChars="100"/>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并依据</w:t>
            </w:r>
            <w:r>
              <w:rPr>
                <w:rFonts w:hint="eastAsia" w:ascii="宋体" w:hAnsi="宋体" w:eastAsia="宋体" w:cs="宋体"/>
                <w:color w:val="auto"/>
                <w:szCs w:val="21"/>
                <w:highlight w:val="none"/>
                <w:u w:val="single"/>
                <w:lang w:val="en-US" w:eastAsia="zh-CN"/>
              </w:rPr>
              <w:sym w:font="Wingdings 2" w:char="00A3"/>
            </w:r>
            <w:r>
              <w:rPr>
                <w:rFonts w:hint="eastAsia" w:ascii="宋体" w:hAnsi="宋体" w:cs="宋体"/>
                <w:color w:val="auto"/>
                <w:szCs w:val="21"/>
                <w:highlight w:val="none"/>
                <w:u w:val="single"/>
              </w:rPr>
              <w:t>《四川省重点公路建设从业单位信用管理办法》</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sym w:font="Wingdings 2" w:char="00A3"/>
            </w:r>
            <w:r>
              <w:rPr>
                <w:rFonts w:hint="eastAsia"/>
                <w:color w:val="auto"/>
                <w:sz w:val="21"/>
                <w:szCs w:val="21"/>
                <w:highlight w:val="none"/>
                <w:u w:val="single"/>
                <w:lang w:eastAsia="zh-CN"/>
              </w:rPr>
              <w:t>《</w:t>
            </w:r>
            <w:r>
              <w:rPr>
                <w:rFonts w:hint="eastAsia" w:ascii="宋体" w:hAnsi="宋体"/>
                <w:color w:val="auto"/>
                <w:sz w:val="21"/>
                <w:szCs w:val="21"/>
                <w:highlight w:val="none"/>
                <w:u w:val="single"/>
              </w:rPr>
              <w:t>四川省</w:t>
            </w:r>
            <w:r>
              <w:rPr>
                <w:rFonts w:hint="eastAsia" w:ascii="宋体" w:hAnsi="宋体"/>
                <w:color w:val="auto"/>
                <w:sz w:val="21"/>
                <w:szCs w:val="21"/>
                <w:highlight w:val="none"/>
                <w:u w:val="single"/>
                <w:lang w:val="en-US" w:eastAsia="zh-CN"/>
              </w:rPr>
              <w:t>农村</w:t>
            </w:r>
            <w:r>
              <w:rPr>
                <w:rFonts w:hint="eastAsia" w:ascii="宋体" w:hAnsi="宋体"/>
                <w:color w:val="auto"/>
                <w:sz w:val="21"/>
                <w:szCs w:val="21"/>
                <w:highlight w:val="none"/>
                <w:u w:val="single"/>
              </w:rPr>
              <w:t>公路建设从业单位信用管理办法</w:t>
            </w:r>
            <w:r>
              <w:rPr>
                <w:rFonts w:hint="eastAsia"/>
                <w:color w:val="auto"/>
                <w:sz w:val="21"/>
                <w:szCs w:val="21"/>
                <w:highlight w:val="none"/>
                <w:u w:val="single"/>
                <w:lang w:eastAsia="zh-CN"/>
              </w:rPr>
              <w:t>》</w:t>
            </w:r>
            <w:r>
              <w:rPr>
                <w:rStyle w:val="59"/>
                <w:rFonts w:hint="eastAsia"/>
                <w:color w:val="auto"/>
                <w:sz w:val="21"/>
                <w:szCs w:val="21"/>
                <w:highlight w:val="none"/>
                <w:u w:val="none"/>
                <w:lang w:eastAsia="zh-CN"/>
              </w:rPr>
              <w:footnoteReference w:id="42"/>
            </w:r>
            <w:r>
              <w:rPr>
                <w:rFonts w:hint="eastAsia" w:cs="宋体" w:asciiTheme="minorEastAsia" w:hAnsiTheme="minorEastAsia" w:eastAsiaTheme="minorEastAsia"/>
                <w:color w:val="auto"/>
                <w:szCs w:val="21"/>
                <w:highlight w:val="none"/>
              </w:rPr>
              <w:t>给予信用处理</w:t>
            </w:r>
          </w:p>
        </w:tc>
      </w:tr>
      <w:tr w14:paraId="0F52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37A113A">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3.6.1</w:t>
            </w:r>
          </w:p>
        </w:tc>
        <w:tc>
          <w:tcPr>
            <w:tcW w:w="2145" w:type="dxa"/>
            <w:vAlign w:val="center"/>
          </w:tcPr>
          <w:p w14:paraId="5B449149">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是否允许递交</w:t>
            </w:r>
          </w:p>
          <w:p w14:paraId="4E660E92">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备选投标方案</w:t>
            </w:r>
          </w:p>
        </w:tc>
        <w:tc>
          <w:tcPr>
            <w:tcW w:w="5833" w:type="dxa"/>
            <w:vAlign w:val="center"/>
          </w:tcPr>
          <w:p w14:paraId="1FBEEB21">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不允许</w:t>
            </w:r>
          </w:p>
          <w:p w14:paraId="28DCD85F">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允许</w:t>
            </w:r>
          </w:p>
        </w:tc>
      </w:tr>
      <w:tr w14:paraId="417D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77F3217">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3.7.3</w:t>
            </w:r>
          </w:p>
        </w:tc>
        <w:tc>
          <w:tcPr>
            <w:tcW w:w="2145" w:type="dxa"/>
            <w:vAlign w:val="center"/>
          </w:tcPr>
          <w:p w14:paraId="05C33D73">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投标文件的制作</w:t>
            </w:r>
          </w:p>
        </w:tc>
        <w:tc>
          <w:tcPr>
            <w:tcW w:w="5833" w:type="dxa"/>
            <w:vAlign w:val="center"/>
          </w:tcPr>
          <w:p w14:paraId="76BA2F19">
            <w:pPr>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由投标人使用“</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”自带的“投标文件制作软件”制作生成的电子投标文件包括：</w:t>
            </w:r>
          </w:p>
          <w:p w14:paraId="6F13C99F">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1）第一个信封（商务及技术文件）加密的电子投标文件</w:t>
            </w:r>
            <w:r>
              <w:rPr>
                <w:rFonts w:ascii="宋体" w:hAnsi="宋体" w:cs="宋体"/>
                <w:color w:val="auto"/>
                <w:szCs w:val="21"/>
                <w:highlight w:val="none"/>
                <w:u w:val="single"/>
              </w:rPr>
              <w:t>（文件后缀名为“SCTF”）</w:t>
            </w:r>
            <w:r>
              <w:rPr>
                <w:rStyle w:val="59"/>
                <w:rFonts w:ascii="宋体" w:hAnsi="宋体" w:cs="宋体"/>
                <w:color w:val="auto"/>
                <w:szCs w:val="21"/>
                <w:highlight w:val="none"/>
                <w:u w:val="none"/>
              </w:rPr>
              <w:footnoteReference w:id="43"/>
            </w:r>
          </w:p>
          <w:p w14:paraId="07F7243D">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2）第二个信封（报价文件）加密的电子投标文件</w:t>
            </w:r>
            <w:r>
              <w:rPr>
                <w:rFonts w:ascii="宋体" w:hAnsi="宋体" w:cs="宋体"/>
                <w:color w:val="auto"/>
                <w:szCs w:val="21"/>
                <w:highlight w:val="none"/>
                <w:u w:val="single"/>
              </w:rPr>
              <w:t>（文件后缀名为“tSCTF”）</w:t>
            </w:r>
            <w:r>
              <w:rPr>
                <w:rStyle w:val="59"/>
                <w:rFonts w:ascii="宋体" w:hAnsi="宋体" w:cs="宋体"/>
                <w:color w:val="auto"/>
                <w:szCs w:val="21"/>
                <w:highlight w:val="none"/>
                <w:u w:val="none"/>
              </w:rPr>
              <w:footnoteReference w:id="44"/>
            </w:r>
          </w:p>
        </w:tc>
      </w:tr>
      <w:tr w14:paraId="749A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F855586">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3.7.4</w:t>
            </w:r>
          </w:p>
        </w:tc>
        <w:tc>
          <w:tcPr>
            <w:tcW w:w="2145" w:type="dxa"/>
            <w:vAlign w:val="center"/>
          </w:tcPr>
          <w:p w14:paraId="4365FD49">
            <w:pPr>
              <w:adjustRightInd w:val="0"/>
              <w:snapToGrid w:val="0"/>
              <w:spacing w:line="40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w:t>
            </w:r>
          </w:p>
          <w:p w14:paraId="2D134D3E">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份数及其他要求</w:t>
            </w:r>
          </w:p>
        </w:tc>
        <w:tc>
          <w:tcPr>
            <w:tcW w:w="5833" w:type="dxa"/>
            <w:vAlign w:val="center"/>
          </w:tcPr>
          <w:p w14:paraId="296EB7B5">
            <w:pPr>
              <w:pStyle w:val="299"/>
              <w:adjustRightInd w:val="0"/>
              <w:snapToGrid w:val="0"/>
              <w:spacing w:line="400" w:lineRule="exact"/>
              <w:rPr>
                <w:rFonts w:hint="eastAsia" w:ascii="宋体" w:hAnsi="宋体"/>
                <w:b/>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投标截止时间前投标人将加密的第一个信封（商务及技术文件）、第二个信封（报价文件）电子投标文件上传至“电子交易系统”</w:t>
            </w:r>
            <w:r>
              <w:rPr>
                <w:rFonts w:hint="eastAsia" w:ascii="宋体" w:hAnsi="宋体" w:cs="宋体"/>
                <w:color w:val="auto"/>
                <w:szCs w:val="21"/>
                <w:highlight w:val="none"/>
                <w:lang w:eastAsia="zh-CN"/>
              </w:rPr>
              <w:t>。</w:t>
            </w:r>
          </w:p>
          <w:p w14:paraId="4F9A1DF2">
            <w:pPr>
              <w:pStyle w:val="299"/>
              <w:adjustRightInd w:val="0"/>
              <w:snapToGrid w:val="0"/>
              <w:spacing w:line="400" w:lineRule="exact"/>
              <w:rPr>
                <w:rFonts w:hint="eastAsia" w:ascii="宋体" w:hAnsi="宋体"/>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以银行保函形式缴纳的投标保证金</w:t>
            </w:r>
            <w:r>
              <w:rPr>
                <w:rFonts w:hint="eastAsia" w:asciiTheme="minorEastAsia" w:hAnsiTheme="minorEastAsia" w:eastAsiaTheme="minorEastAsia"/>
                <w:color w:val="auto"/>
                <w:szCs w:val="21"/>
                <w:highlight w:val="none"/>
                <w:lang w:val="en-US" w:eastAsia="zh-CN"/>
              </w:rPr>
              <w:t>按照本须知前附表第3.4.1项要求提交</w:t>
            </w:r>
            <w:r>
              <w:rPr>
                <w:rFonts w:hint="eastAsia" w:ascii="宋体" w:hAnsi="宋体"/>
                <w:color w:val="auto"/>
                <w:szCs w:val="21"/>
                <w:highlight w:val="none"/>
              </w:rPr>
              <w:t>。</w:t>
            </w:r>
          </w:p>
          <w:p w14:paraId="72058C24">
            <w:pPr>
              <w:pStyle w:val="299"/>
              <w:adjustRightInd w:val="0"/>
              <w:snapToGrid w:val="0"/>
              <w:spacing w:line="400" w:lineRule="exact"/>
              <w:ind w:firstLine="0" w:firstLineChars="0"/>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投标人</w:t>
            </w:r>
            <w:r>
              <w:rPr>
                <w:rFonts w:ascii="宋体" w:hAnsi="宋体" w:cs="宋体"/>
                <w:color w:val="auto"/>
                <w:szCs w:val="21"/>
                <w:highlight w:val="none"/>
              </w:rPr>
              <w:t>提交的</w:t>
            </w:r>
            <w:r>
              <w:rPr>
                <w:rFonts w:hint="eastAsia" w:ascii="宋体" w:hAnsi="宋体" w:cs="宋体"/>
                <w:color w:val="auto"/>
                <w:szCs w:val="21"/>
                <w:highlight w:val="none"/>
              </w:rPr>
              <w:t>第一个信封（商务及技术文件）、第二个信封（报价文件）电子投标文件以解密成功的为准</w:t>
            </w:r>
          </w:p>
        </w:tc>
      </w:tr>
      <w:tr w14:paraId="7F50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311DB3B">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3.7.5</w:t>
            </w:r>
          </w:p>
        </w:tc>
        <w:tc>
          <w:tcPr>
            <w:tcW w:w="2145" w:type="dxa"/>
            <w:vAlign w:val="center"/>
          </w:tcPr>
          <w:p w14:paraId="1B29F3FB">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投标文件上传的要求</w:t>
            </w:r>
          </w:p>
        </w:tc>
        <w:tc>
          <w:tcPr>
            <w:tcW w:w="5833" w:type="dxa"/>
            <w:vAlign w:val="center"/>
          </w:tcPr>
          <w:p w14:paraId="2B4FA423">
            <w:pPr>
              <w:pStyle w:val="299"/>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投标人必须按招标文件和“</w:t>
            </w:r>
            <w:r>
              <w:rPr>
                <w:rFonts w:hint="eastAsia" w:asciiTheme="minorEastAsia" w:hAnsiTheme="minorEastAsia" w:eastAsiaTheme="minorEastAsia"/>
                <w:color w:val="auto"/>
                <w:szCs w:val="21"/>
                <w:highlight w:val="none"/>
                <w:lang w:eastAsia="zh-CN"/>
              </w:rPr>
              <w:t>电子交易系统</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的要求</w:t>
            </w:r>
            <w:r>
              <w:rPr>
                <w:rFonts w:hint="eastAsia" w:asciiTheme="minorEastAsia" w:hAnsiTheme="minorEastAsia" w:eastAsiaTheme="minorEastAsia"/>
                <w:color w:val="auto"/>
                <w:szCs w:val="21"/>
                <w:highlight w:val="none"/>
              </w:rPr>
              <w:t>制作、上传投标文件，以保证投标文件的有效性和保密性；否则“</w:t>
            </w:r>
            <w:r>
              <w:rPr>
                <w:rFonts w:hint="eastAsia" w:asciiTheme="minorEastAsia" w:hAnsiTheme="minorEastAsia" w:eastAsiaTheme="minorEastAsia"/>
                <w:color w:val="auto"/>
                <w:szCs w:val="21"/>
                <w:highlight w:val="none"/>
                <w:lang w:eastAsia="zh-CN"/>
              </w:rPr>
              <w:t>电子交易系统</w:t>
            </w:r>
            <w:r>
              <w:rPr>
                <w:rFonts w:hint="eastAsia" w:asciiTheme="minorEastAsia" w:hAnsiTheme="minorEastAsia" w:eastAsiaTheme="minorEastAsia"/>
                <w:color w:val="auto"/>
                <w:szCs w:val="21"/>
                <w:highlight w:val="none"/>
              </w:rPr>
              <w:t>”将无法识别、无法上传</w:t>
            </w:r>
          </w:p>
        </w:tc>
      </w:tr>
      <w:tr w14:paraId="3B81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FEAA7C3">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4.1.1</w:t>
            </w:r>
          </w:p>
        </w:tc>
        <w:tc>
          <w:tcPr>
            <w:tcW w:w="2145" w:type="dxa"/>
            <w:vAlign w:val="center"/>
          </w:tcPr>
          <w:p w14:paraId="5B0DCA9F">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投标文件的加密</w:t>
            </w:r>
          </w:p>
        </w:tc>
        <w:tc>
          <w:tcPr>
            <w:tcW w:w="5833" w:type="dxa"/>
            <w:vAlign w:val="center"/>
          </w:tcPr>
          <w:p w14:paraId="57CAAABC">
            <w:pPr>
              <w:pStyle w:val="299"/>
              <w:adjustRightInd w:val="0"/>
              <w:snapToGrid w:val="0"/>
              <w:spacing w:line="400" w:lineRule="exact"/>
              <w:jc w:val="both"/>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应按本须知前附表第</w:t>
            </w:r>
            <w:r>
              <w:rPr>
                <w:rFonts w:cs="宋体" w:asciiTheme="minorEastAsia" w:hAnsiTheme="minorEastAsia" w:eastAsiaTheme="minorEastAsia"/>
                <w:color w:val="auto"/>
                <w:szCs w:val="21"/>
                <w:highlight w:val="none"/>
              </w:rPr>
              <w:t>3.7.3项要求制作并加密电子投标文件，未按要求加密的投标文件，“</w:t>
            </w:r>
            <w:r>
              <w:rPr>
                <w:rFonts w:hint="eastAsia" w:cs="宋体" w:asciiTheme="minorEastAsia" w:hAnsiTheme="minorEastAsia" w:eastAsiaTheme="minorEastAsia"/>
                <w:color w:val="auto"/>
                <w:szCs w:val="21"/>
                <w:highlight w:val="none"/>
                <w:lang w:eastAsia="zh-CN"/>
              </w:rPr>
              <w:t>电子交易系统</w:t>
            </w:r>
            <w:r>
              <w:rPr>
                <w:rFonts w:cs="宋体" w:asciiTheme="minorEastAsia" w:hAnsiTheme="minorEastAsia" w:eastAsiaTheme="minorEastAsia"/>
                <w:color w:val="auto"/>
                <w:szCs w:val="21"/>
                <w:highlight w:val="none"/>
              </w:rPr>
              <w:t>”将拒绝接收</w:t>
            </w:r>
            <w:r>
              <w:rPr>
                <w:rFonts w:hint="eastAsia" w:cs="宋体" w:asciiTheme="minorEastAsia" w:hAnsiTheme="minorEastAsia" w:eastAsiaTheme="minorEastAsia"/>
                <w:color w:val="auto"/>
                <w:szCs w:val="21"/>
                <w:highlight w:val="none"/>
                <w:lang w:val="en-US" w:eastAsia="zh-CN"/>
              </w:rPr>
              <w:t xml:space="preserve">                        </w:t>
            </w:r>
            <w:r>
              <w:rPr>
                <w:rFonts w:cs="宋体" w:asciiTheme="minorEastAsia" w:hAnsiTheme="minorEastAsia" w:eastAsiaTheme="minorEastAsia"/>
                <w:color w:val="auto"/>
                <w:szCs w:val="21"/>
                <w:highlight w:val="none"/>
              </w:rPr>
              <w:t xml:space="preserve">   </w:t>
            </w:r>
          </w:p>
        </w:tc>
      </w:tr>
      <w:tr w14:paraId="5D3C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475F0D4">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4.2.3</w:t>
            </w:r>
          </w:p>
        </w:tc>
        <w:tc>
          <w:tcPr>
            <w:tcW w:w="2145" w:type="dxa"/>
            <w:vAlign w:val="center"/>
          </w:tcPr>
          <w:p w14:paraId="6A9CA4C5">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是否退还投标文件</w:t>
            </w:r>
          </w:p>
        </w:tc>
        <w:tc>
          <w:tcPr>
            <w:tcW w:w="5833" w:type="dxa"/>
            <w:vAlign w:val="center"/>
          </w:tcPr>
          <w:p w14:paraId="6066C373">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否</w:t>
            </w:r>
          </w:p>
          <w:p w14:paraId="13684559">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是，退还时间如下：</w:t>
            </w:r>
          </w:p>
          <w:p w14:paraId="48D239CD">
            <w:pPr>
              <w:pStyle w:val="299"/>
              <w:adjustRightInd w:val="0"/>
              <w:snapToGrid w:val="0"/>
              <w:spacing w:line="400" w:lineRule="exact"/>
              <w:rPr>
                <w:rFonts w:hint="eastAsia" w:cs="宋体" w:asciiTheme="minorEastAsia" w:hAnsiTheme="minorEastAsia" w:eastAsiaTheme="minorEastAsia"/>
                <w:bCs/>
                <w:color w:val="auto"/>
                <w:szCs w:val="21"/>
                <w:highlight w:val="none"/>
                <w:lang w:eastAsia="zh-CN"/>
              </w:rPr>
            </w:pP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1）当标段投标人少于3个（不含3个）</w:t>
            </w:r>
            <w:r>
              <w:rPr>
                <w:rFonts w:hint="eastAsia" w:cs="宋体" w:asciiTheme="minorEastAsia" w:hAnsiTheme="minorEastAsia" w:eastAsiaTheme="minorEastAsia"/>
                <w:bCs/>
                <w:color w:val="auto"/>
                <w:szCs w:val="21"/>
                <w:highlight w:val="none"/>
                <w:lang w:val="en-US" w:eastAsia="zh-CN"/>
              </w:rPr>
              <w:t>时</w:t>
            </w:r>
            <w:r>
              <w:rPr>
                <w:rFonts w:cs="宋体" w:asciiTheme="minorEastAsia" w:hAnsiTheme="minorEastAsia" w:eastAsiaTheme="minorEastAsia"/>
                <w:bCs/>
                <w:color w:val="auto"/>
                <w:szCs w:val="21"/>
                <w:highlight w:val="none"/>
              </w:rPr>
              <w:t>，该标段将</w:t>
            </w:r>
            <w:r>
              <w:rPr>
                <w:rFonts w:hint="eastAsia" w:cs="宋体" w:asciiTheme="minorEastAsia" w:hAnsiTheme="minorEastAsia" w:eastAsiaTheme="minorEastAsia"/>
                <w:bCs/>
                <w:color w:val="auto"/>
                <w:szCs w:val="21"/>
                <w:highlight w:val="none"/>
              </w:rPr>
              <w:t>不予开标，投标人的电子投标文件将被“退还”给</w:t>
            </w:r>
            <w:r>
              <w:rPr>
                <w:rFonts w:cs="宋体" w:asciiTheme="minorEastAsia" w:hAnsiTheme="minorEastAsia" w:eastAsiaTheme="minorEastAsia"/>
                <w:bCs/>
                <w:color w:val="auto"/>
                <w:szCs w:val="21"/>
                <w:highlight w:val="none"/>
              </w:rPr>
              <w:t>投标人</w:t>
            </w:r>
            <w:r>
              <w:rPr>
                <w:rFonts w:hint="eastAsia" w:cs="宋体" w:asciiTheme="minorEastAsia" w:hAnsiTheme="minorEastAsia" w:eastAsiaTheme="minorEastAsia"/>
                <w:bCs/>
                <w:color w:val="auto"/>
                <w:szCs w:val="21"/>
                <w:highlight w:val="none"/>
                <w:lang w:eastAsia="zh-CN"/>
              </w:rPr>
              <w:t>；</w:t>
            </w:r>
          </w:p>
          <w:p w14:paraId="2D85700E">
            <w:pPr>
              <w:pStyle w:val="299"/>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2）</w:t>
            </w:r>
            <w:r>
              <w:rPr>
                <w:rFonts w:hint="eastAsia" w:cs="宋体" w:asciiTheme="minorEastAsia" w:hAnsiTheme="minorEastAsia" w:eastAsiaTheme="minorEastAsia"/>
                <w:bCs/>
                <w:color w:val="auto"/>
                <w:szCs w:val="21"/>
                <w:highlight w:val="none"/>
              </w:rPr>
              <w:t>第二个信封</w:t>
            </w:r>
            <w:r>
              <w:rPr>
                <w:rFonts w:hint="eastAsia" w:cs="宋体" w:asciiTheme="minorEastAsia" w:hAnsiTheme="minorEastAsia" w:eastAsiaTheme="minorEastAsia"/>
                <w:bCs/>
                <w:color w:val="auto"/>
                <w:szCs w:val="21"/>
                <w:highlight w:val="none"/>
                <w:lang w:eastAsia="zh-CN"/>
              </w:rPr>
              <w:t>（</w:t>
            </w:r>
            <w:r>
              <w:rPr>
                <w:rFonts w:hint="eastAsia" w:cs="宋体" w:asciiTheme="minorEastAsia" w:hAnsiTheme="minorEastAsia" w:eastAsiaTheme="minorEastAsia"/>
                <w:bCs/>
                <w:color w:val="auto"/>
                <w:szCs w:val="21"/>
                <w:highlight w:val="none"/>
                <w:lang w:val="en-US" w:eastAsia="zh-CN"/>
              </w:rPr>
              <w:t>报价文件</w:t>
            </w:r>
            <w:r>
              <w:rPr>
                <w:rFonts w:hint="eastAsia" w:cs="宋体" w:asciiTheme="minorEastAsia" w:hAnsiTheme="minorEastAsia" w:eastAsiaTheme="minorEastAsia"/>
                <w:bCs/>
                <w:color w:val="auto"/>
                <w:szCs w:val="21"/>
                <w:highlight w:val="none"/>
                <w:lang w:eastAsia="zh-CN"/>
              </w:rPr>
              <w:t>）</w:t>
            </w:r>
            <w:r>
              <w:rPr>
                <w:rFonts w:hint="eastAsia" w:cs="宋体" w:asciiTheme="minorEastAsia" w:hAnsiTheme="minorEastAsia" w:eastAsiaTheme="minorEastAsia"/>
                <w:bCs/>
                <w:color w:val="auto"/>
                <w:szCs w:val="21"/>
                <w:highlight w:val="none"/>
              </w:rPr>
              <w:t>开标时，未通过第一个信封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商务及技术文件</w:t>
            </w:r>
            <w:r>
              <w:rPr>
                <w:rFonts w:hint="eastAsia" w:ascii="宋体" w:hAnsi="宋体" w:cs="宋体"/>
                <w:color w:val="auto"/>
                <w:szCs w:val="21"/>
                <w:highlight w:val="none"/>
                <w:lang w:eastAsia="zh-CN"/>
              </w:rPr>
              <w:t>）</w:t>
            </w:r>
            <w:r>
              <w:rPr>
                <w:rFonts w:hint="eastAsia" w:cs="宋体" w:asciiTheme="minorEastAsia" w:hAnsiTheme="minorEastAsia" w:eastAsiaTheme="minorEastAsia"/>
                <w:bCs/>
                <w:color w:val="auto"/>
                <w:szCs w:val="21"/>
                <w:highlight w:val="none"/>
              </w:rPr>
              <w:t>评审的投标人的第二个信封（报价文件）不予二次解密，并当场“退还”给</w:t>
            </w:r>
            <w:r>
              <w:rPr>
                <w:rFonts w:cs="宋体" w:asciiTheme="minorEastAsia" w:hAnsiTheme="minorEastAsia" w:eastAsiaTheme="minorEastAsia"/>
                <w:bCs/>
                <w:color w:val="auto"/>
                <w:szCs w:val="21"/>
                <w:highlight w:val="none"/>
              </w:rPr>
              <w:t>投标人</w:t>
            </w:r>
          </w:p>
        </w:tc>
      </w:tr>
      <w:tr w14:paraId="5367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3944AAE">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4.3.1</w:t>
            </w:r>
          </w:p>
        </w:tc>
        <w:tc>
          <w:tcPr>
            <w:tcW w:w="2145" w:type="dxa"/>
            <w:vAlign w:val="center"/>
          </w:tcPr>
          <w:p w14:paraId="68A64BE5">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投标文件的撤回</w:t>
            </w:r>
          </w:p>
        </w:tc>
        <w:tc>
          <w:tcPr>
            <w:tcW w:w="5833" w:type="dxa"/>
            <w:vAlign w:val="center"/>
          </w:tcPr>
          <w:p w14:paraId="46098C21">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本项补充：</w:t>
            </w:r>
          </w:p>
          <w:p w14:paraId="11308186">
            <w:pPr>
              <w:pStyle w:val="299"/>
              <w:adjustRightInd w:val="0"/>
              <w:snapToGrid w:val="0"/>
              <w:spacing w:line="400" w:lineRule="exact"/>
              <w:ind w:firstLine="210" w:firstLine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投标文件第一个信封</w:t>
            </w:r>
            <w:r>
              <w:rPr>
                <w:rFonts w:cs="宋体" w:asciiTheme="minorEastAsia" w:hAnsiTheme="minorEastAsia" w:eastAsiaTheme="minorEastAsia"/>
                <w:color w:val="auto"/>
                <w:szCs w:val="21"/>
                <w:highlight w:val="none"/>
              </w:rPr>
              <w:t>（商务及技术文件）或第二个信封（报价文件）在投标截止时间前未按要求上传或递交都视为投标文件</w:t>
            </w:r>
            <w:r>
              <w:rPr>
                <w:rFonts w:hint="eastAsia" w:cs="宋体" w:asciiTheme="minorEastAsia" w:hAnsiTheme="minorEastAsia" w:eastAsiaTheme="minorEastAsia"/>
                <w:color w:val="auto"/>
                <w:szCs w:val="21"/>
                <w:highlight w:val="none"/>
                <w:lang w:val="en-US" w:eastAsia="zh-CN"/>
              </w:rPr>
              <w:t>逾期送达</w:t>
            </w:r>
            <w:r>
              <w:rPr>
                <w:rFonts w:cs="宋体" w:asciiTheme="minorEastAsia" w:hAnsiTheme="minorEastAsia" w:eastAsiaTheme="minorEastAsia"/>
                <w:color w:val="auto"/>
                <w:szCs w:val="21"/>
                <w:highlight w:val="none"/>
              </w:rPr>
              <w:t>。</w:t>
            </w:r>
          </w:p>
          <w:p w14:paraId="21CA7EDF">
            <w:pPr>
              <w:pStyle w:val="299"/>
              <w:adjustRightInd w:val="0"/>
              <w:snapToGrid w:val="0"/>
              <w:spacing w:line="400" w:lineRule="exact"/>
              <w:ind w:firstLine="210" w:firstLine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若开标现场证明是投标人原因造成其加密电子投标文件未解密的，视为撤销其投标文件。</w:t>
            </w:r>
          </w:p>
          <w:p w14:paraId="6B0E17DE">
            <w:pPr>
              <w:adjustRightInd w:val="0"/>
              <w:snapToGrid w:val="0"/>
              <w:spacing w:line="400" w:lineRule="exact"/>
              <w:ind w:firstLine="210" w:firstLineChars="1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因投标人</w:t>
            </w:r>
            <w:r>
              <w:rPr>
                <w:rFonts w:hint="eastAsia" w:cs="宋体" w:asciiTheme="minorEastAsia" w:hAnsiTheme="minorEastAsia" w:eastAsiaTheme="minorEastAsia"/>
                <w:color w:val="auto"/>
                <w:szCs w:val="21"/>
                <w:highlight w:val="none"/>
                <w:lang w:val="en-US" w:eastAsia="zh-CN"/>
              </w:rPr>
              <w:t>之外的</w:t>
            </w:r>
            <w:r>
              <w:rPr>
                <w:rFonts w:hint="eastAsia" w:cs="宋体" w:asciiTheme="minorEastAsia" w:hAnsiTheme="minorEastAsia" w:eastAsiaTheme="minorEastAsia"/>
                <w:color w:val="auto"/>
                <w:szCs w:val="21"/>
                <w:highlight w:val="none"/>
              </w:rPr>
              <w:t>原因造成其加密的电子投标文件在规定的时间内未解密的，按本须知前附表第</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项进行补救。采取补救措施仍未解密的，视为投标文件撤回</w:t>
            </w:r>
          </w:p>
        </w:tc>
      </w:tr>
      <w:tr w14:paraId="36B4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AF3EECA">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5.1</w:t>
            </w:r>
          </w:p>
        </w:tc>
        <w:tc>
          <w:tcPr>
            <w:tcW w:w="2145" w:type="dxa"/>
            <w:vAlign w:val="center"/>
          </w:tcPr>
          <w:p w14:paraId="07595455">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开标时间和地点</w:t>
            </w:r>
          </w:p>
        </w:tc>
        <w:tc>
          <w:tcPr>
            <w:tcW w:w="5833" w:type="dxa"/>
            <w:vAlign w:val="center"/>
          </w:tcPr>
          <w:p w14:paraId="27198D68">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投标文件</w:t>
            </w:r>
            <w:r>
              <w:rPr>
                <w:rFonts w:hint="eastAsia" w:ascii="宋体" w:hAnsi="宋体" w:eastAsia="宋体" w:cs="宋体"/>
                <w:color w:val="auto"/>
                <w:highlight w:val="none"/>
                <w:lang w:val="en-US" w:eastAsia="zh-CN"/>
              </w:rPr>
              <w:t>[</w:t>
            </w:r>
            <w:r>
              <w:rPr>
                <w:rFonts w:cs="宋体" w:asciiTheme="minorEastAsia" w:hAnsiTheme="minorEastAsia" w:eastAsiaTheme="minorEastAsia"/>
                <w:color w:val="auto"/>
                <w:szCs w:val="21"/>
                <w:highlight w:val="none"/>
              </w:rPr>
              <w:t>第一个信封（商务及技术文件）</w:t>
            </w:r>
            <w:r>
              <w:rPr>
                <w:rFonts w:hint="eastAsia" w:ascii="宋体" w:hAnsi="宋体" w:eastAsia="宋体" w:cs="宋体"/>
                <w:color w:val="auto"/>
                <w:highlight w:val="none"/>
                <w:lang w:val="en-US" w:eastAsia="zh-CN"/>
              </w:rPr>
              <w:t>]</w:t>
            </w:r>
          </w:p>
          <w:p w14:paraId="4314B1C4">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开标时间：</w:t>
            </w:r>
            <w:r>
              <w:rPr>
                <w:rFonts w:hint="eastAsia" w:cs="宋体" w:asciiTheme="minorEastAsia" w:hAnsiTheme="minorEastAsia" w:eastAsiaTheme="minorEastAsia"/>
                <w:color w:val="auto"/>
                <w:szCs w:val="21"/>
                <w:highlight w:val="none"/>
                <w:u w:val="single"/>
              </w:rPr>
              <w:t>同投标截止时间</w:t>
            </w:r>
          </w:p>
          <w:p w14:paraId="1B977554">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开标地点：</w:t>
            </w:r>
            <w:r>
              <w:rPr>
                <w:rFonts w:hint="eastAsia" w:cs="宋体" w:asciiTheme="minorEastAsia" w:hAnsiTheme="minorEastAsia" w:eastAsiaTheme="minorEastAsia"/>
                <w:color w:val="auto"/>
                <w:szCs w:val="21"/>
                <w:highlight w:val="none"/>
                <w:u w:val="single"/>
                <w:lang w:val="en-US" w:eastAsia="zh-CN"/>
              </w:rPr>
              <w:t>见</w:t>
            </w:r>
            <w:r>
              <w:rPr>
                <w:rFonts w:hint="eastAsia" w:cs="宋体" w:asciiTheme="minorEastAsia" w:hAnsiTheme="minorEastAsia" w:eastAsiaTheme="minorEastAsia"/>
                <w:color w:val="auto"/>
                <w:szCs w:val="21"/>
                <w:highlight w:val="none"/>
                <w:u w:val="single"/>
              </w:rPr>
              <w:t>招标公告</w:t>
            </w:r>
          </w:p>
          <w:p w14:paraId="502DB9F1">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投标文件</w:t>
            </w:r>
            <w:r>
              <w:rPr>
                <w:rFonts w:cs="宋体" w:asciiTheme="minorEastAsia" w:hAnsiTheme="minorEastAsia" w:eastAsiaTheme="minorEastAsia"/>
                <w:color w:val="auto"/>
                <w:szCs w:val="21"/>
                <w:highlight w:val="none"/>
              </w:rPr>
              <w:t xml:space="preserve"> </w:t>
            </w:r>
            <w:r>
              <w:rPr>
                <w:rFonts w:hint="eastAsia" w:ascii="宋体" w:hAnsi="宋体" w:eastAsia="宋体" w:cs="宋体"/>
                <w:color w:val="auto"/>
                <w:highlight w:val="none"/>
                <w:lang w:val="en-US" w:eastAsia="zh-CN"/>
              </w:rPr>
              <w:t>[</w:t>
            </w:r>
            <w:r>
              <w:rPr>
                <w:rFonts w:cs="宋体" w:asciiTheme="minorEastAsia" w:hAnsiTheme="minorEastAsia" w:eastAsiaTheme="minorEastAsia"/>
                <w:color w:val="auto"/>
                <w:szCs w:val="21"/>
                <w:highlight w:val="none"/>
              </w:rPr>
              <w:t>第二个信封（报价文件）</w:t>
            </w:r>
            <w:r>
              <w:rPr>
                <w:rFonts w:hint="eastAsia" w:ascii="宋体" w:hAnsi="宋体" w:eastAsia="宋体" w:cs="宋体"/>
                <w:color w:val="auto"/>
                <w:highlight w:val="none"/>
                <w:lang w:val="en-US" w:eastAsia="zh-CN"/>
              </w:rPr>
              <w:t>]</w:t>
            </w:r>
          </w:p>
          <w:p w14:paraId="628905E4">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开标时间：</w:t>
            </w:r>
            <w:r>
              <w:rPr>
                <w:rFonts w:hint="eastAsia" w:cs="宋体" w:asciiTheme="minorEastAsia" w:hAnsiTheme="minorEastAsia" w:eastAsiaTheme="minorEastAsia"/>
                <w:color w:val="auto"/>
                <w:szCs w:val="21"/>
                <w:highlight w:val="none"/>
                <w:u w:val="single"/>
              </w:rPr>
              <w:t>招标人另行通知</w:t>
            </w:r>
          </w:p>
          <w:p w14:paraId="3315239C">
            <w:pPr>
              <w:pStyle w:val="299"/>
              <w:adjustRightInd w:val="0"/>
              <w:snapToGrid w:val="0"/>
              <w:spacing w:line="400" w:lineRule="exac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开标地点：</w:t>
            </w:r>
            <w:r>
              <w:rPr>
                <w:rFonts w:hint="eastAsia" w:cs="宋体" w:asciiTheme="minorEastAsia" w:hAnsiTheme="minorEastAsia" w:eastAsiaTheme="minorEastAsia"/>
                <w:color w:val="auto"/>
                <w:szCs w:val="21"/>
                <w:highlight w:val="none"/>
                <w:u w:val="single"/>
              </w:rPr>
              <w:t>招标人另行通知</w:t>
            </w:r>
          </w:p>
          <w:p w14:paraId="2459E4AF">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第二个信封</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报价文件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开标</w:t>
            </w:r>
            <w:r>
              <w:rPr>
                <w:rFonts w:cs="宋体" w:asciiTheme="minorEastAsia" w:hAnsiTheme="minorEastAsia" w:eastAsiaTheme="minorEastAsia"/>
                <w:color w:val="auto"/>
                <w:szCs w:val="21"/>
                <w:highlight w:val="none"/>
              </w:rPr>
              <w:t>通知方式</w:t>
            </w:r>
            <w:r>
              <w:rPr>
                <w:rStyle w:val="59"/>
                <w:rFonts w:cs="宋体" w:asciiTheme="minorEastAsia" w:hAnsiTheme="minorEastAsia" w:eastAsiaTheme="minorEastAsia"/>
                <w:color w:val="auto"/>
                <w:szCs w:val="21"/>
                <w:highlight w:val="none"/>
              </w:rPr>
              <w:footnoteReference w:id="45"/>
            </w:r>
            <w:r>
              <w:rPr>
                <w:rFonts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u w:val="single"/>
              </w:rPr>
              <w:t xml:space="preserve">         </w:t>
            </w:r>
          </w:p>
        </w:tc>
      </w:tr>
      <w:tr w14:paraId="2EF7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3B4134F">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5.2.1</w:t>
            </w:r>
          </w:p>
        </w:tc>
        <w:tc>
          <w:tcPr>
            <w:tcW w:w="2145" w:type="dxa"/>
            <w:vAlign w:val="center"/>
          </w:tcPr>
          <w:p w14:paraId="07CA09E6">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第一个信封（商务及技术文件）开标程序</w:t>
            </w:r>
          </w:p>
        </w:tc>
        <w:tc>
          <w:tcPr>
            <w:tcW w:w="5833" w:type="dxa"/>
            <w:vAlign w:val="center"/>
          </w:tcPr>
          <w:p w14:paraId="5A123EFD">
            <w:pPr>
              <w:pStyle w:val="299"/>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主持人按下列程序对投标文件第一个信封（商务及技术文件）进行</w:t>
            </w:r>
            <w:r>
              <w:rPr>
                <w:rFonts w:hint="eastAsia" w:cs="宋体" w:asciiTheme="minorEastAsia" w:hAnsiTheme="minorEastAsia" w:eastAsiaTheme="minorEastAsia"/>
                <w:color w:val="auto"/>
                <w:szCs w:val="21"/>
                <w:highlight w:val="none"/>
                <w:lang w:val="en-US" w:eastAsia="zh-CN"/>
              </w:rPr>
              <w:t>远程电子</w:t>
            </w:r>
            <w:r>
              <w:rPr>
                <w:rFonts w:hint="eastAsia" w:cs="宋体" w:asciiTheme="minorEastAsia" w:hAnsiTheme="minorEastAsia" w:eastAsiaTheme="minorEastAsia"/>
                <w:color w:val="auto"/>
                <w:szCs w:val="21"/>
                <w:highlight w:val="none"/>
              </w:rPr>
              <w:t>开标：</w:t>
            </w:r>
          </w:p>
          <w:p w14:paraId="1D4E1907">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宣布开标纪律</w:t>
            </w:r>
            <w:r>
              <w:rPr>
                <w:rFonts w:hint="eastAsia" w:cs="宋体" w:asciiTheme="minorEastAsia" w:hAnsiTheme="minorEastAsia" w:eastAsiaTheme="minorEastAsia"/>
                <w:color w:val="auto"/>
                <w:szCs w:val="21"/>
                <w:highlight w:val="none"/>
                <w:lang w:eastAsia="zh-CN"/>
              </w:rPr>
              <w:t>。</w:t>
            </w:r>
          </w:p>
          <w:p w14:paraId="1F7F1169">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2）宣布</w:t>
            </w:r>
            <w:r>
              <w:rPr>
                <w:rFonts w:hint="eastAsia" w:cs="宋体" w:asciiTheme="minorEastAsia" w:hAnsiTheme="minorEastAsia" w:eastAsiaTheme="minorEastAsia"/>
                <w:color w:val="auto"/>
                <w:szCs w:val="21"/>
                <w:highlight w:val="none"/>
              </w:rPr>
              <w:t>监督</w:t>
            </w:r>
            <w:r>
              <w:rPr>
                <w:rFonts w:cs="宋体" w:asciiTheme="minorEastAsia" w:hAnsiTheme="minorEastAsia" w:eastAsiaTheme="minorEastAsia"/>
                <w:color w:val="auto"/>
                <w:szCs w:val="21"/>
                <w:highlight w:val="none"/>
              </w:rPr>
              <w:t>人员姓名</w:t>
            </w:r>
            <w:r>
              <w:rPr>
                <w:rFonts w:hint="eastAsia" w:cs="宋体" w:asciiTheme="minorEastAsia" w:hAnsiTheme="minorEastAsia" w:eastAsiaTheme="minorEastAsia"/>
                <w:color w:val="auto"/>
                <w:szCs w:val="21"/>
                <w:highlight w:val="none"/>
              </w:rPr>
              <w:t>、单位、联系方式</w:t>
            </w:r>
            <w:r>
              <w:rPr>
                <w:rFonts w:hint="eastAsia" w:cs="宋体" w:asciiTheme="minorEastAsia" w:hAnsiTheme="minorEastAsia" w:eastAsiaTheme="minorEastAsia"/>
                <w:color w:val="auto"/>
                <w:szCs w:val="21"/>
                <w:highlight w:val="none"/>
                <w:lang w:eastAsia="zh-CN"/>
              </w:rPr>
              <w:t>。</w:t>
            </w:r>
            <w:r>
              <w:rPr>
                <w:rFonts w:cs="宋体" w:asciiTheme="minorEastAsia" w:hAnsiTheme="minorEastAsia" w:eastAsiaTheme="minorEastAsia"/>
                <w:color w:val="auto"/>
                <w:szCs w:val="21"/>
                <w:highlight w:val="none"/>
              </w:rPr>
              <w:t xml:space="preserve"> </w:t>
            </w:r>
          </w:p>
          <w:p w14:paraId="00EF3F89">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3）公布投标截止时间前递交投标文件</w:t>
            </w:r>
            <w:r>
              <w:rPr>
                <w:rFonts w:hint="eastAsia" w:cs="宋体" w:asciiTheme="minorEastAsia" w:hAnsiTheme="minorEastAsia" w:eastAsiaTheme="minorEastAsia"/>
                <w:color w:val="auto"/>
                <w:szCs w:val="21"/>
                <w:highlight w:val="none"/>
              </w:rPr>
              <w:t>至</w:t>
            </w:r>
            <w:r>
              <w:rPr>
                <w:rFonts w:cs="宋体" w:asciiTheme="minorEastAsia" w:hAnsiTheme="minorEastAsia" w:eastAsiaTheme="minorEastAsia"/>
                <w:color w:val="auto"/>
                <w:szCs w:val="21"/>
                <w:highlight w:val="none"/>
              </w:rPr>
              <w:t>“电子交易系统”的投标人数量</w:t>
            </w:r>
            <w:r>
              <w:rPr>
                <w:rFonts w:hint="eastAsia" w:cs="宋体" w:asciiTheme="minorEastAsia" w:hAnsiTheme="minorEastAsia" w:eastAsiaTheme="minorEastAsia"/>
                <w:color w:val="auto"/>
                <w:szCs w:val="21"/>
                <w:highlight w:val="none"/>
                <w:lang w:eastAsia="zh-CN"/>
              </w:rPr>
              <w:t>。</w:t>
            </w:r>
          </w:p>
          <w:p w14:paraId="1BD53CA6">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4）投标人使用生成电子投标文件的单位CA数字证书</w:t>
            </w:r>
            <w:r>
              <w:rPr>
                <w:rFonts w:hint="eastAsia" w:cs="宋体" w:asciiTheme="minorEastAsia" w:hAnsiTheme="minorEastAsia" w:eastAsiaTheme="minorEastAsia"/>
                <w:color w:val="auto"/>
                <w:szCs w:val="21"/>
                <w:highlight w:val="none"/>
              </w:rPr>
              <w:t>解密投标文件</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投标人代表应根据系统提示解密开始时间</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分钟</w:t>
            </w:r>
            <w:r>
              <w:rPr>
                <w:rStyle w:val="59"/>
                <w:rFonts w:ascii="宋体" w:hAnsi="宋体" w:cs="宋体"/>
                <w:color w:val="auto"/>
                <w:szCs w:val="21"/>
                <w:highlight w:val="none"/>
              </w:rPr>
              <w:footnoteReference w:id="46"/>
            </w:r>
            <w:r>
              <w:rPr>
                <w:rFonts w:hint="eastAsia" w:cs="宋体" w:asciiTheme="minorEastAsia" w:hAnsiTheme="minorEastAsia" w:eastAsiaTheme="minorEastAsia"/>
                <w:color w:val="auto"/>
                <w:szCs w:val="21"/>
                <w:highlight w:val="none"/>
              </w:rPr>
              <w:t>内在线同时完成第一个信封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商务及技术文件</w:t>
            </w:r>
            <w:r>
              <w:rPr>
                <w:rFonts w:hint="eastAsia" w:ascii="宋体" w:hAnsi="宋体" w:cs="宋体"/>
                <w:color w:val="auto"/>
                <w:szCs w:val="21"/>
                <w:highlight w:val="none"/>
                <w:lang w:eastAsia="zh-CN"/>
              </w:rPr>
              <w:t>）</w:t>
            </w:r>
            <w:r>
              <w:rPr>
                <w:rFonts w:cs="宋体" w:asciiTheme="minorEastAsia" w:hAnsiTheme="minorEastAsia" w:eastAsiaTheme="minorEastAsia"/>
                <w:color w:val="auto"/>
                <w:szCs w:val="21"/>
                <w:highlight w:val="none"/>
              </w:rPr>
              <w:t>、第二</w:t>
            </w:r>
            <w:r>
              <w:rPr>
                <w:rFonts w:hint="eastAsia" w:cs="宋体" w:asciiTheme="minorEastAsia" w:hAnsiTheme="minorEastAsia" w:eastAsiaTheme="minorEastAsia"/>
                <w:color w:val="auto"/>
                <w:szCs w:val="21"/>
                <w:highlight w:val="none"/>
              </w:rPr>
              <w:t>个</w:t>
            </w:r>
            <w:r>
              <w:rPr>
                <w:rFonts w:cs="宋体" w:asciiTheme="minorEastAsia" w:hAnsiTheme="minorEastAsia" w:eastAsiaTheme="minorEastAsia"/>
                <w:color w:val="auto"/>
                <w:szCs w:val="21"/>
                <w:highlight w:val="none"/>
              </w:rPr>
              <w:t>信封</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报价文件</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电子投标文件解密</w:t>
            </w:r>
            <w:r>
              <w:rPr>
                <w:rFonts w:hint="eastAsia" w:cs="宋体" w:asciiTheme="minorEastAsia" w:hAnsiTheme="minorEastAsia" w:eastAsiaTheme="minorEastAsia"/>
                <w:color w:val="auto"/>
                <w:szCs w:val="21"/>
                <w:highlight w:val="none"/>
                <w:lang w:eastAsia="zh-CN"/>
              </w:rPr>
              <w:t>。</w:t>
            </w:r>
          </w:p>
          <w:p w14:paraId="1EAF6558">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投标人</w:t>
            </w:r>
            <w:r>
              <w:rPr>
                <w:rFonts w:cs="宋体" w:asciiTheme="minorEastAsia" w:hAnsiTheme="minorEastAsia" w:eastAsiaTheme="minorEastAsia"/>
                <w:color w:val="auto"/>
                <w:szCs w:val="21"/>
                <w:highlight w:val="none"/>
              </w:rPr>
              <w:t>解密时间结束，或在所有投标人提前完成解密后，招标人使用其单位CA数字证书解密投标文件第一个信封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商务及技术文件</w:t>
            </w:r>
            <w:r>
              <w:rPr>
                <w:rFonts w:hint="eastAsia" w:ascii="宋体" w:hAnsi="宋体" w:cs="宋体"/>
                <w:color w:val="auto"/>
                <w:szCs w:val="21"/>
                <w:highlight w:val="none"/>
                <w:lang w:eastAsia="zh-CN"/>
              </w:rPr>
              <w:t>）</w:t>
            </w:r>
            <w:r>
              <w:rPr>
                <w:rFonts w:hint="eastAsia" w:cs="宋体" w:asciiTheme="minorEastAsia" w:hAnsiTheme="minorEastAsia" w:eastAsiaTheme="minorEastAsia"/>
                <w:color w:val="auto"/>
                <w:szCs w:val="21"/>
                <w:highlight w:val="none"/>
                <w:lang w:eastAsia="zh-CN"/>
              </w:rPr>
              <w:t>。</w:t>
            </w:r>
          </w:p>
          <w:p w14:paraId="4B194EB1">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出现本章正文第</w:t>
            </w:r>
            <w:r>
              <w:rPr>
                <w:rFonts w:cs="宋体" w:asciiTheme="minorEastAsia" w:hAnsiTheme="minorEastAsia" w:eastAsiaTheme="minorEastAsia"/>
                <w:color w:val="auto"/>
                <w:szCs w:val="21"/>
                <w:highlight w:val="none"/>
              </w:rPr>
              <w:t>5.3.3</w:t>
            </w:r>
            <w:r>
              <w:rPr>
                <w:rFonts w:hint="eastAsia" w:cs="宋体" w:asciiTheme="minorEastAsia" w:hAnsiTheme="minorEastAsia" w:eastAsiaTheme="minorEastAsia"/>
                <w:color w:val="auto"/>
                <w:szCs w:val="21"/>
                <w:highlight w:val="none"/>
              </w:rPr>
              <w:t>项所列情况以及非投标人原因导致投标人投标文件无法成功解密的，按本须知前附表第</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项（</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）目进行补救。因投标人原因造成其加密的电子投标文件在规定的时间内未解密的，按本须知前附表第</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项（</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）目进行补救。采取补救措施仍未解密的，应对未解密成功的情况记录在案。部分投标文件未解密的，其他投标文件的开标可以继续进行</w:t>
            </w:r>
            <w:r>
              <w:rPr>
                <w:rFonts w:hint="eastAsia" w:cs="宋体" w:asciiTheme="minorEastAsia" w:hAnsiTheme="minorEastAsia" w:eastAsiaTheme="minorEastAsia"/>
                <w:color w:val="auto"/>
                <w:szCs w:val="21"/>
                <w:highlight w:val="none"/>
                <w:lang w:eastAsia="zh-CN"/>
              </w:rPr>
              <w:t>。</w:t>
            </w:r>
          </w:p>
          <w:p w14:paraId="0DAC386A">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7）导入并读取所有解密成功的投标文件第一个信封（商务及技术文件）的内容</w:t>
            </w:r>
            <w:r>
              <w:rPr>
                <w:rFonts w:hint="eastAsia" w:cs="宋体" w:asciiTheme="minorEastAsia" w:hAnsiTheme="minorEastAsia" w:eastAsiaTheme="minorEastAsia"/>
                <w:color w:val="auto"/>
                <w:szCs w:val="21"/>
                <w:highlight w:val="none"/>
                <w:lang w:eastAsia="zh-CN"/>
              </w:rPr>
              <w:t>。</w:t>
            </w:r>
            <w:r>
              <w:rPr>
                <w:rFonts w:cs="宋体" w:asciiTheme="minorEastAsia" w:hAnsiTheme="minorEastAsia" w:eastAsiaTheme="minorEastAsia"/>
                <w:color w:val="auto"/>
                <w:szCs w:val="21"/>
                <w:highlight w:val="none"/>
              </w:rPr>
              <w:t xml:space="preserve"> </w:t>
            </w:r>
          </w:p>
          <w:p w14:paraId="4AFE1AD3">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8）核查投标保证金递交情况</w:t>
            </w:r>
            <w:r>
              <w:rPr>
                <w:rFonts w:hint="eastAsia" w:cs="宋体" w:asciiTheme="minorEastAsia" w:hAnsiTheme="minorEastAsia" w:eastAsiaTheme="minorEastAsia"/>
                <w:color w:val="auto"/>
                <w:szCs w:val="21"/>
                <w:highlight w:val="none"/>
                <w:lang w:eastAsia="zh-CN"/>
              </w:rPr>
              <w:t>。</w:t>
            </w:r>
          </w:p>
          <w:p w14:paraId="3549CB47">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公布标段名称、投标人名称、投标保证金的递交情况、工期、项目经理（如有）及其他内容，并记录在案</w:t>
            </w:r>
            <w:r>
              <w:rPr>
                <w:rFonts w:hint="eastAsia" w:cs="宋体" w:asciiTheme="minorEastAsia" w:hAnsiTheme="minorEastAsia" w:eastAsiaTheme="minorEastAsia"/>
                <w:color w:val="auto"/>
                <w:szCs w:val="21"/>
                <w:highlight w:val="none"/>
                <w:lang w:eastAsia="zh-CN"/>
              </w:rPr>
              <w:t>。</w:t>
            </w:r>
          </w:p>
          <w:p w14:paraId="561F84B7">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10）</w:t>
            </w:r>
            <w:r>
              <w:rPr>
                <w:rFonts w:hint="eastAsia" w:cs="宋体" w:asciiTheme="minorEastAsia" w:hAnsiTheme="minorEastAsia" w:eastAsiaTheme="minorEastAsia"/>
                <w:color w:val="auto"/>
                <w:szCs w:val="21"/>
                <w:highlight w:val="none"/>
              </w:rPr>
              <w:t>投标人代表对开标结果有异议的应</w:t>
            </w:r>
            <w:r>
              <w:rPr>
                <w:rFonts w:cs="宋体" w:asciiTheme="minorEastAsia" w:hAnsiTheme="minorEastAsia" w:eastAsiaTheme="minorEastAsia"/>
                <w:color w:val="auto"/>
                <w:szCs w:val="21"/>
                <w:highlight w:val="none"/>
              </w:rPr>
              <w:t>在“不见面开标大厅”中的</w:t>
            </w:r>
            <w:r>
              <w:rPr>
                <w:rFonts w:hint="eastAsia" w:cs="宋体" w:asciiTheme="minorEastAsia" w:hAnsiTheme="minorEastAsia" w:eastAsiaTheme="minorEastAsia"/>
                <w:color w:val="auto"/>
                <w:szCs w:val="21"/>
                <w:highlight w:val="none"/>
              </w:rPr>
              <w:t>“开标异议提问”栏</w:t>
            </w:r>
            <w:r>
              <w:rPr>
                <w:rFonts w:cs="宋体" w:asciiTheme="minorEastAsia" w:hAnsiTheme="minorEastAsia" w:eastAsiaTheme="minorEastAsia"/>
                <w:color w:val="auto"/>
                <w:szCs w:val="21"/>
                <w:highlight w:val="none"/>
              </w:rPr>
              <w:t>提出</w:t>
            </w:r>
            <w:r>
              <w:rPr>
                <w:rFonts w:cs="宋体" w:asciiTheme="minorEastAsia" w:hAnsiTheme="minorEastAsia" w:eastAsiaTheme="minorEastAsia"/>
                <w:color w:val="auto"/>
                <w:szCs w:val="21"/>
                <w:highlight w:val="none"/>
                <w:vertAlign w:val="superscript"/>
              </w:rPr>
              <w:footnoteReference w:id="47"/>
            </w:r>
            <w:r>
              <w:rPr>
                <w:rFonts w:hint="eastAsia" w:cs="宋体" w:asciiTheme="minorEastAsia" w:hAnsiTheme="minorEastAsia" w:eastAsiaTheme="minorEastAsia"/>
                <w:color w:val="auto"/>
                <w:szCs w:val="21"/>
                <w:highlight w:val="none"/>
              </w:rPr>
              <w:t>，否则视为无异议</w:t>
            </w:r>
            <w:r>
              <w:rPr>
                <w:rFonts w:hint="eastAsia" w:cs="宋体" w:asciiTheme="minorEastAsia" w:hAnsiTheme="minorEastAsia" w:eastAsiaTheme="minorEastAsia"/>
                <w:color w:val="auto"/>
                <w:szCs w:val="21"/>
                <w:highlight w:val="none"/>
                <w:lang w:eastAsia="zh-CN"/>
              </w:rPr>
              <w:t>。</w:t>
            </w:r>
          </w:p>
          <w:p w14:paraId="3810871E">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11）招标人</w:t>
            </w:r>
            <w:r>
              <w:rPr>
                <w:rFonts w:hint="eastAsia" w:cs="宋体" w:asciiTheme="minorEastAsia" w:hAnsiTheme="minorEastAsia" w:eastAsiaTheme="minorEastAsia"/>
                <w:color w:val="auto"/>
                <w:szCs w:val="21"/>
                <w:highlight w:val="none"/>
              </w:rPr>
              <w:t>对</w:t>
            </w:r>
            <w:r>
              <w:rPr>
                <w:rFonts w:cs="宋体" w:asciiTheme="minorEastAsia" w:hAnsiTheme="minorEastAsia" w:eastAsiaTheme="minorEastAsia"/>
                <w:color w:val="auto"/>
                <w:szCs w:val="21"/>
                <w:highlight w:val="none"/>
              </w:rPr>
              <w:t>开标记录</w:t>
            </w:r>
            <w:r>
              <w:rPr>
                <w:rFonts w:hint="eastAsia" w:cs="宋体" w:asciiTheme="minorEastAsia" w:hAnsiTheme="minorEastAsia" w:eastAsiaTheme="minorEastAsia"/>
                <w:color w:val="auto"/>
                <w:szCs w:val="21"/>
                <w:highlight w:val="none"/>
              </w:rPr>
              <w:t>进行</w:t>
            </w:r>
            <w:r>
              <w:rPr>
                <w:rFonts w:hint="eastAsia" w:cs="宋体" w:asciiTheme="minorEastAsia" w:hAnsiTheme="minorEastAsia" w:eastAsiaTheme="minorEastAsia"/>
                <w:color w:val="auto"/>
                <w:szCs w:val="21"/>
                <w:highlight w:val="none"/>
                <w:lang w:val="en-US" w:eastAsia="zh-CN"/>
              </w:rPr>
              <w:t>签章</w:t>
            </w:r>
            <w:r>
              <w:rPr>
                <w:rFonts w:cs="宋体" w:asciiTheme="minorEastAsia" w:hAnsiTheme="minorEastAsia" w:eastAsiaTheme="minorEastAsia"/>
                <w:color w:val="auto"/>
                <w:szCs w:val="21"/>
                <w:highlight w:val="none"/>
              </w:rPr>
              <w:t>确认</w:t>
            </w:r>
            <w:r>
              <w:rPr>
                <w:rFonts w:hint="eastAsia" w:cs="宋体" w:asciiTheme="minorEastAsia" w:hAnsiTheme="minorEastAsia" w:eastAsiaTheme="minorEastAsia"/>
                <w:color w:val="auto"/>
                <w:szCs w:val="21"/>
                <w:highlight w:val="none"/>
                <w:lang w:eastAsia="zh-CN"/>
              </w:rPr>
              <w:t>。</w:t>
            </w:r>
          </w:p>
          <w:p w14:paraId="793B7A12">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监督人员</w:t>
            </w:r>
            <w:r>
              <w:rPr>
                <w:rFonts w:cs="宋体" w:asciiTheme="minorEastAsia" w:hAnsiTheme="minorEastAsia" w:eastAsiaTheme="minorEastAsia"/>
                <w:color w:val="auto"/>
                <w:szCs w:val="21"/>
                <w:highlight w:val="none"/>
              </w:rPr>
              <w:t>对已解密的第一个信封（商务及技术文件）电子投标文件进行二次加密</w:t>
            </w:r>
            <w:r>
              <w:rPr>
                <w:rFonts w:hint="eastAsia" w:cs="宋体" w:asciiTheme="minorEastAsia" w:hAnsiTheme="minorEastAsia" w:eastAsiaTheme="minorEastAsia"/>
                <w:color w:val="auto"/>
                <w:szCs w:val="21"/>
                <w:highlight w:val="none"/>
                <w:lang w:eastAsia="zh-CN"/>
              </w:rPr>
              <w:t>。</w:t>
            </w:r>
            <w:r>
              <w:rPr>
                <w:rFonts w:cs="宋体" w:asciiTheme="minorEastAsia" w:hAnsiTheme="minorEastAsia" w:eastAsiaTheme="minorEastAsia"/>
                <w:color w:val="auto"/>
                <w:szCs w:val="21"/>
                <w:highlight w:val="none"/>
              </w:rPr>
              <w:t xml:space="preserve"> </w:t>
            </w:r>
          </w:p>
          <w:p w14:paraId="7CF1B8D0">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）开标结束</w:t>
            </w:r>
          </w:p>
          <w:p w14:paraId="47A64265">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bCs/>
                <w:color w:val="auto"/>
                <w:szCs w:val="21"/>
                <w:highlight w:val="none"/>
              </w:rPr>
              <w:t>注：开标后</w:t>
            </w:r>
            <w:r>
              <w:rPr>
                <w:rFonts w:hint="eastAsia" w:cs="宋体" w:asciiTheme="minorEastAsia" w:hAnsiTheme="minorEastAsia" w:eastAsiaTheme="minorEastAsia"/>
                <w:b/>
                <w:bCs/>
                <w:color w:val="auto"/>
                <w:szCs w:val="21"/>
                <w:highlight w:val="none"/>
                <w:lang w:val="en-US" w:eastAsia="zh-CN"/>
              </w:rPr>
              <w:t>标段</w:t>
            </w:r>
            <w:r>
              <w:rPr>
                <w:rFonts w:hint="eastAsia" w:cs="宋体" w:asciiTheme="minorEastAsia" w:hAnsiTheme="minorEastAsia" w:eastAsiaTheme="minorEastAsia"/>
                <w:b/>
                <w:bCs/>
                <w:color w:val="auto"/>
                <w:szCs w:val="21"/>
                <w:highlight w:val="none"/>
              </w:rPr>
              <w:t>解密成功的投标人仅有</w:t>
            </w:r>
            <w:r>
              <w:rPr>
                <w:rFonts w:cs="宋体" w:asciiTheme="minorEastAsia" w:hAnsiTheme="minorEastAsia" w:eastAsiaTheme="minorEastAsia"/>
                <w:b/>
                <w:bCs/>
                <w:color w:val="auto"/>
                <w:szCs w:val="21"/>
                <w:highlight w:val="none"/>
              </w:rPr>
              <w:t>1家时，</w:t>
            </w:r>
            <w:r>
              <w:rPr>
                <w:rFonts w:hint="eastAsia" w:cs="宋体" w:asciiTheme="minorEastAsia" w:hAnsiTheme="minorEastAsia" w:eastAsiaTheme="minorEastAsia"/>
                <w:b/>
                <w:bCs/>
                <w:color w:val="auto"/>
                <w:szCs w:val="21"/>
                <w:highlight w:val="none"/>
                <w:lang w:val="en-US" w:eastAsia="zh-CN"/>
              </w:rPr>
              <w:t>将不进行下一步的评标工作</w:t>
            </w:r>
          </w:p>
        </w:tc>
      </w:tr>
      <w:tr w14:paraId="44DC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4A576BC">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5.2.2</w:t>
            </w:r>
          </w:p>
        </w:tc>
        <w:tc>
          <w:tcPr>
            <w:tcW w:w="2145" w:type="dxa"/>
            <w:vAlign w:val="center"/>
          </w:tcPr>
          <w:p w14:paraId="4ABA01A7">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第二个信封（报价文件）</w:t>
            </w:r>
            <w:r>
              <w:rPr>
                <w:rFonts w:hint="eastAsia" w:cs="宋体" w:asciiTheme="minorEastAsia" w:hAnsiTheme="minorEastAsia" w:eastAsiaTheme="minorEastAsia"/>
                <w:color w:val="auto"/>
                <w:szCs w:val="21"/>
                <w:highlight w:val="none"/>
                <w:lang w:val="en-US" w:eastAsia="zh-CN"/>
              </w:rPr>
              <w:t>开标前</w:t>
            </w:r>
            <w:r>
              <w:rPr>
                <w:rFonts w:hint="eastAsia" w:cs="宋体" w:asciiTheme="minorEastAsia" w:hAnsiTheme="minorEastAsia" w:eastAsiaTheme="minorEastAsia"/>
                <w:color w:val="auto"/>
                <w:szCs w:val="21"/>
                <w:highlight w:val="none"/>
              </w:rPr>
              <w:t>的处置</w:t>
            </w:r>
          </w:p>
        </w:tc>
        <w:tc>
          <w:tcPr>
            <w:tcW w:w="5833" w:type="dxa"/>
            <w:vAlign w:val="center"/>
          </w:tcPr>
          <w:p w14:paraId="33C90459">
            <w:pPr>
              <w:pStyle w:val="299"/>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在第二个信封（报价文件）开标时间前，投标人的第二个信封（报价文件）电子投标文件始终处于加密状态。自第二个信封（报价文件）开标时间起，“</w:t>
            </w:r>
            <w:r>
              <w:rPr>
                <w:rFonts w:hint="eastAsia" w:cs="宋体" w:asciiTheme="minorEastAsia" w:hAnsiTheme="minorEastAsia" w:eastAsiaTheme="minorEastAsia"/>
                <w:color w:val="auto"/>
                <w:szCs w:val="21"/>
                <w:highlight w:val="none"/>
                <w:lang w:eastAsia="zh-CN"/>
              </w:rPr>
              <w:t>电子交易系统</w:t>
            </w:r>
            <w:r>
              <w:rPr>
                <w:rFonts w:hint="eastAsia" w:cs="宋体" w:asciiTheme="minorEastAsia" w:hAnsiTheme="minorEastAsia" w:eastAsiaTheme="minorEastAsia"/>
                <w:color w:val="auto"/>
                <w:szCs w:val="21"/>
                <w:highlight w:val="none"/>
              </w:rPr>
              <w:t>”方可允许招标人开始解密</w:t>
            </w:r>
          </w:p>
        </w:tc>
      </w:tr>
      <w:tr w14:paraId="3C63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8A61617">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5.2.3</w:t>
            </w:r>
          </w:p>
        </w:tc>
        <w:tc>
          <w:tcPr>
            <w:tcW w:w="2145" w:type="dxa"/>
            <w:vAlign w:val="center"/>
          </w:tcPr>
          <w:p w14:paraId="64C6BC22">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第二个信封（报价文件）开标程序</w:t>
            </w:r>
          </w:p>
        </w:tc>
        <w:tc>
          <w:tcPr>
            <w:tcW w:w="5833" w:type="dxa"/>
            <w:vAlign w:val="center"/>
          </w:tcPr>
          <w:p w14:paraId="477FB3D3">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主持人按下列程序对投标文件第二个信封（报价文件）进行</w:t>
            </w:r>
            <w:r>
              <w:rPr>
                <w:rFonts w:hint="eastAsia" w:cs="宋体" w:asciiTheme="minorEastAsia" w:hAnsiTheme="minorEastAsia" w:eastAsiaTheme="minorEastAsia"/>
                <w:color w:val="auto"/>
                <w:szCs w:val="21"/>
                <w:highlight w:val="none"/>
                <w:lang w:val="en-US" w:eastAsia="zh-CN"/>
              </w:rPr>
              <w:t>远程电子</w:t>
            </w:r>
            <w:r>
              <w:rPr>
                <w:rFonts w:hint="eastAsia" w:cs="宋体" w:asciiTheme="minorEastAsia" w:hAnsiTheme="minorEastAsia" w:eastAsiaTheme="minorEastAsia"/>
                <w:color w:val="auto"/>
                <w:szCs w:val="21"/>
                <w:highlight w:val="none"/>
              </w:rPr>
              <w:t>开标：</w:t>
            </w:r>
          </w:p>
          <w:p w14:paraId="496DE17D">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1）宣布开标纪律</w:t>
            </w:r>
            <w:r>
              <w:rPr>
                <w:rFonts w:hint="eastAsia" w:cs="宋体" w:asciiTheme="minorEastAsia" w:hAnsiTheme="minorEastAsia" w:eastAsiaTheme="minorEastAsia"/>
                <w:color w:val="auto"/>
                <w:szCs w:val="21"/>
                <w:highlight w:val="none"/>
                <w:lang w:eastAsia="zh-CN"/>
              </w:rPr>
              <w:t>。</w:t>
            </w:r>
          </w:p>
          <w:p w14:paraId="5994AA00">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2）当众公布投标文件第一个信封（商务及技术文件）评审结果,宣布通过投标文件第一个信封（商务及技术文件）评审的投标人名单</w:t>
            </w:r>
            <w:r>
              <w:rPr>
                <w:rFonts w:hint="eastAsia" w:cs="宋体" w:asciiTheme="minorEastAsia" w:hAnsiTheme="minorEastAsia" w:eastAsiaTheme="minorEastAsia"/>
                <w:color w:val="auto"/>
                <w:szCs w:val="21"/>
                <w:highlight w:val="none"/>
                <w:lang w:eastAsia="zh-CN"/>
              </w:rPr>
              <w:t>。</w:t>
            </w:r>
          </w:p>
          <w:p w14:paraId="654B9600">
            <w:pPr>
              <w:pStyle w:val="299"/>
              <w:adjustRightInd w:val="0"/>
              <w:snapToGrid w:val="0"/>
              <w:spacing w:line="400" w:lineRule="exact"/>
              <w:rPr>
                <w:rFonts w:hint="eastAsia" w:eastAsia="宋体" w:cs="宋体" w:asciiTheme="minorEastAsia" w:hAnsi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3）开标现场</w:t>
            </w:r>
            <w:r>
              <w:rPr>
                <w:rFonts w:hint="eastAsia" w:cs="宋体" w:asciiTheme="minorEastAsia" w:hAnsiTheme="minorEastAsia" w:eastAsiaTheme="minorEastAsia"/>
                <w:color w:val="auto"/>
                <w:szCs w:val="21"/>
                <w:highlight w:val="none"/>
              </w:rPr>
              <w:t>招标人按照招标文件的规定设置评标基准价计算参数。当评标基准价计算涉及随机抽取参数的，均应由</w:t>
            </w:r>
            <w:r>
              <w:rPr>
                <w:rFonts w:cs="宋体" w:asciiTheme="minorEastAsia" w:hAnsiTheme="minorEastAsia" w:eastAsiaTheme="minorEastAsia"/>
                <w:color w:val="auto"/>
                <w:szCs w:val="21"/>
                <w:highlight w:val="none"/>
              </w:rPr>
              <w:t>招标人</w:t>
            </w:r>
            <w:r>
              <w:rPr>
                <w:rFonts w:hint="eastAsia" w:cs="宋体" w:asciiTheme="minorEastAsia" w:hAnsiTheme="minorEastAsia" w:eastAsiaTheme="minorEastAsia"/>
                <w:color w:val="auto"/>
                <w:szCs w:val="21"/>
                <w:highlight w:val="none"/>
              </w:rPr>
              <w:t>或监督人随机抽取，</w:t>
            </w:r>
            <w:r>
              <w:rPr>
                <w:rFonts w:hint="eastAsia" w:ascii="宋体" w:hAnsi="宋体" w:cs="宋体"/>
                <w:color w:val="auto"/>
                <w:szCs w:val="21"/>
                <w:highlight w:val="none"/>
              </w:rPr>
              <w:t>且抽取过程</w:t>
            </w:r>
            <w:r>
              <w:rPr>
                <w:rFonts w:hint="eastAsia" w:cs="宋体" w:asciiTheme="minorEastAsia" w:hAnsiTheme="minorEastAsia" w:eastAsiaTheme="minorEastAsia"/>
                <w:color w:val="auto"/>
                <w:szCs w:val="21"/>
                <w:highlight w:val="none"/>
              </w:rPr>
              <w:t>须</w:t>
            </w:r>
            <w:r>
              <w:rPr>
                <w:rFonts w:hint="eastAsia" w:ascii="宋体" w:hAnsi="宋体" w:cs="宋体"/>
                <w:color w:val="auto"/>
                <w:szCs w:val="21"/>
                <w:highlight w:val="none"/>
              </w:rPr>
              <w:t>经公证机构现场公证</w:t>
            </w:r>
            <w:r>
              <w:rPr>
                <w:rFonts w:hint="eastAsia" w:ascii="宋体" w:hAnsi="宋体" w:cs="宋体"/>
                <w:color w:val="auto"/>
                <w:szCs w:val="21"/>
                <w:highlight w:val="none"/>
                <w:lang w:eastAsia="zh-CN"/>
              </w:rPr>
              <w:t>。</w:t>
            </w:r>
          </w:p>
          <w:p w14:paraId="6BABE0F5">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4）未通过投标文件第一个信封（商务及技术文件）评审的投标人的第二个信封（报价文件）不予二次解密，当场</w:t>
            </w:r>
            <w:r>
              <w:rPr>
                <w:rFonts w:hint="eastAsia" w:cs="宋体" w:asciiTheme="minorEastAsia" w:hAnsiTheme="minorEastAsia" w:eastAsiaTheme="minorEastAsia"/>
                <w:bCs/>
                <w:color w:val="auto"/>
                <w:szCs w:val="21"/>
                <w:highlight w:val="none"/>
              </w:rPr>
              <w:t>“退还”给</w:t>
            </w:r>
            <w:r>
              <w:rPr>
                <w:rFonts w:cs="宋体" w:asciiTheme="minorEastAsia" w:hAnsiTheme="minorEastAsia" w:eastAsiaTheme="minorEastAsia"/>
                <w:bCs/>
                <w:color w:val="auto"/>
                <w:szCs w:val="21"/>
                <w:highlight w:val="none"/>
              </w:rPr>
              <w:t>投标人</w:t>
            </w:r>
            <w:r>
              <w:rPr>
                <w:rFonts w:hint="eastAsia" w:cs="宋体" w:asciiTheme="minorEastAsia" w:hAnsiTheme="minorEastAsia" w:eastAsiaTheme="minorEastAsia"/>
                <w:color w:val="auto"/>
                <w:szCs w:val="21"/>
                <w:highlight w:val="none"/>
                <w:lang w:eastAsia="zh-CN"/>
              </w:rPr>
              <w:t>。</w:t>
            </w:r>
          </w:p>
          <w:p w14:paraId="3B2ABF40">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）招标人使用其单位</w:t>
            </w:r>
            <w:r>
              <w:rPr>
                <w:rFonts w:cs="宋体" w:asciiTheme="minorEastAsia" w:hAnsiTheme="minorEastAsia" w:eastAsiaTheme="minorEastAsia"/>
                <w:color w:val="auto"/>
                <w:szCs w:val="21"/>
                <w:highlight w:val="none"/>
              </w:rPr>
              <w:t>CA数字证书解密投标文件第二个信封（报价文件），</w:t>
            </w:r>
            <w:r>
              <w:rPr>
                <w:rFonts w:hint="eastAsia" w:cs="宋体" w:asciiTheme="minorEastAsia" w:hAnsiTheme="minorEastAsia" w:eastAsiaTheme="minorEastAsia"/>
                <w:color w:val="auto"/>
                <w:szCs w:val="21"/>
                <w:highlight w:val="none"/>
              </w:rPr>
              <w:t>出现本章正文第</w:t>
            </w:r>
            <w:r>
              <w:rPr>
                <w:rFonts w:cs="宋体" w:asciiTheme="minorEastAsia" w:hAnsiTheme="minorEastAsia" w:eastAsiaTheme="minorEastAsia"/>
                <w:color w:val="auto"/>
                <w:szCs w:val="21"/>
                <w:highlight w:val="none"/>
              </w:rPr>
              <w:t>5.3.3</w:t>
            </w:r>
            <w:r>
              <w:rPr>
                <w:rFonts w:hint="eastAsia" w:cs="宋体" w:asciiTheme="minorEastAsia" w:hAnsiTheme="minorEastAsia" w:eastAsiaTheme="minorEastAsia"/>
                <w:color w:val="auto"/>
                <w:szCs w:val="21"/>
                <w:highlight w:val="none"/>
              </w:rPr>
              <w:t>项所列情况以及非投标人原因导致投标人投标文件无法成功解密的，按本须知前附表第</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项（</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）目进行补救。采取补救措施仍未解密的，应对未解密成功的情况记录在案。部分投标文件未解密的，其他投标文件的开标可以继续进行</w:t>
            </w:r>
            <w:r>
              <w:rPr>
                <w:rFonts w:hint="eastAsia" w:cs="宋体" w:asciiTheme="minorEastAsia" w:hAnsiTheme="minorEastAsia" w:eastAsiaTheme="minorEastAsia"/>
                <w:color w:val="auto"/>
                <w:szCs w:val="21"/>
                <w:highlight w:val="none"/>
                <w:lang w:eastAsia="zh-CN"/>
              </w:rPr>
              <w:t>。</w:t>
            </w:r>
          </w:p>
          <w:p w14:paraId="6A096C95">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）导入并读取所有解密成功的投标文件第二个信封（报价文件）的内容</w:t>
            </w:r>
            <w:r>
              <w:rPr>
                <w:rFonts w:hint="eastAsia" w:cs="宋体" w:asciiTheme="minorEastAsia" w:hAnsiTheme="minorEastAsia" w:eastAsiaTheme="minorEastAsia"/>
                <w:color w:val="auto"/>
                <w:szCs w:val="21"/>
                <w:highlight w:val="none"/>
                <w:lang w:eastAsia="zh-CN"/>
              </w:rPr>
              <w:t>。</w:t>
            </w:r>
          </w:p>
          <w:p w14:paraId="6320A28B">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7</w:t>
            </w:r>
            <w:r>
              <w:rPr>
                <w:rFonts w:hint="eastAsia" w:cs="宋体" w:asciiTheme="minorEastAsia" w:hAnsiTheme="minorEastAsia" w:eastAsiaTheme="minorEastAsia"/>
                <w:color w:val="auto"/>
                <w:szCs w:val="21"/>
                <w:highlight w:val="none"/>
              </w:rPr>
              <w:t>）公布标段名称、投标人名称、投标报价及其他内容</w:t>
            </w:r>
            <w:r>
              <w:rPr>
                <w:rFonts w:cs="宋体" w:asciiTheme="minorEastAsia" w:hAnsiTheme="minorEastAsia" w:eastAsiaTheme="minorEastAsia"/>
                <w:color w:val="auto"/>
                <w:szCs w:val="21"/>
                <w:highlight w:val="none"/>
              </w:rPr>
              <w:t>,并记录在案</w:t>
            </w:r>
            <w:r>
              <w:rPr>
                <w:rFonts w:hint="eastAsia" w:cs="宋体" w:asciiTheme="minorEastAsia" w:hAnsiTheme="minorEastAsia" w:eastAsiaTheme="minorEastAsia"/>
                <w:color w:val="auto"/>
                <w:szCs w:val="21"/>
                <w:highlight w:val="none"/>
                <w:lang w:eastAsia="zh-CN"/>
              </w:rPr>
              <w:t>。</w:t>
            </w:r>
          </w:p>
          <w:p w14:paraId="408725C1">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）计算并公布评标基准价（如有）</w:t>
            </w:r>
            <w:r>
              <w:rPr>
                <w:rFonts w:hint="eastAsia" w:cs="宋体" w:asciiTheme="minorEastAsia" w:hAnsiTheme="minorEastAsia" w:eastAsiaTheme="minorEastAsia"/>
                <w:color w:val="auto"/>
                <w:szCs w:val="21"/>
                <w:highlight w:val="none"/>
                <w:lang w:eastAsia="zh-CN"/>
              </w:rPr>
              <w:t>。</w:t>
            </w:r>
          </w:p>
          <w:p w14:paraId="0B21653E">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）投标人代表对开标结果有异议的应</w:t>
            </w:r>
            <w:r>
              <w:rPr>
                <w:rFonts w:cs="宋体" w:asciiTheme="minorEastAsia" w:hAnsiTheme="minorEastAsia" w:eastAsiaTheme="minorEastAsia"/>
                <w:color w:val="auto"/>
                <w:szCs w:val="21"/>
                <w:highlight w:val="none"/>
              </w:rPr>
              <w:t>在“不见面开标大厅”</w:t>
            </w:r>
            <w:r>
              <w:rPr>
                <w:rFonts w:hint="eastAsia" w:cs="宋体" w:asciiTheme="minorEastAsia" w:hAnsiTheme="minorEastAsia" w:eastAsiaTheme="minorEastAsia"/>
                <w:color w:val="auto"/>
                <w:szCs w:val="21"/>
                <w:highlight w:val="none"/>
              </w:rPr>
              <w:t>中的“开标异议提问”栏</w:t>
            </w:r>
            <w:r>
              <w:rPr>
                <w:rFonts w:cs="宋体" w:asciiTheme="minorEastAsia" w:hAnsiTheme="minorEastAsia" w:eastAsiaTheme="minorEastAsia"/>
                <w:color w:val="auto"/>
                <w:szCs w:val="21"/>
                <w:highlight w:val="none"/>
              </w:rPr>
              <w:t>提出</w:t>
            </w:r>
            <w:r>
              <w:rPr>
                <w:rStyle w:val="59"/>
                <w:rFonts w:cs="宋体" w:asciiTheme="minorEastAsia" w:hAnsiTheme="minorEastAsia" w:eastAsiaTheme="minorEastAsia"/>
                <w:color w:val="auto"/>
                <w:szCs w:val="21"/>
                <w:highlight w:val="none"/>
              </w:rPr>
              <w:footnoteReference w:id="48"/>
            </w:r>
            <w:r>
              <w:rPr>
                <w:rFonts w:hint="eastAsia" w:cs="宋体" w:asciiTheme="minorEastAsia" w:hAnsiTheme="minorEastAsia" w:eastAsiaTheme="minorEastAsia"/>
                <w:color w:val="auto"/>
                <w:szCs w:val="21"/>
                <w:highlight w:val="none"/>
              </w:rPr>
              <w:t>，否则视为无异议</w:t>
            </w:r>
            <w:r>
              <w:rPr>
                <w:rFonts w:hint="eastAsia" w:cs="宋体" w:asciiTheme="minorEastAsia" w:hAnsiTheme="minorEastAsia" w:eastAsiaTheme="minorEastAsia"/>
                <w:color w:val="auto"/>
                <w:szCs w:val="21"/>
                <w:highlight w:val="none"/>
                <w:lang w:eastAsia="zh-CN"/>
              </w:rPr>
              <w:t>。</w:t>
            </w:r>
          </w:p>
          <w:p w14:paraId="40EB54A4">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10</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招标人</w:t>
            </w:r>
            <w:r>
              <w:rPr>
                <w:rFonts w:hint="eastAsia" w:cs="宋体" w:asciiTheme="minorEastAsia" w:hAnsiTheme="minorEastAsia" w:eastAsiaTheme="minorEastAsia"/>
                <w:color w:val="auto"/>
                <w:szCs w:val="21"/>
                <w:highlight w:val="none"/>
              </w:rPr>
              <w:t>对</w:t>
            </w:r>
            <w:r>
              <w:rPr>
                <w:rFonts w:cs="宋体" w:asciiTheme="minorEastAsia" w:hAnsiTheme="minorEastAsia" w:eastAsiaTheme="minorEastAsia"/>
                <w:color w:val="auto"/>
                <w:szCs w:val="21"/>
                <w:highlight w:val="none"/>
              </w:rPr>
              <w:t>开标记录</w:t>
            </w:r>
            <w:r>
              <w:rPr>
                <w:rFonts w:hint="eastAsia" w:cs="宋体" w:asciiTheme="minorEastAsia" w:hAnsiTheme="minorEastAsia" w:eastAsiaTheme="minorEastAsia"/>
                <w:color w:val="auto"/>
                <w:szCs w:val="21"/>
                <w:highlight w:val="none"/>
              </w:rPr>
              <w:t>进行</w:t>
            </w:r>
            <w:r>
              <w:rPr>
                <w:rFonts w:hint="eastAsia" w:cs="宋体" w:asciiTheme="minorEastAsia" w:hAnsiTheme="minorEastAsia" w:eastAsiaTheme="minorEastAsia"/>
                <w:color w:val="auto"/>
                <w:szCs w:val="21"/>
                <w:highlight w:val="none"/>
                <w:lang w:val="en-US" w:eastAsia="zh-CN"/>
              </w:rPr>
              <w:t>签章</w:t>
            </w:r>
            <w:r>
              <w:rPr>
                <w:rFonts w:cs="宋体" w:asciiTheme="minorEastAsia" w:hAnsiTheme="minorEastAsia" w:eastAsiaTheme="minorEastAsia"/>
                <w:color w:val="auto"/>
                <w:szCs w:val="21"/>
                <w:highlight w:val="none"/>
              </w:rPr>
              <w:t>确认</w:t>
            </w:r>
            <w:r>
              <w:rPr>
                <w:rFonts w:hint="eastAsia" w:cs="宋体" w:asciiTheme="minorEastAsia" w:hAnsiTheme="minorEastAsia" w:eastAsiaTheme="minorEastAsia"/>
                <w:color w:val="auto"/>
                <w:szCs w:val="21"/>
                <w:highlight w:val="none"/>
                <w:lang w:eastAsia="zh-CN"/>
              </w:rPr>
              <w:t>。</w:t>
            </w:r>
          </w:p>
          <w:p w14:paraId="2AC71D61">
            <w:pPr>
              <w:pStyle w:val="299"/>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开标结束</w:t>
            </w:r>
          </w:p>
        </w:tc>
      </w:tr>
      <w:tr w14:paraId="5C00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9EA9D08">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5.2.4</w:t>
            </w:r>
          </w:p>
        </w:tc>
        <w:tc>
          <w:tcPr>
            <w:tcW w:w="2145" w:type="dxa"/>
            <w:vAlign w:val="center"/>
          </w:tcPr>
          <w:p w14:paraId="368C1E29">
            <w:pPr>
              <w:adjustRightInd w:val="0"/>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不参加评标基准价</w:t>
            </w:r>
          </w:p>
          <w:p w14:paraId="26D083D8">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计算的情形</w:t>
            </w:r>
          </w:p>
        </w:tc>
        <w:tc>
          <w:tcPr>
            <w:tcW w:w="5833" w:type="dxa"/>
            <w:vAlign w:val="center"/>
          </w:tcPr>
          <w:p w14:paraId="4BBD7C57">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见第三章 “评标办法”</w:t>
            </w:r>
          </w:p>
        </w:tc>
      </w:tr>
      <w:tr w14:paraId="3539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F51952A">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5.3.1</w:t>
            </w:r>
          </w:p>
        </w:tc>
        <w:tc>
          <w:tcPr>
            <w:tcW w:w="2145" w:type="dxa"/>
            <w:vAlign w:val="center"/>
          </w:tcPr>
          <w:p w14:paraId="559DC549">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补救措施</w:t>
            </w:r>
          </w:p>
        </w:tc>
        <w:tc>
          <w:tcPr>
            <w:tcW w:w="5833" w:type="dxa"/>
            <w:vAlign w:val="center"/>
          </w:tcPr>
          <w:p w14:paraId="7DD334B6">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1）出现本章正文第5.3.2项所列原因的补救措施：</w:t>
            </w:r>
          </w:p>
          <w:p w14:paraId="08528A76">
            <w:pPr>
              <w:pStyle w:val="299"/>
              <w:adjustRightInd w:val="0"/>
              <w:snapToGrid w:val="0"/>
              <w:spacing w:line="400" w:lineRule="exact"/>
              <w:ind w:firstLine="210" w:firstLineChars="1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招标人在收到投标人递交的投标截止时间止“电子交易系统”自动生成的上传失败异常记录单后，按投标人撤回投标文件的情形处理，并在收到异常记录单之日起</w:t>
            </w:r>
            <w:r>
              <w:rPr>
                <w:rFonts w:cs="宋体" w:asciiTheme="minorEastAsia" w:hAnsiTheme="minorEastAsia" w:eastAsiaTheme="minorEastAsia"/>
                <w:color w:val="auto"/>
                <w:szCs w:val="21"/>
                <w:highlight w:val="none"/>
              </w:rPr>
              <w:t>5日内退还已收取的投标保证金</w:t>
            </w:r>
            <w:r>
              <w:rPr>
                <w:rFonts w:hint="eastAsia" w:cs="宋体" w:asciiTheme="minorEastAsia" w:hAnsiTheme="minorEastAsia" w:eastAsiaTheme="minorEastAsia"/>
                <w:color w:val="auto"/>
                <w:szCs w:val="21"/>
                <w:highlight w:val="none"/>
                <w:lang w:eastAsia="zh-CN"/>
              </w:rPr>
              <w:t>。</w:t>
            </w:r>
          </w:p>
          <w:p w14:paraId="7DB2474D">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2）出现本章正文第5.3.3项所列</w:t>
            </w:r>
            <w:r>
              <w:rPr>
                <w:rFonts w:hint="eastAsia" w:cs="宋体" w:asciiTheme="minorEastAsia" w:hAnsiTheme="minorEastAsia" w:eastAsiaTheme="minorEastAsia"/>
                <w:color w:val="auto"/>
                <w:szCs w:val="21"/>
                <w:highlight w:val="none"/>
              </w:rPr>
              <w:t>情况以及招标人原因导致系统无法正常运行和证明非投标人原因导致投标人现场无法解密</w:t>
            </w:r>
            <w:r>
              <w:rPr>
                <w:rFonts w:cs="宋体" w:asciiTheme="minorEastAsia" w:hAnsiTheme="minorEastAsia" w:eastAsiaTheme="minorEastAsia"/>
                <w:color w:val="auto"/>
                <w:szCs w:val="21"/>
                <w:highlight w:val="none"/>
              </w:rPr>
              <w:t>的补救措施：</w:t>
            </w:r>
          </w:p>
          <w:p w14:paraId="24EC4AC9">
            <w:pPr>
              <w:adjustRightInd w:val="0"/>
              <w:snapToGrid w:val="0"/>
              <w:spacing w:line="400" w:lineRule="exact"/>
              <w:ind w:firstLine="210" w:firstLineChars="1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应对未开标的中止电子开标，并在恢复正常后及时安排时间开标。同时采取补救措施时，必须对原有资料及信息作出妥善保密处理</w:t>
            </w:r>
            <w:r>
              <w:rPr>
                <w:rFonts w:hint="eastAsia" w:cs="宋体" w:asciiTheme="minorEastAsia" w:hAnsiTheme="minorEastAsia" w:eastAsiaTheme="minorEastAsia"/>
                <w:color w:val="auto"/>
                <w:szCs w:val="21"/>
                <w:highlight w:val="none"/>
                <w:lang w:eastAsia="zh-CN"/>
              </w:rPr>
              <w:t>。</w:t>
            </w:r>
          </w:p>
          <w:p w14:paraId="34CE2FF8">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lang w:val="en-US" w:eastAsia="zh-CN"/>
              </w:rPr>
              <w:t>其他</w:t>
            </w:r>
            <w:r>
              <w:rPr>
                <w:rFonts w:hint="eastAsia" w:cs="宋体" w:asciiTheme="minorEastAsia" w:hAnsiTheme="minorEastAsia" w:eastAsiaTheme="minorEastAsia"/>
                <w:color w:val="auto"/>
                <w:szCs w:val="21"/>
                <w:highlight w:val="none"/>
              </w:rPr>
              <w:t>补救措施：</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rPr>
              <w:t xml:space="preserve"> </w:t>
            </w:r>
          </w:p>
        </w:tc>
      </w:tr>
      <w:tr w14:paraId="7418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87771CB">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5.4</w:t>
            </w:r>
          </w:p>
        </w:tc>
        <w:tc>
          <w:tcPr>
            <w:tcW w:w="2145" w:type="dxa"/>
            <w:vAlign w:val="center"/>
          </w:tcPr>
          <w:p w14:paraId="02BC9878">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开标异议</w:t>
            </w:r>
          </w:p>
        </w:tc>
        <w:tc>
          <w:tcPr>
            <w:tcW w:w="5833" w:type="dxa"/>
            <w:vAlign w:val="center"/>
          </w:tcPr>
          <w:p w14:paraId="00407499">
            <w:pPr>
              <w:ind w:firstLine="0" w:firstLineChars="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w:t>
            </w:r>
            <w:r>
              <w:rPr>
                <w:rFonts w:hint="eastAsia" w:cs="宋体" w:asciiTheme="minorEastAsia" w:hAnsiTheme="minorEastAsia" w:eastAsiaTheme="minorEastAsia"/>
                <w:color w:val="auto"/>
                <w:szCs w:val="21"/>
                <w:highlight w:val="none"/>
                <w:lang w:val="en-US" w:eastAsia="zh-CN"/>
              </w:rPr>
              <w:t>款</w:t>
            </w:r>
            <w:r>
              <w:rPr>
                <w:rFonts w:hint="eastAsia" w:cs="宋体" w:asciiTheme="minorEastAsia" w:hAnsiTheme="minorEastAsia" w:eastAsiaTheme="minorEastAsia"/>
                <w:color w:val="auto"/>
                <w:szCs w:val="21"/>
                <w:highlight w:val="none"/>
              </w:rPr>
              <w:t>补充</w:t>
            </w:r>
            <w:r>
              <w:rPr>
                <w:rFonts w:cs="宋体" w:asciiTheme="minorEastAsia" w:hAnsiTheme="minorEastAsia" w:eastAsiaTheme="minorEastAsia"/>
                <w:color w:val="auto"/>
                <w:szCs w:val="21"/>
                <w:highlight w:val="none"/>
              </w:rPr>
              <w:t>：</w:t>
            </w:r>
          </w:p>
          <w:p w14:paraId="29DAA092">
            <w:pPr>
              <w:adjustRightInd w:val="0"/>
              <w:snapToGrid w:val="0"/>
              <w:spacing w:line="400" w:lineRule="exact"/>
              <w:ind w:firstLine="210" w:firstLineChars="100"/>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投标人对开标如有异议，应在</w:t>
            </w:r>
            <w:r>
              <w:rPr>
                <w:rFonts w:cs="宋体" w:asciiTheme="minorEastAsia" w:hAnsiTheme="minorEastAsia" w:eastAsiaTheme="minorEastAsia"/>
                <w:color w:val="auto"/>
                <w:szCs w:val="21"/>
                <w:highlight w:val="none"/>
              </w:rPr>
              <w:t>“不见面开标大厅”中的</w:t>
            </w:r>
            <w:r>
              <w:rPr>
                <w:rFonts w:hint="eastAsia" w:cs="宋体" w:asciiTheme="minorEastAsia" w:hAnsiTheme="minorEastAsia" w:eastAsiaTheme="minorEastAsia"/>
                <w:color w:val="auto"/>
                <w:szCs w:val="21"/>
                <w:highlight w:val="none"/>
              </w:rPr>
              <w:t>“开标异议提问”栏</w:t>
            </w:r>
            <w:r>
              <w:rPr>
                <w:rFonts w:cs="宋体" w:asciiTheme="minorEastAsia" w:hAnsiTheme="minorEastAsia" w:eastAsiaTheme="minorEastAsia"/>
                <w:color w:val="auto"/>
                <w:szCs w:val="21"/>
                <w:highlight w:val="none"/>
              </w:rPr>
              <w:t>提出</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rPr>
              <w:t>招标人应在“异议回复”栏当场作出答复</w:t>
            </w:r>
          </w:p>
        </w:tc>
      </w:tr>
      <w:tr w14:paraId="23C9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1" w:type="dxa"/>
            <w:vAlign w:val="center"/>
          </w:tcPr>
          <w:p w14:paraId="64F60862">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6.1.1</w:t>
            </w:r>
          </w:p>
        </w:tc>
        <w:tc>
          <w:tcPr>
            <w:tcW w:w="2145" w:type="dxa"/>
            <w:vAlign w:val="center"/>
          </w:tcPr>
          <w:p w14:paraId="12090A96">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w:t>
            </w:r>
          </w:p>
          <w:p w14:paraId="02593FEA">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的组建</w:t>
            </w:r>
            <w:r>
              <w:rPr>
                <w:rStyle w:val="59"/>
                <w:rFonts w:asciiTheme="minorEastAsia" w:hAnsiTheme="minorEastAsia" w:eastAsiaTheme="minorEastAsia"/>
                <w:color w:val="auto"/>
                <w:szCs w:val="21"/>
                <w:highlight w:val="none"/>
              </w:rPr>
              <w:footnoteReference w:id="49"/>
            </w:r>
          </w:p>
        </w:tc>
        <w:tc>
          <w:tcPr>
            <w:tcW w:w="5833" w:type="dxa"/>
            <w:vAlign w:val="center"/>
          </w:tcPr>
          <w:p w14:paraId="2A39F56B">
            <w:pPr>
              <w:pStyle w:val="256"/>
              <w:tabs>
                <w:tab w:val="left" w:pos="1573"/>
                <w:tab w:val="left" w:pos="2145"/>
              </w:tabs>
              <w:adjustRightInd w:val="0"/>
              <w:snapToGrid w:val="0"/>
              <w:spacing w:line="400" w:lineRule="exact"/>
              <w:ind w:left="105" w:hanging="105" w:hangingChars="50"/>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评标委员会构成：</w:t>
            </w:r>
            <w:r>
              <w:rPr>
                <w:rFonts w:cs="Times New Roman" w:asciiTheme="minorEastAsia" w:hAnsiTheme="minorEastAsia" w:eastAsiaTheme="minorEastAsia"/>
                <w:color w:val="auto"/>
                <w:szCs w:val="21"/>
                <w:highlight w:val="none"/>
                <w:u w:val="single"/>
              </w:rPr>
              <w:t xml:space="preserve">  </w:t>
            </w:r>
            <w:r>
              <w:rPr>
                <w:rFonts w:hint="eastAsia" w:cs="Times New Roman" w:asciiTheme="minorEastAsia" w:hAnsiTheme="minorEastAsia" w:eastAsiaTheme="minorEastAsia"/>
                <w:color w:val="auto"/>
                <w:szCs w:val="21"/>
                <w:highlight w:val="none"/>
              </w:rPr>
              <w:t>人，其中招标人代表：</w:t>
            </w:r>
            <w:r>
              <w:rPr>
                <w:rFonts w:cs="Times New Roman" w:asciiTheme="minorEastAsia" w:hAnsiTheme="minorEastAsia" w:eastAsiaTheme="minorEastAsia"/>
                <w:color w:val="auto"/>
                <w:szCs w:val="21"/>
                <w:highlight w:val="none"/>
                <w:u w:val="single"/>
              </w:rPr>
              <w:t xml:space="preserve">  </w:t>
            </w:r>
            <w:r>
              <w:rPr>
                <w:rFonts w:hint="eastAsia" w:cs="Times New Roman" w:asciiTheme="minorEastAsia" w:hAnsiTheme="minorEastAsia" w:eastAsiaTheme="minorEastAsia"/>
                <w:color w:val="auto"/>
                <w:szCs w:val="21"/>
                <w:highlight w:val="none"/>
              </w:rPr>
              <w:t>人，专家：</w:t>
            </w:r>
            <w:r>
              <w:rPr>
                <w:rFonts w:cs="Times New Roman" w:asciiTheme="minorEastAsia" w:hAnsiTheme="minorEastAsia" w:eastAsiaTheme="minorEastAsia"/>
                <w:color w:val="auto"/>
                <w:szCs w:val="21"/>
                <w:highlight w:val="none"/>
                <w:u w:val="single"/>
              </w:rPr>
              <w:t xml:space="preserve">  </w:t>
            </w:r>
            <w:r>
              <w:rPr>
                <w:rFonts w:hint="eastAsia" w:cs="Times New Roman" w:asciiTheme="minorEastAsia" w:hAnsiTheme="minorEastAsia" w:eastAsiaTheme="minorEastAsia"/>
                <w:color w:val="auto"/>
                <w:szCs w:val="21"/>
                <w:highlight w:val="none"/>
              </w:rPr>
              <w:t>人</w:t>
            </w:r>
          </w:p>
          <w:p w14:paraId="18A1C282">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评标专家确定方式：</w:t>
            </w:r>
          </w:p>
          <w:p w14:paraId="6C044F7A">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lang w:val="en-US" w:eastAsia="zh-CN"/>
              </w:rPr>
              <w:t xml:space="preserve"> </w:t>
            </w:r>
            <w:r>
              <w:rPr>
                <w:rFonts w:hint="eastAsia" w:cs="宋体" w:asciiTheme="minorEastAsia" w:hAnsiTheme="minorEastAsia" w:eastAsiaTheme="minorEastAsia"/>
                <w:color w:val="auto"/>
                <w:szCs w:val="21"/>
                <w:highlight w:val="none"/>
              </w:rPr>
              <w:t>从国家重点公路工程</w:t>
            </w:r>
            <w:r>
              <w:rPr>
                <w:rFonts w:hint="eastAsia" w:asciiTheme="minorEastAsia" w:hAnsiTheme="minorEastAsia" w:eastAsiaTheme="minorEastAsia"/>
                <w:color w:val="auto"/>
                <w:szCs w:val="21"/>
                <w:highlight w:val="none"/>
              </w:rPr>
              <w:t>建设</w:t>
            </w:r>
            <w:r>
              <w:rPr>
                <w:rFonts w:hint="eastAsia" w:cs="宋体" w:asciiTheme="minorEastAsia" w:hAnsiTheme="minorEastAsia" w:eastAsiaTheme="minorEastAsia"/>
                <w:color w:val="auto"/>
                <w:szCs w:val="21"/>
                <w:highlight w:val="none"/>
              </w:rPr>
              <w:t>项目</w:t>
            </w:r>
            <w:r>
              <w:rPr>
                <w:rFonts w:hint="eastAsia" w:asciiTheme="minorEastAsia" w:hAnsiTheme="minorEastAsia" w:eastAsiaTheme="minorEastAsia"/>
                <w:color w:val="auto"/>
                <w:szCs w:val="21"/>
                <w:highlight w:val="none"/>
              </w:rPr>
              <w:t>评标专家库中随机抽取</w:t>
            </w:r>
          </w:p>
          <w:p w14:paraId="34AB9D02">
            <w:pPr>
              <w:adjustRightInd w:val="0"/>
              <w:snapToGrid w:val="0"/>
              <w:spacing w:line="400" w:lineRule="exact"/>
              <w:ind w:firstLine="211" w:firstLineChars="10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lang w:val="en-US" w:eastAsia="zh-CN"/>
              </w:rPr>
              <w:t xml:space="preserve"> </w:t>
            </w:r>
            <w:r>
              <w:rPr>
                <w:rFonts w:hint="eastAsia" w:asciiTheme="minorEastAsia" w:hAnsiTheme="minorEastAsia" w:eastAsiaTheme="minorEastAsia"/>
                <w:color w:val="auto"/>
                <w:szCs w:val="21"/>
                <w:highlight w:val="none"/>
              </w:rPr>
              <w:t>从四川省综合评标专家库中随机抽取</w:t>
            </w:r>
          </w:p>
          <w:p w14:paraId="2A29DC24">
            <w:pPr>
              <w:adjustRightInd w:val="0"/>
              <w:snapToGrid w:val="0"/>
              <w:spacing w:line="400" w:lineRule="exact"/>
              <w:ind w:firstLine="211" w:firstLineChars="1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bCs/>
                <w:color w:val="auto"/>
                <w:szCs w:val="21"/>
                <w:highlight w:val="none"/>
              </w:rPr>
              <w:t>□</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由招标人直接确定</w:t>
            </w:r>
            <w:r>
              <w:rPr>
                <w:rStyle w:val="59"/>
                <w:rFonts w:asciiTheme="minorEastAsia" w:hAnsiTheme="minorEastAsia" w:eastAsiaTheme="minorEastAsia"/>
                <w:color w:val="auto"/>
                <w:szCs w:val="21"/>
                <w:highlight w:val="none"/>
              </w:rPr>
              <w:footnoteReference w:id="50"/>
            </w:r>
          </w:p>
        </w:tc>
      </w:tr>
      <w:tr w14:paraId="65C7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7D9D2EF">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6.3.2</w:t>
            </w:r>
          </w:p>
        </w:tc>
        <w:tc>
          <w:tcPr>
            <w:tcW w:w="2145" w:type="dxa"/>
            <w:vAlign w:val="center"/>
          </w:tcPr>
          <w:p w14:paraId="749443E6">
            <w:pPr>
              <w:adjustRightInd w:val="0"/>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评标委员会推荐</w:t>
            </w:r>
          </w:p>
          <w:p w14:paraId="2BA39385">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中标候选人的</w:t>
            </w:r>
            <w:r>
              <w:rPr>
                <w:rFonts w:hint="eastAsia" w:cs="宋体" w:asciiTheme="minorEastAsia" w:hAnsiTheme="minorEastAsia" w:eastAsiaTheme="minorEastAsia"/>
                <w:color w:val="auto"/>
                <w:szCs w:val="21"/>
                <w:highlight w:val="none"/>
                <w:lang w:val="en-US" w:eastAsia="zh-CN"/>
              </w:rPr>
              <w:t>人数</w:t>
            </w:r>
          </w:p>
        </w:tc>
        <w:tc>
          <w:tcPr>
            <w:tcW w:w="5833" w:type="dxa"/>
            <w:vAlign w:val="center"/>
          </w:tcPr>
          <w:p w14:paraId="1737568A">
            <w:pPr>
              <w:adjustRightInd w:val="0"/>
              <w:snapToGrid w:val="0"/>
              <w:spacing w:line="400" w:lineRule="exact"/>
              <w:ind w:firstLine="0" w:firstLineChars="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评标委员会推荐中标候选人的</w:t>
            </w:r>
            <w:r>
              <w:rPr>
                <w:rFonts w:hint="eastAsia" w:cs="宋体" w:asciiTheme="minorEastAsia" w:hAnsiTheme="minorEastAsia" w:eastAsiaTheme="minorEastAsia"/>
                <w:color w:val="auto"/>
                <w:szCs w:val="21"/>
                <w:highlight w:val="none"/>
                <w:lang w:val="en-US" w:eastAsia="zh-CN"/>
              </w:rPr>
              <w:t>人数</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3名（若不足3名，则按相应数量推荐）</w:t>
            </w:r>
          </w:p>
          <w:p w14:paraId="725A1113">
            <w:pPr>
              <w:adjustRightInd w:val="0"/>
              <w:snapToGrid w:val="0"/>
              <w:spacing w:line="400" w:lineRule="exact"/>
              <w:ind w:firstLine="0" w:firstLineChars="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评标报告的形式：</w:t>
            </w:r>
          </w:p>
          <w:p w14:paraId="1B4D2A0E">
            <w:pPr>
              <w:adjustRightInd w:val="0"/>
              <w:snapToGrid w:val="0"/>
              <w:spacing w:line="400" w:lineRule="exact"/>
              <w:ind w:firstLine="211" w:firstLineChars="10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sym w:font="Wingdings 2" w:char="00A3"/>
            </w:r>
            <w:r>
              <w:rPr>
                <w:rFonts w:cs="宋体" w:asciiTheme="minorEastAsia" w:hAnsiTheme="minorEastAsia" w:eastAsiaTheme="minorEastAsia"/>
                <w:b/>
                <w:bCs/>
                <w:color w:val="auto"/>
                <w:szCs w:val="21"/>
                <w:highlight w:val="none"/>
              </w:rPr>
              <w:t xml:space="preserve"> </w:t>
            </w:r>
            <w:r>
              <w:rPr>
                <w:rFonts w:hint="eastAsia" w:cs="宋体" w:asciiTheme="minorEastAsia" w:hAnsiTheme="minorEastAsia" w:eastAsiaTheme="minorEastAsia"/>
                <w:color w:val="auto"/>
                <w:szCs w:val="21"/>
                <w:highlight w:val="none"/>
              </w:rPr>
              <w:t>书面形式</w:t>
            </w:r>
          </w:p>
          <w:p w14:paraId="512D02E5">
            <w:pPr>
              <w:adjustRightInd/>
              <w:snapToGrid/>
              <w:spacing w:line="400" w:lineRule="exact"/>
              <w:ind w:firstLine="211" w:firstLineChars="1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bCs/>
                <w:color w:val="auto"/>
                <w:szCs w:val="21"/>
                <w:highlight w:val="none"/>
              </w:rPr>
              <w:sym w:font="Wingdings 2" w:char="00A3"/>
            </w:r>
            <w:r>
              <w:rPr>
                <w:rFonts w:cs="宋体" w:asciiTheme="minorEastAsia" w:hAnsiTheme="minorEastAsia" w:eastAsiaTheme="minorEastAsia"/>
                <w:b/>
                <w:bCs/>
                <w:color w:val="auto"/>
                <w:szCs w:val="21"/>
                <w:highlight w:val="none"/>
              </w:rPr>
              <w:t xml:space="preserve"> </w:t>
            </w:r>
            <w:r>
              <w:rPr>
                <w:rFonts w:hint="eastAsia" w:cs="宋体" w:asciiTheme="minorEastAsia" w:hAnsiTheme="minorEastAsia" w:eastAsiaTheme="minorEastAsia"/>
                <w:color w:val="auto"/>
                <w:szCs w:val="21"/>
                <w:highlight w:val="none"/>
              </w:rPr>
              <w:t>电子形式：通过“</w:t>
            </w:r>
            <w:r>
              <w:rPr>
                <w:rFonts w:hint="eastAsia" w:cs="宋体" w:asciiTheme="minorEastAsia" w:hAnsiTheme="minorEastAsia" w:eastAsiaTheme="minorEastAsia"/>
                <w:color w:val="auto"/>
                <w:szCs w:val="21"/>
                <w:highlight w:val="none"/>
                <w:lang w:eastAsia="zh-CN"/>
              </w:rPr>
              <w:t>电子交易系统</w:t>
            </w:r>
            <w:r>
              <w:rPr>
                <w:rFonts w:hint="eastAsia" w:cs="宋体" w:asciiTheme="minorEastAsia" w:hAnsiTheme="minorEastAsia" w:eastAsiaTheme="minorEastAsia"/>
                <w:color w:val="auto"/>
                <w:szCs w:val="21"/>
                <w:highlight w:val="none"/>
              </w:rPr>
              <w:t>”以数据电文形式</w:t>
            </w:r>
            <w:r>
              <w:rPr>
                <w:rFonts w:hint="eastAsia" w:cs="宋体" w:asciiTheme="minorEastAsia" w:hAnsiTheme="minorEastAsia" w:eastAsiaTheme="minorEastAsia"/>
                <w:color w:val="auto"/>
                <w:szCs w:val="21"/>
                <w:highlight w:val="none"/>
                <w:lang w:val="en-US" w:eastAsia="zh-CN"/>
              </w:rPr>
              <w:t>发出</w:t>
            </w:r>
          </w:p>
        </w:tc>
      </w:tr>
      <w:tr w14:paraId="51F7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A618107">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7.1</w:t>
            </w:r>
          </w:p>
        </w:tc>
        <w:tc>
          <w:tcPr>
            <w:tcW w:w="2145" w:type="dxa"/>
            <w:vAlign w:val="center"/>
          </w:tcPr>
          <w:p w14:paraId="66C5E65C">
            <w:pPr>
              <w:adjustRightInd w:val="0"/>
              <w:snapToGrid w:val="0"/>
              <w:spacing w:line="40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中标候选人</w:t>
            </w:r>
          </w:p>
          <w:p w14:paraId="4E0C5451">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公示媒介及期限</w:t>
            </w:r>
          </w:p>
        </w:tc>
        <w:tc>
          <w:tcPr>
            <w:tcW w:w="5833" w:type="dxa"/>
            <w:vAlign w:val="center"/>
          </w:tcPr>
          <w:p w14:paraId="5C1A06C8">
            <w:pPr>
              <w:pStyle w:val="299"/>
              <w:adjustRightInd w:val="0"/>
              <w:snapToGrid w:val="0"/>
              <w:spacing w:line="4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公示媒介：</w:t>
            </w:r>
            <w:r>
              <w:rPr>
                <w:rFonts w:hint="eastAsia" w:asciiTheme="minorEastAsia" w:hAnsiTheme="minorEastAsia" w:eastAsiaTheme="minorEastAsia"/>
                <w:color w:val="auto"/>
                <w:szCs w:val="21"/>
                <w:highlight w:val="none"/>
                <w:lang w:val="en-US" w:eastAsia="zh-CN"/>
              </w:rPr>
              <w:t>见</w:t>
            </w:r>
            <w:r>
              <w:rPr>
                <w:rFonts w:hint="eastAsia" w:asciiTheme="minorEastAsia" w:hAnsiTheme="minorEastAsia" w:eastAsiaTheme="minorEastAsia"/>
                <w:color w:val="auto"/>
                <w:szCs w:val="21"/>
                <w:highlight w:val="none"/>
              </w:rPr>
              <w:t>招标公告</w:t>
            </w:r>
          </w:p>
          <w:p w14:paraId="68350660">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公示期限：</w:t>
            </w:r>
            <w:r>
              <w:rPr>
                <w:rFonts w:hint="eastAsia" w:cs="宋体" w:asciiTheme="minorEastAsia" w:hAnsiTheme="minorEastAsia" w:eastAsiaTheme="minorEastAsia"/>
                <w:b w:val="0"/>
                <w:bCs/>
                <w:color w:val="auto"/>
                <w:szCs w:val="21"/>
                <w:highlight w:val="none"/>
                <w:lang w:val="en-US" w:eastAsia="zh-CN"/>
              </w:rPr>
              <w:t>见</w:t>
            </w:r>
            <w:r>
              <w:rPr>
                <w:rFonts w:hint="eastAsia" w:asciiTheme="minorEastAsia" w:hAnsiTheme="minorEastAsia" w:eastAsiaTheme="minorEastAsia"/>
                <w:color w:val="auto"/>
                <w:szCs w:val="21"/>
                <w:highlight w:val="none"/>
              </w:rPr>
              <w:t>招标公告</w:t>
            </w:r>
          </w:p>
          <w:p w14:paraId="47DD6D14">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公示的其他内容：□</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开标记录</w:t>
            </w:r>
          </w:p>
          <w:p w14:paraId="060476CA">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p>
        </w:tc>
      </w:tr>
      <w:tr w14:paraId="3A5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E18F597">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7.2</w:t>
            </w:r>
          </w:p>
        </w:tc>
        <w:tc>
          <w:tcPr>
            <w:tcW w:w="2145" w:type="dxa"/>
            <w:vAlign w:val="center"/>
          </w:tcPr>
          <w:p w14:paraId="706AD2FC">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评标结果异议</w:t>
            </w:r>
          </w:p>
        </w:tc>
        <w:tc>
          <w:tcPr>
            <w:tcW w:w="5833" w:type="dxa"/>
            <w:vAlign w:val="center"/>
          </w:tcPr>
          <w:p w14:paraId="7C763F30">
            <w:pPr>
              <w:adjustRightInd w:val="0"/>
              <w:snapToGrid w:val="0"/>
              <w:spacing w:line="40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本款补充：</w:t>
            </w:r>
          </w:p>
          <w:p w14:paraId="6FAC133E">
            <w:pPr>
              <w:adjustRightInd w:val="0"/>
              <w:snapToGrid w:val="0"/>
              <w:spacing w:line="400" w:lineRule="exact"/>
              <w:ind w:firstLine="210" w:firstLineChars="100"/>
              <w:rPr>
                <w:rFonts w:hint="eastAsia" w:eastAsia="宋体" w:cs="Times New Roman" w:asciiTheme="minorEastAsia" w:hAnsiTheme="minorEastAsia"/>
                <w:color w:val="auto"/>
                <w:kern w:val="2"/>
                <w:sz w:val="21"/>
                <w:szCs w:val="21"/>
                <w:highlight w:val="none"/>
                <w:lang w:val="en-US" w:eastAsia="zh-CN" w:bidi="ar-SA"/>
              </w:rPr>
            </w:pPr>
            <w:r>
              <w:rPr>
                <w:rFonts w:hint="eastAsia" w:ascii="宋体" w:hAnsi="宋体" w:cs="宋体"/>
                <w:snapToGrid w:val="0"/>
                <w:color w:val="auto"/>
                <w:kern w:val="0"/>
                <w:highlight w:val="none"/>
              </w:rPr>
              <w:t>投标人提出异议可通过“电子交易系统”在“澄清与异议”菜单中进行，也可采用符合本须知前附表第8.5.2项要求的书面方式进行</w:t>
            </w:r>
          </w:p>
        </w:tc>
      </w:tr>
      <w:tr w14:paraId="26F0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CFAE697">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7.4</w:t>
            </w:r>
          </w:p>
        </w:tc>
        <w:tc>
          <w:tcPr>
            <w:tcW w:w="2145" w:type="dxa"/>
            <w:vAlign w:val="center"/>
          </w:tcPr>
          <w:p w14:paraId="3EB08BF3">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是否授权评标委员会确定中标人</w:t>
            </w:r>
          </w:p>
        </w:tc>
        <w:tc>
          <w:tcPr>
            <w:tcW w:w="5833" w:type="dxa"/>
            <w:vAlign w:val="center"/>
          </w:tcPr>
          <w:p w14:paraId="50F556E4">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是</w:t>
            </w:r>
          </w:p>
          <w:p w14:paraId="4F32E8A2">
            <w:pPr>
              <w:pStyle w:val="299"/>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否</w:t>
            </w:r>
          </w:p>
          <w:p w14:paraId="60126C9D">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1）招标人将依据评标委员会推荐的中标候选人，确定中标人</w:t>
            </w:r>
            <w:r>
              <w:rPr>
                <w:rFonts w:hint="eastAsia" w:asciiTheme="minorEastAsia" w:hAnsiTheme="minorEastAsia" w:eastAsiaTheme="minorEastAsia"/>
                <w:color w:val="auto"/>
                <w:szCs w:val="21"/>
                <w:highlight w:val="none"/>
                <w:lang w:eastAsia="zh-CN"/>
              </w:rPr>
              <w:t>。</w:t>
            </w:r>
          </w:p>
          <w:p w14:paraId="0BBFE44E">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宋体" w:hAnsi="宋体" w:cs="等线"/>
                <w:color w:val="auto"/>
                <w:szCs w:val="21"/>
                <w:highlight w:val="none"/>
              </w:rPr>
              <w:t>国有</w:t>
            </w:r>
            <w:r>
              <w:rPr>
                <w:rFonts w:ascii="宋体" w:hAnsi="宋体" w:cs="等线"/>
                <w:color w:val="auto"/>
                <w:szCs w:val="21"/>
                <w:highlight w:val="none"/>
              </w:rPr>
              <w:t>资金占控股或者主导地位的依法必须招标的项目</w:t>
            </w:r>
            <w:r>
              <w:rPr>
                <w:rFonts w:hint="eastAsia" w:ascii="宋体" w:hAnsi="宋体" w:cs="等线"/>
                <w:color w:val="auto"/>
                <w:szCs w:val="21"/>
                <w:highlight w:val="none"/>
              </w:rPr>
              <w:t>，</w:t>
            </w:r>
            <w:r>
              <w:rPr>
                <w:rFonts w:ascii="宋体" w:hAnsi="宋体" w:cs="等线"/>
                <w:color w:val="auto"/>
                <w:szCs w:val="21"/>
                <w:highlight w:val="none"/>
              </w:rPr>
              <w:t>招标人应当确定排名第一的中标候选人为中标人</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排名第一的中标候选人放弃中标</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或</w:t>
            </w:r>
            <w:r>
              <w:rPr>
                <w:rFonts w:hint="eastAsia" w:asciiTheme="minorEastAsia" w:hAnsiTheme="minorEastAsia" w:eastAsiaTheme="minorEastAsia"/>
                <w:color w:val="auto"/>
                <w:szCs w:val="21"/>
                <w:highlight w:val="none"/>
              </w:rPr>
              <w:t>因不可抗力</w:t>
            </w:r>
            <w:r>
              <w:rPr>
                <w:rFonts w:asciiTheme="minorEastAsia" w:hAnsiTheme="minorEastAsia" w:eastAsiaTheme="minorEastAsia"/>
                <w:color w:val="auto"/>
                <w:szCs w:val="21"/>
                <w:highlight w:val="none"/>
              </w:rPr>
              <w:t>不能履行合同</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或不按招标文件要求提交履约保证金</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或被查实存在影响中标结果的违法行为等情形不符合中标条件的，招标人可以按照评标委员会提出的中标候选人名单排序依次确定其他中标候选人为中标人，也可以重新招标</w:t>
            </w:r>
          </w:p>
        </w:tc>
      </w:tr>
      <w:tr w14:paraId="3028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876AB73">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7.5</w:t>
            </w:r>
          </w:p>
        </w:tc>
        <w:tc>
          <w:tcPr>
            <w:tcW w:w="2145" w:type="dxa"/>
            <w:vAlign w:val="center"/>
          </w:tcPr>
          <w:p w14:paraId="4A2D0B3D">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中标通知书和中标结果通知发出的形式</w:t>
            </w:r>
            <w:r>
              <w:rPr>
                <w:rStyle w:val="59"/>
                <w:rFonts w:asciiTheme="minorEastAsia" w:hAnsiTheme="minorEastAsia" w:eastAsiaTheme="minorEastAsia"/>
                <w:color w:val="auto"/>
                <w:szCs w:val="21"/>
                <w:highlight w:val="none"/>
              </w:rPr>
              <w:footnoteReference w:id="51"/>
            </w:r>
          </w:p>
        </w:tc>
        <w:tc>
          <w:tcPr>
            <w:tcW w:w="5833" w:type="dxa"/>
            <w:vAlign w:val="center"/>
          </w:tcPr>
          <w:p w14:paraId="3A6A692A">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lang w:val="en-US" w:eastAsia="zh-CN"/>
              </w:rPr>
              <w:t xml:space="preserve"> </w:t>
            </w:r>
            <w:r>
              <w:rPr>
                <w:rFonts w:hint="eastAsia" w:asciiTheme="minorEastAsia" w:hAnsiTheme="minorEastAsia" w:eastAsiaTheme="minorEastAsia"/>
                <w:color w:val="auto"/>
                <w:szCs w:val="21"/>
                <w:highlight w:val="none"/>
              </w:rPr>
              <w:t>书面形式</w:t>
            </w:r>
          </w:p>
          <w:p w14:paraId="348CF341">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lang w:val="en-US" w:eastAsia="zh-CN"/>
              </w:rPr>
              <w:t xml:space="preserve"> </w:t>
            </w:r>
            <w:r>
              <w:rPr>
                <w:rFonts w:hint="eastAsia" w:asciiTheme="minorEastAsia" w:hAnsiTheme="minorEastAsia" w:eastAsiaTheme="minorEastAsia"/>
                <w:color w:val="auto"/>
                <w:szCs w:val="21"/>
                <w:highlight w:val="none"/>
              </w:rPr>
              <w:t>电子形式：通过“</w:t>
            </w:r>
            <w:r>
              <w:rPr>
                <w:rFonts w:hint="eastAsia" w:asciiTheme="minorEastAsia" w:hAnsiTheme="minorEastAsia" w:eastAsiaTheme="minorEastAsia"/>
                <w:color w:val="auto"/>
                <w:szCs w:val="21"/>
                <w:highlight w:val="none"/>
                <w:lang w:eastAsia="zh-CN"/>
              </w:rPr>
              <w:t>电子交易系统</w:t>
            </w:r>
            <w:r>
              <w:rPr>
                <w:rFonts w:hint="eastAsia" w:asciiTheme="minorEastAsia" w:hAnsiTheme="minorEastAsia" w:eastAsiaTheme="minorEastAsia"/>
                <w:color w:val="auto"/>
                <w:szCs w:val="21"/>
                <w:highlight w:val="none"/>
              </w:rPr>
              <w:t>”以数据电文形式发出</w:t>
            </w:r>
          </w:p>
        </w:tc>
      </w:tr>
      <w:tr w14:paraId="3106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71B5AE1">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7.6</w:t>
            </w:r>
          </w:p>
        </w:tc>
        <w:tc>
          <w:tcPr>
            <w:tcW w:w="2145" w:type="dxa"/>
            <w:vAlign w:val="center"/>
          </w:tcPr>
          <w:p w14:paraId="590A22D7">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中标结果公告媒介及期限</w:t>
            </w:r>
          </w:p>
        </w:tc>
        <w:tc>
          <w:tcPr>
            <w:tcW w:w="5833" w:type="dxa"/>
            <w:vAlign w:val="center"/>
          </w:tcPr>
          <w:p w14:paraId="174AA56E">
            <w:pPr>
              <w:pStyle w:val="299"/>
              <w:wordWrap w:val="0"/>
              <w:adjustRightInd w:val="0"/>
              <w:snapToGrid w:val="0"/>
              <w:spacing w:line="40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公告媒介：全国公共资源交易平台（四川省）</w:t>
            </w:r>
            <w:r>
              <w:rPr>
                <w:rStyle w:val="57"/>
                <w:rFonts w:hint="eastAsia" w:asciiTheme="minorEastAsia" w:hAnsiTheme="minorEastAsia" w:eastAsiaTheme="minorEastAsia"/>
                <w:color w:val="auto"/>
                <w:szCs w:val="21"/>
                <w:highlight w:val="none"/>
                <w:u w:val="none"/>
              </w:rPr>
              <w:t>（</w:t>
            </w:r>
            <w:r>
              <w:rPr>
                <w:color w:val="auto"/>
                <w:highlight w:val="none"/>
              </w:rPr>
              <w:fldChar w:fldCharType="begin"/>
            </w:r>
            <w:r>
              <w:rPr>
                <w:color w:val="auto"/>
                <w:highlight w:val="none"/>
              </w:rPr>
              <w:instrText xml:space="preserve"> HYPERLINK "http://ggzyjy.sc.gov.cn/）、" </w:instrText>
            </w:r>
            <w:r>
              <w:rPr>
                <w:color w:val="auto"/>
                <w:highlight w:val="none"/>
              </w:rPr>
              <w:fldChar w:fldCharType="separate"/>
            </w:r>
            <w:r>
              <w:rPr>
                <w:rStyle w:val="57"/>
                <w:rFonts w:hint="eastAsia" w:cs="宋体" w:asciiTheme="minorEastAsia" w:hAnsiTheme="minorEastAsia" w:eastAsiaTheme="minorEastAsia"/>
                <w:color w:val="auto"/>
                <w:szCs w:val="21"/>
                <w:highlight w:val="none"/>
                <w:u w:val="none"/>
                <w:lang w:eastAsia="zh-CN"/>
              </w:rPr>
              <w:t>https</w:t>
            </w:r>
            <w:r>
              <w:rPr>
                <w:rStyle w:val="57"/>
                <w:rFonts w:cs="宋体" w:asciiTheme="minorEastAsia" w:hAnsiTheme="minorEastAsia" w:eastAsiaTheme="minorEastAsia"/>
                <w:color w:val="auto"/>
                <w:szCs w:val="21"/>
                <w:highlight w:val="none"/>
                <w:u w:val="none"/>
              </w:rPr>
              <w:t>://ggzyjy.sc.gov.cn/）</w:t>
            </w:r>
            <w:r>
              <w:rPr>
                <w:rStyle w:val="57"/>
                <w:rFonts w:cs="宋体" w:asciiTheme="minorEastAsia" w:hAnsiTheme="minorEastAsia" w:eastAsiaTheme="minorEastAsia"/>
                <w:color w:val="auto"/>
                <w:szCs w:val="21"/>
                <w:highlight w:val="none"/>
                <w:u w:val="none"/>
              </w:rPr>
              <w:fldChar w:fldCharType="end"/>
            </w:r>
            <w:r>
              <w:rPr>
                <w:rFonts w:hint="eastAsia" w:cs="宋体" w:asciiTheme="minorEastAsia" w:hAnsiTheme="minorEastAsia" w:eastAsiaTheme="minorEastAsia"/>
                <w:color w:val="auto"/>
                <w:szCs w:val="21"/>
                <w:highlight w:val="none"/>
              </w:rPr>
              <w:t>、其他：</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rPr>
              <w:t xml:space="preserve">  </w:t>
            </w:r>
          </w:p>
          <w:p w14:paraId="6BD9999B">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公告期：</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rPr>
              <w:t xml:space="preserve">日 </w:t>
            </w:r>
          </w:p>
        </w:tc>
      </w:tr>
      <w:tr w14:paraId="0CAF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677FAE8">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7.7.1</w:t>
            </w:r>
          </w:p>
        </w:tc>
        <w:tc>
          <w:tcPr>
            <w:tcW w:w="2145" w:type="dxa"/>
            <w:vAlign w:val="center"/>
          </w:tcPr>
          <w:p w14:paraId="58E10EF1">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履约保证金</w:t>
            </w:r>
          </w:p>
        </w:tc>
        <w:tc>
          <w:tcPr>
            <w:tcW w:w="5833" w:type="dxa"/>
            <w:vAlign w:val="center"/>
          </w:tcPr>
          <w:p w14:paraId="771C8753">
            <w:pPr>
              <w:adjustRightInd w:val="0"/>
              <w:snapToGrid w:val="0"/>
              <w:spacing w:line="4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是否要求中标人提交履约保证金：</w:t>
            </w:r>
          </w:p>
          <w:p w14:paraId="0F2257C8">
            <w:pPr>
              <w:adjustRightInd w:val="0"/>
              <w:snapToGrid w:val="0"/>
              <w:spacing w:line="40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不要求</w:t>
            </w:r>
          </w:p>
          <w:p w14:paraId="7CB9CB45">
            <w:pPr>
              <w:adjustRightInd w:val="0"/>
              <w:snapToGrid w:val="0"/>
              <w:spacing w:line="400" w:lineRule="exact"/>
              <w:jc w:val="left"/>
              <w:rPr>
                <w:rFonts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要求</w:t>
            </w:r>
          </w:p>
          <w:p w14:paraId="3D0DBA8A">
            <w:pPr>
              <w:pStyle w:val="27"/>
              <w:adjustRightInd w:val="0"/>
              <w:snapToGrid w:val="0"/>
              <w:spacing w:line="400" w:lineRule="exact"/>
              <w:ind w:firstLine="0" w:firstLineChars="0"/>
              <w:rPr>
                <w:rFonts w:cs="Courier New" w:asciiTheme="minorEastAsia" w:hAnsiTheme="minorEastAsia" w:eastAsiaTheme="minorEastAsia"/>
                <w:color w:val="auto"/>
                <w:highlight w:val="none"/>
              </w:rPr>
            </w:pPr>
            <w:r>
              <w:rPr>
                <w:rFonts w:hint="eastAsia" w:cs="Courier New" w:asciiTheme="minorEastAsia" w:hAnsiTheme="minorEastAsia" w:eastAsiaTheme="minorEastAsia"/>
                <w:color w:val="auto"/>
                <w:highlight w:val="none"/>
                <w:lang w:eastAsia="zh-CN"/>
              </w:rPr>
              <w:t>（</w:t>
            </w:r>
            <w:r>
              <w:rPr>
                <w:rFonts w:hint="eastAsia" w:cs="Courier New" w:asciiTheme="minorEastAsia" w:hAnsiTheme="minorEastAsia" w:eastAsiaTheme="minorEastAsia"/>
                <w:color w:val="auto"/>
                <w:highlight w:val="none"/>
                <w:lang w:val="en-US" w:eastAsia="zh-CN"/>
              </w:rPr>
              <w:t>1</w:t>
            </w:r>
            <w:r>
              <w:rPr>
                <w:rFonts w:hint="eastAsia" w:cs="Courier New" w:asciiTheme="minorEastAsia" w:hAnsiTheme="minorEastAsia" w:eastAsiaTheme="minorEastAsia"/>
                <w:color w:val="auto"/>
                <w:highlight w:val="none"/>
                <w:lang w:eastAsia="zh-CN"/>
              </w:rPr>
              <w:t>）</w:t>
            </w:r>
            <w:r>
              <w:rPr>
                <w:rFonts w:hint="eastAsia" w:cs="Courier New" w:asciiTheme="minorEastAsia" w:hAnsiTheme="minorEastAsia" w:eastAsiaTheme="minorEastAsia"/>
                <w:color w:val="auto"/>
                <w:highlight w:val="none"/>
              </w:rPr>
              <w:t>履约保证金的形式</w:t>
            </w:r>
            <w:r>
              <w:rPr>
                <w:rStyle w:val="59"/>
                <w:rFonts w:cs="Courier New" w:asciiTheme="minorEastAsia" w:hAnsiTheme="minorEastAsia" w:eastAsiaTheme="minorEastAsia"/>
                <w:color w:val="auto"/>
                <w:highlight w:val="none"/>
              </w:rPr>
              <w:footnoteReference w:id="52"/>
            </w:r>
            <w:r>
              <w:rPr>
                <w:rFonts w:hint="eastAsia" w:cs="Courier New" w:asciiTheme="minorEastAsia" w:hAnsiTheme="minorEastAsia" w:eastAsiaTheme="minorEastAsia"/>
                <w:color w:val="auto"/>
                <w:highlight w:val="none"/>
              </w:rPr>
              <w:t>：</w:t>
            </w:r>
          </w:p>
          <w:p w14:paraId="31491255">
            <w:pPr>
              <w:pStyle w:val="27"/>
              <w:adjustRightInd w:val="0"/>
              <w:snapToGrid w:val="0"/>
              <w:spacing w:line="400" w:lineRule="exact"/>
              <w:ind w:firstLine="210" w:firstLineChars="100"/>
              <w:rPr>
                <w:rFonts w:cs="Courier New"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sym w:font="Wingdings 2" w:char="00A3"/>
            </w:r>
            <w:r>
              <w:rPr>
                <w:rFonts w:hint="eastAsia" w:cs="Courier New" w:asciiTheme="minorEastAsia" w:hAnsiTheme="minorEastAsia" w:eastAsiaTheme="minorEastAsia"/>
                <w:color w:val="auto"/>
                <w:highlight w:val="none"/>
              </w:rPr>
              <w:t>银行保函</w:t>
            </w:r>
            <w:r>
              <w:rPr>
                <w:rFonts w:cs="Courier New"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w:t>
            </w:r>
            <w:r>
              <w:rPr>
                <w:rFonts w:hint="eastAsia" w:cs="Courier New" w:asciiTheme="minorEastAsia" w:hAnsiTheme="minorEastAsia" w:eastAsiaTheme="minorEastAsia"/>
                <w:color w:val="auto"/>
                <w:highlight w:val="none"/>
              </w:rPr>
              <w:t>现金、支票</w:t>
            </w:r>
            <w:r>
              <w:rPr>
                <w:rFonts w:cs="Courier New"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w:t>
            </w:r>
            <w:r>
              <w:rPr>
                <w:rFonts w:hint="eastAsia" w:cs="Courier New" w:asciiTheme="minorEastAsia" w:hAnsiTheme="minorEastAsia" w:eastAsiaTheme="minorEastAsia"/>
                <w:color w:val="auto"/>
                <w:highlight w:val="none"/>
              </w:rPr>
              <w:t>其他：</w:t>
            </w:r>
            <w:r>
              <w:rPr>
                <w:rFonts w:cs="Courier New" w:asciiTheme="minorEastAsia" w:hAnsiTheme="minorEastAsia" w:eastAsiaTheme="minorEastAsia"/>
                <w:color w:val="auto"/>
                <w:highlight w:val="none"/>
                <w:u w:val="single"/>
              </w:rPr>
              <w:t xml:space="preserve">     </w:t>
            </w:r>
          </w:p>
          <w:p w14:paraId="3894B992">
            <w:pPr>
              <w:numPr>
                <w:ilvl w:val="-1"/>
                <w:numId w:val="0"/>
              </w:numPr>
              <w:adjustRightInd w:val="0"/>
              <w:snapToGrid w:val="0"/>
              <w:spacing w:line="400" w:lineRule="exact"/>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履约保证金的金额：</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%签约合同价</w:t>
            </w:r>
            <w:r>
              <w:rPr>
                <w:rStyle w:val="59"/>
                <w:rFonts w:asciiTheme="minorEastAsia" w:hAnsiTheme="minorEastAsia" w:eastAsiaTheme="minorEastAsia"/>
                <w:color w:val="auto"/>
                <w:szCs w:val="21"/>
                <w:highlight w:val="none"/>
              </w:rPr>
              <w:footnoteReference w:id="53"/>
            </w:r>
            <w:r>
              <w:rPr>
                <w:rFonts w:hint="eastAsia" w:asciiTheme="minorEastAsia" w:hAnsiTheme="minorEastAsia" w:eastAsiaTheme="minorEastAsia"/>
                <w:color w:val="auto"/>
                <w:szCs w:val="21"/>
                <w:highlight w:val="none"/>
              </w:rPr>
              <w:t>。根据</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eastAsia="zh-CN"/>
              </w:rPr>
              <w:sym w:font="Wingdings 2" w:char="00A3"/>
            </w:r>
            <w:r>
              <w:rPr>
                <w:rFonts w:hint="eastAsia" w:ascii="宋体" w:hAnsi="宋体"/>
                <w:color w:val="auto"/>
                <w:sz w:val="21"/>
                <w:szCs w:val="21"/>
                <w:highlight w:val="none"/>
              </w:rPr>
              <w:t>四川省重点公路建设从业单位信用评价等级</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val="en-US" w:eastAsia="zh-CN"/>
              </w:rPr>
              <w:sym w:font="Wingdings 2" w:char="00A3"/>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农村公路建设从业单位信用评价等级）的</w:t>
            </w:r>
            <w:r>
              <w:rPr>
                <w:rFonts w:hint="eastAsia" w:asciiTheme="minorEastAsia" w:hAnsiTheme="minorEastAsia" w:eastAsiaTheme="minorEastAsia"/>
                <w:color w:val="auto"/>
                <w:szCs w:val="21"/>
                <w:highlight w:val="none"/>
              </w:rPr>
              <w:t>评价结果设置的信用奖惩措施约定为：</w:t>
            </w:r>
            <w:r>
              <w:rPr>
                <w:rFonts w:asciiTheme="minorEastAsia" w:hAnsiTheme="minorEastAsia" w:eastAsiaTheme="minorEastAsia"/>
                <w:color w:val="auto"/>
                <w:szCs w:val="21"/>
                <w:highlight w:val="none"/>
                <w:u w:val="single"/>
              </w:rPr>
              <w:t xml:space="preserve">                  </w:t>
            </w:r>
          </w:p>
          <w:p w14:paraId="028F595C">
            <w:pPr>
              <w:pStyle w:val="299"/>
              <w:adjustRightInd w:val="0"/>
              <w:snapToGrid w:val="0"/>
              <w:spacing w:line="400" w:lineRule="exact"/>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采用银行保函</w:t>
            </w:r>
            <w:r>
              <w:rPr>
                <w:rFonts w:hint="eastAsia" w:asciiTheme="minorEastAsia" w:hAnsiTheme="minorEastAsia" w:eastAsiaTheme="minorEastAsia"/>
                <w:color w:val="auto"/>
                <w:szCs w:val="21"/>
                <w:highlight w:val="none"/>
                <w:lang w:val="en-US" w:eastAsia="zh-CN"/>
              </w:rPr>
              <w:t>时</w:t>
            </w:r>
            <w:r>
              <w:rPr>
                <w:rFonts w:hint="eastAsia" w:asciiTheme="minorEastAsia" w:hAnsiTheme="minorEastAsia" w:eastAsiaTheme="minorEastAsia"/>
                <w:color w:val="auto"/>
                <w:szCs w:val="21"/>
                <w:highlight w:val="none"/>
              </w:rPr>
              <w:t>，出具</w:t>
            </w:r>
            <w:r>
              <w:rPr>
                <w:rFonts w:asciiTheme="minorEastAsia" w:hAnsiTheme="minorEastAsia" w:eastAsiaTheme="minorEastAsia"/>
                <w:color w:val="auto"/>
                <w:szCs w:val="21"/>
                <w:highlight w:val="none"/>
              </w:rPr>
              <w:t>保函</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银行</w:t>
            </w:r>
            <w:r>
              <w:rPr>
                <w:rFonts w:hint="eastAsia" w:asciiTheme="minorEastAsia" w:hAnsiTheme="minorEastAsia" w:eastAsiaTheme="minorEastAsia"/>
                <w:color w:val="auto"/>
                <w:szCs w:val="21"/>
                <w:highlight w:val="none"/>
              </w:rPr>
              <w:t>级别要求：</w:t>
            </w:r>
          </w:p>
          <w:p w14:paraId="1C1C92F3">
            <w:pPr>
              <w:pStyle w:val="299"/>
              <w:adjustRightInd w:val="0"/>
              <w:snapToGrid w:val="0"/>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无限制</w:t>
            </w:r>
          </w:p>
          <w:p w14:paraId="5FA19E22">
            <w:pPr>
              <w:pStyle w:val="299"/>
              <w:adjustRightInd w:val="0"/>
              <w:snapToGrid w:val="0"/>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支行及以上国有或股份制商业银行</w:t>
            </w:r>
          </w:p>
          <w:p w14:paraId="6C65D090">
            <w:pPr>
              <w:numPr>
                <w:ilvl w:val="-1"/>
                <w:numId w:val="0"/>
              </w:numPr>
              <w:adjustRightInd w:val="0"/>
              <w:snapToGrid w:val="0"/>
              <w:spacing w:line="400" w:lineRule="exact"/>
              <w:ind w:firstLine="0" w:firstLineChars="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采用现金或支票</w:t>
            </w:r>
            <w:r>
              <w:rPr>
                <w:rFonts w:hint="eastAsia" w:asciiTheme="minorEastAsia" w:hAnsiTheme="minorEastAsia" w:eastAsiaTheme="minorEastAsia"/>
                <w:color w:val="auto"/>
                <w:szCs w:val="21"/>
                <w:highlight w:val="none"/>
              </w:rPr>
              <w:t>形式，</w:t>
            </w:r>
            <w:r>
              <w:rPr>
                <w:rFonts w:hint="eastAsia" w:asciiTheme="minorEastAsia" w:hAnsiTheme="minorEastAsia" w:eastAsiaTheme="minorEastAsia"/>
                <w:color w:val="auto"/>
                <w:szCs w:val="21"/>
                <w:highlight w:val="none"/>
                <w:lang w:val="en-US" w:eastAsia="zh-CN"/>
              </w:rPr>
              <w:t>应</w:t>
            </w:r>
            <w:r>
              <w:rPr>
                <w:rFonts w:hint="eastAsia" w:asciiTheme="minorEastAsia" w:hAnsiTheme="minorEastAsia" w:eastAsiaTheme="minorEastAsia"/>
                <w:color w:val="auto"/>
                <w:szCs w:val="21"/>
                <w:highlight w:val="none"/>
              </w:rPr>
              <w:t>从投标人</w:t>
            </w:r>
            <w:r>
              <w:rPr>
                <w:rFonts w:hint="eastAsia" w:asciiTheme="minorEastAsia" w:hAnsiTheme="minorEastAsia" w:eastAsiaTheme="minorEastAsia"/>
                <w:color w:val="auto"/>
                <w:szCs w:val="21"/>
                <w:highlight w:val="none"/>
                <w:lang w:val="en-US" w:eastAsia="zh-CN"/>
              </w:rPr>
              <w:t>单位</w:t>
            </w:r>
            <w:r>
              <w:rPr>
                <w:rFonts w:hint="eastAsia" w:asciiTheme="minorEastAsia" w:hAnsiTheme="minorEastAsia" w:eastAsiaTheme="minorEastAsia"/>
                <w:color w:val="auto"/>
                <w:szCs w:val="21"/>
                <w:highlight w:val="none"/>
              </w:rPr>
              <w:t>账户中转出</w:t>
            </w:r>
          </w:p>
          <w:p w14:paraId="0E5201EA">
            <w:pPr>
              <w:numPr>
                <w:ilvl w:val="-1"/>
                <w:numId w:val="0"/>
              </w:numPr>
              <w:adjustRightInd w:val="0"/>
              <w:snapToGrid w:val="0"/>
              <w:spacing w:line="400" w:lineRule="exact"/>
              <w:ind w:firstLine="0" w:firstLineChars="0"/>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采用其他担保形式的规定：</w:t>
            </w:r>
            <w:r>
              <w:rPr>
                <w:rFonts w:hint="eastAsia" w:asciiTheme="minorEastAsia" w:hAnsiTheme="minorEastAsia" w:eastAsiaTheme="minorEastAsia"/>
                <w:color w:val="auto"/>
                <w:szCs w:val="21"/>
                <w:highlight w:val="none"/>
                <w:u w:val="single"/>
              </w:rPr>
              <w:t xml:space="preserve">               </w:t>
            </w:r>
          </w:p>
        </w:tc>
      </w:tr>
      <w:tr w14:paraId="7407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1FD6B5D">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7.8.1</w:t>
            </w:r>
          </w:p>
        </w:tc>
        <w:tc>
          <w:tcPr>
            <w:tcW w:w="2145" w:type="dxa"/>
            <w:vAlign w:val="center"/>
          </w:tcPr>
          <w:p w14:paraId="60F4C145">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签订合同</w:t>
            </w:r>
          </w:p>
        </w:tc>
        <w:tc>
          <w:tcPr>
            <w:tcW w:w="5833" w:type="dxa"/>
            <w:vAlign w:val="center"/>
          </w:tcPr>
          <w:p w14:paraId="47470E07">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1）招标人将把合同授予按照</w:t>
            </w:r>
            <w:r>
              <w:rPr>
                <w:rFonts w:hint="eastAsia" w:cs="宋体" w:asciiTheme="minorEastAsia" w:hAnsiTheme="minorEastAsia" w:eastAsiaTheme="minorEastAsia"/>
                <w:color w:val="auto"/>
                <w:szCs w:val="21"/>
                <w:highlight w:val="none"/>
                <w:lang w:val="en-US" w:eastAsia="zh-CN"/>
              </w:rPr>
              <w:t>本须知前附表</w:t>
            </w:r>
            <w:r>
              <w:rPr>
                <w:rFonts w:cs="宋体" w:asciiTheme="minorEastAsia" w:hAnsiTheme="minorEastAsia" w:eastAsiaTheme="minorEastAsia"/>
                <w:color w:val="auto"/>
                <w:szCs w:val="21"/>
                <w:highlight w:val="none"/>
              </w:rPr>
              <w:t>第7.7.1</w:t>
            </w:r>
            <w:r>
              <w:rPr>
                <w:rFonts w:hint="eastAsia" w:cs="宋体" w:asciiTheme="minorEastAsia" w:hAnsiTheme="minorEastAsia" w:eastAsiaTheme="minorEastAsia"/>
                <w:color w:val="auto"/>
                <w:szCs w:val="21"/>
                <w:highlight w:val="none"/>
              </w:rPr>
              <w:t>项要求提交履约保证金的中标人；</w:t>
            </w:r>
          </w:p>
          <w:p w14:paraId="63E35E67">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2）在招标人发出中标通知书起</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日内，中标人与招标人签订合同协议书</w:t>
            </w:r>
            <w:r>
              <w:rPr>
                <w:rFonts w:hint="eastAsia" w:cs="宋体" w:asciiTheme="minorEastAsia" w:hAnsiTheme="minorEastAsia" w:eastAsiaTheme="minorEastAsia"/>
                <w:color w:val="auto"/>
                <w:szCs w:val="21"/>
                <w:highlight w:val="none"/>
                <w:lang w:eastAsia="zh-CN"/>
              </w:rPr>
              <w:t>；</w:t>
            </w:r>
          </w:p>
          <w:p w14:paraId="17598DEB">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3）合同协议书形式</w:t>
            </w:r>
          </w:p>
          <w:p w14:paraId="27B2B26F">
            <w:pPr>
              <w:adjustRightInd w:val="0"/>
              <w:snapToGrid w:val="0"/>
              <w:spacing w:line="400" w:lineRule="exact"/>
              <w:ind w:firstLine="316" w:firstLineChars="1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书面形式</w:t>
            </w:r>
          </w:p>
          <w:p w14:paraId="1A956FBA">
            <w:pPr>
              <w:adjustRightInd w:val="0"/>
              <w:snapToGrid w:val="0"/>
              <w:spacing w:line="400" w:lineRule="exact"/>
              <w:ind w:firstLine="316" w:firstLineChars="15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电子形式：通过“</w:t>
            </w:r>
            <w:r>
              <w:rPr>
                <w:rFonts w:hint="eastAsia" w:cs="宋体" w:asciiTheme="minorEastAsia" w:hAnsiTheme="minorEastAsia" w:eastAsiaTheme="minorEastAsia"/>
                <w:color w:val="auto"/>
                <w:szCs w:val="21"/>
                <w:highlight w:val="none"/>
                <w:lang w:eastAsia="zh-CN"/>
              </w:rPr>
              <w:t>电子交易系统</w:t>
            </w:r>
            <w:r>
              <w:rPr>
                <w:rFonts w:cs="宋体" w:asciiTheme="minorEastAsia" w:hAnsiTheme="minorEastAsia" w:eastAsiaTheme="minorEastAsia"/>
                <w:color w:val="auto"/>
                <w:szCs w:val="21"/>
                <w:highlight w:val="none"/>
              </w:rPr>
              <w:t>”以数据电文形式与中标人签订</w:t>
            </w:r>
          </w:p>
        </w:tc>
      </w:tr>
      <w:tr w14:paraId="4315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F694259">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cs="Courier New" w:asciiTheme="minorEastAsia" w:hAnsiTheme="minorEastAsia" w:eastAsiaTheme="minorEastAsia"/>
                <w:color w:val="auto"/>
                <w:szCs w:val="21"/>
                <w:highlight w:val="none"/>
              </w:rPr>
              <w:t>7.8.3</w:t>
            </w:r>
          </w:p>
        </w:tc>
        <w:tc>
          <w:tcPr>
            <w:tcW w:w="2145" w:type="dxa"/>
            <w:vAlign w:val="center"/>
          </w:tcPr>
          <w:p w14:paraId="0F5C52F9">
            <w:pPr>
              <w:pStyle w:val="27"/>
              <w:adjustRightInd w:val="0"/>
              <w:snapToGrid w:val="0"/>
              <w:spacing w:line="400" w:lineRule="exact"/>
              <w:jc w:val="center"/>
              <w:rPr>
                <w:rFonts w:cs="Courier New" w:asciiTheme="minorEastAsia" w:hAnsiTheme="minorEastAsia" w:eastAsiaTheme="minorEastAsia"/>
                <w:color w:val="auto"/>
                <w:highlight w:val="none"/>
              </w:rPr>
            </w:pPr>
            <w:r>
              <w:rPr>
                <w:rFonts w:cs="Courier New" w:asciiTheme="minorEastAsia" w:hAnsiTheme="minorEastAsia" w:eastAsiaTheme="minorEastAsia"/>
                <w:color w:val="auto"/>
                <w:highlight w:val="none"/>
              </w:rPr>
              <w:t>签约合同价的</w:t>
            </w:r>
          </w:p>
          <w:p w14:paraId="0902380F">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cs="Courier New" w:asciiTheme="minorEastAsia" w:hAnsiTheme="minorEastAsia" w:eastAsiaTheme="minorEastAsia"/>
                <w:color w:val="auto"/>
                <w:szCs w:val="21"/>
                <w:highlight w:val="none"/>
              </w:rPr>
              <w:t>确定原则</w:t>
            </w:r>
          </w:p>
        </w:tc>
        <w:tc>
          <w:tcPr>
            <w:tcW w:w="5833" w:type="dxa"/>
            <w:vAlign w:val="center"/>
          </w:tcPr>
          <w:p w14:paraId="07C84863">
            <w:pPr>
              <w:numPr>
                <w:ilvl w:val="-1"/>
                <w:numId w:val="0"/>
              </w:numPr>
              <w:adjustRightInd w:val="0"/>
              <w:snapToGrid w:val="0"/>
              <w:spacing w:line="400" w:lineRule="exact"/>
              <w:rPr>
                <w:rFonts w:hint="eastAsia" w:cs="宋体" w:asciiTheme="minorEastAsia" w:hAnsiTheme="minorEastAsia" w:eastAsiaTheme="minorEastAsia"/>
                <w:color w:val="auto"/>
                <w:kern w:val="0"/>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kern w:val="0"/>
                <w:szCs w:val="21"/>
                <w:highlight w:val="none"/>
              </w:rPr>
              <w:t>签约合同价</w:t>
            </w:r>
            <w:r>
              <w:rPr>
                <w:rFonts w:hint="eastAsia" w:cs="宋体" w:asciiTheme="minorEastAsia" w:hAnsiTheme="minorEastAsia" w:eastAsiaTheme="minorEastAsia"/>
                <w:color w:val="auto"/>
                <w:kern w:val="0"/>
                <w:szCs w:val="21"/>
                <w:highlight w:val="none"/>
                <w:lang w:val="en-US" w:eastAsia="zh-CN"/>
              </w:rPr>
              <w:t>为</w:t>
            </w:r>
            <w:r>
              <w:rPr>
                <w:rFonts w:hint="eastAsia" w:cs="宋体" w:asciiTheme="minorEastAsia" w:hAnsiTheme="minorEastAsia" w:eastAsiaTheme="minorEastAsia"/>
                <w:color w:val="auto"/>
                <w:kern w:val="0"/>
                <w:szCs w:val="21"/>
                <w:highlight w:val="none"/>
                <w:lang w:eastAsia="zh-CN"/>
              </w:rPr>
              <w:t>：</w:t>
            </w:r>
          </w:p>
          <w:p w14:paraId="42BFBB35">
            <w:pPr>
              <w:numPr>
                <w:ilvl w:val="-1"/>
                <w:numId w:val="0"/>
              </w:numPr>
              <w:adjustRightInd w:val="0"/>
              <w:snapToGrid w:val="0"/>
              <w:spacing w:line="400" w:lineRule="exact"/>
              <w:ind w:firstLine="211" w:firstLineChars="100"/>
              <w:rPr>
                <w:rFonts w:hint="eastAsia" w:asciiTheme="minorEastAsia" w:hAnsiTheme="minorEastAsia" w:eastAsiaTheme="minorEastAsia"/>
                <w:color w:val="auto"/>
                <w:kern w:val="0"/>
                <w:szCs w:val="21"/>
                <w:highlight w:val="none"/>
                <w:lang w:eastAsia="zh-CN"/>
              </w:rPr>
            </w:pPr>
            <w:r>
              <w:rPr>
                <w:rFonts w:hint="eastAsia" w:ascii="宋体" w:hAnsi="宋体" w:eastAsia="宋体" w:cs="宋体"/>
                <w:b/>
                <w:bCs/>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 xml:space="preserve"> </w:t>
            </w:r>
            <w:r>
              <w:rPr>
                <w:rFonts w:hint="eastAsia" w:cs="宋体" w:asciiTheme="minorEastAsia" w:hAnsiTheme="minorEastAsia" w:eastAsiaTheme="minorEastAsia"/>
                <w:color w:val="auto"/>
                <w:kern w:val="0"/>
                <w:szCs w:val="21"/>
                <w:highlight w:val="none"/>
              </w:rPr>
              <w:t>投标人投标函</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第二个信封</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lang w:val="en-US" w:eastAsia="zh-CN"/>
              </w:rPr>
              <w:t>中</w:t>
            </w:r>
            <w:r>
              <w:rPr>
                <w:rFonts w:hint="eastAsia" w:cs="宋体" w:asciiTheme="minorEastAsia" w:hAnsiTheme="minorEastAsia" w:eastAsiaTheme="minorEastAsia"/>
                <w:color w:val="auto"/>
                <w:kern w:val="0"/>
                <w:szCs w:val="21"/>
                <w:highlight w:val="none"/>
              </w:rPr>
              <w:t>的投标</w:t>
            </w:r>
            <w:r>
              <w:rPr>
                <w:rFonts w:hint="eastAsia" w:cs="宋体" w:asciiTheme="minorEastAsia" w:hAnsiTheme="minorEastAsia" w:eastAsiaTheme="minorEastAsia"/>
                <w:color w:val="auto"/>
                <w:kern w:val="0"/>
                <w:szCs w:val="21"/>
                <w:highlight w:val="none"/>
                <w:lang w:val="en-US" w:eastAsia="zh-CN"/>
              </w:rPr>
              <w:t>总</w:t>
            </w:r>
            <w:r>
              <w:rPr>
                <w:rFonts w:hint="eastAsia" w:cs="宋体" w:asciiTheme="minorEastAsia" w:hAnsiTheme="minorEastAsia" w:eastAsiaTheme="minorEastAsia"/>
                <w:color w:val="auto"/>
                <w:kern w:val="0"/>
                <w:szCs w:val="21"/>
                <w:highlight w:val="none"/>
              </w:rPr>
              <w:t>报价大写金额</w:t>
            </w:r>
          </w:p>
          <w:p w14:paraId="0AB9BA49">
            <w:pPr>
              <w:numPr>
                <w:ilvl w:val="-1"/>
                <w:numId w:val="0"/>
              </w:numPr>
              <w:adjustRightInd w:val="0"/>
              <w:snapToGrid w:val="0"/>
              <w:spacing w:line="400" w:lineRule="exact"/>
              <w:ind w:firstLine="211" w:firstLineChars="100"/>
              <w:rPr>
                <w:rFonts w:hint="eastAsia" w:asciiTheme="minorEastAsia" w:hAnsiTheme="minorEastAsia" w:eastAsiaTheme="minorEastAsia"/>
                <w:color w:val="auto"/>
                <w:kern w:val="0"/>
                <w:szCs w:val="21"/>
                <w:highlight w:val="none"/>
                <w:lang w:eastAsia="zh-CN"/>
              </w:rPr>
            </w:pPr>
            <w:r>
              <w:rPr>
                <w:rFonts w:hint="eastAsia" w:ascii="宋体" w:hAnsi="宋体" w:eastAsia="宋体" w:cs="宋体"/>
                <w:b/>
                <w:bCs/>
                <w:color w:val="auto"/>
                <w:kern w:val="0"/>
                <w:szCs w:val="21"/>
                <w:highlight w:val="none"/>
              </w:rPr>
              <w:t>□</w:t>
            </w:r>
            <w:r>
              <w:rPr>
                <w:rFonts w:hint="eastAsia" w:ascii="宋体" w:hAnsi="宋体" w:cs="宋体"/>
                <w:b/>
                <w:bCs/>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其他：</w:t>
            </w:r>
            <w:r>
              <w:rPr>
                <w:rFonts w:hint="eastAsia" w:ascii="宋体" w:hAnsi="宋体" w:cs="宋体"/>
                <w:color w:val="auto"/>
                <w:kern w:val="0"/>
                <w:szCs w:val="21"/>
                <w:highlight w:val="none"/>
                <w:u w:val="single"/>
                <w:lang w:val="en-US" w:eastAsia="zh-CN"/>
              </w:rPr>
              <w:t xml:space="preserve">       </w:t>
            </w:r>
            <w:r>
              <w:rPr>
                <w:rStyle w:val="59"/>
                <w:rFonts w:hint="eastAsia" w:asciiTheme="minorEastAsia" w:hAnsiTheme="minorEastAsia" w:eastAsiaTheme="minorEastAsia"/>
                <w:color w:val="auto"/>
                <w:szCs w:val="21"/>
                <w:highlight w:val="none"/>
              </w:rPr>
              <w:footnoteReference w:id="54"/>
            </w:r>
          </w:p>
          <w:p w14:paraId="62821FCB">
            <w:pPr>
              <w:adjustRightInd w:val="0"/>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（2）签订合同协议书时如需对工程量清单子项进行相应修正的，修正原则如下：</w:t>
            </w:r>
          </w:p>
          <w:p w14:paraId="6A64A7A0">
            <w:pPr>
              <w:pStyle w:val="299"/>
              <w:spacing w:line="400" w:lineRule="exact"/>
              <w:ind w:firstLine="211" w:firstLineChars="100"/>
              <w:rPr>
                <w:rFonts w:ascii="宋体" w:hAnsi="宋体" w:cs="宋体"/>
                <w:color w:val="auto"/>
                <w:kern w:val="0"/>
                <w:szCs w:val="21"/>
                <w:highlight w:val="none"/>
              </w:rPr>
            </w:pPr>
            <w:r>
              <w:rPr>
                <w:rFonts w:hint="eastAsia" w:ascii="宋体" w:hAnsi="宋体" w:cs="宋体"/>
                <w:b/>
                <w:bCs/>
                <w:color w:val="auto"/>
                <w:kern w:val="0"/>
                <w:szCs w:val="21"/>
                <w:highlight w:val="none"/>
              </w:rPr>
              <w:sym w:font="Wingdings 2" w:char="00A3"/>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方式一：</w:t>
            </w:r>
          </w:p>
          <w:p w14:paraId="79B9DF9F">
            <w:pPr>
              <w:adjustRightInd w:val="0"/>
              <w:snapToGrid w:val="0"/>
              <w:spacing w:line="400" w:lineRule="exact"/>
              <w:ind w:firstLine="210" w:firstLineChars="100"/>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rPr>
              <w:t>投标函</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第二个信封</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中投标总报价大写金额与依据工程量清单子目数量及单价（或总额价）计算出的结果不一致的，以投标函</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第二个信封</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中投标总报价大写金额为准修正单价：首先按照工程量清单中有关规定，对于投标人不符合要求的报价予以修正；然后再对其他单价（或总额价）按</w:t>
            </w:r>
            <w:r>
              <w:rPr>
                <w:rFonts w:hint="eastAsia" w:cs="宋体" w:asciiTheme="minorEastAsia" w:hAnsiTheme="minorEastAsia" w:eastAsiaTheme="minorEastAsia"/>
                <w:color w:val="auto"/>
                <w:kern w:val="0"/>
                <w:szCs w:val="21"/>
                <w:highlight w:val="none"/>
                <w:lang w:val="en-US" w:eastAsia="zh-CN"/>
              </w:rPr>
              <w:t>同一</w:t>
            </w:r>
            <w:r>
              <w:rPr>
                <w:rFonts w:hint="eastAsia" w:cs="宋体" w:asciiTheme="minorEastAsia" w:hAnsiTheme="minorEastAsia" w:eastAsiaTheme="minorEastAsia"/>
                <w:color w:val="auto"/>
                <w:kern w:val="0"/>
                <w:szCs w:val="21"/>
                <w:highlight w:val="none"/>
              </w:rPr>
              <w:t>比例进行修正</w:t>
            </w:r>
            <w:r>
              <w:rPr>
                <w:rFonts w:hint="eastAsia" w:cs="宋体" w:asciiTheme="minorEastAsia" w:hAnsiTheme="minorEastAsia" w:eastAsiaTheme="minorEastAsia"/>
                <w:color w:val="auto"/>
                <w:kern w:val="0"/>
                <w:szCs w:val="21"/>
                <w:highlight w:val="none"/>
                <w:lang w:eastAsia="zh-CN"/>
              </w:rPr>
              <w:t>。</w:t>
            </w:r>
          </w:p>
          <w:p w14:paraId="7F0450ED">
            <w:pPr>
              <w:pStyle w:val="299"/>
              <w:spacing w:line="400" w:lineRule="exact"/>
              <w:ind w:firstLine="211" w:firstLineChars="100"/>
              <w:rPr>
                <w:rFonts w:ascii="宋体" w:hAnsi="宋体" w:cs="宋体"/>
                <w:color w:val="auto"/>
                <w:kern w:val="0"/>
                <w:szCs w:val="21"/>
                <w:highlight w:val="none"/>
              </w:rPr>
            </w:pPr>
            <w:r>
              <w:rPr>
                <w:rFonts w:hint="eastAsia" w:ascii="宋体" w:hAnsi="宋体" w:cs="宋体"/>
                <w:b/>
                <w:bCs/>
                <w:color w:val="auto"/>
                <w:kern w:val="0"/>
                <w:szCs w:val="21"/>
                <w:highlight w:val="none"/>
              </w:rPr>
              <w:sym w:font="Wingdings 2" w:char="00A3"/>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方式二：</w:t>
            </w:r>
            <w:r>
              <w:rPr>
                <w:rStyle w:val="59"/>
                <w:rFonts w:hint="eastAsia" w:ascii="宋体" w:hAnsi="宋体" w:cs="宋体"/>
                <w:color w:val="auto"/>
                <w:kern w:val="0"/>
                <w:szCs w:val="21"/>
                <w:highlight w:val="none"/>
              </w:rPr>
              <w:footnoteReference w:id="55"/>
            </w:r>
          </w:p>
          <w:p w14:paraId="46901E76">
            <w:pPr>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p w14:paraId="5AF897D4">
            <w:pPr>
              <w:adjustRightInd w:val="0"/>
              <w:snapToGrid w:val="0"/>
              <w:spacing w:line="400" w:lineRule="exact"/>
              <w:ind w:firstLine="0" w:firstLineChars="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修正后的价格对合同双方具有约束力。如果中标人不接受招标人按本项约定进行的修正，则视为中标人拒签合同，将取消其中标资格，投标保证金不予退还</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给招标人造成的损失超过投标保证金数额的，中标人还应对超过部分予以赔偿</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并上报省级</w:t>
            </w:r>
            <w:r>
              <w:rPr>
                <w:rFonts w:hint="eastAsia" w:cs="宋体" w:asciiTheme="minorEastAsia" w:hAnsiTheme="minorEastAsia" w:eastAsiaTheme="minorEastAsia"/>
                <w:color w:val="auto"/>
                <w:szCs w:val="21"/>
                <w:highlight w:val="none"/>
                <w:lang w:eastAsia="zh-CN"/>
              </w:rPr>
              <w:t>交通运输主管部门</w:t>
            </w:r>
            <w:r>
              <w:rPr>
                <w:rFonts w:hint="eastAsia" w:cs="宋体" w:asciiTheme="minorEastAsia" w:hAnsiTheme="minorEastAsia" w:eastAsiaTheme="minorEastAsia"/>
                <w:color w:val="auto"/>
                <w:szCs w:val="21"/>
                <w:highlight w:val="none"/>
              </w:rPr>
              <w:t>，作为不良记录纳入公路建设市场</w:t>
            </w:r>
            <w:r>
              <w:rPr>
                <w:rFonts w:hint="eastAsia" w:cs="宋体" w:asciiTheme="minorEastAsia" w:hAnsiTheme="minorEastAsia" w:eastAsiaTheme="minorEastAsia"/>
                <w:color w:val="auto"/>
                <w:szCs w:val="21"/>
                <w:highlight w:val="none"/>
                <w:lang w:val="en-US" w:eastAsia="zh-CN"/>
              </w:rPr>
              <w:t>监督</w:t>
            </w:r>
            <w:r>
              <w:rPr>
                <w:rFonts w:hint="eastAsia" w:cs="宋体" w:asciiTheme="minorEastAsia" w:hAnsiTheme="minorEastAsia" w:eastAsiaTheme="minorEastAsia"/>
                <w:color w:val="auto"/>
                <w:szCs w:val="21"/>
                <w:highlight w:val="none"/>
              </w:rPr>
              <w:t xml:space="preserve">管理系统 </w:t>
            </w:r>
          </w:p>
        </w:tc>
      </w:tr>
      <w:tr w14:paraId="065E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1AF564F">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7.8.5</w:t>
            </w:r>
          </w:p>
        </w:tc>
        <w:tc>
          <w:tcPr>
            <w:tcW w:w="2145" w:type="dxa"/>
            <w:vAlign w:val="center"/>
          </w:tcPr>
          <w:p w14:paraId="34EE837E">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签订合同事项</w:t>
            </w:r>
          </w:p>
        </w:tc>
        <w:tc>
          <w:tcPr>
            <w:tcW w:w="5833" w:type="dxa"/>
            <w:vAlign w:val="center"/>
          </w:tcPr>
          <w:p w14:paraId="251EF6C5">
            <w:pPr>
              <w:adjustRightInd w:val="0"/>
              <w:snapToGrid w:val="0"/>
              <w:spacing w:line="400" w:lineRule="exact"/>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合同文件的制作及费用</w:t>
            </w:r>
            <w:r>
              <w:rPr>
                <w:rFonts w:hint="eastAsia" w:asciiTheme="minorEastAsia" w:hAnsiTheme="minorEastAsia" w:eastAsiaTheme="minorEastAsia"/>
                <w:color w:val="auto"/>
                <w:szCs w:val="21"/>
                <w:highlight w:val="none"/>
              </w:rPr>
              <w:t>承担：</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招标人</w:t>
            </w:r>
            <w:r>
              <w:rPr>
                <w:rFonts w:asciiTheme="minorEastAsia" w:hAnsiTheme="minorEastAsia" w:eastAsiaTheme="minorEastAsia"/>
                <w:color w:val="auto"/>
                <w:szCs w:val="21"/>
                <w:highlight w:val="none"/>
              </w:rPr>
              <w:t xml:space="preserve">  </w:t>
            </w:r>
          </w:p>
          <w:p w14:paraId="1465CC8A">
            <w:pPr>
              <w:adjustRightInd w:val="0"/>
              <w:snapToGrid w:val="0"/>
              <w:spacing w:line="400" w:lineRule="exact"/>
              <w:ind w:firstLine="2741" w:firstLineChars="130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标人</w:t>
            </w:r>
          </w:p>
          <w:p w14:paraId="2F45BD51">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合同文件的份数根据需要由</w:t>
            </w:r>
            <w:r>
              <w:rPr>
                <w:rFonts w:hint="eastAsia" w:asciiTheme="minorEastAsia" w:hAnsiTheme="minorEastAsia" w:eastAsiaTheme="minorEastAsia"/>
                <w:color w:val="auto"/>
                <w:szCs w:val="21"/>
                <w:highlight w:val="none"/>
              </w:rPr>
              <w:t>招标人</w:t>
            </w:r>
            <w:r>
              <w:rPr>
                <w:rFonts w:asciiTheme="minorEastAsia" w:hAnsiTheme="minorEastAsia" w:eastAsiaTheme="minorEastAsia"/>
                <w:color w:val="auto"/>
                <w:szCs w:val="21"/>
                <w:highlight w:val="none"/>
              </w:rPr>
              <w:t>与中标人协商确定</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在合同协议书签订之前，投标文件和中标通知书将约束双方</w:t>
            </w:r>
          </w:p>
        </w:tc>
      </w:tr>
      <w:tr w14:paraId="5A14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795A0FC">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7.</w:t>
            </w:r>
            <w:r>
              <w:rPr>
                <w:rFonts w:hint="eastAsia" w:cs="宋体" w:asciiTheme="minorEastAsia" w:hAnsiTheme="minorEastAsia" w:eastAsiaTheme="minorEastAsia"/>
                <w:color w:val="auto"/>
                <w:szCs w:val="21"/>
                <w:highlight w:val="none"/>
                <w:lang w:val="en-US" w:eastAsia="zh-CN"/>
              </w:rPr>
              <w:t>9</w:t>
            </w:r>
          </w:p>
        </w:tc>
        <w:tc>
          <w:tcPr>
            <w:tcW w:w="2145" w:type="dxa"/>
            <w:vAlign w:val="center"/>
          </w:tcPr>
          <w:p w14:paraId="1BDF29DA">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合同内容</w:t>
            </w:r>
            <w:r>
              <w:rPr>
                <w:rFonts w:hint="eastAsia" w:cs="宋体" w:asciiTheme="minorEastAsia" w:hAnsiTheme="minorEastAsia" w:eastAsiaTheme="minorEastAsia"/>
                <w:color w:val="auto"/>
                <w:szCs w:val="21"/>
                <w:highlight w:val="none"/>
              </w:rPr>
              <w:t>公告媒介</w:t>
            </w:r>
          </w:p>
        </w:tc>
        <w:tc>
          <w:tcPr>
            <w:tcW w:w="5833" w:type="dxa"/>
            <w:vAlign w:val="center"/>
          </w:tcPr>
          <w:p w14:paraId="1ECF8A7F">
            <w:pPr>
              <w:wordWrap w:val="0"/>
              <w:adjustRightInd/>
              <w:snapToGrid/>
              <w:spacing w:line="400" w:lineRule="exact"/>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公告媒介：全国公共资源交易平台（四川省）</w:t>
            </w:r>
            <w:r>
              <w:rPr>
                <w:rStyle w:val="57"/>
                <w:rFonts w:hint="eastAsia" w:asciiTheme="minorEastAsia" w:hAnsiTheme="minorEastAsia" w:eastAsiaTheme="minorEastAsia"/>
                <w:color w:val="auto"/>
                <w:szCs w:val="21"/>
                <w:highlight w:val="none"/>
                <w:u w:val="none"/>
              </w:rPr>
              <w:t>（</w:t>
            </w:r>
            <w:r>
              <w:rPr>
                <w:color w:val="auto"/>
                <w:highlight w:val="none"/>
              </w:rPr>
              <w:fldChar w:fldCharType="begin"/>
            </w:r>
            <w:r>
              <w:rPr>
                <w:color w:val="auto"/>
                <w:highlight w:val="none"/>
              </w:rPr>
              <w:instrText xml:space="preserve"> HYPERLINK "http://ggzyjy.sc.gov.cn/）、" </w:instrText>
            </w:r>
            <w:r>
              <w:rPr>
                <w:color w:val="auto"/>
                <w:highlight w:val="none"/>
              </w:rPr>
              <w:fldChar w:fldCharType="separate"/>
            </w:r>
            <w:r>
              <w:rPr>
                <w:rStyle w:val="57"/>
                <w:rFonts w:hint="eastAsia" w:cs="宋体" w:asciiTheme="minorEastAsia" w:hAnsiTheme="minorEastAsia" w:eastAsiaTheme="minorEastAsia"/>
                <w:color w:val="auto"/>
                <w:szCs w:val="21"/>
                <w:highlight w:val="none"/>
                <w:u w:val="none"/>
                <w:lang w:eastAsia="zh-CN"/>
              </w:rPr>
              <w:t>https</w:t>
            </w:r>
            <w:r>
              <w:rPr>
                <w:rStyle w:val="57"/>
                <w:rFonts w:cs="宋体" w:asciiTheme="minorEastAsia" w:hAnsiTheme="minorEastAsia" w:eastAsiaTheme="minorEastAsia"/>
                <w:color w:val="auto"/>
                <w:szCs w:val="21"/>
                <w:highlight w:val="none"/>
                <w:u w:val="none"/>
              </w:rPr>
              <w:t>://ggzyjy.sc.gov.cn/）、</w:t>
            </w:r>
            <w:r>
              <w:rPr>
                <w:rStyle w:val="57"/>
                <w:rFonts w:cs="宋体" w:asciiTheme="minorEastAsia" w:hAnsiTheme="minorEastAsia" w:eastAsiaTheme="minorEastAsia"/>
                <w:color w:val="auto"/>
                <w:szCs w:val="21"/>
                <w:highlight w:val="none"/>
                <w:u w:val="none"/>
              </w:rPr>
              <w:fldChar w:fldCharType="end"/>
            </w:r>
            <w:r>
              <w:rPr>
                <w:rFonts w:hint="eastAsia" w:cs="宋体" w:asciiTheme="minorEastAsia" w:hAnsiTheme="minorEastAsia" w:eastAsiaTheme="minorEastAsia"/>
                <w:color w:val="auto"/>
                <w:szCs w:val="21"/>
                <w:highlight w:val="none"/>
              </w:rPr>
              <w:t>其他：</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rPr>
              <w:t xml:space="preserve">  </w:t>
            </w:r>
          </w:p>
        </w:tc>
      </w:tr>
      <w:tr w14:paraId="7CD5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CA239CE">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8.5.1</w:t>
            </w:r>
          </w:p>
        </w:tc>
        <w:tc>
          <w:tcPr>
            <w:tcW w:w="2145" w:type="dxa"/>
            <w:vAlign w:val="center"/>
          </w:tcPr>
          <w:p w14:paraId="6AC8D5B1">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投诉</w:t>
            </w:r>
          </w:p>
        </w:tc>
        <w:tc>
          <w:tcPr>
            <w:tcW w:w="5833" w:type="dxa"/>
            <w:vAlign w:val="center"/>
          </w:tcPr>
          <w:p w14:paraId="35ED868C">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行政监督部门：见招标公告</w:t>
            </w:r>
          </w:p>
          <w:p w14:paraId="05BC1307">
            <w:pPr>
              <w:pStyle w:val="299"/>
              <w:adjustRightInd w:val="0"/>
              <w:snapToGrid w:val="0"/>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行政监督</w:t>
            </w:r>
            <w:r>
              <w:rPr>
                <w:rFonts w:asciiTheme="minorEastAsia" w:hAnsiTheme="minorEastAsia" w:eastAsiaTheme="minorEastAsia"/>
                <w:color w:val="auto"/>
                <w:szCs w:val="21"/>
                <w:highlight w:val="none"/>
              </w:rPr>
              <w:t>部门按照</w:t>
            </w:r>
            <w:r>
              <w:rPr>
                <w:rFonts w:hint="eastAsia" w:asciiTheme="minorEastAsia" w:hAnsiTheme="minorEastAsia" w:eastAsiaTheme="minorEastAsia"/>
                <w:color w:val="auto"/>
                <w:szCs w:val="21"/>
                <w:highlight w:val="none"/>
                <w:u w:val="single"/>
              </w:rPr>
              <w:t>《中华人民共和国招标投标法实施条例》《工程建设项目招标投标活动投诉处理办法》</w:t>
            </w:r>
            <w:r>
              <w:rPr>
                <w:rFonts w:hint="eastAsia" w:ascii="宋体" w:hAnsi="宋体" w:cs="宋体"/>
                <w:color w:val="auto"/>
                <w:szCs w:val="21"/>
                <w:highlight w:val="none"/>
                <w:u w:val="single"/>
              </w:rPr>
              <w:t>（</w:t>
            </w:r>
            <w:r>
              <w:rPr>
                <w:rFonts w:ascii="宋体" w:hAnsi="宋体" w:cs="宋体"/>
                <w:color w:val="auto"/>
                <w:szCs w:val="21"/>
                <w:highlight w:val="none"/>
                <w:u w:val="single"/>
              </w:rPr>
              <w:t>2013年3月11日国家发展改革委等九部委令第23号</w:t>
            </w:r>
            <w:r>
              <w:rPr>
                <w:rFonts w:hint="eastAsia" w:ascii="宋体" w:hAnsi="宋体" w:cs="宋体"/>
                <w:color w:val="auto"/>
                <w:szCs w:val="21"/>
                <w:highlight w:val="none"/>
                <w:u w:val="single"/>
              </w:rPr>
              <w:t>修改</w:t>
            </w:r>
            <w:r>
              <w:rPr>
                <w:rFonts w:ascii="宋体" w:hAnsi="宋体" w:cs="宋体"/>
                <w:color w:val="auto"/>
                <w:szCs w:val="21"/>
                <w:highlight w:val="none"/>
                <w:u w:val="single"/>
              </w:rPr>
              <w:t>）</w:t>
            </w:r>
            <w:r>
              <w:rPr>
                <w:rFonts w:hint="eastAsia" w:asciiTheme="minorEastAsia" w:hAnsiTheme="minorEastAsia" w:eastAsiaTheme="minorEastAsia"/>
                <w:color w:val="auto"/>
                <w:szCs w:val="21"/>
                <w:highlight w:val="none"/>
                <w:u w:val="single"/>
              </w:rPr>
              <w:t>、《四川省公路工程建设项目招标投标管理实施细则》（川交发</w:t>
            </w:r>
            <w:r>
              <w:rPr>
                <w:rFonts w:asciiTheme="minorEastAsia" w:hAnsiTheme="minorEastAsia" w:eastAsiaTheme="minorEastAsia"/>
                <w:color w:val="auto"/>
                <w:szCs w:val="21"/>
                <w:highlight w:val="none"/>
                <w:u w:val="single"/>
              </w:rPr>
              <w:t>〔2019〕32</w:t>
            </w:r>
            <w:r>
              <w:rPr>
                <w:rFonts w:hint="eastAsia" w:asciiTheme="minorEastAsia" w:hAnsiTheme="minorEastAsia" w:eastAsiaTheme="minorEastAsia"/>
                <w:color w:val="auto"/>
                <w:szCs w:val="21"/>
                <w:highlight w:val="none"/>
                <w:u w:val="single"/>
              </w:rPr>
              <w:t>号）</w:t>
            </w:r>
            <w:r>
              <w:rPr>
                <w:rFonts w:asciiTheme="minorEastAsia" w:hAnsiTheme="minorEastAsia" w:eastAsiaTheme="minorEastAsia"/>
                <w:color w:val="auto"/>
                <w:szCs w:val="21"/>
                <w:highlight w:val="none"/>
              </w:rPr>
              <w:t>的规定接受投诉。</w:t>
            </w:r>
            <w:r>
              <w:rPr>
                <w:rFonts w:hint="eastAsia" w:asciiTheme="minorEastAsia" w:hAnsiTheme="minorEastAsia" w:eastAsiaTheme="minorEastAsia"/>
                <w:color w:val="auto"/>
                <w:szCs w:val="21"/>
                <w:highlight w:val="none"/>
              </w:rPr>
              <w:t>投诉</w:t>
            </w:r>
            <w:r>
              <w:rPr>
                <w:rFonts w:asciiTheme="minorEastAsia" w:hAnsiTheme="minorEastAsia" w:eastAsiaTheme="minorEastAsia"/>
                <w:color w:val="auto"/>
                <w:szCs w:val="21"/>
                <w:highlight w:val="none"/>
              </w:rPr>
              <w:t>材料要求、</w:t>
            </w:r>
            <w:r>
              <w:rPr>
                <w:rFonts w:hint="eastAsia" w:asciiTheme="minorEastAsia" w:hAnsiTheme="minorEastAsia" w:eastAsiaTheme="minorEastAsia"/>
                <w:color w:val="auto"/>
                <w:szCs w:val="21"/>
                <w:highlight w:val="none"/>
              </w:rPr>
              <w:t>投诉</w:t>
            </w:r>
            <w:r>
              <w:rPr>
                <w:rFonts w:asciiTheme="minorEastAsia" w:hAnsiTheme="minorEastAsia" w:eastAsiaTheme="minorEastAsia"/>
                <w:color w:val="auto"/>
                <w:szCs w:val="21"/>
                <w:highlight w:val="none"/>
              </w:rPr>
              <w:t>受理条件及查处</w:t>
            </w:r>
            <w:r>
              <w:rPr>
                <w:rFonts w:hint="eastAsia" w:asciiTheme="minorEastAsia" w:hAnsiTheme="minorEastAsia" w:eastAsiaTheme="minorEastAsia"/>
                <w:color w:val="auto"/>
                <w:szCs w:val="21"/>
                <w:highlight w:val="none"/>
              </w:rPr>
              <w:t>按照上述</w:t>
            </w:r>
            <w:r>
              <w:rPr>
                <w:rFonts w:hint="eastAsia" w:cs="宋体" w:asciiTheme="minorEastAsia" w:hAnsiTheme="minorEastAsia" w:eastAsiaTheme="minorEastAsia"/>
                <w:color w:val="auto"/>
                <w:szCs w:val="21"/>
                <w:highlight w:val="none"/>
              </w:rPr>
              <w:t>规定执行</w:t>
            </w:r>
            <w:r>
              <w:rPr>
                <w:rFonts w:hint="eastAsia" w:asciiTheme="minorEastAsia" w:hAnsiTheme="minorEastAsia" w:eastAsiaTheme="minorEastAsia"/>
                <w:color w:val="auto"/>
                <w:szCs w:val="21"/>
                <w:highlight w:val="none"/>
              </w:rPr>
              <w:t>。</w:t>
            </w:r>
          </w:p>
          <w:p w14:paraId="64AF210D">
            <w:pPr>
              <w:pStyle w:val="299"/>
              <w:adjustRightInd w:val="0"/>
              <w:snapToGrid w:val="0"/>
              <w:spacing w:line="40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）投诉人认为招标投标活动不符合法律行政法规规定的，可以在知道或者应当知道之日起</w:t>
            </w: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日内提出书面投诉。依法应先提出异议的，异议答复期间不计算在内；异议人对答复不满意，应在异议答复之日起</w:t>
            </w: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日内提出书面投诉</w:t>
            </w:r>
            <w:r>
              <w:rPr>
                <w:rFonts w:hint="eastAsia" w:asciiTheme="minorEastAsia" w:hAnsiTheme="minorEastAsia" w:eastAsiaTheme="minorEastAsia"/>
                <w:color w:val="auto"/>
                <w:szCs w:val="21"/>
                <w:highlight w:val="none"/>
                <w:lang w:eastAsia="zh-CN"/>
              </w:rPr>
              <w:t>。</w:t>
            </w:r>
          </w:p>
          <w:p w14:paraId="681FEEB8">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）投诉人向行政监督部门提出投诉，应当实名提交投诉书</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u w:val="single"/>
              </w:rPr>
              <w:t>投诉书格式见投标人须知附件八</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rPr>
              <w:t>。</w:t>
            </w:r>
          </w:p>
          <w:p w14:paraId="401C8228">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）有下列情形之一的投诉，不予受理：</w:t>
            </w:r>
          </w:p>
          <w:p w14:paraId="5E4A32B7">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①投诉人不是所投诉招标投标活动的参与者，或者与投诉项目无任何利害关系；</w:t>
            </w:r>
          </w:p>
          <w:p w14:paraId="70743103">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②投诉事项不具体，且未提供有效的线索、证据，难以查证的；</w:t>
            </w:r>
          </w:p>
          <w:p w14:paraId="61DBE92A">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184C9B1D">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④应当在规定时间提出诉求而未提出，超出投诉时效的；</w:t>
            </w:r>
          </w:p>
          <w:p w14:paraId="7CC94D12">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⑤已经作出处理决定，且投诉人没有提出新的证据的；</w:t>
            </w:r>
          </w:p>
          <w:p w14:paraId="21FB2128">
            <w:pPr>
              <w:pStyle w:val="299"/>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⑥投诉事项应先提出异议没有提出异议、已进入行政复议或者司法程序的；</w:t>
            </w:r>
          </w:p>
          <w:p w14:paraId="60A06A26">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⑦其他行政主管部门已经受理的</w:t>
            </w:r>
          </w:p>
        </w:tc>
      </w:tr>
      <w:tr w14:paraId="07AD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4A78EA2">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8.5.2</w:t>
            </w:r>
          </w:p>
        </w:tc>
        <w:tc>
          <w:tcPr>
            <w:tcW w:w="2145" w:type="dxa"/>
            <w:vAlign w:val="center"/>
          </w:tcPr>
          <w:p w14:paraId="517211C0">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异议</w:t>
            </w:r>
          </w:p>
        </w:tc>
        <w:tc>
          <w:tcPr>
            <w:tcW w:w="5833" w:type="dxa"/>
            <w:vAlign w:val="center"/>
          </w:tcPr>
          <w:p w14:paraId="6B28E242">
            <w:pPr>
              <w:pStyle w:val="299"/>
              <w:adjustRightInd w:val="0"/>
              <w:snapToGrid w:val="0"/>
              <w:spacing w:line="400" w:lineRule="exact"/>
              <w:ind w:firstLine="210" w:firstLineChars="1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投标人或利害关系人认为招标投标活动存在不符合</w:t>
            </w:r>
            <w:r>
              <w:rPr>
                <w:rFonts w:hint="eastAsia" w:cs="宋体" w:asciiTheme="minorEastAsia" w:hAnsiTheme="minorEastAsia" w:eastAsiaTheme="minorEastAsia"/>
                <w:color w:val="auto"/>
                <w:szCs w:val="21"/>
                <w:highlight w:val="none"/>
                <w:lang w:eastAsia="zh-CN"/>
              </w:rPr>
              <w:t>法律法规</w:t>
            </w:r>
            <w:r>
              <w:rPr>
                <w:rFonts w:hint="eastAsia" w:cs="宋体" w:asciiTheme="minorEastAsia" w:hAnsiTheme="minorEastAsia" w:eastAsiaTheme="minorEastAsia"/>
                <w:color w:val="auto"/>
                <w:szCs w:val="21"/>
                <w:highlight w:val="none"/>
              </w:rPr>
              <w:t>和规章规定的，可以依法向招标人提出异议，或者依法向有关行政监督部门投诉。投标人或利害关系人对招标文件、开标、评标结果事项进行投诉的，应当依法先向招标人提出异议。</w:t>
            </w:r>
          </w:p>
          <w:p w14:paraId="31A88D40">
            <w:pPr>
              <w:pStyle w:val="299"/>
              <w:adjustRightInd w:val="0"/>
              <w:snapToGrid w:val="0"/>
              <w:spacing w:line="400" w:lineRule="exact"/>
              <w:ind w:firstLine="0" w:firstLineChars="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1）异议提出的期限规定如下：</w:t>
            </w:r>
          </w:p>
          <w:p w14:paraId="6C9B1907">
            <w:pPr>
              <w:pStyle w:val="299"/>
              <w:adjustRightInd w:val="0"/>
              <w:snapToGrid w:val="0"/>
              <w:spacing w:line="400" w:lineRule="exact"/>
              <w:ind w:firstLine="0" w:firstLineChars="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①对招标文件有异议的，潜在投标人或者其他利害关系人应当在提交投标文件截止时间</w:t>
            </w:r>
            <w:r>
              <w:rPr>
                <w:rFonts w:cs="宋体" w:asciiTheme="minorEastAsia" w:hAnsiTheme="minorEastAsia" w:eastAsiaTheme="minorEastAsia"/>
                <w:color w:val="auto"/>
                <w:szCs w:val="21"/>
                <w:highlight w:val="none"/>
              </w:rPr>
              <w:t>10日前提出</w:t>
            </w:r>
            <w:r>
              <w:rPr>
                <w:rFonts w:hint="eastAsia" w:cs="宋体" w:asciiTheme="minorEastAsia" w:hAnsiTheme="minorEastAsia" w:eastAsiaTheme="minorEastAsia"/>
                <w:color w:val="auto"/>
                <w:szCs w:val="21"/>
                <w:highlight w:val="none"/>
              </w:rPr>
              <w:t>；</w:t>
            </w:r>
          </w:p>
          <w:p w14:paraId="35C838A3">
            <w:pPr>
              <w:pStyle w:val="299"/>
              <w:adjustRightInd w:val="0"/>
              <w:snapToGrid w:val="0"/>
              <w:spacing w:line="400" w:lineRule="exact"/>
              <w:ind w:firstLine="0" w:firstLineChars="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②对提交投标文件的截标时间、开标程序、唱标内容、开标记录、唱标次序等开标有异议的，投标人应当在开标期间当场提出；</w:t>
            </w:r>
          </w:p>
          <w:p w14:paraId="75AC9C39">
            <w:pPr>
              <w:pStyle w:val="299"/>
              <w:adjustRightInd w:val="0"/>
              <w:snapToGrid w:val="0"/>
              <w:spacing w:line="400" w:lineRule="exact"/>
              <w:ind w:firstLine="0" w:firstLineChars="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③对评标有异议的，投标人或其他利害关系人应当在中标候选人的公示期间提出。</w:t>
            </w:r>
          </w:p>
          <w:p w14:paraId="14C796FB">
            <w:pPr>
              <w:pStyle w:val="299"/>
              <w:adjustRightInd w:val="0"/>
              <w:snapToGrid w:val="0"/>
              <w:spacing w:line="400" w:lineRule="exact"/>
              <w:ind w:firstLine="0" w:firstLineChars="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2）异议人提出异议应当提交异议书</w:t>
            </w:r>
            <w:r>
              <w:rPr>
                <w:rFonts w:hint="eastAsia" w:cs="宋体" w:asciiTheme="minorEastAsia" w:hAnsiTheme="minorEastAsia" w:eastAsiaTheme="minorEastAsia"/>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异议书格式见投标人须知附件七</w:t>
            </w:r>
            <w:r>
              <w:rPr>
                <w:rFonts w:hint="eastAsia" w:cs="宋体" w:asciiTheme="minorEastAsia" w:hAnsiTheme="minorEastAsia" w:eastAsiaTheme="minorEastAsia"/>
                <w:color w:val="auto"/>
                <w:szCs w:val="21"/>
                <w:highlight w:val="none"/>
                <w:u w:val="single"/>
                <w:lang w:eastAsia="zh-CN"/>
              </w:rPr>
              <w:t>）</w:t>
            </w:r>
            <w:r>
              <w:rPr>
                <w:rFonts w:cs="宋体" w:asciiTheme="minorEastAsia" w:hAnsiTheme="minorEastAsia" w:eastAsiaTheme="minorEastAsia"/>
                <w:color w:val="auto"/>
                <w:szCs w:val="21"/>
                <w:highlight w:val="none"/>
              </w:rPr>
              <w:t>，但异议仅涉及开标的除外</w:t>
            </w:r>
            <w:r>
              <w:rPr>
                <w:rFonts w:hint="eastAsia" w:cs="宋体" w:asciiTheme="minorEastAsia" w:hAnsiTheme="minorEastAsia" w:eastAsiaTheme="minorEastAsia"/>
                <w:color w:val="auto"/>
                <w:szCs w:val="21"/>
                <w:highlight w:val="none"/>
              </w:rPr>
              <w:t>。</w:t>
            </w:r>
          </w:p>
          <w:p w14:paraId="7BAAF1B0">
            <w:pPr>
              <w:pStyle w:val="299"/>
              <w:adjustRightInd w:val="0"/>
              <w:snapToGrid w:val="0"/>
              <w:spacing w:line="400" w:lineRule="exact"/>
              <w:ind w:firstLine="0" w:firstLineChars="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3）异议人是法人的，异议书必须由其法定代表人或者授权代表签字并加盖公章；其他组织或者个人提出异议的，异议书必须由其主要负责人或者提出异议的本人签字，并附真实有效身份证明复印件。</w:t>
            </w:r>
          </w:p>
          <w:p w14:paraId="0F88D162">
            <w:pPr>
              <w:pStyle w:val="299"/>
              <w:adjustRightInd w:val="0"/>
              <w:snapToGrid w:val="0"/>
              <w:spacing w:line="400" w:lineRule="exact"/>
              <w:ind w:firstLine="0" w:firstLineChars="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4）有下列情形之一的，招标人可以不予受理异议，并向异议人发出异议不予受理通知书：</w:t>
            </w:r>
          </w:p>
          <w:p w14:paraId="5CF2EC8E">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①异议人不是投标人、潜在投标人或者其他利害关系人；</w:t>
            </w:r>
          </w:p>
          <w:p w14:paraId="547B092A">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②未在法定的异议期限内提出的；</w:t>
            </w:r>
          </w:p>
          <w:p w14:paraId="611C64F2">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③规定应当以书面形式提出但未以书面形式提出的；</w:t>
            </w:r>
          </w:p>
          <w:p w14:paraId="4215CAA2">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④异议书未按照要求签字盖章的；</w:t>
            </w:r>
          </w:p>
          <w:p w14:paraId="4EE1C66C">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⑤异议书未提供有效联系人和联系方式的；</w:t>
            </w:r>
          </w:p>
          <w:p w14:paraId="74AA93E2">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⑥针对依法应当保密的信息和资料提出异议的；</w:t>
            </w:r>
          </w:p>
          <w:p w14:paraId="26B13380">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⑦开标现场已经投标人确认的事项，开标后投标人又就该事项提出异议的；</w:t>
            </w:r>
          </w:p>
          <w:p w14:paraId="31E474D4">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⑧招标人已经作出明确答复，无新的事实证据，又就同一问题提出异议的；</w:t>
            </w:r>
          </w:p>
          <w:p w14:paraId="438F7BB4">
            <w:pPr>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⑨异议人违反《中华人民共和国招标投标法》等法律规定，捏造事实、伪造材料或者以非法手段取得证明材料提出异议的。</w:t>
            </w:r>
          </w:p>
          <w:p w14:paraId="086713CC">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 xml:space="preserve">  招标人对异议未在规定时限内作出答复的，异议人可以向交通运输行政主管部门申诉，交通运输行政主管部门应当</w:t>
            </w:r>
            <w:r>
              <w:rPr>
                <w:rFonts w:hint="eastAsia" w:cs="宋体" w:asciiTheme="minorEastAsia" w:hAnsiTheme="minorEastAsia" w:eastAsiaTheme="minorEastAsia"/>
                <w:color w:val="auto"/>
                <w:szCs w:val="21"/>
                <w:highlight w:val="none"/>
              </w:rPr>
              <w:t>责令招标人依法作出答复。异议人对答复不满意的，可以提起投诉</w:t>
            </w:r>
          </w:p>
        </w:tc>
      </w:tr>
      <w:tr w14:paraId="59A3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9" w:type="dxa"/>
            <w:gridSpan w:val="3"/>
            <w:vAlign w:val="center"/>
          </w:tcPr>
          <w:p w14:paraId="1E48CFD1">
            <w:pPr>
              <w:adjustRightInd/>
              <w:snapToGrid/>
              <w:spacing w:line="400" w:lineRule="exact"/>
              <w:ind w:firstLine="211" w:firstLineChars="100"/>
              <w:jc w:val="center"/>
              <w:rPr>
                <w:rFonts w:hint="eastAsia" w:cs="Courier New" w:asciiTheme="minorEastAsia" w:hAnsiTheme="minorEastAsia" w:eastAsiaTheme="minorEastAsia"/>
                <w:color w:val="auto"/>
                <w:highlight w:val="none"/>
              </w:rPr>
            </w:pPr>
            <w:r>
              <w:rPr>
                <w:rFonts w:hint="eastAsia" w:asciiTheme="minorEastAsia" w:hAnsiTheme="minorEastAsia" w:eastAsiaTheme="minorEastAsia"/>
                <w:b/>
                <w:color w:val="auto"/>
                <w:szCs w:val="21"/>
                <w:highlight w:val="none"/>
              </w:rPr>
              <w:t>需要补充的其他内容</w:t>
            </w:r>
          </w:p>
        </w:tc>
      </w:tr>
      <w:tr w14:paraId="019B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911" w:type="dxa"/>
            <w:vAlign w:val="center"/>
          </w:tcPr>
          <w:p w14:paraId="231A8900">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hint="eastAsia" w:cs="Courier New" w:asciiTheme="minorEastAsia" w:hAnsiTheme="minorEastAsia" w:eastAsiaTheme="minorEastAsia"/>
                <w:color w:val="auto"/>
                <w:szCs w:val="21"/>
                <w:highlight w:val="none"/>
                <w:lang w:val="en-US" w:eastAsia="zh-CN"/>
              </w:rPr>
              <w:t>10</w:t>
            </w:r>
            <w:r>
              <w:rPr>
                <w:rFonts w:cs="Courier New" w:asciiTheme="minorEastAsia" w:hAnsiTheme="minorEastAsia" w:eastAsiaTheme="minorEastAsia"/>
                <w:color w:val="auto"/>
                <w:szCs w:val="21"/>
                <w:highlight w:val="none"/>
              </w:rPr>
              <w:t>.1</w:t>
            </w:r>
          </w:p>
        </w:tc>
        <w:tc>
          <w:tcPr>
            <w:tcW w:w="2145" w:type="dxa"/>
            <w:vAlign w:val="center"/>
          </w:tcPr>
          <w:p w14:paraId="1BA25864">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cs="Courier New" w:asciiTheme="minorEastAsia" w:hAnsiTheme="minorEastAsia" w:eastAsiaTheme="minorEastAsia"/>
                <w:color w:val="auto"/>
                <w:szCs w:val="21"/>
                <w:highlight w:val="none"/>
              </w:rPr>
              <w:t>投标人的</w:t>
            </w:r>
            <w:r>
              <w:rPr>
                <w:rFonts w:hint="eastAsia" w:cs="Courier New" w:asciiTheme="minorEastAsia" w:hAnsiTheme="minorEastAsia" w:eastAsiaTheme="minorEastAsia"/>
                <w:color w:val="auto"/>
                <w:szCs w:val="21"/>
                <w:highlight w:val="none"/>
                <w:lang w:val="en-US" w:eastAsia="zh-CN"/>
              </w:rPr>
              <w:t>通信</w:t>
            </w:r>
            <w:r>
              <w:rPr>
                <w:rFonts w:cs="Courier New" w:asciiTheme="minorEastAsia" w:hAnsiTheme="minorEastAsia" w:eastAsiaTheme="minorEastAsia"/>
                <w:color w:val="auto"/>
                <w:szCs w:val="21"/>
                <w:highlight w:val="none"/>
              </w:rPr>
              <w:t>和其他要求</w:t>
            </w:r>
          </w:p>
        </w:tc>
        <w:tc>
          <w:tcPr>
            <w:tcW w:w="5833" w:type="dxa"/>
            <w:vAlign w:val="center"/>
          </w:tcPr>
          <w:p w14:paraId="01A9BD46">
            <w:pPr>
              <w:pStyle w:val="299"/>
              <w:adjustRightInd w:val="0"/>
              <w:snapToGrid w:val="0"/>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投标人在送交投标文件之前无</w:t>
            </w:r>
            <w:r>
              <w:rPr>
                <w:rFonts w:hint="eastAsia" w:asciiTheme="minorEastAsia" w:hAnsiTheme="minorEastAsia" w:eastAsiaTheme="minorEastAsia"/>
                <w:color w:val="auto"/>
                <w:szCs w:val="21"/>
                <w:highlight w:val="none"/>
                <w:lang w:val="en-US" w:eastAsia="zh-CN"/>
              </w:rPr>
              <w:t>须</w:t>
            </w:r>
            <w:r>
              <w:rPr>
                <w:rFonts w:hint="eastAsia" w:asciiTheme="minorEastAsia" w:hAnsiTheme="minorEastAsia" w:eastAsiaTheme="minorEastAsia"/>
                <w:color w:val="auto"/>
                <w:szCs w:val="21"/>
                <w:highlight w:val="none"/>
              </w:rPr>
              <w:t>向招标人登记有关投标人信息，不提供联系方式；</w:t>
            </w:r>
          </w:p>
          <w:p w14:paraId="37FFA182">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投标人在递交或上传投标文件</w:t>
            </w:r>
            <w:r>
              <w:rPr>
                <w:rFonts w:hint="eastAsia" w:asciiTheme="minorEastAsia" w:hAnsiTheme="minorEastAsia" w:eastAsiaTheme="minorEastAsia"/>
                <w:color w:val="auto"/>
                <w:szCs w:val="21"/>
                <w:highlight w:val="none"/>
              </w:rPr>
              <w:t>时登记的投标人信息及有效的联系方式（电话、传真、电子邮件），至评标结果公示前，必须保证其提供的联系方式处于有效工作状态，否则由此引起的一切后果由投标人承担</w:t>
            </w:r>
          </w:p>
        </w:tc>
      </w:tr>
      <w:tr w14:paraId="7405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876E810">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10</w:t>
            </w:r>
            <w:r>
              <w:rPr>
                <w:rFonts w:cs="宋体" w:asciiTheme="minorEastAsia" w:hAnsiTheme="minorEastAsia" w:eastAsiaTheme="minorEastAsia"/>
                <w:color w:val="auto"/>
                <w:szCs w:val="21"/>
                <w:highlight w:val="none"/>
              </w:rPr>
              <w:t>.2</w:t>
            </w:r>
          </w:p>
        </w:tc>
        <w:tc>
          <w:tcPr>
            <w:tcW w:w="2145" w:type="dxa"/>
            <w:vAlign w:val="center"/>
          </w:tcPr>
          <w:p w14:paraId="65AF1EF3">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合同</w:t>
            </w:r>
            <w:r>
              <w:rPr>
                <w:rFonts w:hint="eastAsia" w:cs="宋体" w:asciiTheme="minorEastAsia" w:hAnsiTheme="minorEastAsia" w:eastAsiaTheme="minorEastAsia"/>
                <w:color w:val="auto"/>
                <w:szCs w:val="21"/>
                <w:highlight w:val="none"/>
              </w:rPr>
              <w:t>权利义务</w:t>
            </w:r>
            <w:r>
              <w:rPr>
                <w:rFonts w:hint="eastAsia" w:cs="宋体" w:asciiTheme="minorEastAsia" w:hAnsiTheme="minorEastAsia" w:eastAsiaTheme="minorEastAsia"/>
                <w:color w:val="auto"/>
                <w:szCs w:val="21"/>
                <w:highlight w:val="none"/>
                <w:lang w:val="en-US" w:eastAsia="zh-CN"/>
              </w:rPr>
              <w:t>要求</w:t>
            </w:r>
          </w:p>
        </w:tc>
        <w:tc>
          <w:tcPr>
            <w:tcW w:w="5833" w:type="dxa"/>
            <w:vAlign w:val="center"/>
          </w:tcPr>
          <w:p w14:paraId="34B08718">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1）投标人应接受招标文件规定的风险划分原则，未提出新的风险划分办法；</w:t>
            </w:r>
          </w:p>
          <w:p w14:paraId="4BA23309">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2）投标人未增加发包人的责任范围，或减少投标人义务；</w:t>
            </w:r>
          </w:p>
          <w:p w14:paraId="7A6496F3">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3）投标人未提出不同的工程验收、计量、支付办法；</w:t>
            </w:r>
          </w:p>
          <w:p w14:paraId="42066E6E">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4）投标人对合同纠纷、事故处理办法未提出异议；</w:t>
            </w:r>
          </w:p>
          <w:p w14:paraId="68D61A48">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5）投标人在投标活动中无欺诈行为；</w:t>
            </w:r>
          </w:p>
          <w:p w14:paraId="5CF39980">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6）投标人未对合同条款有重要保留</w:t>
            </w:r>
          </w:p>
        </w:tc>
      </w:tr>
      <w:tr w14:paraId="55FA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D52C95D">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10</w:t>
            </w:r>
            <w:r>
              <w:rPr>
                <w:rFonts w:cs="宋体" w:asciiTheme="minorEastAsia" w:hAnsiTheme="minorEastAsia" w:eastAsiaTheme="minorEastAsia"/>
                <w:color w:val="auto"/>
                <w:szCs w:val="21"/>
                <w:highlight w:val="none"/>
              </w:rPr>
              <w:t>.3</w:t>
            </w:r>
          </w:p>
        </w:tc>
        <w:tc>
          <w:tcPr>
            <w:tcW w:w="2145" w:type="dxa"/>
            <w:vAlign w:val="center"/>
          </w:tcPr>
          <w:p w14:paraId="505DC16B">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纳入信用</w:t>
            </w:r>
            <w:r>
              <w:rPr>
                <w:rFonts w:hint="eastAsia" w:cs="宋体" w:asciiTheme="minorEastAsia" w:hAnsiTheme="minorEastAsia" w:eastAsiaTheme="minorEastAsia"/>
                <w:color w:val="auto"/>
                <w:szCs w:val="21"/>
                <w:highlight w:val="none"/>
              </w:rPr>
              <w:t>处理</w:t>
            </w:r>
            <w:r>
              <w:rPr>
                <w:rFonts w:hint="eastAsia" w:cs="宋体" w:asciiTheme="minorEastAsia" w:hAnsiTheme="minorEastAsia" w:eastAsiaTheme="minorEastAsia"/>
                <w:color w:val="auto"/>
                <w:szCs w:val="21"/>
                <w:highlight w:val="none"/>
                <w:lang w:val="en-US" w:eastAsia="zh-CN"/>
              </w:rPr>
              <w:t>的</w:t>
            </w:r>
            <w:r>
              <w:rPr>
                <w:rFonts w:hint="eastAsia" w:cs="宋体" w:asciiTheme="minorEastAsia" w:hAnsiTheme="minorEastAsia" w:eastAsiaTheme="minorEastAsia"/>
                <w:color w:val="auto"/>
                <w:szCs w:val="21"/>
                <w:highlight w:val="none"/>
              </w:rPr>
              <w:t>放弃中标</w:t>
            </w:r>
            <w:r>
              <w:rPr>
                <w:rFonts w:hint="eastAsia" w:cs="宋体" w:asciiTheme="minorEastAsia" w:hAnsiTheme="minorEastAsia" w:eastAsiaTheme="minorEastAsia"/>
                <w:color w:val="auto"/>
                <w:szCs w:val="21"/>
                <w:highlight w:val="none"/>
                <w:lang w:val="en-US" w:eastAsia="zh-CN"/>
              </w:rPr>
              <w:t>行为</w:t>
            </w:r>
          </w:p>
        </w:tc>
        <w:tc>
          <w:tcPr>
            <w:tcW w:w="5833" w:type="dxa"/>
            <w:vAlign w:val="center"/>
          </w:tcPr>
          <w:p w14:paraId="5B6ADD99">
            <w:pPr>
              <w:pStyle w:val="299"/>
              <w:adjustRightInd w:val="0"/>
              <w:snapToGrid w:val="0"/>
              <w:spacing w:line="400" w:lineRule="exact"/>
              <w:rPr>
                <w:rFonts w:cs="宋体" w:asciiTheme="minorEastAsia" w:hAnsiTheme="minorEastAsia"/>
                <w:color w:val="auto"/>
                <w:szCs w:val="21"/>
                <w:highlight w:val="none"/>
              </w:rPr>
            </w:pPr>
            <w:r>
              <w:rPr>
                <w:rFonts w:cs="宋体" w:asciiTheme="minorEastAsia" w:hAnsiTheme="minorEastAsia"/>
                <w:color w:val="auto"/>
                <w:szCs w:val="21"/>
                <w:highlight w:val="none"/>
              </w:rPr>
              <w:t>投标人有下列</w:t>
            </w:r>
            <w:r>
              <w:rPr>
                <w:rFonts w:hint="eastAsia" w:cs="宋体" w:asciiTheme="minorEastAsia" w:hAnsiTheme="minorEastAsia"/>
                <w:color w:val="auto"/>
                <w:szCs w:val="21"/>
                <w:highlight w:val="none"/>
              </w:rPr>
              <w:t>放弃中标</w:t>
            </w:r>
            <w:r>
              <w:rPr>
                <w:rFonts w:cs="宋体" w:asciiTheme="minorEastAsia" w:hAnsiTheme="minorEastAsia"/>
                <w:color w:val="auto"/>
                <w:szCs w:val="21"/>
                <w:highlight w:val="none"/>
              </w:rPr>
              <w:t>行为的，</w:t>
            </w:r>
            <w:r>
              <w:rPr>
                <w:rFonts w:hint="eastAsia" w:cs="宋体" w:asciiTheme="minorEastAsia" w:hAnsiTheme="minorEastAsia"/>
                <w:color w:val="auto"/>
                <w:szCs w:val="21"/>
                <w:highlight w:val="none"/>
              </w:rPr>
              <w:t>将上报省级</w:t>
            </w:r>
            <w:r>
              <w:rPr>
                <w:rFonts w:hint="eastAsia" w:cs="宋体" w:asciiTheme="minorEastAsia" w:hAnsiTheme="minorEastAsia"/>
                <w:color w:val="auto"/>
                <w:szCs w:val="21"/>
                <w:highlight w:val="none"/>
                <w:lang w:eastAsia="zh-CN"/>
              </w:rPr>
              <w:t>交通运输主管部门</w:t>
            </w:r>
            <w:r>
              <w:rPr>
                <w:rFonts w:hint="eastAsia" w:cs="宋体" w:asciiTheme="minorEastAsia" w:hAnsiTheme="minorEastAsia"/>
                <w:color w:val="auto"/>
                <w:szCs w:val="21"/>
                <w:highlight w:val="none"/>
              </w:rPr>
              <w:t>建议纳入信用信息管理：</w:t>
            </w:r>
          </w:p>
          <w:p w14:paraId="31C7CF8C">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投标人在</w:t>
            </w:r>
            <w:r>
              <w:rPr>
                <w:rFonts w:cs="宋体" w:asciiTheme="minorEastAsia" w:hAnsiTheme="minorEastAsia" w:eastAsiaTheme="minorEastAsia"/>
                <w:color w:val="auto"/>
                <w:szCs w:val="21"/>
                <w:highlight w:val="none"/>
              </w:rPr>
              <w:t>投标有效期内撤销投标文件</w:t>
            </w:r>
            <w:r>
              <w:rPr>
                <w:rFonts w:hint="eastAsia" w:cs="宋体" w:asciiTheme="minorEastAsia" w:hAnsiTheme="minorEastAsia" w:eastAsiaTheme="minorEastAsia"/>
                <w:color w:val="auto"/>
                <w:szCs w:val="21"/>
                <w:highlight w:val="none"/>
                <w:lang w:val="en-US" w:eastAsia="zh-CN"/>
              </w:rPr>
              <w:t>的</w:t>
            </w:r>
            <w:r>
              <w:rPr>
                <w:rFonts w:hint="eastAsia" w:cs="宋体" w:asciiTheme="minorEastAsia" w:hAnsiTheme="minorEastAsia" w:eastAsiaTheme="minorEastAsia"/>
                <w:color w:val="auto"/>
                <w:szCs w:val="21"/>
                <w:highlight w:val="none"/>
                <w:lang w:eastAsia="zh-CN"/>
              </w:rPr>
              <w:t>；</w:t>
            </w:r>
          </w:p>
          <w:p w14:paraId="4AFDD85D">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2）中标人在收到中标通知书后，无正当理由不与招标人订立合同，在签订合同时向招标人提出附加条件或未按招标文件规定提交履约保证金</w:t>
            </w:r>
            <w:r>
              <w:rPr>
                <w:rFonts w:hint="eastAsia" w:cs="宋体" w:asciiTheme="minorEastAsia" w:hAnsiTheme="minorEastAsia" w:eastAsiaTheme="minorEastAsia"/>
                <w:color w:val="auto"/>
                <w:szCs w:val="21"/>
                <w:highlight w:val="none"/>
                <w:lang w:val="en-US" w:eastAsia="zh-CN"/>
              </w:rPr>
              <w:t>的</w:t>
            </w:r>
            <w:r>
              <w:rPr>
                <w:rFonts w:cs="宋体" w:asciiTheme="minorEastAsia" w:hAnsiTheme="minorEastAsia" w:eastAsiaTheme="minorEastAsia"/>
                <w:color w:val="auto"/>
                <w:szCs w:val="21"/>
                <w:highlight w:val="none"/>
              </w:rPr>
              <w:t>；</w:t>
            </w:r>
          </w:p>
          <w:p w14:paraId="3CB49C13">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3）合同协议书签订后，中标人放弃合同</w:t>
            </w:r>
            <w:r>
              <w:rPr>
                <w:rFonts w:hint="eastAsia" w:cs="宋体" w:asciiTheme="minorEastAsia" w:hAnsiTheme="minorEastAsia" w:eastAsiaTheme="minorEastAsia"/>
                <w:color w:val="auto"/>
                <w:szCs w:val="21"/>
                <w:highlight w:val="none"/>
                <w:lang w:val="en-US" w:eastAsia="zh-CN"/>
              </w:rPr>
              <w:t>的</w:t>
            </w:r>
          </w:p>
        </w:tc>
      </w:tr>
      <w:tr w14:paraId="12D0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24BD354">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10</w:t>
            </w:r>
            <w:r>
              <w:rPr>
                <w:rFonts w:cs="宋体" w:asciiTheme="minorEastAsia" w:hAnsiTheme="minorEastAsia" w:eastAsiaTheme="minorEastAsia"/>
                <w:color w:val="auto"/>
                <w:szCs w:val="21"/>
                <w:highlight w:val="none"/>
              </w:rPr>
              <w:t>.4</w:t>
            </w:r>
          </w:p>
        </w:tc>
        <w:tc>
          <w:tcPr>
            <w:tcW w:w="2145" w:type="dxa"/>
            <w:vAlign w:val="center"/>
          </w:tcPr>
          <w:p w14:paraId="3CC25E2C">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开展扫黑除恶斗争的要求</w:t>
            </w:r>
          </w:p>
        </w:tc>
        <w:tc>
          <w:tcPr>
            <w:tcW w:w="5833" w:type="dxa"/>
            <w:vAlign w:val="center"/>
          </w:tcPr>
          <w:p w14:paraId="1E7B3EE1">
            <w:pPr>
              <w:adjustRightInd w:val="0"/>
              <w:snapToGrid w:val="0"/>
              <w:spacing w:line="400" w:lineRule="exact"/>
              <w:ind w:firstLine="210" w:firstLineChars="1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cs="宋体" w:asciiTheme="minorEastAsia" w:hAnsiTheme="minorEastAsia" w:eastAsiaTheme="minorEastAsia"/>
                <w:color w:val="auto"/>
                <w:szCs w:val="21"/>
                <w:highlight w:val="none"/>
                <w:u w:val="single"/>
              </w:rPr>
              <w:t>《四川省交通运输厅关于开展公路水运建设领域建设环境专项整治工作的通知》（川交函〔</w:t>
            </w:r>
            <w:r>
              <w:rPr>
                <w:rFonts w:cs="宋体" w:asciiTheme="minorEastAsia" w:hAnsiTheme="minorEastAsia" w:eastAsiaTheme="minorEastAsia"/>
                <w:color w:val="auto"/>
                <w:szCs w:val="21"/>
                <w:highlight w:val="none"/>
                <w:u w:val="single"/>
              </w:rPr>
              <w:t>2018〕657号）、《四川省交通运输厅关于开展公路水运建设领域恶意竞标专项整治工作的通知》（川交函〔2018〕656号）</w:t>
            </w:r>
            <w:r>
              <w:rPr>
                <w:rFonts w:cs="宋体" w:asciiTheme="minorEastAsia" w:hAnsiTheme="minorEastAsia" w:eastAsiaTheme="minorEastAsia"/>
                <w:color w:val="auto"/>
                <w:szCs w:val="21"/>
                <w:highlight w:val="none"/>
              </w:rPr>
              <w:t>文件要求做好相关工作</w:t>
            </w:r>
          </w:p>
        </w:tc>
      </w:tr>
      <w:tr w14:paraId="569F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61F6A1A">
            <w:pPr>
              <w:adjustRightInd w:val="0"/>
              <w:snapToGrid w:val="0"/>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10</w:t>
            </w:r>
            <w:r>
              <w:rPr>
                <w:rFonts w:cs="宋体" w:asciiTheme="minorEastAsia" w:hAnsiTheme="minorEastAsia" w:eastAsiaTheme="minorEastAsia"/>
                <w:color w:val="auto"/>
                <w:szCs w:val="21"/>
                <w:highlight w:val="none"/>
              </w:rPr>
              <w:t>.5</w:t>
            </w:r>
          </w:p>
        </w:tc>
        <w:tc>
          <w:tcPr>
            <w:tcW w:w="2145" w:type="dxa"/>
            <w:vAlign w:val="center"/>
          </w:tcPr>
          <w:p w14:paraId="2529CE1C">
            <w:pPr>
              <w:pStyle w:val="299"/>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扫黑除恶</w:t>
            </w:r>
          </w:p>
          <w:p w14:paraId="18F7B018">
            <w:pPr>
              <w:adjustRightInd w:val="0"/>
              <w:snapToGrid w:val="0"/>
              <w:spacing w:line="40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举报电话</w:t>
            </w:r>
          </w:p>
        </w:tc>
        <w:tc>
          <w:tcPr>
            <w:tcW w:w="5833" w:type="dxa"/>
            <w:vAlign w:val="center"/>
          </w:tcPr>
          <w:p w14:paraId="3530FDD8">
            <w:pPr>
              <w:pStyle w:val="299"/>
              <w:adjustRightInd w:val="0"/>
              <w:snapToGrid w:val="0"/>
              <w:spacing w:line="400" w:lineRule="exact"/>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lang w:val="en-US" w:eastAsia="zh-CN"/>
              </w:rPr>
              <w:t>四川</w:t>
            </w:r>
            <w:r>
              <w:rPr>
                <w:rFonts w:hint="eastAsia" w:cs="宋体" w:asciiTheme="minorEastAsia" w:hAnsiTheme="minorEastAsia" w:eastAsiaTheme="minorEastAsia"/>
                <w:color w:val="auto"/>
                <w:szCs w:val="21"/>
                <w:highlight w:val="none"/>
                <w:u w:val="none"/>
              </w:rPr>
              <w:t>省交通运输厅：</w:t>
            </w:r>
          </w:p>
          <w:p w14:paraId="13AA5AA9">
            <w:pPr>
              <w:pStyle w:val="299"/>
              <w:adjustRightInd w:val="0"/>
              <w:snapToGrid w:val="0"/>
              <w:spacing w:line="400" w:lineRule="exact"/>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厅扫黑除恶办公室举报电话：</w:t>
            </w:r>
            <w:r>
              <w:rPr>
                <w:rFonts w:cs="宋体" w:asciiTheme="minorEastAsia" w:hAnsiTheme="minorEastAsia" w:eastAsiaTheme="minorEastAsia"/>
                <w:color w:val="auto"/>
                <w:szCs w:val="21"/>
                <w:highlight w:val="none"/>
                <w:u w:val="none"/>
              </w:rPr>
              <w:t>028-85553206</w:t>
            </w:r>
          </w:p>
          <w:p w14:paraId="0B3B15D3">
            <w:pPr>
              <w:pStyle w:val="299"/>
              <w:adjustRightInd w:val="0"/>
              <w:snapToGrid w:val="0"/>
              <w:spacing w:line="400" w:lineRule="exact"/>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驻厅纪检组举报电话：</w:t>
            </w:r>
            <w:r>
              <w:rPr>
                <w:rFonts w:cs="宋体" w:asciiTheme="minorEastAsia" w:hAnsiTheme="minorEastAsia" w:eastAsiaTheme="minorEastAsia"/>
                <w:color w:val="auto"/>
                <w:szCs w:val="21"/>
                <w:highlight w:val="none"/>
                <w:u w:val="none"/>
              </w:rPr>
              <w:t>028-85525235</w:t>
            </w:r>
          </w:p>
          <w:p w14:paraId="4733CF35">
            <w:pPr>
              <w:pStyle w:val="299"/>
              <w:adjustRightInd w:val="0"/>
              <w:snapToGrid w:val="0"/>
              <w:spacing w:line="400" w:lineRule="exact"/>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厅建设管理处举报电话：</w:t>
            </w:r>
            <w:r>
              <w:rPr>
                <w:rFonts w:cs="宋体" w:asciiTheme="minorEastAsia" w:hAnsiTheme="minorEastAsia" w:eastAsiaTheme="minorEastAsia"/>
                <w:color w:val="auto"/>
                <w:szCs w:val="21"/>
                <w:highlight w:val="none"/>
                <w:u w:val="none"/>
              </w:rPr>
              <w:t>028-85525314</w:t>
            </w:r>
          </w:p>
          <w:p w14:paraId="63819D15">
            <w:pPr>
              <w:pStyle w:val="299"/>
              <w:adjustRightInd w:val="0"/>
              <w:snapToGrid w:val="0"/>
              <w:spacing w:line="400" w:lineRule="exact"/>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厅公路局举报电话：</w:t>
            </w:r>
            <w:r>
              <w:rPr>
                <w:rFonts w:cs="宋体" w:asciiTheme="minorEastAsia" w:hAnsiTheme="minorEastAsia" w:eastAsiaTheme="minorEastAsia"/>
                <w:color w:val="auto"/>
                <w:szCs w:val="21"/>
                <w:highlight w:val="none"/>
                <w:u w:val="none"/>
              </w:rPr>
              <w:t>028-85558140</w:t>
            </w:r>
          </w:p>
          <w:p w14:paraId="7E7297B7">
            <w:pPr>
              <w:pStyle w:val="299"/>
              <w:adjustRightInd w:val="0"/>
              <w:snapToGrid w:val="0"/>
              <w:spacing w:line="400" w:lineRule="exact"/>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厅航务海事中心举报电话：</w:t>
            </w:r>
            <w:r>
              <w:rPr>
                <w:rFonts w:cs="宋体" w:asciiTheme="minorEastAsia" w:hAnsiTheme="minorEastAsia" w:eastAsiaTheme="minorEastAsia"/>
                <w:color w:val="auto"/>
                <w:szCs w:val="21"/>
                <w:highlight w:val="none"/>
                <w:u w:val="none"/>
              </w:rPr>
              <w:t>028-85525767</w:t>
            </w:r>
          </w:p>
          <w:p w14:paraId="31197296">
            <w:pPr>
              <w:pStyle w:val="299"/>
              <w:adjustRightInd w:val="0"/>
              <w:snapToGrid w:val="0"/>
              <w:spacing w:line="400" w:lineRule="exact"/>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举报传真：</w:t>
            </w:r>
            <w:r>
              <w:rPr>
                <w:rFonts w:cs="宋体" w:asciiTheme="minorEastAsia" w:hAnsiTheme="minorEastAsia" w:eastAsiaTheme="minorEastAsia"/>
                <w:color w:val="auto"/>
                <w:szCs w:val="21"/>
                <w:highlight w:val="none"/>
                <w:u w:val="none"/>
              </w:rPr>
              <w:t>028-85525338</w:t>
            </w:r>
          </w:p>
          <w:p w14:paraId="21AADA57">
            <w:pPr>
              <w:pStyle w:val="299"/>
              <w:adjustRightInd w:val="0"/>
              <w:snapToGrid w:val="0"/>
              <w:spacing w:line="400" w:lineRule="exact"/>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举报邮箱：</w:t>
            </w:r>
            <w:r>
              <w:rPr>
                <w:color w:val="auto"/>
                <w:highlight w:val="none"/>
                <w:u w:val="none"/>
              </w:rPr>
              <w:fldChar w:fldCharType="begin"/>
            </w:r>
            <w:r>
              <w:rPr>
                <w:color w:val="auto"/>
                <w:highlight w:val="none"/>
                <w:u w:val="none"/>
              </w:rPr>
              <w:instrText xml:space="preserve"> HYPERLINK "mailto:scjtshce@scjt.gov.cn" </w:instrText>
            </w:r>
            <w:r>
              <w:rPr>
                <w:color w:val="auto"/>
                <w:highlight w:val="none"/>
                <w:u w:val="none"/>
              </w:rPr>
              <w:fldChar w:fldCharType="separate"/>
            </w:r>
            <w:r>
              <w:rPr>
                <w:rFonts w:cs="宋体" w:asciiTheme="minorEastAsia" w:hAnsiTheme="minorEastAsia" w:eastAsiaTheme="minorEastAsia"/>
                <w:color w:val="auto"/>
                <w:szCs w:val="21"/>
                <w:highlight w:val="none"/>
                <w:u w:val="none"/>
              </w:rPr>
              <w:t>scjtshce@scjt.gov.cn</w:t>
            </w:r>
            <w:r>
              <w:rPr>
                <w:rFonts w:cs="宋体" w:asciiTheme="minorEastAsia" w:hAnsiTheme="minorEastAsia" w:eastAsiaTheme="minorEastAsia"/>
                <w:color w:val="auto"/>
                <w:szCs w:val="21"/>
                <w:highlight w:val="none"/>
                <w:u w:val="none"/>
              </w:rPr>
              <w:fldChar w:fldCharType="end"/>
            </w:r>
          </w:p>
          <w:p w14:paraId="058ECBC1">
            <w:pPr>
              <w:pStyle w:val="299"/>
              <w:adjustRightInd w:val="0"/>
              <w:snapToGrid w:val="0"/>
              <w:spacing w:line="400" w:lineRule="exact"/>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举报地址：四川省成都市武侯祠大街</w:t>
            </w:r>
            <w:r>
              <w:rPr>
                <w:rFonts w:cs="宋体" w:asciiTheme="minorEastAsia" w:hAnsiTheme="minorEastAsia" w:eastAsiaTheme="minorEastAsia"/>
                <w:color w:val="auto"/>
                <w:szCs w:val="21"/>
                <w:highlight w:val="none"/>
                <w:u w:val="none"/>
              </w:rPr>
              <w:t>180号四川省交通运输厅二楼扫黑除恶办公室</w:t>
            </w:r>
          </w:p>
          <w:p w14:paraId="1F9F1EA3">
            <w:pPr>
              <w:adjustRightInd w:val="0"/>
              <w:snapToGrid w:val="0"/>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u w:val="none"/>
              </w:rPr>
              <w:t>邮政编码：</w:t>
            </w:r>
            <w:r>
              <w:rPr>
                <w:rFonts w:cs="宋体" w:asciiTheme="minorEastAsia" w:hAnsiTheme="minorEastAsia" w:eastAsiaTheme="minorEastAsia"/>
                <w:color w:val="auto"/>
                <w:szCs w:val="21"/>
                <w:highlight w:val="none"/>
                <w:u w:val="none"/>
              </w:rPr>
              <w:t>610041</w:t>
            </w:r>
          </w:p>
        </w:tc>
      </w:tr>
      <w:tr w14:paraId="7CEC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FD2D3BC">
            <w:pPr>
              <w:adjustRightInd w:val="0"/>
              <w:snapToGrid w:val="0"/>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10</w:t>
            </w:r>
            <w:r>
              <w:rPr>
                <w:rFonts w:cs="宋体" w:asciiTheme="minorEastAsia" w:hAnsiTheme="minorEastAsia" w:eastAsiaTheme="minorEastAsia"/>
                <w:color w:val="auto"/>
                <w:szCs w:val="21"/>
                <w:highlight w:val="none"/>
              </w:rPr>
              <w:t>.6</w:t>
            </w:r>
          </w:p>
        </w:tc>
        <w:tc>
          <w:tcPr>
            <w:tcW w:w="2145" w:type="dxa"/>
            <w:vAlign w:val="center"/>
          </w:tcPr>
          <w:p w14:paraId="06222F62">
            <w:pPr>
              <w:adjustRightInd w:val="0"/>
              <w:snapToGrid w:val="0"/>
              <w:spacing w:line="40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招标代理服务费</w:t>
            </w:r>
          </w:p>
        </w:tc>
        <w:tc>
          <w:tcPr>
            <w:tcW w:w="5833" w:type="dxa"/>
            <w:vAlign w:val="center"/>
          </w:tcPr>
          <w:p w14:paraId="3A10132D">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rPr>
              <w:t>无</w:t>
            </w:r>
          </w:p>
          <w:p w14:paraId="3E447088">
            <w:pPr>
              <w:pStyle w:val="299"/>
              <w:adjustRightInd w:val="0"/>
              <w:snapToGrid w:val="0"/>
              <w:spacing w:line="400" w:lineRule="exac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有，招标代理服务费金额：</w:t>
            </w:r>
            <w:r>
              <w:rPr>
                <w:rFonts w:cs="宋体" w:asciiTheme="minorEastAsia" w:hAnsiTheme="minorEastAsia" w:eastAsiaTheme="minorEastAsia"/>
                <w:color w:val="auto"/>
                <w:szCs w:val="21"/>
                <w:highlight w:val="none"/>
                <w:u w:val="single"/>
              </w:rPr>
              <w:t xml:space="preserve">                 </w:t>
            </w:r>
          </w:p>
          <w:p w14:paraId="2FE0A19C">
            <w:pPr>
              <w:pStyle w:val="299"/>
              <w:adjustRightInd w:val="0"/>
              <w:snapToGrid w:val="0"/>
              <w:spacing w:line="400" w:lineRule="exact"/>
              <w:ind w:firstLine="210" w:firstLineChars="1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支付方式：</w:t>
            </w:r>
            <w:r>
              <w:rPr>
                <w:rFonts w:cs="宋体" w:asciiTheme="minorEastAsia" w:hAnsiTheme="minorEastAsia" w:eastAsiaTheme="minorEastAsia"/>
                <w:color w:val="auto"/>
                <w:szCs w:val="21"/>
                <w:highlight w:val="none"/>
                <w:u w:val="single"/>
              </w:rPr>
              <w:t xml:space="preserve">                                 </w:t>
            </w:r>
          </w:p>
          <w:p w14:paraId="5F414747">
            <w:pPr>
              <w:adjustRightInd w:val="0"/>
              <w:snapToGrid w:val="0"/>
              <w:spacing w:line="400" w:lineRule="exact"/>
              <w:ind w:firstLine="210" w:firstLineChars="100"/>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支付时间：</w:t>
            </w:r>
            <w:r>
              <w:rPr>
                <w:rFonts w:cs="宋体" w:asciiTheme="minorEastAsia" w:hAnsiTheme="minorEastAsia" w:eastAsiaTheme="minorEastAsia"/>
                <w:color w:val="auto"/>
                <w:szCs w:val="21"/>
                <w:highlight w:val="none"/>
                <w:u w:val="single"/>
              </w:rPr>
              <w:t xml:space="preserve">                                 </w:t>
            </w:r>
          </w:p>
        </w:tc>
      </w:tr>
      <w:tr w14:paraId="0C65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1" w:type="dxa"/>
            <w:vAlign w:val="center"/>
          </w:tcPr>
          <w:p w14:paraId="5447F89A">
            <w:pPr>
              <w:adjustRightInd w:val="0"/>
              <w:snapToGrid w:val="0"/>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10</w:t>
            </w:r>
            <w:r>
              <w:rPr>
                <w:rFonts w:cs="宋体" w:asciiTheme="minorEastAsia" w:hAnsiTheme="minorEastAsia" w:eastAsiaTheme="minorEastAsia"/>
                <w:color w:val="auto"/>
                <w:szCs w:val="21"/>
                <w:highlight w:val="none"/>
              </w:rPr>
              <w:t>.7</w:t>
            </w:r>
          </w:p>
        </w:tc>
        <w:tc>
          <w:tcPr>
            <w:tcW w:w="2145" w:type="dxa"/>
            <w:vAlign w:val="center"/>
          </w:tcPr>
          <w:p w14:paraId="55076EDE">
            <w:pPr>
              <w:adjustRightInd w:val="0"/>
              <w:snapToGrid w:val="0"/>
              <w:spacing w:line="40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ascii="宋体" w:hAnsi="宋体" w:cs="宋体"/>
                <w:color w:val="auto"/>
                <w:szCs w:val="21"/>
                <w:highlight w:val="none"/>
              </w:rPr>
              <w:t>本项目施工组织设计评审是否采用暗标</w:t>
            </w:r>
            <w:r>
              <w:rPr>
                <w:rStyle w:val="59"/>
                <w:rFonts w:ascii="宋体" w:hAnsi="宋体" w:cs="宋体"/>
                <w:color w:val="auto"/>
                <w:szCs w:val="21"/>
                <w:highlight w:val="none"/>
              </w:rPr>
              <w:footnoteReference w:id="56"/>
            </w:r>
          </w:p>
        </w:tc>
        <w:tc>
          <w:tcPr>
            <w:tcW w:w="5833" w:type="dxa"/>
            <w:vAlign w:val="center"/>
          </w:tcPr>
          <w:p w14:paraId="4AE251F8">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否</w:t>
            </w:r>
          </w:p>
          <w:p w14:paraId="5A95B63C">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是，具体</w:t>
            </w:r>
            <w:r>
              <w:rPr>
                <w:rFonts w:hint="eastAsia"/>
                <w:color w:val="auto"/>
                <w:highlight w:val="none"/>
              </w:rPr>
              <w:t>编制要求：</w:t>
            </w:r>
          </w:p>
          <w:p w14:paraId="708A1F87">
            <w:pPr>
              <w:numPr>
                <w:ilvl w:val="-1"/>
                <w:numId w:val="0"/>
              </w:numPr>
              <w:adjustRightInd w:val="0"/>
              <w:snapToGrid w:val="0"/>
              <w:spacing w:line="400" w:lineRule="exact"/>
              <w:rPr>
                <w:rFonts w:hint="eastAsia" w:ascii="宋体" w:hAnsi="宋体"/>
                <w:color w:val="auto"/>
                <w:kern w:val="0"/>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如果招标人对施工组织设计评审采用暗标方式的，投标人</w:t>
            </w:r>
            <w:r>
              <w:rPr>
                <w:rFonts w:hint="eastAsia" w:ascii="宋体" w:hAnsi="宋体"/>
                <w:color w:val="auto"/>
                <w:kern w:val="0"/>
                <w:highlight w:val="none"/>
              </w:rPr>
              <w:t>施工组织设计中不得出现投标人的名称和其他可识别投标人身份的文字、符号、标识等</w:t>
            </w:r>
            <w:r>
              <w:rPr>
                <w:rFonts w:hint="eastAsia" w:ascii="宋体" w:hAnsi="宋体"/>
                <w:color w:val="auto"/>
                <w:kern w:val="0"/>
                <w:highlight w:val="none"/>
                <w:lang w:eastAsia="zh-CN"/>
              </w:rPr>
              <w:t>；</w:t>
            </w:r>
          </w:p>
          <w:p w14:paraId="0B15435B">
            <w:pPr>
              <w:numPr>
                <w:ilvl w:val="-1"/>
                <w:numId w:val="0"/>
              </w:numPr>
              <w:adjustRightInd w:val="0"/>
              <w:snapToGrid w:val="0"/>
              <w:spacing w:line="400" w:lineRule="exact"/>
              <w:ind w:left="0" w:leftChars="0" w:firstLine="0" w:firstLineChars="0"/>
              <w:rPr>
                <w:rFonts w:hint="eastAsia" w:eastAsia="宋体" w:cs="宋体" w:asciiTheme="minorEastAsia" w:hAnsiTheme="minorEastAsia"/>
                <w:color w:val="auto"/>
                <w:kern w:val="2"/>
                <w:sz w:val="21"/>
                <w:szCs w:val="21"/>
                <w:highlight w:val="none"/>
                <w:lang w:val="en-US" w:eastAsia="zh-CN" w:bidi="ar-SA"/>
              </w:rPr>
            </w:pPr>
            <w:r>
              <w:rPr>
                <w:rFonts w:hint="eastAsia" w:ascii="宋体" w:hAnsi="宋体"/>
                <w:color w:val="auto"/>
                <w:kern w:val="0"/>
                <w:highlight w:val="none"/>
              </w:rPr>
              <w:t>（</w:t>
            </w:r>
            <w:r>
              <w:rPr>
                <w:rFonts w:ascii="宋体" w:hAnsi="宋体"/>
                <w:color w:val="auto"/>
                <w:kern w:val="0"/>
                <w:highlight w:val="none"/>
              </w:rPr>
              <w:t>2）</w:t>
            </w:r>
            <w:r>
              <w:rPr>
                <w:rFonts w:ascii="宋体" w:hAnsi="宋体"/>
                <w:color w:val="auto"/>
                <w:kern w:val="0"/>
                <w:highlight w:val="none"/>
                <w:u w:val="single"/>
              </w:rPr>
              <w:t xml:space="preserve">          </w:t>
            </w:r>
          </w:p>
        </w:tc>
      </w:tr>
      <w:tr w14:paraId="3FFD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1" w:type="dxa"/>
            <w:vAlign w:val="center"/>
          </w:tcPr>
          <w:p w14:paraId="1EF76E21">
            <w:pPr>
              <w:adjustRightInd w:val="0"/>
              <w:snapToGrid w:val="0"/>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w:t>
            </w:r>
          </w:p>
        </w:tc>
        <w:tc>
          <w:tcPr>
            <w:tcW w:w="2145" w:type="dxa"/>
            <w:vAlign w:val="center"/>
          </w:tcPr>
          <w:p w14:paraId="33B67828">
            <w:pPr>
              <w:adjustRightInd w:val="0"/>
              <w:snapToGrid w:val="0"/>
              <w:spacing w:line="40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w:t>
            </w:r>
          </w:p>
        </w:tc>
        <w:tc>
          <w:tcPr>
            <w:tcW w:w="5833" w:type="dxa"/>
            <w:vAlign w:val="center"/>
          </w:tcPr>
          <w:p w14:paraId="4345B8DA">
            <w:pPr>
              <w:adjustRightInd w:val="0"/>
              <w:snapToGrid w:val="0"/>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w:t>
            </w:r>
          </w:p>
        </w:tc>
      </w:tr>
    </w:tbl>
    <w:p w14:paraId="66838DB6">
      <w:pPr>
        <w:adjustRightInd w:val="0"/>
        <w:snapToGrid w:val="0"/>
        <w:spacing w:line="400" w:lineRule="exact"/>
        <w:jc w:val="center"/>
        <w:rPr>
          <w:rFonts w:asciiTheme="minorEastAsia" w:hAnsiTheme="minorEastAsia" w:eastAsiaTheme="minorEastAsia"/>
          <w:color w:val="auto"/>
          <w:szCs w:val="21"/>
          <w:highlight w:val="none"/>
        </w:rPr>
        <w:sectPr>
          <w:headerReference r:id="rId7" w:type="default"/>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pPr>
    </w:p>
    <w:p w14:paraId="7355DFCC">
      <w:pPr>
        <w:pStyle w:val="6"/>
        <w:rPr>
          <w:rFonts w:ascii="宋体" w:hAnsi="宋体"/>
          <w:color w:val="auto"/>
          <w:highlight w:val="none"/>
        </w:rPr>
      </w:pPr>
      <w:bookmarkStart w:id="99" w:name="_Toc27059751"/>
      <w:bookmarkStart w:id="100" w:name="_Toc27059480"/>
      <w:bookmarkStart w:id="101" w:name="_Toc27059661"/>
      <w:bookmarkStart w:id="102" w:name="_Toc53685582"/>
      <w:bookmarkStart w:id="103" w:name="_Toc27059853"/>
      <w:bookmarkStart w:id="104" w:name="_Toc27060649"/>
      <w:bookmarkStart w:id="105" w:name="_Toc519844460"/>
      <w:r>
        <w:rPr>
          <w:rFonts w:hint="default" w:ascii="Arial" w:hAnsi="Arial"/>
          <w:color w:val="auto"/>
          <w:highlight w:val="none"/>
        </w:rPr>
        <w:t>附录</w:t>
      </w:r>
      <w:r>
        <w:rPr>
          <w:rFonts w:ascii="Arial" w:hAnsi="Arial"/>
          <w:color w:val="auto"/>
          <w:highlight w:val="none"/>
        </w:rPr>
        <w:t xml:space="preserve">1  </w:t>
      </w:r>
      <w:r>
        <w:rPr>
          <w:rFonts w:hint="default" w:ascii="Arial" w:hAnsi="Arial"/>
          <w:color w:val="auto"/>
          <w:highlight w:val="none"/>
        </w:rPr>
        <w:t>资格审查条件（资质最低要求）</w:t>
      </w:r>
      <w:bookmarkEnd w:id="99"/>
      <w:bookmarkEnd w:id="100"/>
      <w:bookmarkEnd w:id="101"/>
      <w:bookmarkEnd w:id="102"/>
      <w:bookmarkEnd w:id="103"/>
      <w:bookmarkEnd w:id="104"/>
      <w:bookmarkEnd w:id="105"/>
    </w:p>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034"/>
      </w:tblGrid>
      <w:tr w14:paraId="3AE2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2" w:type="dxa"/>
          </w:tcPr>
          <w:p w14:paraId="3E387B1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标段</w:t>
            </w:r>
          </w:p>
        </w:tc>
        <w:tc>
          <w:tcPr>
            <w:tcW w:w="8034" w:type="dxa"/>
          </w:tcPr>
          <w:p w14:paraId="3B7F04C5">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施工企业资质等级要求</w:t>
            </w:r>
            <w:r>
              <w:rPr>
                <w:rStyle w:val="59"/>
                <w:rFonts w:ascii="宋体" w:hAnsi="宋体"/>
                <w:color w:val="auto"/>
                <w:szCs w:val="21"/>
                <w:highlight w:val="none"/>
              </w:rPr>
              <w:footnoteReference w:id="57"/>
            </w:r>
          </w:p>
        </w:tc>
      </w:tr>
      <w:tr w14:paraId="6D4A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5" w:hRule="atLeast"/>
          <w:jc w:val="center"/>
        </w:trPr>
        <w:tc>
          <w:tcPr>
            <w:tcW w:w="892" w:type="dxa"/>
            <w:vAlign w:val="center"/>
          </w:tcPr>
          <w:p w14:paraId="30A0E7A3">
            <w:pPr>
              <w:tabs>
                <w:tab w:val="left" w:pos="7146"/>
              </w:tabs>
              <w:adjustRightInd w:val="0"/>
              <w:snapToGrid w:val="0"/>
              <w:spacing w:line="400" w:lineRule="exact"/>
              <w:ind w:firstLine="630"/>
              <w:rPr>
                <w:rFonts w:ascii="宋体" w:hAnsi="宋体"/>
                <w:color w:val="auto"/>
                <w:szCs w:val="21"/>
                <w:highlight w:val="none"/>
                <w:u w:val="single"/>
              </w:rPr>
            </w:pPr>
          </w:p>
        </w:tc>
        <w:tc>
          <w:tcPr>
            <w:tcW w:w="8034" w:type="dxa"/>
          </w:tcPr>
          <w:p w14:paraId="7EF74597">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1）独立法人资格，持有有效的营业执照、□安全生产许可证、开户许可证</w:t>
            </w:r>
            <w:r>
              <w:rPr>
                <w:rFonts w:hint="eastAsia" w:ascii="宋体" w:hAnsi="宋体" w:cs="宋体"/>
                <w:color w:val="auto"/>
                <w:szCs w:val="21"/>
                <w:highlight w:val="none"/>
                <w:lang w:eastAsia="zh-CN"/>
              </w:rPr>
              <w:t>（</w:t>
            </w:r>
            <w:r>
              <w:rPr>
                <w:rFonts w:ascii="宋体" w:hAnsi="宋体" w:cs="宋体"/>
                <w:color w:val="auto"/>
                <w:szCs w:val="21"/>
                <w:highlight w:val="none"/>
              </w:rPr>
              <w:t>基本账户</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ascii="宋体" w:hAnsi="宋体" w:cs="宋体"/>
                <w:color w:val="auto"/>
                <w:szCs w:val="21"/>
                <w:highlight w:val="none"/>
              </w:rPr>
              <w:t>或基本存款账户信息表。</w:t>
            </w:r>
          </w:p>
          <w:p w14:paraId="133BCC61">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2）具有住房和城乡建设</w:t>
            </w:r>
            <w:r>
              <w:rPr>
                <w:rFonts w:hint="eastAsia" w:ascii="宋体" w:hAnsi="宋体"/>
                <w:color w:val="auto"/>
                <w:szCs w:val="21"/>
                <w:highlight w:val="none"/>
                <w:lang w:val="en-US" w:eastAsia="zh-CN"/>
              </w:rPr>
              <w:t>主管</w:t>
            </w:r>
            <w:r>
              <w:rPr>
                <w:rFonts w:ascii="宋体" w:hAnsi="宋体"/>
                <w:color w:val="auto"/>
                <w:szCs w:val="21"/>
                <w:highlight w:val="none"/>
              </w:rPr>
              <w:t>部</w:t>
            </w:r>
            <w:r>
              <w:rPr>
                <w:rFonts w:hint="eastAsia" w:ascii="宋体" w:hAnsi="宋体"/>
                <w:color w:val="auto"/>
                <w:szCs w:val="21"/>
                <w:highlight w:val="none"/>
                <w:lang w:val="en-US" w:eastAsia="zh-CN"/>
              </w:rPr>
              <w:t>门</w:t>
            </w:r>
            <w:r>
              <w:rPr>
                <w:rFonts w:ascii="宋体" w:hAnsi="宋体"/>
                <w:color w:val="auto"/>
                <w:szCs w:val="21"/>
                <w:highlight w:val="none"/>
              </w:rPr>
              <w:t>颁发的</w:t>
            </w:r>
          </w:p>
          <w:p w14:paraId="5F239995">
            <w:pPr>
              <w:widowControl/>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公路工程施工</w:t>
            </w:r>
            <w:r>
              <w:rPr>
                <w:rFonts w:ascii="宋体" w:hAnsi="宋体" w:cs="宋体"/>
                <w:color w:val="auto"/>
                <w:szCs w:val="21"/>
                <w:highlight w:val="none"/>
              </w:rPr>
              <w:t>总承包</w:t>
            </w:r>
            <w:r>
              <w:rPr>
                <w:rFonts w:hint="eastAsia" w:ascii="宋体" w:hAnsi="宋体" w:cs="宋体"/>
                <w:color w:val="auto"/>
                <w:szCs w:val="21"/>
                <w:highlight w:val="none"/>
              </w:rPr>
              <w:t>资质（□特级；□</w:t>
            </w:r>
            <w:r>
              <w:rPr>
                <w:rFonts w:ascii="宋体" w:hAnsi="宋体" w:cs="宋体"/>
                <w:color w:val="auto"/>
                <w:szCs w:val="21"/>
                <w:highlight w:val="none"/>
                <w:u w:val="single"/>
              </w:rPr>
              <w:t xml:space="preserve">   </w:t>
            </w:r>
            <w:r>
              <w:rPr>
                <w:rFonts w:hint="eastAsia" w:ascii="宋体" w:hAnsi="宋体" w:cs="宋体"/>
                <w:color w:val="auto"/>
                <w:szCs w:val="21"/>
                <w:highlight w:val="none"/>
              </w:rPr>
              <w:t>级及以上）；□和</w:t>
            </w:r>
            <w:r>
              <w:rPr>
                <w:rFonts w:ascii="宋体" w:hAnsi="宋体" w:cs="宋体"/>
                <w:color w:val="auto"/>
                <w:szCs w:val="21"/>
                <w:highlight w:val="none"/>
              </w:rPr>
              <w:t xml:space="preserve"> </w:t>
            </w:r>
            <w:r>
              <w:rPr>
                <w:rFonts w:hint="eastAsia" w:ascii="宋体" w:hAnsi="宋体" w:cs="宋体"/>
                <w:color w:val="auto"/>
                <w:szCs w:val="21"/>
                <w:highlight w:val="none"/>
              </w:rPr>
              <w:t>□或</w:t>
            </w:r>
          </w:p>
          <w:p w14:paraId="205DB444">
            <w:pPr>
              <w:pStyle w:val="299"/>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桥梁工程专业承包资质</w:t>
            </w:r>
            <w:r>
              <w:rPr>
                <w:rFonts w:ascii="宋体" w:hAnsi="宋体" w:cs="宋体"/>
                <w:color w:val="auto"/>
                <w:szCs w:val="21"/>
                <w:highlight w:val="none"/>
                <w:u w:val="single"/>
              </w:rPr>
              <w:t xml:space="preserve">    </w:t>
            </w:r>
            <w:r>
              <w:rPr>
                <w:rFonts w:hint="eastAsia" w:ascii="宋体" w:hAnsi="宋体" w:cs="宋体"/>
                <w:color w:val="auto"/>
                <w:szCs w:val="21"/>
                <w:highlight w:val="none"/>
              </w:rPr>
              <w:t>级及以上；□和</w:t>
            </w:r>
            <w:r>
              <w:rPr>
                <w:rFonts w:ascii="宋体" w:hAnsi="宋体" w:cs="宋体"/>
                <w:color w:val="auto"/>
                <w:szCs w:val="21"/>
                <w:highlight w:val="none"/>
              </w:rPr>
              <w:t xml:space="preserve"> </w:t>
            </w:r>
            <w:r>
              <w:rPr>
                <w:rFonts w:ascii="宋体" w:hAnsi="宋体" w:cs="宋体"/>
                <w:color w:val="auto"/>
                <w:szCs w:val="21"/>
                <w:highlight w:val="none"/>
              </w:rPr>
              <w:sym w:font="Wingdings 2" w:char="00A3"/>
            </w:r>
            <w:r>
              <w:rPr>
                <w:rFonts w:hint="eastAsia" w:ascii="宋体" w:hAnsi="宋体" w:cs="宋体"/>
                <w:color w:val="auto"/>
                <w:szCs w:val="21"/>
                <w:highlight w:val="none"/>
              </w:rPr>
              <w:t>或</w:t>
            </w:r>
          </w:p>
          <w:p w14:paraId="1771B170">
            <w:pPr>
              <w:pStyle w:val="299"/>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隧道工程专业承包资质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级及以上；□和</w:t>
            </w:r>
            <w:r>
              <w:rPr>
                <w:rFonts w:ascii="宋体" w:hAnsi="宋体" w:cs="宋体"/>
                <w:color w:val="auto"/>
                <w:szCs w:val="21"/>
                <w:highlight w:val="none"/>
              </w:rPr>
              <w:t xml:space="preserve"> </w:t>
            </w:r>
            <w:r>
              <w:rPr>
                <w:rFonts w:hint="eastAsia" w:ascii="宋体" w:hAnsi="宋体" w:cs="宋体"/>
                <w:color w:val="auto"/>
                <w:szCs w:val="21"/>
                <w:highlight w:val="none"/>
              </w:rPr>
              <w:t>□或</w:t>
            </w:r>
          </w:p>
          <w:p w14:paraId="6DDF2DF3">
            <w:pPr>
              <w:pStyle w:val="299"/>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公路路面工程专业承包资质</w:t>
            </w:r>
            <w:r>
              <w:rPr>
                <w:rFonts w:ascii="宋体" w:hAnsi="宋体" w:cs="宋体"/>
                <w:color w:val="auto"/>
                <w:szCs w:val="21"/>
                <w:highlight w:val="none"/>
                <w:u w:val="single"/>
              </w:rPr>
              <w:t xml:space="preserve">   </w:t>
            </w:r>
            <w:r>
              <w:rPr>
                <w:rFonts w:hint="eastAsia" w:ascii="宋体" w:hAnsi="宋体" w:cs="宋体"/>
                <w:color w:val="auto"/>
                <w:szCs w:val="21"/>
                <w:highlight w:val="none"/>
              </w:rPr>
              <w:t>级及以上；□和</w:t>
            </w:r>
            <w:r>
              <w:rPr>
                <w:rFonts w:ascii="宋体" w:hAnsi="宋体" w:cs="宋体"/>
                <w:color w:val="auto"/>
                <w:szCs w:val="21"/>
                <w:highlight w:val="none"/>
              </w:rPr>
              <w:t xml:space="preserve"> </w:t>
            </w:r>
            <w:r>
              <w:rPr>
                <w:rFonts w:hint="eastAsia" w:ascii="宋体" w:hAnsi="宋体" w:cs="宋体"/>
                <w:color w:val="auto"/>
                <w:szCs w:val="21"/>
                <w:highlight w:val="none"/>
              </w:rPr>
              <w:t>□或</w:t>
            </w:r>
          </w:p>
          <w:p w14:paraId="16400ADA">
            <w:pPr>
              <w:pStyle w:val="299"/>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公路路基工程专业承包资质</w:t>
            </w:r>
            <w:r>
              <w:rPr>
                <w:rFonts w:ascii="宋体" w:hAnsi="宋体" w:cs="宋体"/>
                <w:color w:val="auto"/>
                <w:szCs w:val="21"/>
                <w:highlight w:val="none"/>
                <w:u w:val="single"/>
              </w:rPr>
              <w:t xml:space="preserve">   </w:t>
            </w:r>
            <w:r>
              <w:rPr>
                <w:rFonts w:hint="eastAsia" w:ascii="宋体" w:hAnsi="宋体" w:cs="宋体"/>
                <w:color w:val="auto"/>
                <w:szCs w:val="21"/>
                <w:highlight w:val="none"/>
              </w:rPr>
              <w:t>级及以上；□和</w:t>
            </w:r>
            <w:r>
              <w:rPr>
                <w:rFonts w:ascii="宋体" w:hAnsi="宋体" w:cs="宋体"/>
                <w:color w:val="auto"/>
                <w:szCs w:val="21"/>
                <w:highlight w:val="none"/>
              </w:rPr>
              <w:t xml:space="preserve"> </w:t>
            </w:r>
            <w:r>
              <w:rPr>
                <w:rFonts w:hint="eastAsia" w:ascii="宋体" w:hAnsi="宋体" w:cs="宋体"/>
                <w:color w:val="auto"/>
                <w:szCs w:val="21"/>
                <w:highlight w:val="none"/>
              </w:rPr>
              <w:t>□或</w:t>
            </w:r>
          </w:p>
          <w:p w14:paraId="60F46BA3">
            <w:pPr>
              <w:widowControl/>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olor w:val="auto"/>
                <w:szCs w:val="21"/>
                <w:highlight w:val="none"/>
              </w:rPr>
              <w:t>公路交通工程专业承包（公路安全设施分项）资质</w:t>
            </w:r>
            <w:r>
              <w:rPr>
                <w:rFonts w:ascii="宋体" w:hAnsi="宋体"/>
                <w:color w:val="auto"/>
                <w:szCs w:val="21"/>
                <w:highlight w:val="none"/>
                <w:u w:val="single"/>
              </w:rPr>
              <w:t xml:space="preserve">   </w:t>
            </w:r>
            <w:r>
              <w:rPr>
                <w:rFonts w:hint="eastAsia" w:ascii="宋体" w:hAnsi="宋体"/>
                <w:color w:val="auto"/>
                <w:szCs w:val="21"/>
                <w:highlight w:val="none"/>
              </w:rPr>
              <w:t>级及以上；</w:t>
            </w:r>
            <w:r>
              <w:rPr>
                <w:rFonts w:hint="eastAsia" w:ascii="宋体" w:hAnsi="宋体" w:cs="宋体"/>
                <w:color w:val="auto"/>
                <w:szCs w:val="21"/>
                <w:highlight w:val="none"/>
              </w:rPr>
              <w:t>□和</w:t>
            </w:r>
            <w:r>
              <w:rPr>
                <w:rFonts w:ascii="宋体" w:hAnsi="宋体" w:cs="宋体"/>
                <w:color w:val="auto"/>
                <w:szCs w:val="21"/>
                <w:highlight w:val="none"/>
              </w:rPr>
              <w:t xml:space="preserve"> </w:t>
            </w:r>
          </w:p>
          <w:p w14:paraId="58964FB8">
            <w:pPr>
              <w:widowControl/>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ascii="宋体" w:hAnsi="宋体"/>
                <w:color w:val="auto"/>
                <w:szCs w:val="21"/>
                <w:highlight w:val="none"/>
              </w:rPr>
              <w:t>公路交通工程专业承包（公路</w:t>
            </w:r>
            <w:r>
              <w:rPr>
                <w:rFonts w:hint="eastAsia" w:ascii="宋体" w:hAnsi="宋体"/>
                <w:color w:val="auto"/>
                <w:szCs w:val="21"/>
                <w:highlight w:val="none"/>
              </w:rPr>
              <w:t>机电工程分项）资质</w:t>
            </w:r>
            <w:r>
              <w:rPr>
                <w:rFonts w:ascii="宋体" w:hAnsi="宋体"/>
                <w:color w:val="auto"/>
                <w:szCs w:val="21"/>
                <w:highlight w:val="none"/>
                <w:u w:val="single"/>
              </w:rPr>
              <w:t xml:space="preserve">   </w:t>
            </w:r>
            <w:r>
              <w:rPr>
                <w:rFonts w:hint="eastAsia" w:ascii="宋体" w:hAnsi="宋体"/>
                <w:color w:val="auto"/>
                <w:szCs w:val="21"/>
                <w:highlight w:val="none"/>
              </w:rPr>
              <w:t>级及以上；</w:t>
            </w:r>
            <w:r>
              <w:rPr>
                <w:rFonts w:hint="eastAsia" w:ascii="宋体" w:hAnsi="宋体" w:cs="宋体"/>
                <w:color w:val="auto"/>
                <w:szCs w:val="21"/>
                <w:highlight w:val="none"/>
              </w:rPr>
              <w:t>□和</w:t>
            </w:r>
          </w:p>
          <w:p w14:paraId="30149541">
            <w:pPr>
              <w:widowControl/>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olor w:val="auto"/>
                <w:szCs w:val="21"/>
                <w:highlight w:val="none"/>
              </w:rPr>
              <w:t>建筑工程施工总承包</w:t>
            </w:r>
            <w:r>
              <w:rPr>
                <w:rFonts w:ascii="宋体" w:hAnsi="宋体"/>
                <w:color w:val="auto"/>
                <w:szCs w:val="21"/>
                <w:highlight w:val="none"/>
                <w:u w:val="single"/>
              </w:rPr>
              <w:t xml:space="preserve">    </w:t>
            </w:r>
            <w:r>
              <w:rPr>
                <w:rFonts w:hint="eastAsia" w:ascii="宋体" w:hAnsi="宋体"/>
                <w:color w:val="auto"/>
                <w:szCs w:val="21"/>
                <w:highlight w:val="none"/>
              </w:rPr>
              <w:t>级及以上</w:t>
            </w:r>
            <w:r>
              <w:rPr>
                <w:rFonts w:hint="eastAsia" w:ascii="宋体" w:hAnsi="宋体"/>
                <w:color w:val="auto"/>
                <w:szCs w:val="21"/>
                <w:highlight w:val="none"/>
                <w:lang w:eastAsia="zh-CN"/>
              </w:rPr>
              <w:t>；</w:t>
            </w:r>
            <w:r>
              <w:rPr>
                <w:rFonts w:hint="eastAsia" w:ascii="宋体" w:hAnsi="宋体" w:cs="宋体"/>
                <w:color w:val="auto"/>
                <w:szCs w:val="21"/>
                <w:highlight w:val="none"/>
              </w:rPr>
              <w:t>□和</w:t>
            </w:r>
            <w:r>
              <w:rPr>
                <w:rFonts w:ascii="宋体" w:hAnsi="宋体" w:cs="宋体"/>
                <w:color w:val="auto"/>
                <w:szCs w:val="21"/>
                <w:highlight w:val="none"/>
              </w:rPr>
              <w:t xml:space="preserve"> </w:t>
            </w:r>
            <w:r>
              <w:rPr>
                <w:rFonts w:hint="eastAsia" w:ascii="宋体" w:hAnsi="宋体" w:cs="宋体"/>
                <w:color w:val="auto"/>
                <w:szCs w:val="21"/>
                <w:highlight w:val="none"/>
              </w:rPr>
              <w:t>□或</w:t>
            </w:r>
          </w:p>
          <w:p w14:paraId="722112F9">
            <w:pPr>
              <w:widowControl/>
              <w:adjustRightInd w:val="0"/>
              <w:snapToGrid w:val="0"/>
              <w:spacing w:line="400" w:lineRule="exact"/>
              <w:ind w:firstLine="420" w:firstLineChars="200"/>
              <w:rPr>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21"/>
                <w:highlight w:val="none"/>
              </w:rPr>
              <w:t>其他：</w:t>
            </w:r>
            <w:r>
              <w:rPr>
                <w:rFonts w:ascii="宋体" w:hAnsi="宋体"/>
                <w:color w:val="auto"/>
                <w:szCs w:val="21"/>
                <w:highlight w:val="none"/>
                <w:u w:val="single"/>
              </w:rPr>
              <w:t xml:space="preserve">                 </w:t>
            </w:r>
            <w:r>
              <w:rPr>
                <w:rFonts w:ascii="宋体" w:hAnsi="宋体"/>
                <w:color w:val="auto"/>
                <w:szCs w:val="21"/>
                <w:highlight w:val="none"/>
              </w:rPr>
              <w:t>。</w:t>
            </w:r>
          </w:p>
          <w:p w14:paraId="351AE260">
            <w:pPr>
              <w:tabs>
                <w:tab w:val="left" w:pos="4213"/>
                <w:tab w:val="center" w:pos="4973"/>
              </w:tabs>
              <w:wordWrap w:val="0"/>
              <w:adjustRightInd w:val="0"/>
              <w:snapToGrid w:val="0"/>
              <w:spacing w:line="400" w:lineRule="exac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s="宋体"/>
                <w:color w:val="auto"/>
                <w:kern w:val="0"/>
                <w:szCs w:val="21"/>
                <w:highlight w:val="none"/>
              </w:rPr>
              <w:t>投标人应进入交通运输部“</w:t>
            </w:r>
            <w:r>
              <w:rPr>
                <w:rFonts w:hint="eastAsia" w:ascii="宋体" w:hAnsi="宋体" w:cs="宋体"/>
                <w:color w:val="auto"/>
                <w:kern w:val="0"/>
                <w:szCs w:val="21"/>
                <w:highlight w:val="none"/>
                <w:lang w:eastAsia="zh-CN"/>
              </w:rPr>
              <w:t>全国公路建设市场监督管理系统（https://hwdms.mot.gov.cn/BMWebSite/）</w:t>
            </w:r>
            <w:r>
              <w:rPr>
                <w:rFonts w:hint="eastAsia" w:ascii="宋体" w:hAnsi="宋体" w:cs="宋体"/>
                <w:color w:val="auto"/>
                <w:kern w:val="0"/>
                <w:szCs w:val="21"/>
                <w:highlight w:val="none"/>
              </w:rPr>
              <w:t>”中的公路工程施工企业名录</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建筑工程施工资质除外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，且投标人名称和资质与该名录中相应企业名称和资质完全一致。</w:t>
            </w:r>
            <w:r>
              <w:rPr>
                <w:rStyle w:val="59"/>
                <w:rFonts w:ascii="宋体" w:hAnsi="宋体" w:cs="宋体"/>
                <w:color w:val="auto"/>
                <w:szCs w:val="21"/>
                <w:highlight w:val="none"/>
              </w:rPr>
              <w:footnoteReference w:id="58"/>
            </w:r>
          </w:p>
          <w:p w14:paraId="5E25C3F7">
            <w:pPr>
              <w:adjustRightInd w:val="0"/>
              <w:snapToGrid w:val="0"/>
              <w:spacing w:line="400" w:lineRule="exact"/>
              <w:ind w:left="316" w:hanging="316" w:hangingChars="150"/>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）投标人工地试验室</w:t>
            </w:r>
            <w:r>
              <w:rPr>
                <w:rFonts w:ascii="宋体" w:hAnsi="宋体" w:cs="宋体"/>
                <w:color w:val="auto"/>
                <w:szCs w:val="21"/>
                <w:highlight w:val="none"/>
              </w:rPr>
              <w:t>的</w:t>
            </w:r>
            <w:r>
              <w:rPr>
                <w:rFonts w:hint="eastAsia" w:ascii="宋体" w:hAnsi="宋体" w:cs="宋体"/>
                <w:color w:val="auto"/>
                <w:szCs w:val="21"/>
                <w:highlight w:val="none"/>
              </w:rPr>
              <w:t>母体试验检测机构</w:t>
            </w:r>
            <w:r>
              <w:rPr>
                <w:rFonts w:ascii="宋体" w:hAnsi="宋体" w:cs="宋体"/>
                <w:color w:val="auto"/>
                <w:szCs w:val="21"/>
                <w:highlight w:val="none"/>
              </w:rPr>
              <w:t>具有</w:t>
            </w:r>
            <w:r>
              <w:rPr>
                <w:rFonts w:hint="eastAsia" w:ascii="宋体" w:hAnsi="宋体" w:cs="宋体"/>
                <w:color w:val="auto"/>
                <w:szCs w:val="21"/>
                <w:highlight w:val="none"/>
              </w:rPr>
              <w:t>交通运输</w:t>
            </w:r>
            <w:r>
              <w:rPr>
                <w:rFonts w:hint="eastAsia" w:ascii="宋体" w:hAnsi="宋体" w:cs="宋体"/>
                <w:color w:val="auto"/>
                <w:szCs w:val="21"/>
                <w:highlight w:val="none"/>
                <w:lang w:val="en-US" w:eastAsia="zh-CN"/>
              </w:rPr>
              <w:t>主管</w:t>
            </w:r>
            <w:r>
              <w:rPr>
                <w:rFonts w:hint="eastAsia" w:ascii="宋体" w:hAnsi="宋体" w:cs="宋体"/>
                <w:color w:val="auto"/>
                <w:szCs w:val="21"/>
                <w:highlight w:val="none"/>
              </w:rPr>
              <w:t>部门颁发的公路工程</w:t>
            </w:r>
          </w:p>
          <w:p w14:paraId="1F1FFCF3">
            <w:pPr>
              <w:adjustRightInd w:val="0"/>
              <w:snapToGrid w:val="0"/>
              <w:spacing w:line="400" w:lineRule="exact"/>
              <w:ind w:left="316" w:hanging="315" w:hangingChars="150"/>
              <w:rPr>
                <w:rFonts w:hint="eastAsia" w:ascii="宋体" w:hAnsi="宋体" w:cs="宋体"/>
                <w:color w:val="auto"/>
                <w:szCs w:val="21"/>
                <w:highlight w:val="none"/>
              </w:rPr>
            </w:pPr>
            <w:r>
              <w:rPr>
                <w:rFonts w:hint="eastAsia" w:ascii="宋体" w:hAnsi="宋体" w:cs="宋体"/>
                <w:color w:val="auto"/>
                <w:szCs w:val="21"/>
                <w:highlight w:val="none"/>
              </w:rPr>
              <w:t>试验检测机构综合</w:t>
            </w:r>
            <w:r>
              <w:rPr>
                <w:rFonts w:hint="eastAsia" w:ascii="宋体" w:hAnsi="宋体"/>
                <w:color w:val="auto"/>
                <w:szCs w:val="21"/>
                <w:highlight w:val="none"/>
              </w:rPr>
              <w:t>（□甲级；□乙级及以上）</w:t>
            </w:r>
            <w:r>
              <w:rPr>
                <w:rFonts w:hint="eastAsia" w:ascii="宋体" w:hAnsi="宋体" w:cs="宋体"/>
                <w:color w:val="auto"/>
                <w:szCs w:val="21"/>
                <w:highlight w:val="none"/>
              </w:rPr>
              <w:t>等级证书和</w:t>
            </w:r>
            <w:r>
              <w:rPr>
                <w:rFonts w:hint="eastAsia" w:asciiTheme="minorEastAsia" w:hAnsiTheme="minorEastAsia" w:eastAsiaTheme="minorEastAsia"/>
                <w:color w:val="auto"/>
                <w:highlight w:val="none"/>
              </w:rPr>
              <w:t>市场</w:t>
            </w:r>
            <w:r>
              <w:rPr>
                <w:rFonts w:asciiTheme="minorEastAsia" w:hAnsiTheme="minorEastAsia" w:eastAsiaTheme="minorEastAsia"/>
                <w:color w:val="auto"/>
                <w:highlight w:val="none"/>
              </w:rPr>
              <w:t>监管</w:t>
            </w:r>
            <w:r>
              <w:rPr>
                <w:rFonts w:hint="eastAsia" w:asciiTheme="minorEastAsia" w:hAnsiTheme="minorEastAsia" w:eastAsiaTheme="minorEastAsia"/>
                <w:color w:val="auto"/>
                <w:highlight w:val="none"/>
              </w:rPr>
              <w:t>或技术监督部门</w:t>
            </w:r>
            <w:r>
              <w:rPr>
                <w:rFonts w:hint="eastAsia" w:ascii="宋体" w:hAnsi="宋体" w:cs="宋体"/>
                <w:color w:val="auto"/>
                <w:szCs w:val="21"/>
                <w:highlight w:val="none"/>
              </w:rPr>
              <w:t>颁</w:t>
            </w:r>
          </w:p>
          <w:p w14:paraId="135ABA66">
            <w:pPr>
              <w:adjustRightInd w:val="0"/>
              <w:snapToGrid w:val="0"/>
              <w:spacing w:line="400" w:lineRule="exact"/>
              <w:ind w:left="316" w:hanging="315" w:hangingChars="150"/>
              <w:rPr>
                <w:rFonts w:ascii="宋体" w:hAnsi="宋体" w:cs="宋体"/>
                <w:color w:val="auto"/>
                <w:szCs w:val="21"/>
                <w:highlight w:val="none"/>
              </w:rPr>
            </w:pPr>
            <w:r>
              <w:rPr>
                <w:rFonts w:hint="eastAsia" w:ascii="宋体" w:hAnsi="宋体" w:cs="宋体"/>
                <w:color w:val="auto"/>
                <w:szCs w:val="21"/>
                <w:highlight w:val="none"/>
              </w:rPr>
              <w:t>发的检验检测机构资质认定证书。</w:t>
            </w:r>
          </w:p>
          <w:p w14:paraId="1A6BECA5">
            <w:pPr>
              <w:tabs>
                <w:tab w:val="left" w:pos="4213"/>
                <w:tab w:val="center" w:pos="4973"/>
              </w:tabs>
              <w:adjustRightInd w:val="0"/>
              <w:snapToGrid w:val="0"/>
              <w:spacing w:line="400" w:lineRule="exact"/>
              <w:ind w:firstLine="210" w:firstLineChars="100"/>
              <w:rPr>
                <w:rFonts w:ascii="宋体" w:hAnsi="宋体"/>
                <w:b/>
                <w:color w:val="auto"/>
                <w:szCs w:val="21"/>
                <w:highlight w:val="none"/>
              </w:rPr>
            </w:pPr>
            <w:r>
              <w:rPr>
                <w:rFonts w:hint="eastAsia" w:ascii="宋体" w:hAnsi="宋体" w:cs="宋体"/>
                <w:color w:val="auto"/>
                <w:szCs w:val="21"/>
                <w:highlight w:val="none"/>
              </w:rPr>
              <w:t>注：如投标人工地试验室的母体试验检测机构与投标人为母子关系或参股关系时应出具为母子关系或参股关系的证明材料；如投标人工地试验室的母体</w:t>
            </w:r>
            <w:r>
              <w:rPr>
                <w:rFonts w:hint="eastAsia" w:ascii="宋体" w:hAnsi="宋体" w:cs="宋体"/>
                <w:color w:val="auto"/>
                <w:szCs w:val="21"/>
                <w:highlight w:val="none"/>
                <w:lang w:val="en-US" w:eastAsia="zh-CN"/>
              </w:rPr>
              <w:t>试验</w:t>
            </w:r>
            <w:r>
              <w:rPr>
                <w:rFonts w:hint="eastAsia" w:ascii="宋体" w:hAnsi="宋体" w:cs="宋体"/>
                <w:color w:val="auto"/>
                <w:szCs w:val="21"/>
                <w:highlight w:val="none"/>
              </w:rPr>
              <w:t>检测机构与投标人为合作关系时应出具与试验检测</w:t>
            </w:r>
            <w:r>
              <w:rPr>
                <w:rFonts w:hint="eastAsia" w:ascii="宋体" w:hAnsi="宋体" w:cs="宋体"/>
                <w:color w:val="auto"/>
                <w:szCs w:val="21"/>
                <w:highlight w:val="none"/>
                <w:lang w:val="en-US" w:eastAsia="zh-CN"/>
              </w:rPr>
              <w:t>机构</w:t>
            </w:r>
            <w:r>
              <w:rPr>
                <w:rFonts w:hint="eastAsia" w:ascii="宋体" w:hAnsi="宋体" w:cs="宋体"/>
                <w:color w:val="auto"/>
                <w:szCs w:val="21"/>
                <w:highlight w:val="none"/>
              </w:rPr>
              <w:t>的合作协议书。</w:t>
            </w:r>
          </w:p>
          <w:p w14:paraId="7C29BA91">
            <w:pPr>
              <w:tabs>
                <w:tab w:val="left" w:pos="4213"/>
                <w:tab w:val="center" w:pos="4973"/>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）其他</w:t>
            </w:r>
            <w:r>
              <w:rPr>
                <w:rStyle w:val="59"/>
                <w:rFonts w:ascii="宋体" w:hAnsi="宋体" w:cs="宋体"/>
                <w:color w:val="auto"/>
                <w:szCs w:val="21"/>
                <w:highlight w:val="none"/>
              </w:rPr>
              <w:footnoteReference w:id="59"/>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w:t>
            </w:r>
          </w:p>
          <w:p w14:paraId="50FC5FBB">
            <w:pPr>
              <w:tabs>
                <w:tab w:val="left" w:pos="7146"/>
              </w:tabs>
              <w:adjustRightInd w:val="0"/>
              <w:snapToGrid w:val="0"/>
              <w:spacing w:line="400" w:lineRule="exact"/>
              <w:rPr>
                <w:rFonts w:ascii="宋体" w:hAnsi="宋体"/>
                <w:color w:val="auto"/>
                <w:szCs w:val="21"/>
                <w:highlight w:val="none"/>
                <w:u w:val="single"/>
              </w:rPr>
            </w:pPr>
            <w:r>
              <w:rPr>
                <w:rFonts w:hint="eastAsia"/>
                <w:b/>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）联</w:t>
            </w:r>
            <w:r>
              <w:rPr>
                <w:rFonts w:hint="eastAsia"/>
                <w:color w:val="auto"/>
                <w:szCs w:val="21"/>
                <w:highlight w:val="none"/>
              </w:rPr>
              <w:t>合体</w:t>
            </w:r>
            <w:r>
              <w:rPr>
                <w:rFonts w:hint="eastAsia" w:ascii="宋体" w:hAnsi="宋体"/>
                <w:color w:val="auto"/>
                <w:szCs w:val="21"/>
                <w:highlight w:val="none"/>
              </w:rPr>
              <w:t>应满足下列要求：</w:t>
            </w:r>
            <w:r>
              <w:rPr>
                <w:rFonts w:ascii="宋体" w:hAnsi="宋体"/>
                <w:color w:val="auto"/>
                <w:szCs w:val="21"/>
                <w:highlight w:val="none"/>
              </w:rPr>
              <w:t xml:space="preserve"> </w:t>
            </w:r>
            <w:r>
              <w:rPr>
                <w:rFonts w:ascii="宋体" w:hAnsi="宋体"/>
                <w:color w:val="auto"/>
                <w:szCs w:val="21"/>
                <w:highlight w:val="none"/>
                <w:u w:val="single"/>
              </w:rPr>
              <w:t xml:space="preserve">                                 </w:t>
            </w:r>
          </w:p>
        </w:tc>
      </w:tr>
      <w:tr w14:paraId="6FAC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2" w:type="dxa"/>
            <w:vAlign w:val="center"/>
          </w:tcPr>
          <w:p w14:paraId="67C88B8C">
            <w:pPr>
              <w:tabs>
                <w:tab w:val="left" w:pos="7313"/>
              </w:tabs>
              <w:adjustRightInd w:val="0"/>
              <w:snapToGrid w:val="0"/>
              <w:spacing w:line="400" w:lineRule="exact"/>
              <w:jc w:val="center"/>
              <w:rPr>
                <w:rFonts w:ascii="宋体" w:hAnsi="宋体"/>
                <w:color w:val="auto"/>
                <w:szCs w:val="21"/>
                <w:highlight w:val="none"/>
              </w:rPr>
            </w:pPr>
            <w:r>
              <w:rPr>
                <w:rFonts w:ascii="宋体" w:hAnsi="宋体"/>
                <w:color w:val="auto"/>
                <w:szCs w:val="21"/>
                <w:highlight w:val="none"/>
              </w:rPr>
              <w:t>……</w:t>
            </w:r>
          </w:p>
        </w:tc>
        <w:tc>
          <w:tcPr>
            <w:tcW w:w="8034" w:type="dxa"/>
            <w:vAlign w:val="center"/>
          </w:tcPr>
          <w:p w14:paraId="28A67475">
            <w:pPr>
              <w:adjustRightInd w:val="0"/>
              <w:snapToGrid w:val="0"/>
              <w:spacing w:line="400" w:lineRule="exact"/>
              <w:jc w:val="left"/>
              <w:rPr>
                <w:rFonts w:ascii="宋体" w:hAnsi="宋体"/>
                <w:color w:val="auto"/>
                <w:szCs w:val="21"/>
                <w:highlight w:val="none"/>
                <w:u w:val="single"/>
              </w:rPr>
            </w:pPr>
            <w:r>
              <w:rPr>
                <w:rFonts w:ascii="宋体" w:hAnsi="宋体"/>
                <w:color w:val="auto"/>
                <w:szCs w:val="21"/>
                <w:highlight w:val="none"/>
              </w:rPr>
              <w:t>……</w:t>
            </w:r>
          </w:p>
        </w:tc>
      </w:tr>
    </w:tbl>
    <w:p w14:paraId="2E98B675">
      <w:pPr>
        <w:rPr>
          <w:rFonts w:ascii="宋体" w:hAnsi="宋体" w:eastAsia="黑体"/>
          <w:color w:val="auto"/>
          <w:highlight w:val="none"/>
        </w:rPr>
      </w:pPr>
      <w:bookmarkStart w:id="106" w:name="_Toc27059752"/>
      <w:bookmarkStart w:id="107" w:name="_Toc27059481"/>
      <w:bookmarkStart w:id="108" w:name="_Toc234832864"/>
      <w:bookmarkStart w:id="109" w:name="_Toc27060650"/>
      <w:bookmarkStart w:id="110" w:name="_Toc27059854"/>
      <w:bookmarkStart w:id="111" w:name="_Toc27059662"/>
      <w:bookmarkStart w:id="112" w:name="_Toc501257054"/>
      <w:bookmarkStart w:id="113" w:name="_Toc53685583"/>
      <w:bookmarkStart w:id="114" w:name="_Toc519844461"/>
      <w:r>
        <w:rPr>
          <w:rFonts w:ascii="宋体" w:hAnsi="宋体" w:eastAsia="黑体"/>
          <w:color w:val="auto"/>
          <w:highlight w:val="none"/>
        </w:rPr>
        <w:br w:type="page"/>
      </w:r>
    </w:p>
    <w:p w14:paraId="725790FB">
      <w:pPr>
        <w:pStyle w:val="6"/>
        <w:rPr>
          <w:color w:val="auto"/>
          <w:highlight w:val="none"/>
        </w:rPr>
      </w:pPr>
      <w:r>
        <w:rPr>
          <w:color w:val="auto"/>
          <w:highlight w:val="none"/>
        </w:rPr>
        <w:t>附录2  资格审查条件（财务最低要求</w:t>
      </w:r>
      <w:r>
        <w:rPr>
          <w:rFonts w:hint="eastAsia"/>
          <w:color w:val="auto"/>
          <w:highlight w:val="none"/>
        </w:rPr>
        <w:t>）</w:t>
      </w:r>
      <w:bookmarkEnd w:id="106"/>
      <w:bookmarkEnd w:id="107"/>
      <w:bookmarkEnd w:id="108"/>
      <w:bookmarkEnd w:id="109"/>
      <w:bookmarkEnd w:id="110"/>
      <w:bookmarkEnd w:id="111"/>
      <w:bookmarkEnd w:id="112"/>
      <w:bookmarkEnd w:id="113"/>
    </w:p>
    <w:tbl>
      <w:tblPr>
        <w:tblStyle w:val="4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7496"/>
      </w:tblGrid>
      <w:tr w14:paraId="6736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1571" w:type="dxa"/>
            <w:vAlign w:val="center"/>
          </w:tcPr>
          <w:p w14:paraId="6D6FB108">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w:t>
            </w:r>
          </w:p>
        </w:tc>
        <w:tc>
          <w:tcPr>
            <w:tcW w:w="7496" w:type="dxa"/>
            <w:vAlign w:val="center"/>
          </w:tcPr>
          <w:p w14:paraId="7785D0B9">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财 务 要 求</w:t>
            </w:r>
            <w:r>
              <w:rPr>
                <w:rStyle w:val="59"/>
                <w:rFonts w:asciiTheme="minorEastAsia" w:hAnsiTheme="minorEastAsia" w:eastAsiaTheme="minorEastAsia"/>
                <w:color w:val="auto"/>
                <w:szCs w:val="21"/>
                <w:highlight w:val="none"/>
              </w:rPr>
              <w:footnoteReference w:id="60"/>
            </w:r>
          </w:p>
        </w:tc>
      </w:tr>
      <w:tr w14:paraId="5D68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1571" w:type="dxa"/>
            <w:vAlign w:val="center"/>
          </w:tcPr>
          <w:p w14:paraId="6895756A">
            <w:pPr>
              <w:adjustRightInd w:val="0"/>
              <w:snapToGrid w:val="0"/>
              <w:spacing w:line="400" w:lineRule="exact"/>
              <w:jc w:val="center"/>
              <w:rPr>
                <w:rFonts w:asciiTheme="minorEastAsia" w:hAnsiTheme="minorEastAsia" w:eastAsiaTheme="minorEastAsia"/>
                <w:color w:val="auto"/>
                <w:szCs w:val="21"/>
                <w:highlight w:val="none"/>
              </w:rPr>
            </w:pPr>
          </w:p>
        </w:tc>
        <w:tc>
          <w:tcPr>
            <w:tcW w:w="7496" w:type="dxa"/>
            <w:vAlign w:val="center"/>
          </w:tcPr>
          <w:p w14:paraId="69C4FC82">
            <w:pPr>
              <w:tabs>
                <w:tab w:val="left" w:pos="4213"/>
                <w:tab w:val="center" w:pos="4973"/>
              </w:tabs>
              <w:spacing w:line="400" w:lineRule="exact"/>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投标人的财务能力应同时满足：</w:t>
            </w:r>
          </w:p>
          <w:p w14:paraId="2C325A6A">
            <w:pPr>
              <w:tabs>
                <w:tab w:val="left" w:pos="4213"/>
                <w:tab w:val="center" w:pos="4973"/>
              </w:tabs>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1）投标人的</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Style w:val="59"/>
                <w:rFonts w:asciiTheme="minorEastAsia" w:hAnsiTheme="minorEastAsia" w:eastAsiaTheme="minorEastAsia"/>
                <w:color w:val="auto"/>
                <w:szCs w:val="21"/>
                <w:highlight w:val="none"/>
              </w:rPr>
              <w:footnoteReference w:id="61"/>
            </w:r>
            <w:r>
              <w:rPr>
                <w:rFonts w:hint="eastAsia" w:asciiTheme="minorEastAsia" w:hAnsiTheme="minorEastAsia" w:eastAsiaTheme="minorEastAsia"/>
                <w:color w:val="auto"/>
                <w:szCs w:val="21"/>
                <w:highlight w:val="none"/>
              </w:rPr>
              <w:t>净资产收益率≥</w:t>
            </w:r>
            <w:r>
              <w:rPr>
                <w:rFonts w:asciiTheme="minorEastAsia" w:hAnsiTheme="minorEastAsia" w:eastAsiaTheme="minorEastAsia"/>
                <w:color w:val="auto"/>
                <w:szCs w:val="21"/>
                <w:highlight w:val="none"/>
              </w:rPr>
              <w:t>0。</w:t>
            </w:r>
          </w:p>
          <w:p w14:paraId="29DA0998">
            <w:pPr>
              <w:tabs>
                <w:tab w:val="left" w:pos="4213"/>
                <w:tab w:val="center" w:pos="4973"/>
              </w:tabs>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2）其他</w:t>
            </w:r>
            <w:r>
              <w:rPr>
                <w:rStyle w:val="59"/>
                <w:rFonts w:ascii="宋体" w:hAnsi="宋体" w:cs="宋体"/>
                <w:color w:val="auto"/>
                <w:szCs w:val="21"/>
                <w:highlight w:val="none"/>
              </w:rPr>
              <w:footnoteReference w:id="62"/>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 xml:space="preserve">                                        </w:t>
            </w:r>
          </w:p>
          <w:p w14:paraId="2EC9B799">
            <w:pPr>
              <w:tabs>
                <w:tab w:val="left" w:pos="4213"/>
                <w:tab w:val="center" w:pos="4973"/>
              </w:tabs>
              <w:spacing w:line="400" w:lineRule="exact"/>
              <w:ind w:firstLine="211" w:firstLineChars="1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3）联合体应满足下列要求： </w:t>
            </w:r>
            <w:r>
              <w:rPr>
                <w:rFonts w:asciiTheme="minorEastAsia" w:hAnsiTheme="minorEastAsia" w:eastAsiaTheme="minorEastAsia"/>
                <w:color w:val="auto"/>
                <w:szCs w:val="21"/>
                <w:highlight w:val="none"/>
                <w:u w:val="single"/>
              </w:rPr>
              <w:t xml:space="preserve">                             </w:t>
            </w:r>
          </w:p>
        </w:tc>
      </w:tr>
      <w:tr w14:paraId="721F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1571" w:type="dxa"/>
            <w:vAlign w:val="center"/>
          </w:tcPr>
          <w:p w14:paraId="03CCD94F">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c>
          <w:tcPr>
            <w:tcW w:w="7496" w:type="dxa"/>
            <w:vAlign w:val="center"/>
          </w:tcPr>
          <w:p w14:paraId="2277CEE9">
            <w:pPr>
              <w:tabs>
                <w:tab w:val="left" w:pos="5542"/>
              </w:tabs>
              <w:spacing w:line="400" w:lineRule="exact"/>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r>
    </w:tbl>
    <w:p w14:paraId="19A338B8">
      <w:pPr>
        <w:tabs>
          <w:tab w:val="left" w:pos="5542"/>
        </w:tabs>
        <w:spacing w:line="360" w:lineRule="auto"/>
        <w:ind w:firstLine="420" w:firstLineChars="200"/>
        <w:rPr>
          <w:color w:val="auto"/>
          <w:szCs w:val="21"/>
          <w:highlight w:val="none"/>
        </w:rPr>
      </w:pPr>
    </w:p>
    <w:p w14:paraId="2F6D298B">
      <w:pPr>
        <w:tabs>
          <w:tab w:val="left" w:pos="5542"/>
        </w:tabs>
        <w:spacing w:line="360" w:lineRule="auto"/>
        <w:ind w:firstLine="420" w:firstLineChars="200"/>
        <w:rPr>
          <w:color w:val="auto"/>
          <w:szCs w:val="21"/>
          <w:highlight w:val="none"/>
        </w:rPr>
      </w:pPr>
    </w:p>
    <w:p w14:paraId="01FB24DE">
      <w:pPr>
        <w:tabs>
          <w:tab w:val="left" w:pos="5542"/>
        </w:tabs>
        <w:spacing w:line="360" w:lineRule="auto"/>
        <w:ind w:firstLine="420" w:firstLineChars="200"/>
        <w:rPr>
          <w:color w:val="auto"/>
          <w:szCs w:val="21"/>
          <w:highlight w:val="none"/>
        </w:rPr>
      </w:pPr>
    </w:p>
    <w:p w14:paraId="0088B127">
      <w:pPr>
        <w:tabs>
          <w:tab w:val="left" w:pos="5542"/>
        </w:tabs>
        <w:spacing w:line="360" w:lineRule="auto"/>
        <w:ind w:firstLine="420" w:firstLineChars="200"/>
        <w:rPr>
          <w:color w:val="auto"/>
          <w:szCs w:val="21"/>
          <w:highlight w:val="none"/>
        </w:rPr>
      </w:pPr>
    </w:p>
    <w:p w14:paraId="0EF80DA7">
      <w:pPr>
        <w:tabs>
          <w:tab w:val="left" w:pos="5542"/>
        </w:tabs>
        <w:spacing w:line="360" w:lineRule="auto"/>
        <w:ind w:firstLine="420" w:firstLineChars="200"/>
        <w:rPr>
          <w:color w:val="auto"/>
          <w:szCs w:val="21"/>
          <w:highlight w:val="none"/>
        </w:rPr>
      </w:pPr>
    </w:p>
    <w:p w14:paraId="1DD857B7">
      <w:pPr>
        <w:tabs>
          <w:tab w:val="left" w:pos="5542"/>
        </w:tabs>
        <w:spacing w:line="360" w:lineRule="auto"/>
        <w:ind w:firstLine="420" w:firstLineChars="200"/>
        <w:rPr>
          <w:color w:val="auto"/>
          <w:szCs w:val="21"/>
          <w:highlight w:val="none"/>
        </w:rPr>
      </w:pPr>
    </w:p>
    <w:p w14:paraId="6E3A5EAA">
      <w:pPr>
        <w:tabs>
          <w:tab w:val="left" w:pos="5542"/>
        </w:tabs>
        <w:spacing w:line="360" w:lineRule="auto"/>
        <w:ind w:firstLine="420" w:firstLineChars="200"/>
        <w:rPr>
          <w:color w:val="auto"/>
          <w:szCs w:val="21"/>
          <w:highlight w:val="none"/>
        </w:rPr>
      </w:pPr>
    </w:p>
    <w:p w14:paraId="1087278A">
      <w:pPr>
        <w:tabs>
          <w:tab w:val="left" w:pos="5542"/>
        </w:tabs>
        <w:spacing w:line="360" w:lineRule="auto"/>
        <w:ind w:firstLine="420" w:firstLineChars="200"/>
        <w:rPr>
          <w:color w:val="auto"/>
          <w:szCs w:val="21"/>
          <w:highlight w:val="none"/>
        </w:rPr>
      </w:pPr>
    </w:p>
    <w:p w14:paraId="278C27ED">
      <w:pPr>
        <w:pStyle w:val="6"/>
        <w:outlineLvl w:val="2"/>
        <w:rPr>
          <w:rStyle w:val="152"/>
          <w:b/>
          <w:bCs/>
          <w:color w:val="auto"/>
          <w:highlight w:val="none"/>
        </w:rPr>
      </w:pPr>
      <w:bookmarkStart w:id="115" w:name="_Toc27059855"/>
      <w:bookmarkStart w:id="116" w:name="_Toc27059753"/>
      <w:bookmarkStart w:id="117" w:name="_Toc27059663"/>
      <w:bookmarkStart w:id="118" w:name="_Toc27059482"/>
      <w:bookmarkStart w:id="119" w:name="_Toc27060651"/>
      <w:r>
        <w:rPr>
          <w:rFonts w:ascii="宋体" w:hAnsi="宋体" w:eastAsia="黑体"/>
          <w:color w:val="auto"/>
          <w:sz w:val="28"/>
          <w:highlight w:val="none"/>
        </w:rPr>
        <w:br w:type="page"/>
      </w:r>
      <w:bookmarkStart w:id="120" w:name="_Toc53685584"/>
      <w:r>
        <w:rPr>
          <w:rStyle w:val="152"/>
          <w:b/>
          <w:bCs/>
          <w:color w:val="auto"/>
          <w:highlight w:val="none"/>
        </w:rPr>
        <w:t>附录3  资格审查条件（业绩最低要求）</w:t>
      </w:r>
      <w:bookmarkEnd w:id="114"/>
      <w:bookmarkEnd w:id="115"/>
      <w:bookmarkEnd w:id="116"/>
      <w:bookmarkEnd w:id="117"/>
      <w:bookmarkEnd w:id="118"/>
      <w:bookmarkEnd w:id="119"/>
      <w:bookmarkEnd w:id="120"/>
    </w:p>
    <w:tbl>
      <w:tblPr>
        <w:tblStyle w:val="4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7564"/>
      </w:tblGrid>
      <w:tr w14:paraId="72DC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1220" w:type="dxa"/>
            <w:vAlign w:val="center"/>
          </w:tcPr>
          <w:p w14:paraId="7DE7EA24">
            <w:pPr>
              <w:spacing w:line="400" w:lineRule="exact"/>
              <w:jc w:val="center"/>
              <w:rPr>
                <w:rFonts w:ascii="宋体" w:hAnsi="宋体"/>
                <w:color w:val="auto"/>
                <w:szCs w:val="21"/>
                <w:highlight w:val="none"/>
              </w:rPr>
            </w:pPr>
            <w:r>
              <w:rPr>
                <w:rFonts w:hint="eastAsia" w:ascii="宋体" w:hAnsi="宋体"/>
                <w:color w:val="auto"/>
                <w:szCs w:val="21"/>
                <w:highlight w:val="none"/>
              </w:rPr>
              <w:t>标段</w:t>
            </w:r>
          </w:p>
        </w:tc>
        <w:tc>
          <w:tcPr>
            <w:tcW w:w="7564" w:type="dxa"/>
            <w:vAlign w:val="center"/>
          </w:tcPr>
          <w:p w14:paraId="402FB007">
            <w:pPr>
              <w:spacing w:line="400" w:lineRule="exact"/>
              <w:jc w:val="center"/>
              <w:rPr>
                <w:rFonts w:ascii="宋体" w:hAnsi="宋体"/>
                <w:color w:val="auto"/>
                <w:szCs w:val="21"/>
                <w:highlight w:val="none"/>
              </w:rPr>
            </w:pPr>
            <w:r>
              <w:rPr>
                <w:rFonts w:hint="eastAsia" w:ascii="宋体" w:hAnsi="宋体"/>
                <w:color w:val="auto"/>
                <w:szCs w:val="21"/>
                <w:highlight w:val="none"/>
              </w:rPr>
              <w:t>业绩要求</w:t>
            </w:r>
            <w:r>
              <w:rPr>
                <w:rStyle w:val="59"/>
                <w:rFonts w:ascii="宋体" w:hAnsi="宋体"/>
                <w:color w:val="auto"/>
                <w:szCs w:val="21"/>
                <w:highlight w:val="none"/>
              </w:rPr>
              <w:footnoteReference w:id="63"/>
            </w:r>
          </w:p>
        </w:tc>
      </w:tr>
      <w:tr w14:paraId="226C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220" w:type="dxa"/>
            <w:vAlign w:val="center"/>
          </w:tcPr>
          <w:p w14:paraId="1D8DB451">
            <w:pPr>
              <w:snapToGrid w:val="0"/>
              <w:spacing w:line="400" w:lineRule="exact"/>
              <w:ind w:firstLine="105" w:firstLineChars="50"/>
              <w:jc w:val="center"/>
              <w:rPr>
                <w:rFonts w:ascii="宋体" w:hAnsi="宋体"/>
                <w:color w:val="auto"/>
                <w:szCs w:val="21"/>
                <w:highlight w:val="none"/>
              </w:rPr>
            </w:pPr>
          </w:p>
        </w:tc>
        <w:tc>
          <w:tcPr>
            <w:tcW w:w="7564" w:type="dxa"/>
            <w:vAlign w:val="center"/>
          </w:tcPr>
          <w:p w14:paraId="3D53D6E5">
            <w:pPr>
              <w:snapToGrid w:val="0"/>
              <w:spacing w:line="400" w:lineRule="exact"/>
              <w:ind w:firstLine="210" w:firstLineChars="100"/>
              <w:rPr>
                <w:rFonts w:ascii="宋体" w:hAnsi="宋体"/>
                <w:color w:val="auto"/>
                <w:szCs w:val="21"/>
                <w:highlight w:val="none"/>
              </w:rPr>
            </w:pPr>
            <w:r>
              <w:rPr>
                <w:rFonts w:hint="eastAsia" w:ascii="宋体" w:hAnsi="宋体"/>
                <w:color w:val="auto"/>
                <w:szCs w:val="21"/>
                <w:highlight w:val="none"/>
              </w:rPr>
              <w:t>投标人近</w:t>
            </w:r>
            <w:r>
              <w:rPr>
                <w:rFonts w:ascii="宋体" w:hAnsi="宋体"/>
                <w:color w:val="auto"/>
                <w:szCs w:val="21"/>
                <w:highlight w:val="none"/>
                <w:u w:val="single"/>
              </w:rPr>
              <w:t xml:space="preserve">    </w:t>
            </w:r>
            <w:r>
              <w:rPr>
                <w:rFonts w:hint="eastAsia" w:ascii="宋体" w:hAnsi="宋体"/>
                <w:color w:val="auto"/>
                <w:szCs w:val="21"/>
                <w:highlight w:val="none"/>
              </w:rPr>
              <w:t>年（指</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eastAsia="宋体" w:cs="宋体"/>
                <w:color w:val="auto"/>
                <w:szCs w:val="21"/>
                <w:highlight w:val="none"/>
              </w:rPr>
              <w:t>～</w:t>
            </w:r>
            <w:r>
              <w:rPr>
                <w:rFonts w:hint="eastAsia" w:ascii="宋体" w:hAnsi="宋体" w:cs="宋体"/>
                <w:color w:val="auto"/>
                <w:szCs w:val="21"/>
                <w:highlight w:val="none"/>
              </w:rPr>
              <w:t>投标截止日</w:t>
            </w:r>
            <w:r>
              <w:rPr>
                <w:rFonts w:hint="eastAsia" w:ascii="宋体" w:hAnsi="宋体"/>
                <w:color w:val="auto"/>
                <w:szCs w:val="21"/>
                <w:highlight w:val="none"/>
              </w:rPr>
              <w:t>，以项目交工验收时间为准）的已完工程业绩应同时满足：</w:t>
            </w:r>
            <w:r>
              <w:rPr>
                <w:rFonts w:ascii="宋体" w:hAnsi="宋体"/>
                <w:color w:val="auto"/>
                <w:szCs w:val="21"/>
                <w:highlight w:val="none"/>
              </w:rPr>
              <w:t xml:space="preserve"> </w:t>
            </w:r>
          </w:p>
          <w:p w14:paraId="3ED1607E">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至少完成</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个国内（□新建；□改扩建；□新建或改扩建）</w:t>
            </w:r>
            <w:r>
              <w:rPr>
                <w:rStyle w:val="59"/>
                <w:rFonts w:ascii="宋体" w:hAnsi="宋体" w:cs="宋体"/>
                <w:color w:val="auto"/>
                <w:szCs w:val="21"/>
                <w:highlight w:val="none"/>
              </w:rPr>
              <w:footnoteReference w:id="64"/>
            </w:r>
            <w:r>
              <w:rPr>
                <w:rFonts w:ascii="宋体" w:hAnsi="宋体" w:cs="宋体"/>
                <w:color w:val="auto"/>
                <w:szCs w:val="21"/>
                <w:highlight w:val="none"/>
                <w:u w:val="single"/>
              </w:rPr>
              <w:t xml:space="preserve">    </w:t>
            </w:r>
            <w:r>
              <w:rPr>
                <w:rFonts w:ascii="宋体" w:hAnsi="宋体" w:cs="宋体"/>
                <w:color w:val="auto"/>
                <w:szCs w:val="21"/>
                <w:highlight w:val="none"/>
              </w:rPr>
              <w:t>级及以上</w:t>
            </w:r>
          </w:p>
          <w:p w14:paraId="4721E3C2">
            <w:pPr>
              <w:pStyle w:val="299"/>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公路标段长度</w:t>
            </w:r>
            <w:r>
              <w:rPr>
                <w:rFonts w:ascii="宋体" w:hAnsi="宋体" w:cs="宋体"/>
                <w:color w:val="auto"/>
                <w:szCs w:val="21"/>
                <w:highlight w:val="none"/>
                <w:u w:val="single"/>
              </w:rPr>
              <w:t xml:space="preserve">      </w:t>
            </w:r>
            <w:r>
              <w:rPr>
                <w:rStyle w:val="59"/>
                <w:rFonts w:ascii="宋体" w:hAnsi="宋体" w:cs="宋体"/>
                <w:color w:val="auto"/>
                <w:szCs w:val="21"/>
                <w:highlight w:val="none"/>
                <w:u w:val="single"/>
              </w:rPr>
              <w:footnoteReference w:id="65"/>
            </w:r>
            <w:r>
              <w:rPr>
                <w:rFonts w:hint="eastAsia" w:ascii="宋体" w:hAnsi="宋体" w:cs="宋体"/>
                <w:color w:val="auto"/>
                <w:szCs w:val="21"/>
                <w:highlight w:val="none"/>
              </w:rPr>
              <w:t>公里及以上的路基土建工程</w:t>
            </w:r>
            <w:r>
              <w:rPr>
                <w:rStyle w:val="59"/>
                <w:rFonts w:ascii="宋体" w:hAnsi="宋体" w:cs="宋体"/>
                <w:color w:val="auto"/>
                <w:szCs w:val="21"/>
                <w:highlight w:val="none"/>
              </w:rPr>
              <w:footnoteReference w:id="66"/>
            </w:r>
            <w:r>
              <w:rPr>
                <w:rFonts w:hint="eastAsia" w:ascii="宋体" w:hAnsi="宋体" w:cs="宋体"/>
                <w:color w:val="auto"/>
                <w:szCs w:val="21"/>
                <w:highlight w:val="none"/>
              </w:rPr>
              <w:t>施工项目</w:t>
            </w:r>
            <w:r>
              <w:rPr>
                <w:rFonts w:hint="eastAsia" w:ascii="宋体" w:hAnsi="宋体" w:cs="宋体"/>
                <w:color w:val="auto"/>
                <w:szCs w:val="21"/>
                <w:highlight w:val="none"/>
                <w:lang w:eastAsia="zh-CN"/>
              </w:rPr>
              <w:t>。</w:t>
            </w:r>
          </w:p>
          <w:p w14:paraId="10C6C69E">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至少完成</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座国内（□新建；□改扩建；□新建或改扩建）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p>
          <w:p w14:paraId="36C1CAB8">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公路（□大桥；□特大桥）</w:t>
            </w:r>
            <w:r>
              <w:rPr>
                <w:rStyle w:val="59"/>
                <w:rFonts w:ascii="宋体" w:hAnsi="宋体" w:cs="宋体"/>
                <w:color w:val="auto"/>
                <w:szCs w:val="21"/>
                <w:highlight w:val="none"/>
              </w:rPr>
              <w:footnoteReference w:id="67"/>
            </w:r>
            <w:r>
              <w:rPr>
                <w:rFonts w:hint="eastAsia" w:ascii="宋体" w:hAnsi="宋体" w:cs="宋体"/>
                <w:color w:val="auto"/>
                <w:szCs w:val="21"/>
                <w:highlight w:val="none"/>
              </w:rPr>
              <w:t>施工，□其中须至少包含（□同时包含；□包含</w:t>
            </w:r>
          </w:p>
          <w:p w14:paraId="162D326E">
            <w:pPr>
              <w:pStyle w:val="299"/>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其中之一）主跨桥梁类型</w:t>
            </w:r>
            <w:r>
              <w:rPr>
                <w:rFonts w:ascii="宋体" w:hAnsi="宋体" w:cs="宋体"/>
                <w:color w:val="auto"/>
                <w:szCs w:val="21"/>
                <w:highlight w:val="none"/>
                <w:vertAlign w:val="superscript"/>
              </w:rPr>
              <w:footnoteReference w:id="68"/>
            </w:r>
            <w:r>
              <w:rPr>
                <w:rFonts w:hint="eastAsia" w:ascii="宋体" w:hAnsi="宋体" w:cs="宋体"/>
                <w:color w:val="auto"/>
                <w:szCs w:val="21"/>
                <w:highlight w:val="none"/>
              </w:rPr>
              <w:t>：</w:t>
            </w:r>
          </w:p>
          <w:p w14:paraId="4F930F44">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□拱式桥，主跨跨径</w:t>
            </w:r>
            <w:r>
              <w:rPr>
                <w:rStyle w:val="59"/>
                <w:rFonts w:ascii="宋体" w:hAnsi="宋体" w:cs="宋体"/>
                <w:color w:val="auto"/>
                <w:szCs w:val="21"/>
                <w:highlight w:val="none"/>
              </w:rPr>
              <w:footnoteReference w:id="69"/>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1E6DA83C">
            <w:pPr>
              <w:pStyle w:val="299"/>
              <w:adjustRightInd w:val="0"/>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□悬索桥，主跨跨径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3D979849">
            <w:pPr>
              <w:pStyle w:val="299"/>
              <w:adjustRightInd w:val="0"/>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□斜拉桥，主跨跨径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3B236CE7">
            <w:pPr>
              <w:pStyle w:val="299"/>
              <w:adjustRightInd w:val="0"/>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□刚构桥，主跨跨径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020500EC">
            <w:pPr>
              <w:pStyle w:val="299"/>
              <w:adjustRightInd w:val="0"/>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□组合体系桥，主跨跨径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2367D567">
            <w:pPr>
              <w:pStyle w:val="299"/>
              <w:adjustRightInd w:val="0"/>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ascii="宋体" w:hAnsi="宋体" w:cs="宋体"/>
                <w:color w:val="auto"/>
                <w:szCs w:val="21"/>
                <w:highlight w:val="none"/>
              </w:rPr>
              <w:t xml:space="preserve"> ,主跨跨径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r>
              <w:rPr>
                <w:rFonts w:ascii="宋体" w:hAnsi="宋体" w:cs="宋体"/>
                <w:color w:val="auto"/>
                <w:szCs w:val="21"/>
                <w:highlight w:val="none"/>
              </w:rPr>
              <w:t xml:space="preserve">  </w:t>
            </w:r>
          </w:p>
          <w:p w14:paraId="5F964777">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至少</w:t>
            </w:r>
            <w:r>
              <w:rPr>
                <w:rFonts w:hint="eastAsia" w:ascii="宋体" w:hAnsi="宋体" w:cs="宋体"/>
                <w:color w:val="auto"/>
                <w:szCs w:val="21"/>
                <w:highlight w:val="none"/>
                <w:lang w:val="en-US" w:eastAsia="zh-CN"/>
              </w:rPr>
              <w:t>完成</w:t>
            </w:r>
            <w:r>
              <w:rPr>
                <w:rFonts w:ascii="宋体" w:hAnsi="宋体" w:cs="宋体"/>
                <w:color w:val="auto"/>
                <w:szCs w:val="21"/>
                <w:highlight w:val="none"/>
                <w:u w:val="single"/>
              </w:rPr>
              <w:t xml:space="preserve">    </w:t>
            </w:r>
            <w:r>
              <w:rPr>
                <w:rFonts w:hint="eastAsia" w:ascii="宋体" w:hAnsi="宋体" w:cs="宋体"/>
                <w:color w:val="auto"/>
                <w:szCs w:val="21"/>
                <w:highlight w:val="none"/>
              </w:rPr>
              <w:t>座国内（□新建；□改扩建；□新建或改扩建）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w:t>
            </w:r>
          </w:p>
          <w:p w14:paraId="15B8ABFD">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路（□中隧道及以上；□长隧道及以上；□特长隧道；□单洞长度</w:t>
            </w:r>
            <w:r>
              <w:rPr>
                <w:rStyle w:val="59"/>
                <w:rFonts w:ascii="宋体" w:hAnsi="宋体" w:cs="宋体"/>
                <w:color w:val="auto"/>
                <w:szCs w:val="21"/>
                <w:highlight w:val="none"/>
              </w:rPr>
              <w:footnoteReference w:id="70"/>
            </w:r>
            <w:r>
              <w:rPr>
                <w:rFonts w:ascii="宋体" w:hAnsi="宋体" w:cs="宋体"/>
                <w:color w:val="auto"/>
                <w:szCs w:val="21"/>
                <w:highlight w:val="none"/>
                <w:u w:val="single"/>
              </w:rPr>
              <w:t xml:space="preserve">     </w:t>
            </w:r>
            <w:r>
              <w:rPr>
                <w:rFonts w:hint="eastAsia" w:ascii="宋体" w:hAnsi="宋体" w:cs="宋体"/>
                <w:color w:val="auto"/>
                <w:szCs w:val="21"/>
                <w:highlight w:val="none"/>
              </w:rPr>
              <w:t>米</w:t>
            </w:r>
          </w:p>
          <w:p w14:paraId="084E66F5">
            <w:pPr>
              <w:pStyle w:val="299"/>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及以上特长隧道）</w:t>
            </w:r>
            <w:r>
              <w:rPr>
                <w:rStyle w:val="59"/>
                <w:rFonts w:ascii="宋体" w:hAnsi="宋体" w:cs="宋体"/>
                <w:color w:val="auto"/>
                <w:szCs w:val="21"/>
                <w:highlight w:val="none"/>
              </w:rPr>
              <w:footnoteReference w:id="71"/>
            </w:r>
            <w:r>
              <w:rPr>
                <w:rFonts w:hint="eastAsia" w:cs="宋体" w:asciiTheme="minorEastAsia" w:hAnsiTheme="minorEastAsia" w:eastAsiaTheme="minorEastAsia"/>
                <w:color w:val="auto"/>
                <w:szCs w:val="21"/>
                <w:highlight w:val="none"/>
              </w:rPr>
              <w:t>掘进长度</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米的</w:t>
            </w:r>
            <w:r>
              <w:rPr>
                <w:rFonts w:hint="eastAsia" w:ascii="宋体" w:hAnsi="宋体" w:cs="宋体"/>
                <w:color w:val="auto"/>
                <w:szCs w:val="21"/>
                <w:highlight w:val="none"/>
              </w:rPr>
              <w:t>施工</w:t>
            </w:r>
            <w:r>
              <w:rPr>
                <w:rFonts w:hint="eastAsia" w:ascii="宋体" w:hAnsi="宋体" w:cs="宋体"/>
                <w:color w:val="auto"/>
                <w:szCs w:val="21"/>
                <w:highlight w:val="none"/>
                <w:lang w:eastAsia="zh-CN"/>
              </w:rPr>
              <w:t>。</w:t>
            </w:r>
          </w:p>
          <w:p w14:paraId="6DBACE9C">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至少完成</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p>
          <w:p w14:paraId="00D78E83">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公路标段长度</w:t>
            </w:r>
            <w:r>
              <w:rPr>
                <w:rFonts w:ascii="宋体" w:hAnsi="宋体" w:cs="宋体"/>
                <w:color w:val="auto"/>
                <w:szCs w:val="21"/>
                <w:highlight w:val="none"/>
                <w:u w:val="single"/>
              </w:rPr>
              <w:t xml:space="preserve">    </w:t>
            </w:r>
            <w:r>
              <w:rPr>
                <w:rFonts w:hint="eastAsia" w:ascii="宋体" w:hAnsi="宋体" w:cs="宋体"/>
                <w:color w:val="auto"/>
                <w:szCs w:val="21"/>
                <w:highlight w:val="none"/>
              </w:rPr>
              <w:t>公里及以上的路面工程施工项目</w:t>
            </w:r>
            <w:r>
              <w:rPr>
                <w:rFonts w:hint="eastAsia" w:ascii="宋体" w:hAnsi="宋体" w:cs="宋体"/>
                <w:color w:val="auto"/>
                <w:szCs w:val="21"/>
                <w:highlight w:val="none"/>
                <w:lang w:eastAsia="zh-CN"/>
              </w:rPr>
              <w:t>。</w:t>
            </w:r>
          </w:p>
          <w:p w14:paraId="2507A787">
            <w:pPr>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ascii="宋体" w:hAnsi="宋体" w:cs="宋体"/>
                <w:color w:val="auto"/>
                <w:szCs w:val="21"/>
                <w:highlight w:val="none"/>
              </w:rPr>
              <w:t>至少</w:t>
            </w:r>
            <w:r>
              <w:rPr>
                <w:rFonts w:hint="eastAsia" w:ascii="宋体" w:hAnsi="宋体"/>
                <w:color w:val="auto"/>
                <w:szCs w:val="21"/>
                <w:highlight w:val="none"/>
              </w:rPr>
              <w:t>完成</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p>
          <w:p w14:paraId="15464D86">
            <w:pPr>
              <w:snapToGrid w:val="0"/>
              <w:spacing w:line="400" w:lineRule="exact"/>
              <w:rPr>
                <w:rFonts w:ascii="宋体" w:hAnsi="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公路标段长度</w:t>
            </w:r>
            <w:r>
              <w:rPr>
                <w:rFonts w:ascii="宋体" w:hAnsi="宋体" w:cs="宋体"/>
                <w:color w:val="auto"/>
                <w:szCs w:val="21"/>
                <w:highlight w:val="none"/>
                <w:u w:val="single"/>
              </w:rPr>
              <w:t xml:space="preserve">      </w:t>
            </w:r>
            <w:r>
              <w:rPr>
                <w:rFonts w:hint="eastAsia" w:ascii="宋体" w:hAnsi="宋体" w:cs="宋体"/>
                <w:color w:val="auto"/>
                <w:szCs w:val="21"/>
                <w:highlight w:val="none"/>
              </w:rPr>
              <w:t>公里及以上</w:t>
            </w:r>
            <w:r>
              <w:rPr>
                <w:rFonts w:hint="eastAsia" w:ascii="宋体" w:hAnsi="宋体"/>
                <w:color w:val="auto"/>
                <w:szCs w:val="21"/>
                <w:highlight w:val="none"/>
              </w:rPr>
              <w:t>交通安全设施工程施工项目（施工内容须同</w:t>
            </w:r>
          </w:p>
          <w:p w14:paraId="7D029A42">
            <w:pPr>
              <w:snapToGrid w:val="0"/>
              <w:spacing w:line="400" w:lineRule="exact"/>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时包含□标志、□标线、□波形梁钢护栏工程、</w:t>
            </w:r>
            <w:r>
              <w:rPr>
                <w:rFonts w:hint="eastAsia" w:ascii="宋体" w:hAnsi="宋体" w:cs="宋体"/>
                <w:color w:val="auto"/>
                <w:szCs w:val="21"/>
                <w:highlight w:val="none"/>
              </w:rPr>
              <w:t>□</w:t>
            </w:r>
            <w:r>
              <w:rPr>
                <w:rFonts w:hint="eastAsia" w:ascii="宋体" w:hAnsi="宋体"/>
                <w:color w:val="auto"/>
                <w:szCs w:val="21"/>
                <w:highlight w:val="none"/>
              </w:rPr>
              <w:t>其他：</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r>
              <w:rPr>
                <w:rFonts w:ascii="宋体" w:hAnsi="宋体"/>
                <w:color w:val="auto"/>
                <w:szCs w:val="21"/>
                <w:highlight w:val="none"/>
              </w:rPr>
              <w:t xml:space="preserve">  </w:t>
            </w:r>
          </w:p>
          <w:p w14:paraId="4D71105F">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至少</w:t>
            </w:r>
            <w:r>
              <w:rPr>
                <w:rFonts w:ascii="宋体" w:hAnsi="宋体" w:cs="宋体"/>
                <w:color w:val="auto"/>
                <w:szCs w:val="21"/>
                <w:highlight w:val="none"/>
              </w:rPr>
              <w:t>完成</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p>
          <w:p w14:paraId="335EB1EA">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公路</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（□机电工程；□隧道机电）</w:t>
            </w:r>
            <w:r>
              <w:rPr>
                <w:rFonts w:ascii="宋体" w:hAnsi="宋体" w:cs="宋体"/>
                <w:color w:val="auto"/>
                <w:szCs w:val="21"/>
                <w:highlight w:val="none"/>
                <w:vertAlign w:val="superscript"/>
              </w:rPr>
              <w:footnoteReference w:id="72"/>
            </w:r>
            <w:r>
              <w:rPr>
                <w:rFonts w:hint="eastAsia" w:ascii="宋体" w:hAnsi="宋体" w:cs="宋体"/>
                <w:color w:val="auto"/>
                <w:szCs w:val="21"/>
                <w:highlight w:val="none"/>
              </w:rPr>
              <w:t>施工项目；</w:t>
            </w:r>
          </w:p>
          <w:p w14:paraId="23708940">
            <w:pPr>
              <w:snapToGrid w:val="0"/>
              <w:spacing w:line="400" w:lineRule="exact"/>
              <w:rPr>
                <w:rFonts w:hint="eastAsia" w:ascii="宋体" w:hAnsi="宋体"/>
                <w:color w:val="auto"/>
                <w:szCs w:val="21"/>
                <w:highlight w:val="none"/>
              </w:rPr>
            </w:pPr>
            <w:r>
              <w:rPr>
                <w:rFonts w:hint="eastAsia" w:ascii="宋体" w:hAnsi="宋体" w:cs="宋体"/>
                <w:b/>
                <w:color w:val="auto"/>
                <w:szCs w:val="21"/>
                <w:highlight w:val="none"/>
              </w:rPr>
              <w:t>□</w:t>
            </w:r>
            <w:r>
              <w:rPr>
                <w:rFonts w:ascii="宋体" w:hAnsi="宋体"/>
                <w:color w:val="auto"/>
                <w:szCs w:val="21"/>
                <w:highlight w:val="none"/>
              </w:rPr>
              <w:t xml:space="preserve"> </w:t>
            </w:r>
            <w:r>
              <w:rPr>
                <w:rFonts w:hint="eastAsia"/>
                <w:color w:val="auto"/>
                <w:szCs w:val="21"/>
                <w:highlight w:val="none"/>
              </w:rPr>
              <w:t>至少</w:t>
            </w:r>
            <w:r>
              <w:rPr>
                <w:rFonts w:hint="eastAsia" w:ascii="宋体" w:hAnsi="宋体"/>
                <w:color w:val="auto"/>
                <w:szCs w:val="21"/>
                <w:highlight w:val="none"/>
              </w:rPr>
              <w:t>完成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个国内房建工程施工项目，</w:t>
            </w:r>
            <w:r>
              <w:rPr>
                <w:rFonts w:hint="eastAsia" w:ascii="宋体" w:hAnsi="宋体" w:cs="宋体"/>
                <w:color w:val="auto"/>
                <w:szCs w:val="21"/>
                <w:highlight w:val="none"/>
              </w:rPr>
              <w:t>□</w:t>
            </w:r>
            <w:r>
              <w:rPr>
                <w:rFonts w:hint="eastAsia" w:ascii="宋体" w:hAnsi="宋体"/>
                <w:color w:val="auto"/>
                <w:szCs w:val="21"/>
                <w:highlight w:val="none"/>
              </w:rPr>
              <w:t xml:space="preserve"> 累计完成房建工程施工建筑面积</w:t>
            </w:r>
          </w:p>
          <w:p w14:paraId="5626A94B">
            <w:pPr>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color w:val="auto"/>
                <w:szCs w:val="21"/>
                <w:highlight w:val="none"/>
                <w:lang w:val="en-US" w:eastAsia="zh-CN"/>
              </w:rPr>
              <w:t>平方米</w:t>
            </w:r>
            <w:r>
              <w:rPr>
                <w:rFonts w:hint="eastAsia" w:ascii="宋体" w:hAnsi="宋体"/>
                <w:color w:val="auto"/>
                <w:szCs w:val="21"/>
                <w:highlight w:val="none"/>
              </w:rPr>
              <w:t>及以上；</w:t>
            </w:r>
          </w:p>
          <w:p w14:paraId="23E67F83">
            <w:pPr>
              <w:snapToGrid w:val="0"/>
              <w:spacing w:line="400" w:lineRule="exact"/>
              <w:rPr>
                <w:rFonts w:hint="eastAsia" w:ascii="宋体" w:hAnsi="宋体"/>
                <w:color w:val="auto"/>
                <w:szCs w:val="21"/>
                <w:highlight w:val="none"/>
              </w:rPr>
            </w:pPr>
            <w:r>
              <w:rPr>
                <w:rFonts w:hint="eastAsia" w:ascii="宋体" w:hAnsi="宋体" w:cs="宋体"/>
                <w:b/>
                <w:color w:val="auto"/>
                <w:szCs w:val="21"/>
                <w:highlight w:val="none"/>
              </w:rPr>
              <w:t xml:space="preserve">□ </w:t>
            </w:r>
            <w:r>
              <w:rPr>
                <w:rFonts w:hint="eastAsia" w:ascii="宋体" w:hAnsi="宋体"/>
                <w:color w:val="auto"/>
                <w:szCs w:val="21"/>
                <w:highlight w:val="none"/>
              </w:rPr>
              <w:t>其他</w:t>
            </w:r>
            <w:r>
              <w:rPr>
                <w:rFonts w:ascii="宋体" w:hAnsi="宋体" w:cs="宋体"/>
                <w:color w:val="auto"/>
                <w:szCs w:val="21"/>
                <w:highlight w:val="none"/>
                <w:vertAlign w:val="superscript"/>
              </w:rPr>
              <w:footnoteReference w:id="73"/>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w:t>
            </w:r>
          </w:p>
          <w:p w14:paraId="37CE68D6">
            <w:pPr>
              <w:snapToGrid w:val="0"/>
              <w:spacing w:line="400" w:lineRule="exact"/>
              <w:ind w:firstLine="0" w:firstLineChars="0"/>
              <w:rPr>
                <w:rFonts w:ascii="宋体" w:hAnsi="宋体"/>
                <w:color w:val="auto"/>
                <w:szCs w:val="21"/>
                <w:highlight w:val="none"/>
                <w:u w:val="single"/>
              </w:rPr>
            </w:pPr>
            <w:r>
              <w:rPr>
                <w:rFonts w:hint="eastAsia" w:ascii="宋体" w:hAnsi="宋体" w:cs="宋体"/>
                <w:b/>
                <w:color w:val="auto"/>
                <w:szCs w:val="21"/>
                <w:highlight w:val="none"/>
              </w:rPr>
              <w:sym w:font="Wingdings 2" w:char="00A3"/>
            </w:r>
            <w:r>
              <w:rPr>
                <w:color w:val="auto"/>
                <w:szCs w:val="21"/>
                <w:highlight w:val="none"/>
              </w:rPr>
              <w:t xml:space="preserve"> </w:t>
            </w:r>
            <w:r>
              <w:rPr>
                <w:rFonts w:hint="eastAsia"/>
                <w:color w:val="auto"/>
                <w:szCs w:val="21"/>
                <w:highlight w:val="none"/>
              </w:rPr>
              <w:t>联合体</w:t>
            </w:r>
            <w:r>
              <w:rPr>
                <w:rFonts w:hint="eastAsia" w:ascii="宋体" w:hAnsi="宋体"/>
                <w:color w:val="auto"/>
                <w:szCs w:val="21"/>
                <w:highlight w:val="none"/>
              </w:rPr>
              <w:t>应满足下列要求：</w:t>
            </w:r>
            <w:r>
              <w:rPr>
                <w:rFonts w:ascii="宋体" w:hAnsi="宋体"/>
                <w:color w:val="auto"/>
                <w:szCs w:val="21"/>
                <w:highlight w:val="none"/>
              </w:rPr>
              <w:t xml:space="preserve"> </w:t>
            </w:r>
            <w:r>
              <w:rPr>
                <w:rFonts w:ascii="宋体" w:hAnsi="宋体"/>
                <w:color w:val="auto"/>
                <w:szCs w:val="21"/>
                <w:highlight w:val="none"/>
                <w:u w:val="single"/>
              </w:rPr>
              <w:t xml:space="preserve">                                </w:t>
            </w:r>
          </w:p>
          <w:p w14:paraId="17AE4B7E">
            <w:pPr>
              <w:spacing w:line="400" w:lineRule="exact"/>
              <w:rPr>
                <w:rFonts w:ascii="宋体" w:hAnsi="宋体" w:cs="宋体"/>
                <w:color w:val="auto"/>
                <w:szCs w:val="21"/>
                <w:highlight w:val="none"/>
              </w:rPr>
            </w:pPr>
          </w:p>
          <w:p w14:paraId="66813AA3">
            <w:pPr>
              <w:spacing w:line="400" w:lineRule="exact"/>
              <w:ind w:firstLine="0" w:firstLineChars="0"/>
              <w:rPr>
                <w:rFonts w:ascii="宋体" w:hAnsi="宋体"/>
                <w:color w:val="auto"/>
                <w:szCs w:val="21"/>
                <w:highlight w:val="none"/>
              </w:rPr>
            </w:pPr>
            <w:r>
              <w:rPr>
                <w:rFonts w:hint="eastAsia" w:ascii="宋体" w:hAnsi="宋体" w:cs="宋体"/>
                <w:color w:val="auto"/>
                <w:szCs w:val="21"/>
                <w:highlight w:val="none"/>
              </w:rPr>
              <w:t>注：投标人</w:t>
            </w:r>
            <w:r>
              <w:rPr>
                <w:rFonts w:hint="eastAsia" w:ascii="宋体" w:hAnsi="宋体" w:cs="宋体"/>
                <w:color w:val="auto"/>
                <w:szCs w:val="21"/>
                <w:highlight w:val="none"/>
                <w:lang w:val="en-US" w:eastAsia="zh-CN"/>
              </w:rPr>
              <w:t>提供的</w:t>
            </w:r>
            <w:r>
              <w:rPr>
                <w:rFonts w:hint="eastAsia" w:ascii="宋体" w:hAnsi="宋体" w:cs="宋体"/>
                <w:color w:val="auto"/>
                <w:szCs w:val="21"/>
                <w:highlight w:val="none"/>
              </w:rPr>
              <w:t>业绩以交通运输部“全国公路建设市场监督管理系统（https://hwdms.mot.gov.cn/BMWebSite/）”企业“业绩信息”中登载</w:t>
            </w:r>
            <w:r>
              <w:rPr>
                <w:rFonts w:ascii="宋体" w:hAnsi="宋体" w:cs="宋体"/>
                <w:color w:val="auto"/>
                <w:szCs w:val="21"/>
                <w:highlight w:val="none"/>
              </w:rPr>
              <w:t>的为准</w:t>
            </w:r>
            <w:r>
              <w:rPr>
                <w:rStyle w:val="51"/>
                <w:rFonts w:hint="eastAsia" w:ascii="宋体" w:hAnsi="宋体" w:cs="宋体"/>
                <w:color w:val="auto"/>
                <w:szCs w:val="21"/>
                <w:highlight w:val="none"/>
                <w:vertAlign w:val="superscript"/>
              </w:rPr>
              <w:footnoteReference w:id="74"/>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招标人设定的业绩为</w:t>
            </w:r>
            <w:r>
              <w:rPr>
                <w:rFonts w:hint="eastAsia" w:ascii="宋体" w:hAnsi="宋体" w:cs="宋体"/>
                <w:color w:val="auto"/>
                <w:szCs w:val="21"/>
                <w:highlight w:val="none"/>
              </w:rPr>
              <w:t>房建工程</w:t>
            </w:r>
            <w:r>
              <w:rPr>
                <w:rFonts w:hint="eastAsia" w:ascii="宋体" w:hAnsi="宋体" w:cs="宋体"/>
                <w:color w:val="auto"/>
                <w:szCs w:val="21"/>
                <w:highlight w:val="none"/>
                <w:lang w:eastAsia="zh-CN"/>
              </w:rPr>
              <w:t>或市政类</w:t>
            </w:r>
            <w:r>
              <w:rPr>
                <w:rFonts w:hint="eastAsia" w:ascii="宋体" w:hAnsi="宋体" w:cs="宋体"/>
                <w:color w:val="auto"/>
                <w:szCs w:val="21"/>
                <w:highlight w:val="none"/>
              </w:rPr>
              <w:t>施工项目</w:t>
            </w:r>
            <w:r>
              <w:rPr>
                <w:rFonts w:hint="eastAsia" w:ascii="宋体" w:hAnsi="宋体" w:cs="宋体"/>
                <w:color w:val="auto"/>
                <w:szCs w:val="21"/>
                <w:highlight w:val="none"/>
                <w:lang w:val="en-US" w:eastAsia="zh-CN"/>
              </w:rPr>
              <w:t>的，以</w:t>
            </w:r>
            <w:r>
              <w:rPr>
                <w:rFonts w:hint="eastAsia" w:ascii="宋体" w:hAnsi="宋体" w:cs="宋体"/>
                <w:color w:val="auto"/>
                <w:spacing w:val="0"/>
                <w:szCs w:val="21"/>
                <w:highlight w:val="none"/>
              </w:rPr>
              <w:t>“全国建筑市场监管公共服务平台”中查询到的企业数据“工程项目”</w:t>
            </w:r>
            <w:r>
              <w:rPr>
                <w:rFonts w:hint="eastAsia" w:ascii="宋体" w:hAnsi="宋体" w:cs="宋体"/>
                <w:color w:val="auto"/>
                <w:spacing w:val="0"/>
                <w:szCs w:val="21"/>
                <w:highlight w:val="none"/>
                <w:lang w:val="en-US" w:eastAsia="zh-CN"/>
              </w:rPr>
              <w:t>中登载的</w:t>
            </w:r>
            <w:r>
              <w:rPr>
                <w:rFonts w:hint="eastAsia" w:ascii="宋体" w:hAnsi="宋体" w:cs="宋体"/>
                <w:color w:val="auto"/>
                <w:spacing w:val="0"/>
                <w:szCs w:val="21"/>
                <w:highlight w:val="none"/>
              </w:rPr>
              <w:t>为准。</w:t>
            </w:r>
          </w:p>
        </w:tc>
      </w:tr>
      <w:tr w14:paraId="507B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20" w:type="dxa"/>
            <w:vAlign w:val="center"/>
          </w:tcPr>
          <w:p w14:paraId="4912F752">
            <w:pPr>
              <w:snapToGrid w:val="0"/>
              <w:spacing w:line="400" w:lineRule="exact"/>
              <w:ind w:firstLine="105" w:firstLineChars="50"/>
              <w:jc w:val="center"/>
              <w:rPr>
                <w:rFonts w:ascii="宋体" w:hAnsi="宋体"/>
                <w:color w:val="auto"/>
                <w:szCs w:val="21"/>
                <w:highlight w:val="none"/>
              </w:rPr>
            </w:pPr>
            <w:r>
              <w:rPr>
                <w:rFonts w:ascii="宋体" w:hAnsi="宋体"/>
                <w:color w:val="auto"/>
                <w:szCs w:val="21"/>
                <w:highlight w:val="none"/>
              </w:rPr>
              <w:t>……</w:t>
            </w:r>
          </w:p>
        </w:tc>
        <w:tc>
          <w:tcPr>
            <w:tcW w:w="7564" w:type="dxa"/>
            <w:vAlign w:val="center"/>
          </w:tcPr>
          <w:p w14:paraId="5FBA2CE9">
            <w:pPr>
              <w:snapToGrid w:val="0"/>
              <w:spacing w:line="400" w:lineRule="exact"/>
              <w:ind w:firstLine="0" w:firstLineChars="0"/>
              <w:jc w:val="left"/>
              <w:rPr>
                <w:rFonts w:ascii="宋体" w:hAnsi="宋体"/>
                <w:color w:val="auto"/>
                <w:szCs w:val="21"/>
                <w:highlight w:val="none"/>
              </w:rPr>
            </w:pPr>
            <w:r>
              <w:rPr>
                <w:rFonts w:ascii="宋体" w:hAnsi="宋体"/>
                <w:color w:val="auto"/>
                <w:szCs w:val="21"/>
                <w:highlight w:val="none"/>
              </w:rPr>
              <w:t>……</w:t>
            </w:r>
          </w:p>
        </w:tc>
      </w:tr>
    </w:tbl>
    <w:p w14:paraId="48B7F804">
      <w:pPr>
        <w:rPr>
          <w:color w:val="auto"/>
          <w:highlight w:val="none"/>
        </w:rPr>
      </w:pPr>
      <w:bookmarkStart w:id="121" w:name="_Toc519844462"/>
    </w:p>
    <w:p w14:paraId="688DCA39">
      <w:pPr>
        <w:rPr>
          <w:color w:val="auto"/>
          <w:highlight w:val="none"/>
        </w:rPr>
      </w:pPr>
    </w:p>
    <w:p w14:paraId="71A17F3D">
      <w:pPr>
        <w:pStyle w:val="6"/>
        <w:outlineLvl w:val="2"/>
        <w:rPr>
          <w:rStyle w:val="152"/>
          <w:b/>
          <w:bCs/>
          <w:color w:val="auto"/>
          <w:highlight w:val="none"/>
        </w:rPr>
      </w:pPr>
      <w:bookmarkStart w:id="122" w:name="_Toc27059483"/>
      <w:bookmarkStart w:id="123" w:name="_Toc27059754"/>
      <w:bookmarkStart w:id="124" w:name="_Toc27059664"/>
      <w:bookmarkStart w:id="125" w:name="_Toc27060652"/>
      <w:bookmarkStart w:id="126" w:name="_Toc27059856"/>
      <w:r>
        <w:rPr>
          <w:rFonts w:ascii="宋体" w:hAnsi="宋体" w:eastAsia="黑体"/>
          <w:color w:val="auto"/>
          <w:sz w:val="28"/>
          <w:highlight w:val="none"/>
        </w:rPr>
        <w:br w:type="page"/>
      </w:r>
      <w:bookmarkStart w:id="127" w:name="_Toc53685585"/>
      <w:r>
        <w:rPr>
          <w:rStyle w:val="152"/>
          <w:b/>
          <w:bCs/>
          <w:color w:val="auto"/>
          <w:highlight w:val="none"/>
        </w:rPr>
        <w:t>附录4  资格审查条件（信誉最低要求）</w:t>
      </w:r>
      <w:bookmarkEnd w:id="121"/>
      <w:bookmarkEnd w:id="122"/>
      <w:bookmarkEnd w:id="123"/>
      <w:bookmarkEnd w:id="124"/>
      <w:bookmarkEnd w:id="125"/>
      <w:bookmarkEnd w:id="126"/>
      <w:bookmarkEnd w:id="127"/>
    </w:p>
    <w:tbl>
      <w:tblPr>
        <w:tblStyle w:val="4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7630"/>
      </w:tblGrid>
      <w:tr w14:paraId="5BCA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17" w:type="dxa"/>
          </w:tcPr>
          <w:p w14:paraId="54ED8DF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标段</w:t>
            </w:r>
          </w:p>
        </w:tc>
        <w:tc>
          <w:tcPr>
            <w:tcW w:w="7630" w:type="dxa"/>
          </w:tcPr>
          <w:p w14:paraId="75E8517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信誉要求</w:t>
            </w:r>
            <w:r>
              <w:rPr>
                <w:rFonts w:ascii="宋体" w:hAnsi="宋体" w:cs="宋体"/>
                <w:color w:val="auto"/>
                <w:szCs w:val="21"/>
                <w:highlight w:val="none"/>
                <w:vertAlign w:val="superscript"/>
              </w:rPr>
              <w:footnoteReference w:id="75"/>
            </w:r>
          </w:p>
        </w:tc>
      </w:tr>
      <w:tr w14:paraId="53B3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5" w:hRule="atLeast"/>
          <w:jc w:val="center"/>
        </w:trPr>
        <w:tc>
          <w:tcPr>
            <w:tcW w:w="1017" w:type="dxa"/>
            <w:vAlign w:val="center"/>
          </w:tcPr>
          <w:p w14:paraId="7BDA2E60">
            <w:pPr>
              <w:adjustRightInd w:val="0"/>
              <w:snapToGrid w:val="0"/>
              <w:spacing w:line="400" w:lineRule="exact"/>
              <w:jc w:val="center"/>
              <w:rPr>
                <w:rFonts w:ascii="宋体" w:hAnsi="宋体"/>
                <w:color w:val="auto"/>
                <w:szCs w:val="21"/>
                <w:highlight w:val="none"/>
              </w:rPr>
            </w:pPr>
          </w:p>
        </w:tc>
        <w:tc>
          <w:tcPr>
            <w:tcW w:w="7630" w:type="dxa"/>
            <w:vAlign w:val="center"/>
          </w:tcPr>
          <w:p w14:paraId="039272D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olor w:val="auto"/>
                <w:kern w:val="0"/>
                <w:sz w:val="21"/>
                <w:szCs w:val="21"/>
                <w:highlight w:val="none"/>
                <w:u w:val="single"/>
                <w:lang w:eastAsia="zh-CN"/>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1</w:t>
            </w:r>
            <w:r>
              <w:rPr>
                <w:rFonts w:hint="eastAsia" w:ascii="宋体" w:hAnsi="宋体"/>
                <w:b w:val="0"/>
                <w:bCs w:val="0"/>
                <w:color w:val="auto"/>
                <w:szCs w:val="21"/>
                <w:highlight w:val="none"/>
                <w:lang w:eastAsia="zh-CN"/>
              </w:rPr>
              <w:t>）</w:t>
            </w:r>
            <w:r>
              <w:rPr>
                <w:rFonts w:ascii="宋体" w:hAnsi="宋体" w:cs="宋体"/>
                <w:bCs/>
                <w:color w:val="auto"/>
                <w:szCs w:val="21"/>
                <w:highlight w:val="none"/>
              </w:rPr>
              <w:t>投标人在</w:t>
            </w:r>
            <w:r>
              <w:rPr>
                <w:rFonts w:hint="eastAsia" w:ascii="宋体" w:hAnsi="宋体" w:cs="宋体"/>
                <w:bCs/>
                <w:color w:val="auto"/>
                <w:szCs w:val="21"/>
                <w:highlight w:val="none"/>
              </w:rPr>
              <w:t>四川省交通运输厅网站公布的</w:t>
            </w:r>
            <w:r>
              <w:rPr>
                <w:rFonts w:hint="eastAsia" w:ascii="宋体" w:hAnsi="宋体" w:cs="宋体"/>
                <w:bCs/>
                <w:color w:val="auto"/>
                <w:szCs w:val="21"/>
                <w:highlight w:val="none"/>
                <w:lang w:val="en-US" w:eastAsia="zh-CN"/>
              </w:rPr>
              <w:t>下述</w:t>
            </w:r>
            <w:r>
              <w:rPr>
                <w:rFonts w:hint="eastAsia" w:ascii="宋体" w:hAnsi="宋体" w:cs="宋体"/>
                <w:bCs/>
                <w:color w:val="auto"/>
                <w:szCs w:val="21"/>
                <w:highlight w:val="none"/>
              </w:rPr>
              <w:t>信用评价等级</w:t>
            </w:r>
            <w:r>
              <w:rPr>
                <w:rFonts w:ascii="宋体" w:hAnsi="宋体" w:cs="宋体"/>
                <w:bCs/>
                <w:color w:val="auto"/>
                <w:szCs w:val="21"/>
                <w:highlight w:val="none"/>
              </w:rPr>
              <w:t>评定为</w:t>
            </w:r>
            <w:r>
              <w:rPr>
                <w:rFonts w:hint="eastAsia" w:ascii="宋体" w:hAnsi="宋体" w:cs="宋体"/>
                <w:bCs/>
                <w:color w:val="auto"/>
                <w:szCs w:val="21"/>
                <w:highlight w:val="none"/>
                <w:lang w:val="en-US" w:eastAsia="zh-CN"/>
              </w:rPr>
              <w:t>C级</w:t>
            </w:r>
            <w:r>
              <w:rPr>
                <w:rFonts w:hint="eastAsia" w:ascii="宋体" w:hAnsi="宋体" w:cs="宋体"/>
                <w:bCs/>
                <w:color w:val="auto"/>
                <w:szCs w:val="21"/>
                <w:highlight w:val="none"/>
              </w:rPr>
              <w:t>及以上</w:t>
            </w:r>
            <w:r>
              <w:rPr>
                <w:rFonts w:ascii="宋体" w:hAnsi="宋体" w:cs="宋体"/>
                <w:bCs/>
                <w:color w:val="auto"/>
                <w:szCs w:val="21"/>
                <w:highlight w:val="none"/>
              </w:rPr>
              <w:t>，</w:t>
            </w:r>
            <w:r>
              <w:rPr>
                <w:rFonts w:ascii="宋体" w:hAnsi="宋体" w:cs="宋体"/>
                <w:bCs/>
                <w:color w:val="auto"/>
                <w:sz w:val="21"/>
                <w:szCs w:val="21"/>
                <w:highlight w:val="none"/>
              </w:rPr>
              <w:t>且不得处</w:t>
            </w:r>
            <w:r>
              <w:rPr>
                <w:rFonts w:hint="eastAsia" w:ascii="宋体" w:hAnsi="宋体" w:cs="宋体"/>
                <w:bCs/>
                <w:color w:val="auto"/>
                <w:sz w:val="21"/>
                <w:szCs w:val="21"/>
                <w:highlight w:val="none"/>
              </w:rPr>
              <w:t>于禁止投标行政处罚期内</w:t>
            </w:r>
            <w:r>
              <w:rPr>
                <w:rFonts w:hint="eastAsia" w:ascii="宋体" w:hAnsi="宋体" w:cs="宋体"/>
                <w:bCs/>
                <w:color w:val="auto"/>
                <w:sz w:val="21"/>
                <w:szCs w:val="21"/>
                <w:highlight w:val="none"/>
                <w:lang w:eastAsia="zh-CN"/>
              </w:rPr>
              <w:t>。</w:t>
            </w:r>
          </w:p>
          <w:p w14:paraId="41491EE7">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四川省重点公路建设从业单位信用评价等级</w:t>
            </w:r>
            <w:r>
              <w:rPr>
                <w:rFonts w:hint="eastAsia" w:ascii="宋体" w:hAnsi="宋体"/>
                <w:color w:val="auto"/>
                <w:sz w:val="21"/>
                <w:szCs w:val="21"/>
                <w:highlight w:val="none"/>
                <w:lang w:val="en-US" w:eastAsia="zh-CN"/>
              </w:rPr>
              <w:t>；</w:t>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或</w:t>
            </w:r>
            <w:r>
              <w:rPr>
                <w:rStyle w:val="59"/>
                <w:rFonts w:hint="eastAsia" w:ascii="宋体" w:hAnsi="宋体" w:cs="宋体"/>
                <w:color w:val="auto"/>
                <w:szCs w:val="21"/>
                <w:highlight w:val="none"/>
                <w:lang w:eastAsia="zh-CN"/>
              </w:rPr>
              <w:footnoteReference w:id="76"/>
            </w:r>
          </w:p>
          <w:p w14:paraId="72C17989">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农村公路建设从业单位信用评价等级。</w:t>
            </w:r>
          </w:p>
          <w:p w14:paraId="433D0EFC">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auto"/>
              <w:rPr>
                <w:rFonts w:ascii="宋体" w:hAnsi="宋体"/>
                <w:b/>
                <w:color w:val="auto"/>
                <w:szCs w:val="21"/>
                <w:highlight w:val="none"/>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2</w:t>
            </w:r>
            <w:r>
              <w:rPr>
                <w:rFonts w:hint="eastAsia" w:ascii="宋体" w:hAnsi="宋体"/>
                <w:b w:val="0"/>
                <w:bCs/>
                <w:color w:val="auto"/>
                <w:szCs w:val="21"/>
                <w:highlight w:val="none"/>
                <w:lang w:eastAsia="zh-CN"/>
              </w:rPr>
              <w:t>）</w:t>
            </w:r>
            <w:r>
              <w:rPr>
                <w:rFonts w:hint="eastAsia" w:hAnsi="宋体"/>
                <w:color w:val="auto"/>
                <w:kern w:val="0"/>
                <w:szCs w:val="21"/>
                <w:highlight w:val="none"/>
              </w:rPr>
              <w:t>在国家企业信用信息公示系统</w:t>
            </w:r>
            <w:r>
              <w:rPr>
                <w:rFonts w:hint="eastAsia" w:ascii="宋体" w:hAnsi="宋体"/>
                <w:color w:val="auto"/>
                <w:spacing w:val="-4"/>
                <w:szCs w:val="21"/>
                <w:highlight w:val="none"/>
              </w:rPr>
              <w:t>（</w:t>
            </w:r>
            <w:r>
              <w:rPr>
                <w:rFonts w:hint="eastAsia" w:ascii="宋体" w:hAnsi="宋体"/>
                <w:color w:val="auto"/>
                <w:spacing w:val="-4"/>
                <w:szCs w:val="21"/>
                <w:highlight w:val="none"/>
                <w:lang w:eastAsia="zh-CN"/>
              </w:rPr>
              <w:t>https</w:t>
            </w:r>
            <w:r>
              <w:rPr>
                <w:rFonts w:ascii="宋体" w:hAnsi="宋体"/>
                <w:color w:val="auto"/>
                <w:spacing w:val="-4"/>
                <w:szCs w:val="21"/>
                <w:highlight w:val="none"/>
              </w:rPr>
              <w:t>：//www.gsxt.gov.cn/</w:t>
            </w:r>
            <w:r>
              <w:rPr>
                <w:rFonts w:hint="eastAsia" w:ascii="宋体" w:hAnsi="宋体"/>
                <w:color w:val="auto"/>
                <w:spacing w:val="-4"/>
                <w:szCs w:val="21"/>
                <w:highlight w:val="none"/>
              </w:rPr>
              <w:t>）</w:t>
            </w:r>
            <w:r>
              <w:rPr>
                <w:rFonts w:hint="eastAsia" w:hAnsi="宋体"/>
                <w:color w:val="auto"/>
                <w:kern w:val="0"/>
                <w:szCs w:val="21"/>
                <w:highlight w:val="none"/>
              </w:rPr>
              <w:t>中被列入严重违法失信企业名单，</w:t>
            </w:r>
            <w:r>
              <w:rPr>
                <w:rFonts w:hint="eastAsia" w:ascii="宋体" w:hAnsi="宋体"/>
                <w:color w:val="auto"/>
                <w:szCs w:val="21"/>
                <w:highlight w:val="none"/>
              </w:rPr>
              <w:t>不得参加投标</w:t>
            </w:r>
            <w:r>
              <w:rPr>
                <w:rFonts w:hint="eastAsia" w:hAnsi="宋体"/>
                <w:color w:val="auto"/>
                <w:kern w:val="0"/>
                <w:szCs w:val="21"/>
                <w:highlight w:val="none"/>
              </w:rPr>
              <w:t>。</w:t>
            </w:r>
          </w:p>
          <w:p w14:paraId="00F13FB9">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pacing w:val="-4"/>
                <w:szCs w:val="21"/>
                <w:highlight w:val="none"/>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lang w:eastAsia="zh-CN"/>
              </w:rPr>
              <w:t>）</w:t>
            </w:r>
            <w:r>
              <w:rPr>
                <w:rFonts w:hint="eastAsia" w:asciiTheme="minorEastAsia" w:hAnsiTheme="minorEastAsia" w:eastAsiaTheme="minorEastAsia"/>
                <w:color w:val="auto"/>
                <w:spacing w:val="-4"/>
                <w:highlight w:val="none"/>
              </w:rPr>
              <w:t>对通过“信用中国”网站（</w:t>
            </w:r>
            <w:r>
              <w:rPr>
                <w:rFonts w:hint="eastAsia" w:asciiTheme="minorEastAsia" w:hAnsiTheme="minorEastAsia" w:eastAsiaTheme="minorEastAsia"/>
                <w:color w:val="auto"/>
                <w:spacing w:val="-4"/>
                <w:highlight w:val="none"/>
                <w:lang w:eastAsia="zh-CN"/>
              </w:rPr>
              <w:t>https</w:t>
            </w:r>
            <w:r>
              <w:rPr>
                <w:rFonts w:hint="eastAsia" w:asciiTheme="minorEastAsia" w:hAnsiTheme="minorEastAsia" w:eastAsiaTheme="minorEastAsia"/>
                <w:color w:val="auto"/>
                <w:spacing w:val="-4"/>
                <w:highlight w:val="none"/>
              </w:rPr>
              <w:t>://www.creditchina.gov.cn</w:t>
            </w:r>
            <w:r>
              <w:rPr>
                <w:rFonts w:hint="eastAsia" w:cs="宋体" w:asciiTheme="minorEastAsia" w:hAnsiTheme="minorEastAsia" w:eastAsiaTheme="minorEastAsia"/>
                <w:bCs/>
                <w:color w:val="auto"/>
                <w:highlight w:val="none"/>
              </w:rPr>
              <w:t>/</w:t>
            </w:r>
            <w:r>
              <w:rPr>
                <w:rFonts w:hint="eastAsia" w:asciiTheme="minorEastAsia" w:hAnsiTheme="minorEastAsia" w:eastAsiaTheme="minorEastAsia"/>
                <w:color w:val="auto"/>
                <w:spacing w:val="-4"/>
                <w:highlight w:val="none"/>
              </w:rPr>
              <w:t>）</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查询</w:t>
            </w:r>
            <w:r>
              <w:rPr>
                <w:rFonts w:asciiTheme="minorEastAsia" w:hAnsiTheme="minorEastAsia" w:eastAsiaTheme="minorEastAsia"/>
                <w:color w:val="auto"/>
                <w:highlight w:val="none"/>
              </w:rPr>
              <w:t>“失信被执行人”链接</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中国执行信息公开网</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http://zxgk.court.gov.cn/shixin/</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spacing w:val="-4"/>
                <w:highlight w:val="none"/>
              </w:rPr>
              <w:t>中列为失信被执行人的投标人，</w:t>
            </w:r>
            <w:r>
              <w:rPr>
                <w:rFonts w:hint="eastAsia" w:asciiTheme="minorEastAsia" w:hAnsiTheme="minorEastAsia" w:eastAsiaTheme="minorEastAsia"/>
                <w:color w:val="auto"/>
                <w:highlight w:val="none"/>
              </w:rPr>
              <w:t>不得参加投标</w:t>
            </w:r>
            <w:r>
              <w:rPr>
                <w:rFonts w:hint="eastAsia" w:ascii="宋体" w:hAnsi="宋体"/>
                <w:color w:val="auto"/>
                <w:spacing w:val="-4"/>
                <w:szCs w:val="21"/>
                <w:highlight w:val="none"/>
              </w:rPr>
              <w:t>。</w:t>
            </w:r>
          </w:p>
          <w:p w14:paraId="26DB921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Cs w:val="21"/>
                <w:highlight w:val="none"/>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4</w:t>
            </w:r>
            <w:r>
              <w:rPr>
                <w:rFonts w:hint="eastAsia" w:ascii="宋体" w:hAnsi="宋体"/>
                <w:b w:val="0"/>
                <w:bCs/>
                <w:color w:val="auto"/>
                <w:szCs w:val="21"/>
                <w:highlight w:val="none"/>
                <w:lang w:eastAsia="zh-CN"/>
              </w:rPr>
              <w:t>）</w:t>
            </w:r>
            <w:r>
              <w:rPr>
                <w:rFonts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日至本项目投标截止日期间，投标人（单位）、法定代表人、</w:t>
            </w:r>
            <w:r>
              <w:rPr>
                <w:rFonts w:hint="eastAsia" w:ascii="宋体" w:hAnsi="宋体"/>
                <w:color w:val="auto"/>
                <w:szCs w:val="21"/>
                <w:highlight w:val="none"/>
                <w:lang w:val="en-US" w:eastAsia="zh-CN"/>
              </w:rPr>
              <w:t>主要人员</w:t>
            </w:r>
            <w:r>
              <w:rPr>
                <w:rFonts w:hint="eastAsia" w:ascii="宋体" w:hAnsi="宋体"/>
                <w:color w:val="auto"/>
                <w:szCs w:val="21"/>
                <w:highlight w:val="none"/>
                <w:lang w:eastAsia="zh-CN"/>
              </w:rPr>
              <w:t>（</w:t>
            </w:r>
            <w:r>
              <w:rPr>
                <w:rFonts w:hint="eastAsia" w:ascii="宋体" w:hAnsi="宋体"/>
                <w:color w:val="auto"/>
                <w:szCs w:val="21"/>
                <w:highlight w:val="none"/>
              </w:rPr>
              <w:sym w:font="Wingdings 2" w:char="00A3"/>
            </w:r>
            <w:r>
              <w:rPr>
                <w:rFonts w:hint="eastAsia" w:ascii="宋体" w:hAnsi="宋体"/>
                <w:color w:val="auto"/>
                <w:szCs w:val="21"/>
                <w:highlight w:val="none"/>
              </w:rPr>
              <w:t>项目经理、□项目总工</w:t>
            </w:r>
            <w:r>
              <w:rPr>
                <w:rFonts w:hint="eastAsia" w:ascii="宋体" w:hAnsi="宋体"/>
                <w:color w:val="auto"/>
                <w:szCs w:val="21"/>
                <w:highlight w:val="none"/>
                <w:lang w:eastAsia="zh-CN"/>
              </w:rPr>
              <w:t>）</w:t>
            </w:r>
            <w:r>
              <w:rPr>
                <w:rFonts w:hint="eastAsia" w:ascii="宋体" w:hAnsi="宋体"/>
                <w:color w:val="auto"/>
                <w:szCs w:val="21"/>
                <w:highlight w:val="none"/>
              </w:rPr>
              <w:t>被人民法院生效判决</w:t>
            </w:r>
            <w:r>
              <w:rPr>
                <w:rFonts w:hint="eastAsia" w:ascii="宋体" w:hAnsi="宋体"/>
                <w:color w:val="auto"/>
                <w:szCs w:val="21"/>
                <w:highlight w:val="none"/>
                <w:lang w:val="en-US" w:eastAsia="zh-CN"/>
              </w:rPr>
              <w:t>或裁定认定</w:t>
            </w:r>
            <w:r>
              <w:rPr>
                <w:rFonts w:hint="eastAsia" w:ascii="宋体" w:hAnsi="宋体"/>
                <w:color w:val="auto"/>
                <w:szCs w:val="21"/>
                <w:highlight w:val="none"/>
              </w:rPr>
              <w:t>为行贿犯罪的，不得参加投标</w:t>
            </w:r>
            <w:r>
              <w:rPr>
                <w:rStyle w:val="59"/>
                <w:rFonts w:hAnsi="宋体"/>
                <w:color w:val="auto"/>
                <w:szCs w:val="21"/>
                <w:highlight w:val="none"/>
              </w:rPr>
              <w:footnoteReference w:id="77"/>
            </w:r>
            <w:r>
              <w:rPr>
                <w:rFonts w:hint="eastAsia" w:ascii="宋体" w:hAnsi="宋体"/>
                <w:color w:val="auto"/>
                <w:szCs w:val="21"/>
                <w:highlight w:val="none"/>
              </w:rPr>
              <w:t>。</w:t>
            </w:r>
          </w:p>
          <w:p w14:paraId="01E68279">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b/>
                <w:color w:val="auto"/>
                <w:szCs w:val="21"/>
                <w:highlight w:val="none"/>
                <w:u w:val="single"/>
              </w:rPr>
            </w:pPr>
            <w:r>
              <w:rPr>
                <w:rFonts w:hint="eastAsia" w:ascii="宋体" w:hAnsi="宋体"/>
                <w:b/>
                <w:color w:val="auto"/>
                <w:szCs w:val="21"/>
                <w:highlight w:val="none"/>
              </w:rPr>
              <w:t>□</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5</w:t>
            </w:r>
            <w:r>
              <w:rPr>
                <w:rFonts w:hint="eastAsia" w:ascii="宋体" w:hAnsi="宋体"/>
                <w:b w:val="0"/>
                <w:bCs/>
                <w:color w:val="auto"/>
                <w:szCs w:val="21"/>
                <w:highlight w:val="none"/>
                <w:lang w:eastAsia="zh-CN"/>
              </w:rPr>
              <w:t>）</w:t>
            </w:r>
            <w:r>
              <w:rPr>
                <w:rFonts w:ascii="宋体" w:hAnsi="宋体"/>
                <w:color w:val="auto"/>
                <w:szCs w:val="21"/>
                <w:highlight w:val="none"/>
              </w:rPr>
              <w:t>其他：</w:t>
            </w:r>
            <w:r>
              <w:rPr>
                <w:rFonts w:ascii="宋体" w:hAnsi="宋体"/>
                <w:b/>
                <w:color w:val="auto"/>
                <w:szCs w:val="21"/>
                <w:highlight w:val="none"/>
                <w:u w:val="single"/>
              </w:rPr>
              <w:t xml:space="preserve">               </w:t>
            </w:r>
          </w:p>
          <w:p w14:paraId="3A1F6E9B">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Cs w:val="21"/>
                <w:highlight w:val="none"/>
                <w:u w:val="single"/>
              </w:rPr>
            </w:pPr>
            <w:r>
              <w:rPr>
                <w:rFonts w:hint="eastAsia"/>
                <w:b/>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6</w:t>
            </w:r>
            <w:r>
              <w:rPr>
                <w:rFonts w:hint="eastAsia"/>
                <w:color w:val="auto"/>
                <w:szCs w:val="21"/>
                <w:highlight w:val="none"/>
                <w:lang w:eastAsia="zh-CN"/>
              </w:rPr>
              <w:t>）</w:t>
            </w:r>
            <w:r>
              <w:rPr>
                <w:rFonts w:hint="eastAsia"/>
                <w:color w:val="auto"/>
                <w:szCs w:val="21"/>
                <w:highlight w:val="none"/>
              </w:rPr>
              <w:t>联合体</w:t>
            </w:r>
            <w:r>
              <w:rPr>
                <w:rFonts w:hint="eastAsia" w:ascii="宋体" w:hAnsi="宋体"/>
                <w:color w:val="auto"/>
                <w:szCs w:val="21"/>
                <w:highlight w:val="none"/>
              </w:rPr>
              <w:t>应满足下列要求：</w:t>
            </w:r>
            <w:r>
              <w:rPr>
                <w:rFonts w:ascii="宋体" w:hAnsi="宋体"/>
                <w:color w:val="auto"/>
                <w:szCs w:val="21"/>
                <w:highlight w:val="none"/>
                <w:u w:val="single"/>
              </w:rPr>
              <w:t xml:space="preserve">                                    </w:t>
            </w:r>
          </w:p>
          <w:p w14:paraId="04F79D0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u w:val="single"/>
              </w:rPr>
            </w:pPr>
          </w:p>
          <w:p w14:paraId="5224CDD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w:t>
            </w:r>
          </w:p>
          <w:p w14:paraId="72BB7AB3">
            <w:pPr>
              <w:keepNext w:val="0"/>
              <w:keepLines w:val="0"/>
              <w:pageBreakBefore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信誉要求中第（1）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（3）项</w:t>
            </w:r>
            <w:r>
              <w:rPr>
                <w:rFonts w:ascii="宋体" w:hAnsi="宋体" w:cs="宋体"/>
                <w:color w:val="auto"/>
                <w:szCs w:val="21"/>
                <w:highlight w:val="none"/>
              </w:rPr>
              <w:t>均以招标人投标截止</w:t>
            </w:r>
            <w:r>
              <w:rPr>
                <w:rFonts w:hint="eastAsia" w:ascii="宋体" w:hAnsi="宋体" w:cs="宋体"/>
                <w:color w:val="auto"/>
                <w:szCs w:val="21"/>
                <w:highlight w:val="none"/>
                <w:lang w:val="en-US" w:eastAsia="zh-CN"/>
              </w:rPr>
              <w:t>时间</w:t>
            </w:r>
            <w:r>
              <w:rPr>
                <w:rFonts w:ascii="宋体" w:hAnsi="宋体" w:cs="宋体"/>
                <w:color w:val="auto"/>
                <w:szCs w:val="21"/>
                <w:highlight w:val="none"/>
              </w:rPr>
              <w:t>核查的</w:t>
            </w:r>
            <w:r>
              <w:rPr>
                <w:rFonts w:hint="eastAsia" w:ascii="宋体" w:hAnsi="宋体" w:cs="宋体"/>
                <w:color w:val="auto"/>
                <w:szCs w:val="21"/>
                <w:highlight w:val="none"/>
                <w:lang w:val="en-US" w:eastAsia="zh-CN"/>
              </w:rPr>
              <w:t>上述对应网站</w:t>
            </w:r>
            <w:r>
              <w:rPr>
                <w:rFonts w:hint="eastAsia" w:ascii="宋体" w:hAnsi="宋体" w:cs="宋体"/>
                <w:color w:val="auto"/>
                <w:szCs w:val="21"/>
                <w:highlight w:val="none"/>
              </w:rPr>
              <w:t>投标人</w:t>
            </w:r>
            <w:r>
              <w:rPr>
                <w:rFonts w:ascii="宋体" w:hAnsi="宋体" w:cs="宋体"/>
                <w:color w:val="auto"/>
                <w:szCs w:val="21"/>
                <w:highlight w:val="none"/>
              </w:rPr>
              <w:t>信息内容为准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第（4）项以投标人投标文件中提交的承诺函为准</w:t>
            </w:r>
            <w:r>
              <w:rPr>
                <w:rFonts w:hint="eastAsia" w:ascii="宋体" w:hAnsi="宋体" w:cs="宋体"/>
                <w:color w:val="auto"/>
                <w:szCs w:val="21"/>
                <w:highlight w:val="none"/>
              </w:rPr>
              <w:t>。</w:t>
            </w:r>
          </w:p>
          <w:p w14:paraId="3C692B5F">
            <w:pPr>
              <w:keepNext w:val="0"/>
              <w:keepLines w:val="0"/>
              <w:pageBreakBefore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（2）以联合体形式投标的，所有成员均应满足本表</w:t>
            </w:r>
            <w:r>
              <w:rPr>
                <w:rFonts w:hint="eastAsia" w:ascii="宋体" w:hAnsi="宋体" w:cs="宋体"/>
                <w:bCs/>
                <w:color w:val="auto"/>
                <w:szCs w:val="21"/>
                <w:highlight w:val="none"/>
                <w:lang w:val="en-US" w:eastAsia="zh-CN"/>
              </w:rPr>
              <w:t>要求</w:t>
            </w:r>
            <w:r>
              <w:rPr>
                <w:rFonts w:hint="eastAsia" w:ascii="宋体" w:hAnsi="宋体" w:cs="宋体"/>
                <w:color w:val="auto"/>
                <w:szCs w:val="21"/>
                <w:highlight w:val="none"/>
                <w:lang w:eastAsia="zh-CN"/>
              </w:rPr>
              <w:t>。</w:t>
            </w:r>
          </w:p>
        </w:tc>
      </w:tr>
      <w:tr w14:paraId="5D87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17" w:type="dxa"/>
            <w:vAlign w:val="center"/>
          </w:tcPr>
          <w:p w14:paraId="3C95038A">
            <w:pPr>
              <w:adjustRightInd w:val="0"/>
              <w:snapToGrid w:val="0"/>
              <w:spacing w:line="400" w:lineRule="exact"/>
              <w:jc w:val="center"/>
              <w:rPr>
                <w:rFonts w:ascii="宋体" w:hAnsi="宋体"/>
                <w:color w:val="auto"/>
                <w:szCs w:val="21"/>
                <w:highlight w:val="none"/>
              </w:rPr>
            </w:pPr>
            <w:r>
              <w:rPr>
                <w:rFonts w:ascii="宋体" w:hAnsi="宋体"/>
                <w:color w:val="auto"/>
                <w:szCs w:val="21"/>
                <w:highlight w:val="none"/>
              </w:rPr>
              <w:t>……</w:t>
            </w:r>
          </w:p>
        </w:tc>
        <w:tc>
          <w:tcPr>
            <w:tcW w:w="7630" w:type="dxa"/>
            <w:vAlign w:val="center"/>
          </w:tcPr>
          <w:p w14:paraId="747943AF">
            <w:pPr>
              <w:adjustRightInd w:val="0"/>
              <w:snapToGrid w:val="0"/>
              <w:spacing w:line="400" w:lineRule="exact"/>
              <w:jc w:val="both"/>
              <w:rPr>
                <w:rFonts w:ascii="宋体" w:hAnsi="宋体" w:cs="宋体"/>
                <w:color w:val="auto"/>
                <w:kern w:val="0"/>
                <w:szCs w:val="21"/>
                <w:highlight w:val="none"/>
              </w:rPr>
            </w:pPr>
            <w:r>
              <w:rPr>
                <w:rFonts w:ascii="宋体" w:hAnsi="宋体"/>
                <w:color w:val="auto"/>
                <w:szCs w:val="21"/>
                <w:highlight w:val="none"/>
              </w:rPr>
              <w:t>……</w:t>
            </w:r>
          </w:p>
        </w:tc>
      </w:tr>
    </w:tbl>
    <w:p w14:paraId="3C96812F">
      <w:pPr>
        <w:spacing w:line="500" w:lineRule="exact"/>
        <w:rPr>
          <w:rFonts w:ascii="宋体" w:hAnsi="宋体"/>
          <w:color w:val="auto"/>
          <w:sz w:val="24"/>
          <w:highlight w:val="none"/>
        </w:rPr>
      </w:pPr>
    </w:p>
    <w:p w14:paraId="180F6DA6">
      <w:pPr>
        <w:spacing w:line="500" w:lineRule="exact"/>
        <w:rPr>
          <w:rFonts w:ascii="宋体" w:hAnsi="宋体"/>
          <w:color w:val="auto"/>
          <w:sz w:val="24"/>
          <w:highlight w:val="none"/>
        </w:rPr>
      </w:pPr>
    </w:p>
    <w:p w14:paraId="1CC27BD7">
      <w:pPr>
        <w:rPr>
          <w:color w:val="auto"/>
          <w:highlight w:val="none"/>
        </w:rPr>
      </w:pPr>
      <w:bookmarkStart w:id="128" w:name="_Toc519844463"/>
    </w:p>
    <w:p w14:paraId="3EA0EF5E">
      <w:pPr>
        <w:pStyle w:val="6"/>
        <w:outlineLvl w:val="2"/>
        <w:rPr>
          <w:rFonts w:ascii="宋体" w:hAnsi="宋体" w:eastAsia="黑体"/>
          <w:color w:val="auto"/>
          <w:sz w:val="28"/>
          <w:highlight w:val="none"/>
        </w:rPr>
      </w:pPr>
      <w:r>
        <w:rPr>
          <w:rFonts w:ascii="宋体" w:hAnsi="宋体"/>
          <w:color w:val="auto"/>
          <w:highlight w:val="none"/>
        </w:rPr>
        <w:br w:type="page"/>
      </w:r>
      <w:bookmarkStart w:id="129" w:name="_Toc27060653"/>
      <w:bookmarkStart w:id="130" w:name="_Toc53685586"/>
      <w:bookmarkStart w:id="131" w:name="_Toc27059484"/>
      <w:bookmarkStart w:id="132" w:name="_Toc27059755"/>
      <w:bookmarkStart w:id="133" w:name="_Toc27059857"/>
      <w:bookmarkStart w:id="134" w:name="_Toc27059665"/>
      <w:r>
        <w:rPr>
          <w:rStyle w:val="152"/>
          <w:rFonts w:ascii="黑体" w:hAnsi="黑体" w:cs="黑体"/>
          <w:b/>
          <w:bCs/>
          <w:color w:val="auto"/>
          <w:highlight w:val="none"/>
        </w:rPr>
        <w:t>□</w:t>
      </w:r>
      <w:r>
        <w:rPr>
          <w:rStyle w:val="152"/>
          <w:rFonts w:hint="eastAsia" w:ascii="黑体" w:hAnsi="黑体" w:cs="黑体"/>
          <w:b/>
          <w:bCs/>
          <w:color w:val="auto"/>
          <w:highlight w:val="none"/>
        </w:rPr>
        <w:t xml:space="preserve"> </w:t>
      </w:r>
      <w:r>
        <w:rPr>
          <w:rStyle w:val="152"/>
          <w:b/>
          <w:bCs/>
          <w:color w:val="auto"/>
          <w:highlight w:val="none"/>
        </w:rPr>
        <w:t>附录5  资格审查条件（主要人员最低要求）</w:t>
      </w:r>
      <w:bookmarkEnd w:id="128"/>
      <w:bookmarkEnd w:id="129"/>
      <w:bookmarkEnd w:id="130"/>
      <w:bookmarkEnd w:id="131"/>
      <w:bookmarkEnd w:id="132"/>
      <w:bookmarkEnd w:id="133"/>
      <w:bookmarkEnd w:id="134"/>
      <w:r>
        <w:rPr>
          <w:rStyle w:val="59"/>
          <w:rFonts w:ascii="黑体" w:hAnsi="黑体" w:eastAsia="黑体" w:cs="黑体"/>
          <w:color w:val="auto"/>
          <w:szCs w:val="28"/>
          <w:highlight w:val="none"/>
        </w:rPr>
        <w:footnoteReference w:id="78"/>
      </w:r>
    </w:p>
    <w:p w14:paraId="0B221F5E">
      <w:pPr>
        <w:pStyle w:val="299"/>
        <w:spacing w:line="360" w:lineRule="auto"/>
        <w:jc w:val="center"/>
        <w:rPr>
          <w:rFonts w:hint="eastAsia" w:ascii="黑体" w:hAnsi="黑体" w:eastAsia="黑体"/>
          <w:color w:val="auto"/>
          <w:sz w:val="24"/>
          <w:highlight w:val="none"/>
        </w:rPr>
      </w:pPr>
      <w:r>
        <w:rPr>
          <w:rFonts w:hint="eastAsia" w:ascii="黑体" w:hAnsi="黑体" w:eastAsia="黑体"/>
          <w:b/>
          <w:bCs w:val="0"/>
          <w:color w:val="auto"/>
          <w:sz w:val="24"/>
          <w:highlight w:val="none"/>
        </w:rPr>
        <w:t>□</w:t>
      </w:r>
      <w:r>
        <w:rPr>
          <w:rFonts w:ascii="黑体" w:hAnsi="黑体" w:eastAsia="黑体"/>
          <w:bCs/>
          <w:color w:val="auto"/>
          <w:sz w:val="24"/>
          <w:highlight w:val="none"/>
        </w:rPr>
        <w:t xml:space="preserve"> </w:t>
      </w:r>
      <w:r>
        <w:rPr>
          <w:rFonts w:hint="eastAsia" w:ascii="黑体" w:hAnsi="黑体" w:eastAsia="黑体"/>
          <w:color w:val="auto"/>
          <w:sz w:val="24"/>
          <w:highlight w:val="none"/>
        </w:rPr>
        <w:t>项目经理</w:t>
      </w:r>
    </w:p>
    <w:tbl>
      <w:tblPr>
        <w:tblStyle w:val="49"/>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99"/>
        <w:gridCol w:w="6100"/>
        <w:gridCol w:w="1215"/>
      </w:tblGrid>
      <w:tr w14:paraId="1C83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902" w:type="dxa"/>
            <w:tcBorders>
              <w:bottom w:val="single" w:color="auto" w:sz="4" w:space="0"/>
            </w:tcBorders>
            <w:vAlign w:val="center"/>
          </w:tcPr>
          <w:p w14:paraId="5E533CF0">
            <w:pPr>
              <w:spacing w:line="400" w:lineRule="exact"/>
              <w:jc w:val="center"/>
              <w:rPr>
                <w:rFonts w:ascii="宋体" w:hAnsi="宋体"/>
                <w:color w:val="auto"/>
                <w:szCs w:val="21"/>
                <w:highlight w:val="none"/>
              </w:rPr>
            </w:pPr>
            <w:r>
              <w:rPr>
                <w:rFonts w:hint="eastAsia" w:ascii="宋体" w:hAnsi="宋体"/>
                <w:color w:val="auto"/>
                <w:szCs w:val="21"/>
                <w:highlight w:val="none"/>
              </w:rPr>
              <w:t>标段</w:t>
            </w:r>
          </w:p>
        </w:tc>
        <w:tc>
          <w:tcPr>
            <w:tcW w:w="799" w:type="dxa"/>
            <w:tcBorders>
              <w:bottom w:val="single" w:color="auto" w:sz="4" w:space="0"/>
            </w:tcBorders>
            <w:vAlign w:val="center"/>
          </w:tcPr>
          <w:p w14:paraId="1F6F5665">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6100" w:type="dxa"/>
            <w:tcBorders>
              <w:bottom w:val="single" w:color="auto" w:sz="4" w:space="0"/>
            </w:tcBorders>
            <w:vAlign w:val="center"/>
          </w:tcPr>
          <w:p w14:paraId="5A0F9F82">
            <w:pPr>
              <w:spacing w:line="400" w:lineRule="exact"/>
              <w:jc w:val="center"/>
              <w:rPr>
                <w:rFonts w:ascii="宋体" w:hAnsi="宋体"/>
                <w:color w:val="auto"/>
                <w:szCs w:val="21"/>
                <w:highlight w:val="none"/>
              </w:rPr>
            </w:pPr>
            <w:r>
              <w:rPr>
                <w:rFonts w:hint="eastAsia" w:ascii="宋体" w:hAnsi="宋体"/>
                <w:color w:val="auto"/>
                <w:szCs w:val="21"/>
                <w:highlight w:val="none"/>
              </w:rPr>
              <w:t>资格要求</w:t>
            </w:r>
          </w:p>
        </w:tc>
        <w:tc>
          <w:tcPr>
            <w:tcW w:w="1215" w:type="dxa"/>
            <w:tcBorders>
              <w:bottom w:val="single" w:color="auto" w:sz="4" w:space="0"/>
            </w:tcBorders>
            <w:vAlign w:val="center"/>
          </w:tcPr>
          <w:p w14:paraId="553F31FE">
            <w:pPr>
              <w:spacing w:line="400" w:lineRule="exact"/>
              <w:jc w:val="center"/>
              <w:rPr>
                <w:rFonts w:ascii="宋体" w:hAnsi="宋体"/>
                <w:b/>
                <w:color w:val="auto"/>
                <w:szCs w:val="21"/>
                <w:highlight w:val="none"/>
              </w:rPr>
            </w:pPr>
            <w:r>
              <w:rPr>
                <w:rFonts w:hint="eastAsia" w:ascii="宋体" w:hAnsi="宋体"/>
                <w:color w:val="auto"/>
                <w:szCs w:val="21"/>
                <w:highlight w:val="none"/>
              </w:rPr>
              <w:t>在岗情况</w:t>
            </w:r>
            <w:r>
              <w:rPr>
                <w:rStyle w:val="59"/>
                <w:rFonts w:ascii="宋体" w:hAnsi="宋体"/>
                <w:color w:val="auto"/>
                <w:szCs w:val="21"/>
                <w:highlight w:val="none"/>
              </w:rPr>
              <w:footnoteReference w:id="79"/>
            </w:r>
          </w:p>
        </w:tc>
      </w:tr>
      <w:tr w14:paraId="6482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902" w:type="dxa"/>
            <w:vAlign w:val="center"/>
          </w:tcPr>
          <w:p w14:paraId="2301C069">
            <w:pPr>
              <w:spacing w:line="400" w:lineRule="exact"/>
              <w:jc w:val="center"/>
              <w:rPr>
                <w:rFonts w:ascii="宋体" w:hAnsi="宋体"/>
                <w:color w:val="auto"/>
                <w:szCs w:val="21"/>
                <w:highlight w:val="none"/>
                <w:u w:val="single"/>
              </w:rPr>
            </w:pPr>
          </w:p>
        </w:tc>
        <w:tc>
          <w:tcPr>
            <w:tcW w:w="799" w:type="dxa"/>
            <w:vAlign w:val="center"/>
          </w:tcPr>
          <w:p w14:paraId="56FED184">
            <w:pPr>
              <w:spacing w:line="400" w:lineRule="exact"/>
              <w:jc w:val="center"/>
              <w:rPr>
                <w:rFonts w:ascii="宋体" w:hAnsi="宋体"/>
                <w:color w:val="auto"/>
                <w:szCs w:val="21"/>
                <w:highlight w:val="none"/>
              </w:rPr>
            </w:pPr>
          </w:p>
        </w:tc>
        <w:tc>
          <w:tcPr>
            <w:tcW w:w="6100" w:type="dxa"/>
            <w:vAlign w:val="center"/>
          </w:tcPr>
          <w:p w14:paraId="5204219B">
            <w:pPr>
              <w:spacing w:line="40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具有</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kern w:val="0"/>
                <w:szCs w:val="21"/>
                <w:highlight w:val="none"/>
              </w:rPr>
              <w:t>专业</w:t>
            </w:r>
            <w:r>
              <w:rPr>
                <w:rFonts w:hint="eastAsia" w:ascii="宋体" w:hAnsi="宋体"/>
                <w:color w:val="auto"/>
                <w:szCs w:val="21"/>
                <w:highlight w:val="none"/>
              </w:rPr>
              <w:t>）（□工程师；□高级工程师）</w:t>
            </w:r>
            <w:r>
              <w:rPr>
                <w:rStyle w:val="59"/>
                <w:rFonts w:ascii="宋体" w:hAnsi="宋体" w:cs="宋体"/>
                <w:color w:val="auto"/>
                <w:szCs w:val="21"/>
                <w:highlight w:val="none"/>
              </w:rPr>
              <w:footnoteReference w:id="80"/>
            </w:r>
            <w:r>
              <w:rPr>
                <w:rFonts w:hint="eastAsia" w:ascii="宋体" w:hAnsi="宋体"/>
                <w:color w:val="auto"/>
                <w:szCs w:val="21"/>
                <w:highlight w:val="none"/>
              </w:rPr>
              <w:t>及以上技</w:t>
            </w:r>
          </w:p>
          <w:p w14:paraId="2031B716">
            <w:pPr>
              <w:spacing w:line="40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术职称</w:t>
            </w:r>
            <w:r>
              <w:rPr>
                <w:rFonts w:hint="eastAsia" w:ascii="宋体" w:hAnsi="宋体"/>
                <w:color w:val="auto"/>
                <w:szCs w:val="21"/>
                <w:highlight w:val="none"/>
                <w:lang w:eastAsia="zh-CN"/>
              </w:rPr>
              <w:t>。</w:t>
            </w:r>
          </w:p>
          <w:p w14:paraId="01738C39">
            <w:pPr>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具有</w:t>
            </w:r>
            <w:r>
              <w:rPr>
                <w:rFonts w:hint="eastAsia" w:ascii="宋体" w:hAnsi="宋体"/>
                <w:color w:val="auto"/>
                <w:kern w:val="0"/>
                <w:szCs w:val="21"/>
                <w:highlight w:val="none"/>
              </w:rPr>
              <w:t>注册建造师</w:t>
            </w:r>
            <w:r>
              <w:rPr>
                <w:rFonts w:ascii="宋体" w:hAnsi="宋体"/>
                <w:color w:val="auto"/>
                <w:kern w:val="0"/>
                <w:szCs w:val="21"/>
                <w:highlight w:val="none"/>
                <w:u w:val="single"/>
              </w:rPr>
              <w:t xml:space="preserve">      </w:t>
            </w:r>
            <w:r>
              <w:rPr>
                <w:rFonts w:hint="eastAsia" w:ascii="宋体" w:hAnsi="宋体"/>
                <w:color w:val="auto"/>
                <w:kern w:val="0"/>
                <w:szCs w:val="21"/>
                <w:highlight w:val="none"/>
              </w:rPr>
              <w:t>级（专业：</w:t>
            </w:r>
            <w:r>
              <w:rPr>
                <w:rFonts w:ascii="宋体" w:hAnsi="宋体"/>
                <w:color w:val="auto"/>
                <w:kern w:val="0"/>
                <w:szCs w:val="21"/>
                <w:highlight w:val="none"/>
                <w:u w:val="single"/>
              </w:rPr>
              <w:t xml:space="preserve">      </w:t>
            </w:r>
            <w:r>
              <w:rPr>
                <w:rFonts w:hint="eastAsia" w:ascii="宋体" w:hAnsi="宋体"/>
                <w:color w:val="auto"/>
                <w:kern w:val="0"/>
                <w:szCs w:val="21"/>
                <w:highlight w:val="none"/>
              </w:rPr>
              <w:t>）执业资格证书</w:t>
            </w:r>
          </w:p>
          <w:p w14:paraId="2F34C787">
            <w:pPr>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（注册在该投标单位）且未处于暂停执业处罚期内，未被</w:t>
            </w:r>
          </w:p>
          <w:p w14:paraId="186F2610">
            <w:pPr>
              <w:spacing w:line="40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取消资格</w:t>
            </w:r>
            <w:r>
              <w:rPr>
                <w:rFonts w:hint="eastAsia" w:ascii="宋体" w:hAnsi="宋体"/>
                <w:color w:val="auto"/>
                <w:szCs w:val="21"/>
                <w:highlight w:val="none"/>
                <w:lang w:eastAsia="zh-CN"/>
              </w:rPr>
              <w:t>。</w:t>
            </w:r>
          </w:p>
          <w:p w14:paraId="45931112">
            <w:pPr>
              <w:spacing w:line="400" w:lineRule="exact"/>
              <w:rPr>
                <w:rFonts w:hint="eastAsia" w:ascii="宋体" w:hAnsi="宋体" w:eastAsia="宋体"/>
                <w:color w:val="auto"/>
                <w:szCs w:val="21"/>
                <w:highlight w:val="none"/>
                <w:lang w:eastAsia="zh-CN"/>
              </w:rPr>
            </w:pPr>
            <w:r>
              <w:rPr>
                <w:rFonts w:hint="eastAsia" w:ascii="宋体" w:hAnsi="宋体"/>
                <w:b/>
                <w:color w:val="auto"/>
                <w:szCs w:val="21"/>
                <w:highlight w:val="none"/>
              </w:rPr>
              <w:t>□</w:t>
            </w:r>
            <w:r>
              <w:rPr>
                <w:rFonts w:ascii="宋体" w:hAnsi="宋体"/>
                <w:b/>
                <w:color w:val="auto"/>
                <w:szCs w:val="21"/>
                <w:highlight w:val="none"/>
              </w:rPr>
              <w:t xml:space="preserve"> </w:t>
            </w:r>
            <w:r>
              <w:rPr>
                <w:rFonts w:hint="eastAsia" w:ascii="宋体" w:hAnsi="宋体"/>
                <w:color w:val="auto"/>
                <w:szCs w:val="21"/>
                <w:highlight w:val="none"/>
              </w:rPr>
              <w:t>持有安全生产考核合格“</w:t>
            </w:r>
            <w:r>
              <w:rPr>
                <w:rFonts w:ascii="宋体" w:hAnsi="宋体"/>
                <w:color w:val="auto"/>
                <w:szCs w:val="21"/>
                <w:highlight w:val="none"/>
              </w:rPr>
              <w:t>B”类证书（□交安类）</w:t>
            </w:r>
            <w:r>
              <w:rPr>
                <w:rFonts w:hint="eastAsia" w:ascii="宋体" w:hAnsi="宋体"/>
                <w:color w:val="auto"/>
                <w:szCs w:val="21"/>
                <w:highlight w:val="none"/>
                <w:lang w:eastAsia="zh-CN"/>
              </w:rPr>
              <w:t>。</w:t>
            </w:r>
          </w:p>
          <w:p w14:paraId="0B57A805">
            <w:pPr>
              <w:spacing w:line="400" w:lineRule="exact"/>
              <w:ind w:left="422" w:hanging="422" w:hangingChars="200"/>
              <w:rPr>
                <w:rFonts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color w:val="auto"/>
                <w:highlight w:val="none"/>
              </w:rPr>
              <w:t>投标截止日所在月上个月或上上个月起之前</w:t>
            </w:r>
            <w:bookmarkStart w:id="135" w:name="_Hlk97819749"/>
            <w:r>
              <w:rPr>
                <w:rFonts w:hint="eastAsia"/>
                <w:color w:val="auto"/>
                <w:highlight w:val="none"/>
              </w:rPr>
              <w:t>在其</w:t>
            </w:r>
            <w:r>
              <w:rPr>
                <w:rFonts w:hint="eastAsia" w:ascii="宋体" w:hAnsi="宋体" w:cs="宋体"/>
                <w:color w:val="auto"/>
                <w:szCs w:val="21"/>
                <w:highlight w:val="none"/>
              </w:rPr>
              <w:t>投标单位连</w:t>
            </w:r>
          </w:p>
          <w:p w14:paraId="1744D75C">
            <w:pPr>
              <w:spacing w:line="400" w:lineRule="exact"/>
              <w:ind w:firstLine="315" w:firstLineChars="150"/>
              <w:rPr>
                <w:rFonts w:hint="eastAsia" w:ascii="宋体" w:hAnsi="宋体" w:eastAsia="宋体"/>
                <w:color w:val="auto"/>
                <w:szCs w:val="21"/>
                <w:highlight w:val="none"/>
                <w:lang w:eastAsia="zh-CN"/>
              </w:rPr>
            </w:pPr>
            <w:r>
              <w:rPr>
                <w:rFonts w:hint="eastAsia" w:ascii="宋体" w:hAnsi="宋体" w:cs="宋体"/>
                <w:color w:val="auto"/>
                <w:szCs w:val="21"/>
                <w:highlight w:val="none"/>
              </w:rPr>
              <w:t>续</w:t>
            </w:r>
            <w:r>
              <w:rPr>
                <w:rFonts w:ascii="宋体" w:hAnsi="宋体" w:cs="宋体"/>
                <w:color w:val="auto"/>
                <w:szCs w:val="21"/>
                <w:highlight w:val="none"/>
              </w:rPr>
              <w:t>6个月参加社保</w:t>
            </w:r>
            <w:bookmarkEnd w:id="135"/>
            <w:r>
              <w:rPr>
                <w:rFonts w:hint="eastAsia" w:ascii="宋体" w:hAnsi="宋体"/>
                <w:color w:val="auto"/>
                <w:szCs w:val="21"/>
                <w:highlight w:val="none"/>
                <w:lang w:eastAsia="zh-CN"/>
              </w:rPr>
              <w:t>。</w:t>
            </w:r>
          </w:p>
          <w:p w14:paraId="7AD0696B">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w:t>
            </w:r>
            <w:r>
              <w:rPr>
                <w:rStyle w:val="59"/>
                <w:rFonts w:ascii="宋体" w:hAnsi="宋体" w:cs="宋体"/>
                <w:color w:val="auto"/>
                <w:szCs w:val="21"/>
                <w:highlight w:val="none"/>
              </w:rPr>
              <w:footnoteReference w:id="81"/>
            </w:r>
            <w:r>
              <w:rPr>
                <w:rFonts w:hint="eastAsia" w:ascii="宋体" w:hAnsi="宋体" w:cs="宋体"/>
                <w:color w:val="auto"/>
                <w:szCs w:val="21"/>
                <w:highlight w:val="none"/>
              </w:rPr>
              <w:t>国内（□新建；□改扩建；□新建或改扩建）</w:t>
            </w:r>
            <w:r>
              <w:rPr>
                <w:rStyle w:val="59"/>
                <w:rFonts w:ascii="宋体" w:hAnsi="宋体" w:cs="宋体"/>
                <w:color w:val="auto"/>
                <w:szCs w:val="21"/>
                <w:highlight w:val="none"/>
              </w:rPr>
              <w:footnoteReference w:id="82"/>
            </w:r>
          </w:p>
          <w:p w14:paraId="45F5D4C9">
            <w:pPr>
              <w:pStyle w:val="299"/>
              <w:adjustRightInd w:val="0"/>
              <w:snapToGrid w:val="0"/>
              <w:spacing w:line="400" w:lineRule="exact"/>
              <w:ind w:left="315" w:leftChars="150"/>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公路路基土建工程</w:t>
            </w:r>
            <w:r>
              <w:rPr>
                <w:rStyle w:val="59"/>
                <w:rFonts w:ascii="宋体" w:hAnsi="宋体" w:cs="宋体"/>
                <w:color w:val="auto"/>
                <w:szCs w:val="21"/>
                <w:highlight w:val="none"/>
              </w:rPr>
              <w:footnoteReference w:id="83"/>
            </w:r>
            <w:r>
              <w:rPr>
                <w:rFonts w:hint="eastAsia" w:ascii="宋体" w:hAnsi="宋体" w:cs="宋体"/>
                <w:color w:val="auto"/>
                <w:szCs w:val="21"/>
                <w:highlight w:val="none"/>
              </w:rPr>
              <w:t>施工项目中担任过（□项目经理、□或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w:t>
            </w:r>
            <w:r>
              <w:rPr>
                <w:rStyle w:val="59"/>
                <w:rFonts w:ascii="宋体" w:hAnsi="宋体" w:cs="宋体"/>
                <w:color w:val="auto"/>
                <w:szCs w:val="21"/>
                <w:highlight w:val="none"/>
              </w:rPr>
              <w:footnoteReference w:id="84"/>
            </w:r>
            <w:r>
              <w:rPr>
                <w:rFonts w:hint="eastAsia" w:ascii="宋体" w:hAnsi="宋体" w:cs="宋体"/>
                <w:color w:val="auto"/>
                <w:szCs w:val="21"/>
                <w:highlight w:val="none"/>
              </w:rPr>
              <w:t>职务。</w:t>
            </w:r>
          </w:p>
          <w:p w14:paraId="19C183F5">
            <w:pPr>
              <w:pStyle w:val="299"/>
              <w:adjustRightInd w:val="0"/>
              <w:snapToGrid w:val="0"/>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座国内（□新建；□改扩建；□新建或改扩建）</w:t>
            </w:r>
          </w:p>
          <w:p w14:paraId="5EF414BF">
            <w:pPr>
              <w:pStyle w:val="299"/>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Fonts w:ascii="宋体" w:hAnsi="宋体" w:cs="宋体"/>
                <w:color w:val="auto"/>
                <w:szCs w:val="21"/>
                <w:highlight w:val="none"/>
                <w:vertAlign w:val="superscript"/>
              </w:rPr>
              <w:footnoteReference w:id="85"/>
            </w:r>
            <w:r>
              <w:rPr>
                <w:rFonts w:hint="eastAsia" w:ascii="宋体" w:hAnsi="宋体" w:cs="宋体"/>
                <w:color w:val="auto"/>
                <w:szCs w:val="21"/>
                <w:highlight w:val="none"/>
              </w:rPr>
              <w:t>的施工项目中担任过（□项目经</w:t>
            </w:r>
          </w:p>
          <w:p w14:paraId="09B1B8A0">
            <w:pPr>
              <w:pStyle w:val="299"/>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理、</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）职务，□其中须至少</w:t>
            </w:r>
          </w:p>
          <w:p w14:paraId="2FC6E26B">
            <w:pPr>
              <w:pStyle w:val="299"/>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包含（</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同时包含；□包含其中之一）主跨桥梁类型</w:t>
            </w:r>
            <w:r>
              <w:rPr>
                <w:rFonts w:ascii="宋体" w:hAnsi="宋体" w:cs="宋体"/>
                <w:color w:val="auto"/>
                <w:szCs w:val="21"/>
                <w:highlight w:val="none"/>
                <w:vertAlign w:val="superscript"/>
              </w:rPr>
              <w:footnoteReference w:id="86"/>
            </w:r>
            <w:r>
              <w:rPr>
                <w:rFonts w:hint="eastAsia" w:ascii="宋体" w:hAnsi="宋体" w:cs="宋体"/>
                <w:color w:val="auto"/>
                <w:szCs w:val="21"/>
                <w:highlight w:val="none"/>
              </w:rPr>
              <w:t>：</w:t>
            </w:r>
          </w:p>
          <w:p w14:paraId="23CD8850">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□拱式桥，主跨跨径</w:t>
            </w:r>
            <w:r>
              <w:rPr>
                <w:rStyle w:val="59"/>
                <w:rFonts w:ascii="宋体" w:hAnsi="宋体" w:cs="宋体"/>
                <w:color w:val="auto"/>
                <w:szCs w:val="21"/>
                <w:highlight w:val="none"/>
              </w:rPr>
              <w:footnoteReference w:id="87"/>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23CF5945">
            <w:pPr>
              <w:pStyle w:val="299"/>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□悬索桥，主跨跨径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ascii="宋体" w:hAnsi="宋体" w:cs="宋体"/>
                <w:color w:val="auto"/>
                <w:szCs w:val="21"/>
                <w:highlight w:val="none"/>
              </w:rPr>
              <w:t>座</w:t>
            </w:r>
          </w:p>
          <w:p w14:paraId="760A7726">
            <w:pPr>
              <w:pStyle w:val="299"/>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□斜拉桥，主跨跨径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ascii="宋体" w:hAnsi="宋体" w:cs="宋体"/>
                <w:color w:val="auto"/>
                <w:szCs w:val="21"/>
                <w:highlight w:val="none"/>
              </w:rPr>
              <w:t xml:space="preserve">座  </w:t>
            </w:r>
          </w:p>
          <w:p w14:paraId="5C5BDD6B">
            <w:pPr>
              <w:pStyle w:val="299"/>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□刚构桥，主跨跨径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ascii="宋体" w:hAnsi="宋体" w:cs="宋体"/>
                <w:color w:val="auto"/>
                <w:szCs w:val="21"/>
                <w:highlight w:val="none"/>
              </w:rPr>
              <w:t>座</w:t>
            </w:r>
          </w:p>
          <w:p w14:paraId="2D048F70">
            <w:pPr>
              <w:pStyle w:val="299"/>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□组合体系桥，主跨跨径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ascii="宋体" w:hAnsi="宋体" w:cs="宋体"/>
                <w:color w:val="auto"/>
                <w:szCs w:val="21"/>
                <w:highlight w:val="none"/>
              </w:rPr>
              <w:t>座</w:t>
            </w:r>
          </w:p>
          <w:p w14:paraId="448E657E">
            <w:pPr>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hint="eastAsia" w:ascii="宋体" w:hAnsi="宋体" w:cs="宋体"/>
                <w:color w:val="auto"/>
                <w:szCs w:val="21"/>
                <w:highlight w:val="none"/>
              </w:rPr>
              <w:t>，主跨跨径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ascii="宋体" w:hAnsi="宋体" w:cs="宋体"/>
                <w:color w:val="auto"/>
                <w:szCs w:val="21"/>
                <w:highlight w:val="none"/>
              </w:rPr>
              <w:t>座</w:t>
            </w:r>
          </w:p>
          <w:p w14:paraId="547EA0C3">
            <w:pPr>
              <w:adjustRightInd w:val="0"/>
              <w:snapToGrid w:val="0"/>
              <w:spacing w:line="400" w:lineRule="exact"/>
              <w:ind w:left="316" w:hanging="316" w:hangingChars="150"/>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座国内（□新建；□改扩建；□新建或改扩建）</w:t>
            </w:r>
          </w:p>
          <w:p w14:paraId="41C9CCB8">
            <w:pPr>
              <w:adjustRightInd w:val="0"/>
              <w:snapToGrid w:val="0"/>
              <w:spacing w:line="400" w:lineRule="exact"/>
              <w:ind w:left="316" w:hanging="315" w:hangingChars="15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公路（□中隧道及以上；□长隧道及以上；□特长隧道；□单洞长度</w:t>
            </w:r>
            <w:r>
              <w:rPr>
                <w:rStyle w:val="59"/>
                <w:rFonts w:ascii="宋体" w:hAnsi="宋体" w:cs="宋体"/>
                <w:color w:val="auto"/>
                <w:szCs w:val="21"/>
                <w:highlight w:val="none"/>
              </w:rPr>
              <w:footnoteReference w:id="88"/>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米及以上特长隧道）</w:t>
            </w:r>
            <w:r>
              <w:rPr>
                <w:rStyle w:val="59"/>
                <w:rFonts w:ascii="宋体" w:hAnsi="宋体" w:cs="宋体"/>
                <w:color w:val="auto"/>
                <w:szCs w:val="21"/>
                <w:highlight w:val="none"/>
              </w:rPr>
              <w:footnoteReference w:id="89"/>
            </w:r>
            <w:r>
              <w:rPr>
                <w:rFonts w:hint="eastAsia" w:ascii="宋体" w:hAnsi="宋体" w:cs="宋体"/>
                <w:color w:val="auto"/>
                <w:szCs w:val="21"/>
                <w:highlight w:val="none"/>
              </w:rPr>
              <w:t>施工项目中担任过（□项目经理、□或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）职务。</w:t>
            </w:r>
          </w:p>
          <w:p w14:paraId="379F1A73">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个国内（□新建；□改扩建；□新建或改扩建）</w:t>
            </w:r>
          </w:p>
          <w:p w14:paraId="762353DD">
            <w:pPr>
              <w:spacing w:line="400" w:lineRule="exact"/>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公路路面工程施工项目中担任过（□项目经</w:t>
            </w:r>
          </w:p>
          <w:p w14:paraId="4BCBF477">
            <w:pPr>
              <w:spacing w:line="400" w:lineRule="exact"/>
              <w:ind w:left="420" w:hanging="420" w:hangingChars="200"/>
              <w:rPr>
                <w:rFonts w:ascii="宋体" w:hAnsi="宋体"/>
                <w:b/>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理、</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）职务。</w:t>
            </w:r>
          </w:p>
          <w:p w14:paraId="42DE94AD">
            <w:pPr>
              <w:spacing w:line="400" w:lineRule="exact"/>
              <w:rPr>
                <w:rFonts w:hint="eastAsia"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lang w:val="en-US" w:eastAsia="zh-CN"/>
              </w:rPr>
              <w:t>至少</w:t>
            </w:r>
            <w:r>
              <w:rPr>
                <w:rFonts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lang w:val="en-US" w:eastAsia="zh-CN"/>
              </w:rPr>
              <w:t>个</w:t>
            </w:r>
            <w:r>
              <w:rPr>
                <w:rFonts w:hint="eastAsia" w:ascii="宋体" w:hAnsi="宋体"/>
                <w:color w:val="auto"/>
                <w:szCs w:val="21"/>
                <w:highlight w:val="none"/>
              </w:rPr>
              <w:t>国内</w:t>
            </w:r>
            <w:r>
              <w:rPr>
                <w:rFonts w:hint="eastAsia" w:ascii="宋体" w:hAnsi="宋体" w:cs="宋体"/>
                <w:color w:val="auto"/>
                <w:szCs w:val="21"/>
                <w:highlight w:val="none"/>
              </w:rPr>
              <w:t>（□新建；□改扩建；□新建或改扩建）</w:t>
            </w:r>
          </w:p>
          <w:p w14:paraId="270B1852">
            <w:pPr>
              <w:spacing w:line="400" w:lineRule="exact"/>
              <w:rPr>
                <w:rFonts w:ascii="宋体" w:hAnsi="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olor w:val="auto"/>
                <w:szCs w:val="21"/>
                <w:highlight w:val="none"/>
              </w:rPr>
              <w:t>公路交通安全设施工程施工项目中</w:t>
            </w:r>
            <w:r>
              <w:rPr>
                <w:rFonts w:hint="eastAsia" w:ascii="宋体" w:hAnsi="宋体" w:cs="宋体"/>
                <w:color w:val="auto"/>
                <w:szCs w:val="21"/>
                <w:highlight w:val="none"/>
              </w:rPr>
              <w:t>担任过（□</w:t>
            </w:r>
          </w:p>
          <w:p w14:paraId="2CED9C1E">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s="宋体"/>
                <w:color w:val="auto"/>
                <w:szCs w:val="21"/>
                <w:highlight w:val="none"/>
              </w:rPr>
              <w:t>项目经理、□或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w:t>
            </w:r>
            <w:r>
              <w:rPr>
                <w:rFonts w:hint="eastAsia" w:ascii="宋体" w:hAnsi="宋体"/>
                <w:color w:val="auto"/>
                <w:szCs w:val="21"/>
                <w:highlight w:val="none"/>
              </w:rPr>
              <w:t>职务。</w:t>
            </w:r>
          </w:p>
          <w:p w14:paraId="33BCF2F3">
            <w:pPr>
              <w:spacing w:line="400" w:lineRule="exact"/>
              <w:rPr>
                <w:rFonts w:hint="eastAsia"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lang w:val="en-US" w:eastAsia="zh-CN"/>
              </w:rPr>
              <w:t>至少</w:t>
            </w:r>
            <w:r>
              <w:rPr>
                <w:rFonts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lang w:val="en-US" w:eastAsia="zh-CN"/>
              </w:rPr>
              <w:t>个</w:t>
            </w:r>
            <w:r>
              <w:rPr>
                <w:rFonts w:hint="eastAsia" w:ascii="宋体" w:hAnsi="宋体"/>
                <w:color w:val="auto"/>
                <w:szCs w:val="21"/>
                <w:highlight w:val="none"/>
              </w:rPr>
              <w:t>国内</w:t>
            </w:r>
            <w:r>
              <w:rPr>
                <w:rFonts w:hint="eastAsia" w:ascii="宋体" w:hAnsi="宋体" w:cs="宋体"/>
                <w:color w:val="auto"/>
                <w:szCs w:val="21"/>
                <w:highlight w:val="none"/>
              </w:rPr>
              <w:t>（□新建；□改扩建；□新建或改扩建）</w:t>
            </w:r>
          </w:p>
          <w:p w14:paraId="3933D8A7">
            <w:pPr>
              <w:adjustRightInd/>
              <w:snapToGrid/>
              <w:spacing w:line="400" w:lineRule="exact"/>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olor w:val="auto"/>
                <w:szCs w:val="21"/>
                <w:highlight w:val="none"/>
              </w:rPr>
              <w:t>公路</w:t>
            </w:r>
            <w:r>
              <w:rPr>
                <w:rFonts w:hint="eastAsia" w:ascii="宋体" w:hAnsi="宋体" w:cs="宋体"/>
                <w:color w:val="auto"/>
                <w:szCs w:val="21"/>
                <w:highlight w:val="none"/>
              </w:rPr>
              <w:t>隧道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施工项目中</w:t>
            </w:r>
            <w:r>
              <w:rPr>
                <w:rFonts w:hint="eastAsia" w:ascii="宋体" w:hAnsi="宋体" w:cs="宋体"/>
                <w:color w:val="auto"/>
                <w:szCs w:val="21"/>
                <w:highlight w:val="none"/>
              </w:rPr>
              <w:t>担任过（□项目</w:t>
            </w:r>
          </w:p>
          <w:p w14:paraId="194F8E64">
            <w:pPr>
              <w:adjustRightInd/>
              <w:snapToGrid/>
              <w:spacing w:line="400" w:lineRule="exact"/>
              <w:ind w:left="0" w:firstLine="0" w:firstLineChars="0"/>
              <w:rPr>
                <w:rFonts w:hint="eastAsia" w:ascii="宋体" w:hAnsi="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经理、□或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w:t>
            </w:r>
            <w:r>
              <w:rPr>
                <w:rFonts w:hint="eastAsia" w:ascii="宋体" w:hAnsi="宋体"/>
                <w:color w:val="auto"/>
                <w:szCs w:val="21"/>
                <w:highlight w:val="none"/>
              </w:rPr>
              <w:t>职务。</w:t>
            </w:r>
          </w:p>
          <w:p w14:paraId="2626CBE9">
            <w:pPr>
              <w:widowControl/>
              <w:adjustRightInd w:val="0"/>
              <w:snapToGrid w:val="0"/>
              <w:spacing w:line="400" w:lineRule="exact"/>
              <w:ind w:left="422" w:hanging="422" w:hangingChars="200"/>
              <w:jc w:val="left"/>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至少</w:t>
            </w:r>
            <w:r>
              <w:rPr>
                <w:rFonts w:hint="eastAsia" w:ascii="宋体" w:hAnsi="宋体"/>
                <w:color w:val="auto"/>
                <w:szCs w:val="21"/>
                <w:highlight w:val="none"/>
              </w:rPr>
              <w:t>在</w:t>
            </w:r>
            <w:r>
              <w:rPr>
                <w:rFonts w:hint="eastAsia" w:ascii="宋体" w:hAnsi="宋体"/>
                <w:color w:val="auto"/>
                <w:szCs w:val="21"/>
                <w:highlight w:val="none"/>
                <w:u w:val="single"/>
              </w:rPr>
              <w:t xml:space="preserve">   </w:t>
            </w:r>
            <w:r>
              <w:rPr>
                <w:rFonts w:hint="eastAsia" w:ascii="宋体" w:hAnsi="宋体"/>
                <w:color w:val="auto"/>
                <w:szCs w:val="21"/>
                <w:highlight w:val="none"/>
              </w:rPr>
              <w:t>个国内房建工程施工项目中担任过（□项目经理；</w:t>
            </w:r>
          </w:p>
          <w:p w14:paraId="56EDF3EA">
            <w:pPr>
              <w:widowControl/>
              <w:adjustRightInd w:val="0"/>
              <w:snapToGrid w:val="0"/>
              <w:spacing w:line="400" w:lineRule="exact"/>
              <w:ind w:left="422" w:hanging="420" w:hanging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sym w:font="Wingdings 2" w:char="00A3"/>
            </w:r>
            <w:r>
              <w:rPr>
                <w:rFonts w:hint="eastAsia" w:ascii="宋体" w:hAnsi="宋体"/>
                <w:color w:val="auto"/>
                <w:szCs w:val="21"/>
                <w:highlight w:val="none"/>
              </w:rPr>
              <w:t>或项目副经理；□或项目总工）职务</w:t>
            </w:r>
            <w:r>
              <w:rPr>
                <w:rFonts w:hint="eastAsia" w:ascii="宋体" w:hAnsi="宋体"/>
                <w:color w:val="auto"/>
                <w:szCs w:val="21"/>
                <w:highlight w:val="none"/>
                <w:lang w:eastAsia="zh-CN"/>
              </w:rPr>
              <w:t>。</w:t>
            </w:r>
          </w:p>
          <w:p w14:paraId="3FD92599">
            <w:pPr>
              <w:pStyle w:val="299"/>
              <w:adjustRightInd w:val="0"/>
              <w:snapToGrid w:val="0"/>
              <w:spacing w:line="400" w:lineRule="exact"/>
              <w:rPr>
                <w:rFonts w:ascii="宋体" w:hAnsi="宋体"/>
                <w:color w:val="auto"/>
                <w:szCs w:val="21"/>
                <w:highlight w:val="none"/>
                <w:u w:val="single"/>
              </w:rPr>
            </w:pPr>
            <w:r>
              <w:rPr>
                <w:rFonts w:hint="eastAsia" w:ascii="宋体" w:hAnsi="宋体"/>
                <w:b/>
                <w:color w:val="auto"/>
                <w:szCs w:val="21"/>
                <w:highlight w:val="none"/>
              </w:rPr>
              <w:t>□</w:t>
            </w:r>
            <w:r>
              <w:rPr>
                <w:rFonts w:ascii="宋体" w:hAnsi="宋体"/>
                <w:color w:val="auto"/>
                <w:szCs w:val="21"/>
                <w:highlight w:val="none"/>
              </w:rPr>
              <w:t xml:space="preserve"> 其他</w:t>
            </w:r>
            <w:r>
              <w:rPr>
                <w:rStyle w:val="59"/>
                <w:rFonts w:ascii="宋体" w:hAnsi="宋体" w:cs="宋体"/>
                <w:color w:val="auto"/>
                <w:szCs w:val="21"/>
                <w:highlight w:val="none"/>
              </w:rPr>
              <w:footnoteReference w:id="90"/>
            </w:r>
            <w:r>
              <w:rPr>
                <w:rFonts w:ascii="宋体" w:hAnsi="宋体"/>
                <w:color w:val="auto"/>
                <w:szCs w:val="21"/>
                <w:highlight w:val="none"/>
              </w:rPr>
              <w:t>：</w:t>
            </w:r>
            <w:r>
              <w:rPr>
                <w:rFonts w:ascii="宋体" w:hAnsi="宋体"/>
                <w:color w:val="auto"/>
                <w:szCs w:val="21"/>
                <w:highlight w:val="none"/>
                <w:u w:val="single"/>
              </w:rPr>
              <w:t xml:space="preserve">          </w:t>
            </w:r>
          </w:p>
          <w:p w14:paraId="6B134466">
            <w:pPr>
              <w:spacing w:line="40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联合体应满足下列要求： </w:t>
            </w:r>
            <w:r>
              <w:rPr>
                <w:rFonts w:ascii="宋体" w:hAnsi="宋体"/>
                <w:color w:val="auto"/>
                <w:szCs w:val="21"/>
                <w:highlight w:val="none"/>
                <w:u w:val="single"/>
              </w:rPr>
              <w:t xml:space="preserve">                 </w:t>
            </w:r>
          </w:p>
        </w:tc>
        <w:tc>
          <w:tcPr>
            <w:tcW w:w="1215" w:type="dxa"/>
            <w:vAlign w:val="center"/>
          </w:tcPr>
          <w:p w14:paraId="380B68FD">
            <w:pPr>
              <w:spacing w:line="400" w:lineRule="exact"/>
              <w:jc w:val="left"/>
              <w:rPr>
                <w:rFonts w:ascii="宋体" w:hAnsi="宋体"/>
                <w:color w:val="auto"/>
                <w:szCs w:val="21"/>
                <w:highlight w:val="none"/>
              </w:rPr>
            </w:pPr>
            <w:r>
              <w:rPr>
                <w:rFonts w:hint="eastAsia" w:ascii="宋体" w:hAnsi="宋体"/>
                <w:color w:val="auto"/>
                <w:szCs w:val="21"/>
                <w:highlight w:val="none"/>
              </w:rPr>
              <w:t>无在岗项目（指目前未在其他项目上任职，或虽在其他项目上任职但本项目中标后能够从该项目撤离）</w:t>
            </w:r>
          </w:p>
        </w:tc>
      </w:tr>
      <w:tr w14:paraId="59C1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2" w:type="dxa"/>
            <w:vAlign w:val="center"/>
          </w:tcPr>
          <w:p w14:paraId="50372068">
            <w:pPr>
              <w:spacing w:line="400" w:lineRule="exact"/>
              <w:jc w:val="center"/>
              <w:rPr>
                <w:rFonts w:ascii="宋体" w:hAnsi="宋体"/>
                <w:color w:val="auto"/>
                <w:szCs w:val="21"/>
                <w:highlight w:val="none"/>
                <w:u w:val="single"/>
              </w:rPr>
            </w:pPr>
            <w:r>
              <w:rPr>
                <w:rFonts w:hint="eastAsia" w:ascii="宋体" w:hAnsi="宋体"/>
                <w:color w:val="auto"/>
                <w:szCs w:val="21"/>
                <w:highlight w:val="none"/>
              </w:rPr>
              <w:t>……</w:t>
            </w:r>
          </w:p>
        </w:tc>
        <w:tc>
          <w:tcPr>
            <w:tcW w:w="799" w:type="dxa"/>
            <w:vAlign w:val="center"/>
          </w:tcPr>
          <w:p w14:paraId="741E6443">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6100" w:type="dxa"/>
            <w:vAlign w:val="center"/>
          </w:tcPr>
          <w:p w14:paraId="2A610D8B">
            <w:pPr>
              <w:spacing w:line="400" w:lineRule="exact"/>
              <w:jc w:val="both"/>
              <w:rPr>
                <w:rFonts w:ascii="宋体" w:hAnsi="宋体"/>
                <w:color w:val="auto"/>
                <w:szCs w:val="21"/>
                <w:highlight w:val="none"/>
              </w:rPr>
            </w:pPr>
            <w:r>
              <w:rPr>
                <w:rFonts w:hint="eastAsia" w:ascii="宋体" w:hAnsi="宋体"/>
                <w:color w:val="auto"/>
                <w:szCs w:val="21"/>
                <w:highlight w:val="none"/>
              </w:rPr>
              <w:t>……</w:t>
            </w:r>
          </w:p>
        </w:tc>
        <w:tc>
          <w:tcPr>
            <w:tcW w:w="1215" w:type="dxa"/>
            <w:vAlign w:val="center"/>
          </w:tcPr>
          <w:p w14:paraId="709CADE0">
            <w:pPr>
              <w:spacing w:line="400" w:lineRule="exact"/>
              <w:jc w:val="center"/>
              <w:rPr>
                <w:rFonts w:ascii="宋体" w:hAnsi="宋体"/>
                <w:color w:val="auto"/>
                <w:szCs w:val="21"/>
                <w:highlight w:val="none"/>
              </w:rPr>
            </w:pPr>
            <w:r>
              <w:rPr>
                <w:rFonts w:hint="eastAsia" w:ascii="宋体" w:hAnsi="宋体"/>
                <w:color w:val="auto"/>
                <w:szCs w:val="21"/>
                <w:highlight w:val="none"/>
              </w:rPr>
              <w:t>……</w:t>
            </w:r>
          </w:p>
        </w:tc>
      </w:tr>
    </w:tbl>
    <w:p w14:paraId="71CD172D">
      <w:pPr>
        <w:pStyle w:val="299"/>
        <w:adjustRightInd w:val="0"/>
        <w:snapToGrid w:val="0"/>
        <w:spacing w:line="480" w:lineRule="exact"/>
        <w:jc w:val="center"/>
        <w:rPr>
          <w:b/>
          <w:bCs/>
          <w:color w:val="auto"/>
          <w:sz w:val="28"/>
          <w:szCs w:val="28"/>
          <w:highlight w:val="none"/>
        </w:rPr>
      </w:pPr>
      <w:bookmarkStart w:id="136" w:name="_Toc519844464"/>
    </w:p>
    <w:p w14:paraId="61365B39">
      <w:pPr>
        <w:pStyle w:val="299"/>
        <w:adjustRightInd w:val="0"/>
        <w:snapToGrid w:val="0"/>
        <w:spacing w:line="480" w:lineRule="exact"/>
        <w:jc w:val="center"/>
        <w:rPr>
          <w:b/>
          <w:bCs/>
          <w:color w:val="auto"/>
          <w:sz w:val="28"/>
          <w:szCs w:val="28"/>
          <w:highlight w:val="none"/>
        </w:rPr>
      </w:pPr>
    </w:p>
    <w:p w14:paraId="114C2928">
      <w:pPr>
        <w:pStyle w:val="299"/>
        <w:adjustRightInd w:val="0"/>
        <w:snapToGrid w:val="0"/>
        <w:spacing w:line="480" w:lineRule="exact"/>
        <w:jc w:val="center"/>
        <w:rPr>
          <w:b/>
          <w:bCs/>
          <w:color w:val="auto"/>
          <w:sz w:val="28"/>
          <w:szCs w:val="28"/>
          <w:highlight w:val="none"/>
        </w:rPr>
      </w:pPr>
    </w:p>
    <w:p w14:paraId="2A17C21A">
      <w:pPr>
        <w:pStyle w:val="299"/>
        <w:adjustRightInd w:val="0"/>
        <w:snapToGrid w:val="0"/>
        <w:spacing w:line="480" w:lineRule="exact"/>
        <w:jc w:val="center"/>
        <w:rPr>
          <w:b/>
          <w:bCs/>
          <w:color w:val="auto"/>
          <w:sz w:val="28"/>
          <w:szCs w:val="28"/>
          <w:highlight w:val="none"/>
        </w:rPr>
      </w:pPr>
    </w:p>
    <w:p w14:paraId="17D1F7F7">
      <w:pPr>
        <w:pStyle w:val="299"/>
        <w:adjustRightInd w:val="0"/>
        <w:snapToGrid w:val="0"/>
        <w:spacing w:line="480" w:lineRule="exact"/>
        <w:jc w:val="center"/>
        <w:rPr>
          <w:b/>
          <w:bCs/>
          <w:color w:val="auto"/>
          <w:sz w:val="28"/>
          <w:szCs w:val="28"/>
          <w:highlight w:val="none"/>
        </w:rPr>
      </w:pPr>
    </w:p>
    <w:p w14:paraId="2486DF71">
      <w:pPr>
        <w:pStyle w:val="299"/>
        <w:adjustRightInd w:val="0"/>
        <w:snapToGrid w:val="0"/>
        <w:spacing w:line="480" w:lineRule="exact"/>
        <w:jc w:val="center"/>
        <w:rPr>
          <w:b/>
          <w:bCs/>
          <w:color w:val="auto"/>
          <w:sz w:val="28"/>
          <w:szCs w:val="28"/>
          <w:highlight w:val="none"/>
        </w:rPr>
      </w:pPr>
    </w:p>
    <w:p w14:paraId="49912099">
      <w:pPr>
        <w:pStyle w:val="299"/>
        <w:adjustRightInd w:val="0"/>
        <w:snapToGrid w:val="0"/>
        <w:spacing w:line="480" w:lineRule="exact"/>
        <w:jc w:val="center"/>
        <w:rPr>
          <w:b/>
          <w:bCs/>
          <w:color w:val="auto"/>
          <w:sz w:val="28"/>
          <w:szCs w:val="28"/>
          <w:highlight w:val="none"/>
        </w:rPr>
      </w:pPr>
    </w:p>
    <w:p w14:paraId="3F231050">
      <w:pPr>
        <w:pStyle w:val="299"/>
        <w:adjustRightInd w:val="0"/>
        <w:snapToGrid w:val="0"/>
        <w:spacing w:line="480" w:lineRule="exact"/>
        <w:jc w:val="center"/>
        <w:rPr>
          <w:b/>
          <w:bCs/>
          <w:color w:val="auto"/>
          <w:sz w:val="28"/>
          <w:szCs w:val="28"/>
          <w:highlight w:val="none"/>
        </w:rPr>
      </w:pPr>
      <w:r>
        <w:rPr>
          <w:b/>
          <w:bCs/>
          <w:color w:val="auto"/>
          <w:sz w:val="28"/>
          <w:szCs w:val="28"/>
          <w:highlight w:val="none"/>
        </w:rPr>
        <w:br w:type="page"/>
      </w:r>
    </w:p>
    <w:p w14:paraId="0AF9C193">
      <w:pPr>
        <w:pStyle w:val="299"/>
        <w:spacing w:line="360" w:lineRule="auto"/>
        <w:jc w:val="center"/>
        <w:rPr>
          <w:rFonts w:ascii="黑体" w:hAnsi="黑体" w:eastAsia="黑体"/>
          <w:bCs/>
          <w:color w:val="auto"/>
          <w:sz w:val="24"/>
          <w:highlight w:val="none"/>
        </w:rPr>
      </w:pPr>
      <w:r>
        <w:rPr>
          <w:rFonts w:hint="eastAsia" w:ascii="黑体" w:hAnsi="黑体" w:eastAsia="黑体"/>
          <w:b/>
          <w:bCs w:val="0"/>
          <w:color w:val="auto"/>
          <w:sz w:val="24"/>
          <w:highlight w:val="none"/>
        </w:rPr>
        <w:t>□</w:t>
      </w:r>
      <w:r>
        <w:rPr>
          <w:rFonts w:ascii="黑体" w:hAnsi="黑体" w:eastAsia="黑体"/>
          <w:bCs/>
          <w:color w:val="auto"/>
          <w:sz w:val="24"/>
          <w:highlight w:val="none"/>
        </w:rPr>
        <w:t xml:space="preserve"> </w:t>
      </w:r>
      <w:r>
        <w:rPr>
          <w:rFonts w:hint="eastAsia" w:ascii="黑体" w:hAnsi="黑体" w:eastAsia="黑体"/>
          <w:bCs/>
          <w:color w:val="auto"/>
          <w:sz w:val="24"/>
          <w:highlight w:val="none"/>
        </w:rPr>
        <w:t>项目总工</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72"/>
        <w:gridCol w:w="5716"/>
        <w:gridCol w:w="1295"/>
      </w:tblGrid>
      <w:tr w14:paraId="2431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939" w:type="dxa"/>
            <w:vAlign w:val="center"/>
          </w:tcPr>
          <w:p w14:paraId="545C3D9B">
            <w:pPr>
              <w:spacing w:line="400" w:lineRule="exact"/>
              <w:jc w:val="center"/>
              <w:rPr>
                <w:rFonts w:ascii="宋体" w:hAnsi="宋体"/>
                <w:color w:val="auto"/>
                <w:szCs w:val="21"/>
                <w:highlight w:val="none"/>
              </w:rPr>
            </w:pPr>
            <w:r>
              <w:rPr>
                <w:rFonts w:hint="eastAsia" w:ascii="宋体" w:hAnsi="宋体"/>
                <w:color w:val="auto"/>
                <w:szCs w:val="21"/>
                <w:highlight w:val="none"/>
              </w:rPr>
              <w:t>标段</w:t>
            </w:r>
          </w:p>
        </w:tc>
        <w:tc>
          <w:tcPr>
            <w:tcW w:w="972" w:type="dxa"/>
            <w:vAlign w:val="center"/>
          </w:tcPr>
          <w:p w14:paraId="2B1C4997">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5716" w:type="dxa"/>
            <w:vAlign w:val="center"/>
          </w:tcPr>
          <w:p w14:paraId="47B93252">
            <w:pPr>
              <w:spacing w:line="400" w:lineRule="exact"/>
              <w:jc w:val="center"/>
              <w:rPr>
                <w:rFonts w:ascii="宋体" w:hAnsi="宋体"/>
                <w:color w:val="auto"/>
                <w:szCs w:val="21"/>
                <w:highlight w:val="none"/>
              </w:rPr>
            </w:pPr>
            <w:r>
              <w:rPr>
                <w:rFonts w:hint="eastAsia" w:ascii="宋体" w:hAnsi="宋体"/>
                <w:color w:val="auto"/>
                <w:szCs w:val="21"/>
                <w:highlight w:val="none"/>
              </w:rPr>
              <w:t>资格要求</w:t>
            </w:r>
          </w:p>
        </w:tc>
        <w:tc>
          <w:tcPr>
            <w:tcW w:w="1295" w:type="dxa"/>
            <w:vAlign w:val="center"/>
          </w:tcPr>
          <w:p w14:paraId="4EE4ADF2">
            <w:pPr>
              <w:spacing w:line="400" w:lineRule="exact"/>
              <w:jc w:val="center"/>
              <w:rPr>
                <w:rFonts w:ascii="宋体" w:hAnsi="宋体"/>
                <w:color w:val="auto"/>
                <w:szCs w:val="21"/>
                <w:highlight w:val="none"/>
              </w:rPr>
            </w:pPr>
            <w:r>
              <w:rPr>
                <w:rFonts w:hint="eastAsia" w:ascii="宋体" w:hAnsi="宋体"/>
                <w:color w:val="auto"/>
                <w:szCs w:val="21"/>
                <w:highlight w:val="none"/>
              </w:rPr>
              <w:t>在岗情况</w:t>
            </w:r>
            <w:r>
              <w:rPr>
                <w:rFonts w:ascii="宋体" w:hAnsi="宋体"/>
                <w:color w:val="auto"/>
                <w:szCs w:val="21"/>
                <w:highlight w:val="none"/>
                <w:vertAlign w:val="superscript"/>
              </w:rPr>
              <w:footnoteReference w:id="91"/>
            </w:r>
          </w:p>
        </w:tc>
      </w:tr>
      <w:tr w14:paraId="260D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939" w:type="dxa"/>
            <w:vAlign w:val="center"/>
          </w:tcPr>
          <w:p w14:paraId="588CA2BA">
            <w:pPr>
              <w:spacing w:line="400" w:lineRule="exact"/>
              <w:rPr>
                <w:rFonts w:ascii="宋体" w:hAnsi="宋体"/>
                <w:color w:val="auto"/>
                <w:szCs w:val="21"/>
                <w:highlight w:val="none"/>
              </w:rPr>
            </w:pPr>
          </w:p>
        </w:tc>
        <w:tc>
          <w:tcPr>
            <w:tcW w:w="972" w:type="dxa"/>
            <w:vAlign w:val="center"/>
          </w:tcPr>
          <w:p w14:paraId="5EA4AAB8">
            <w:pPr>
              <w:spacing w:line="400" w:lineRule="exact"/>
              <w:jc w:val="center"/>
              <w:rPr>
                <w:rFonts w:ascii="宋体" w:hAnsi="宋体"/>
                <w:color w:val="auto"/>
                <w:szCs w:val="21"/>
                <w:highlight w:val="none"/>
              </w:rPr>
            </w:pPr>
          </w:p>
        </w:tc>
        <w:tc>
          <w:tcPr>
            <w:tcW w:w="5716" w:type="dxa"/>
            <w:vAlign w:val="center"/>
          </w:tcPr>
          <w:p w14:paraId="6062AB54">
            <w:pPr>
              <w:spacing w:line="38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具有</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kern w:val="0"/>
                <w:szCs w:val="21"/>
                <w:highlight w:val="none"/>
              </w:rPr>
              <w:t>专业</w:t>
            </w:r>
            <w:r>
              <w:rPr>
                <w:rFonts w:hint="eastAsia" w:ascii="宋体" w:hAnsi="宋体"/>
                <w:color w:val="auto"/>
                <w:szCs w:val="21"/>
                <w:highlight w:val="none"/>
              </w:rPr>
              <w:t>）（□工程师；□高级工程师）</w:t>
            </w:r>
            <w:r>
              <w:rPr>
                <w:rStyle w:val="59"/>
                <w:rFonts w:ascii="宋体" w:hAnsi="宋体" w:cs="宋体"/>
                <w:color w:val="auto"/>
                <w:szCs w:val="21"/>
                <w:highlight w:val="none"/>
              </w:rPr>
              <w:footnoteReference w:id="92"/>
            </w:r>
            <w:r>
              <w:rPr>
                <w:rFonts w:hint="eastAsia" w:ascii="宋体" w:hAnsi="宋体"/>
                <w:color w:val="auto"/>
                <w:szCs w:val="21"/>
                <w:highlight w:val="none"/>
              </w:rPr>
              <w:t>及</w:t>
            </w:r>
          </w:p>
          <w:p w14:paraId="45A2F866">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以上技术职称；</w:t>
            </w:r>
          </w:p>
          <w:p w14:paraId="672DCC8D">
            <w:pPr>
              <w:spacing w:line="38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持有安全生产考核合格“B”类证书（□交安类）；</w:t>
            </w:r>
          </w:p>
          <w:p w14:paraId="236D967D">
            <w:pPr>
              <w:spacing w:line="380" w:lineRule="exact"/>
              <w:ind w:left="422" w:hanging="422" w:hangingChars="200"/>
              <w:rPr>
                <w:rFonts w:hint="eastAsia"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color w:val="auto"/>
                <w:highlight w:val="none"/>
              </w:rPr>
              <w:t>投标截止日所在月上个月或上上个月起之前在其</w:t>
            </w:r>
            <w:r>
              <w:rPr>
                <w:rFonts w:hint="eastAsia" w:ascii="宋体" w:hAnsi="宋体" w:cs="宋体"/>
                <w:color w:val="auto"/>
                <w:szCs w:val="21"/>
                <w:highlight w:val="none"/>
              </w:rPr>
              <w:t>投标单</w:t>
            </w:r>
          </w:p>
          <w:p w14:paraId="31F54719">
            <w:pPr>
              <w:spacing w:line="380" w:lineRule="exact"/>
              <w:ind w:left="422" w:hanging="420" w:hangingChars="200"/>
              <w:rPr>
                <w:rFonts w:ascii="宋体" w:hAnsi="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位连续</w:t>
            </w:r>
            <w:r>
              <w:rPr>
                <w:rFonts w:ascii="宋体" w:hAnsi="宋体" w:cs="宋体"/>
                <w:color w:val="auto"/>
                <w:szCs w:val="21"/>
                <w:highlight w:val="none"/>
              </w:rPr>
              <w:t>6个月参加社保</w:t>
            </w:r>
            <w:r>
              <w:rPr>
                <w:rFonts w:hint="eastAsia" w:ascii="宋体" w:hAnsi="宋体"/>
                <w:color w:val="auto"/>
                <w:szCs w:val="21"/>
                <w:highlight w:val="none"/>
              </w:rPr>
              <w:t>；</w:t>
            </w:r>
          </w:p>
          <w:p w14:paraId="70553257">
            <w:pPr>
              <w:pStyle w:val="299"/>
              <w:adjustRightInd w:val="0"/>
              <w:snapToGrid w:val="0"/>
              <w:spacing w:line="38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w:t>
            </w:r>
            <w:r>
              <w:rPr>
                <w:rStyle w:val="59"/>
                <w:rFonts w:ascii="宋体" w:hAnsi="宋体" w:cs="宋体"/>
                <w:color w:val="auto"/>
                <w:szCs w:val="21"/>
                <w:highlight w:val="none"/>
              </w:rPr>
              <w:footnoteReference w:id="93"/>
            </w:r>
            <w:r>
              <w:rPr>
                <w:rFonts w:hint="eastAsia" w:ascii="宋体" w:hAnsi="宋体" w:cs="宋体"/>
                <w:color w:val="auto"/>
                <w:szCs w:val="21"/>
                <w:highlight w:val="none"/>
              </w:rPr>
              <w:t>国内（□新建；□改扩建；□新建或改扩</w:t>
            </w:r>
          </w:p>
          <w:p w14:paraId="1E5324F3">
            <w:pPr>
              <w:pStyle w:val="299"/>
              <w:adjustRightInd w:val="0"/>
              <w:snapToGrid w:val="0"/>
              <w:spacing w:line="380" w:lineRule="exact"/>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建）</w:t>
            </w:r>
            <w:r>
              <w:rPr>
                <w:rStyle w:val="59"/>
                <w:rFonts w:ascii="宋体" w:hAnsi="宋体" w:cs="宋体"/>
                <w:color w:val="auto"/>
                <w:szCs w:val="21"/>
                <w:highlight w:val="none"/>
              </w:rPr>
              <w:footnoteReference w:id="94"/>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公路路基土建工程</w:t>
            </w:r>
            <w:r>
              <w:rPr>
                <w:rStyle w:val="59"/>
                <w:rFonts w:ascii="宋体" w:hAnsi="宋体" w:cs="宋体"/>
                <w:color w:val="auto"/>
                <w:szCs w:val="21"/>
                <w:highlight w:val="none"/>
              </w:rPr>
              <w:footnoteReference w:id="95"/>
            </w:r>
            <w:r>
              <w:rPr>
                <w:rFonts w:hint="eastAsia" w:ascii="宋体" w:hAnsi="宋体" w:cs="宋体"/>
                <w:color w:val="auto"/>
                <w:szCs w:val="21"/>
                <w:highlight w:val="none"/>
              </w:rPr>
              <w:t>施工项目中担任</w:t>
            </w:r>
          </w:p>
          <w:p w14:paraId="17BE0330">
            <w:pPr>
              <w:pStyle w:val="299"/>
              <w:adjustRightInd w:val="0"/>
              <w:snapToGrid w:val="0"/>
              <w:spacing w:line="380" w:lineRule="exact"/>
              <w:ind w:left="0" w:leftChars="0"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   过</w:t>
            </w:r>
            <w:r>
              <w:rPr>
                <w:rFonts w:hint="eastAsia" w:ascii="宋体" w:hAnsi="宋体" w:cs="宋体"/>
                <w:color w:val="auto"/>
                <w:szCs w:val="21"/>
                <w:highlight w:val="none"/>
              </w:rPr>
              <w:t>（□项目总工、□或</w:t>
            </w:r>
            <w:r>
              <w:rPr>
                <w:rFonts w:ascii="宋体" w:hAnsi="宋体"/>
                <w:color w:val="auto"/>
                <w:szCs w:val="21"/>
                <w:highlight w:val="none"/>
              </w:rPr>
              <w:t>项目副总工</w:t>
            </w:r>
            <w:r>
              <w:rPr>
                <w:rFonts w:hint="eastAsia" w:ascii="宋体" w:hAnsi="宋体" w:cs="宋体"/>
                <w:color w:val="auto"/>
                <w:szCs w:val="21"/>
                <w:highlight w:val="none"/>
              </w:rPr>
              <w:t>）</w:t>
            </w:r>
            <w:r>
              <w:rPr>
                <w:rStyle w:val="59"/>
                <w:rFonts w:ascii="宋体" w:hAnsi="宋体" w:cs="宋体"/>
                <w:color w:val="auto"/>
                <w:szCs w:val="21"/>
                <w:highlight w:val="none"/>
              </w:rPr>
              <w:footnoteReference w:id="96"/>
            </w:r>
            <w:r>
              <w:rPr>
                <w:rFonts w:hint="eastAsia" w:ascii="宋体" w:hAnsi="宋体" w:cs="宋体"/>
                <w:color w:val="auto"/>
                <w:szCs w:val="21"/>
                <w:highlight w:val="none"/>
              </w:rPr>
              <w:t>职务。</w:t>
            </w:r>
          </w:p>
          <w:p w14:paraId="1ABD44ED">
            <w:pPr>
              <w:pStyle w:val="299"/>
              <w:adjustRightInd w:val="0"/>
              <w:snapToGrid w:val="0"/>
              <w:spacing w:line="38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座国内（□新建；□改扩建；□新建或改扩</w:t>
            </w:r>
          </w:p>
          <w:p w14:paraId="7CBADA9E">
            <w:pPr>
              <w:pStyle w:val="299"/>
              <w:adjustRightInd w:val="0"/>
              <w:snapToGrid w:val="0"/>
              <w:spacing w:line="380" w:lineRule="exact"/>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Fonts w:ascii="宋体" w:hAnsi="宋体" w:cs="宋体"/>
                <w:color w:val="auto"/>
                <w:szCs w:val="21"/>
                <w:highlight w:val="none"/>
                <w:vertAlign w:val="superscript"/>
              </w:rPr>
              <w:footnoteReference w:id="97"/>
            </w:r>
            <w:r>
              <w:rPr>
                <w:rFonts w:hint="eastAsia" w:ascii="宋体" w:hAnsi="宋体" w:cs="宋体"/>
                <w:color w:val="auto"/>
                <w:szCs w:val="21"/>
                <w:highlight w:val="none"/>
              </w:rPr>
              <w:t>的施工项目中担任过（□</w:t>
            </w:r>
          </w:p>
          <w:p w14:paraId="0BA83901">
            <w:pPr>
              <w:pStyle w:val="299"/>
              <w:adjustRightInd w:val="0"/>
              <w:snapToGrid w:val="0"/>
              <w:spacing w:line="380" w:lineRule="exact"/>
              <w:ind w:left="0" w:leftChars="0"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项目总工、□或</w:t>
            </w:r>
            <w:r>
              <w:rPr>
                <w:rFonts w:ascii="宋体" w:hAnsi="宋体"/>
                <w:color w:val="auto"/>
                <w:szCs w:val="21"/>
                <w:highlight w:val="none"/>
              </w:rPr>
              <w:t>项目副总工</w:t>
            </w:r>
            <w:r>
              <w:rPr>
                <w:rFonts w:hint="eastAsia" w:ascii="宋体" w:hAnsi="宋体" w:cs="宋体"/>
                <w:color w:val="auto"/>
                <w:szCs w:val="21"/>
                <w:highlight w:val="none"/>
              </w:rPr>
              <w:t>）职务，□其中须至少包含</w:t>
            </w:r>
          </w:p>
          <w:p w14:paraId="6572AFC9">
            <w:pPr>
              <w:pStyle w:val="299"/>
              <w:adjustRightInd w:val="0"/>
              <w:snapToGrid w:val="0"/>
              <w:spacing w:line="38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（□同时包含；□包含其中之一）主跨桥梁类型</w:t>
            </w:r>
            <w:r>
              <w:rPr>
                <w:rFonts w:ascii="宋体" w:hAnsi="宋体" w:cs="宋体"/>
                <w:color w:val="auto"/>
                <w:szCs w:val="21"/>
                <w:highlight w:val="none"/>
                <w:vertAlign w:val="superscript"/>
              </w:rPr>
              <w:footnoteReference w:id="98"/>
            </w:r>
            <w:r>
              <w:rPr>
                <w:rFonts w:hint="eastAsia" w:ascii="宋体" w:hAnsi="宋体" w:cs="宋体"/>
                <w:color w:val="auto"/>
                <w:szCs w:val="21"/>
                <w:highlight w:val="none"/>
              </w:rPr>
              <w:t>：</w:t>
            </w:r>
          </w:p>
          <w:p w14:paraId="186A7126">
            <w:pPr>
              <w:pStyle w:val="299"/>
              <w:adjustRightInd w:val="0"/>
              <w:snapToGrid w:val="0"/>
              <w:spacing w:line="380" w:lineRule="exact"/>
              <w:rPr>
                <w:rFonts w:ascii="宋体" w:hAnsi="宋体" w:cs="宋体"/>
                <w:color w:val="auto"/>
                <w:szCs w:val="21"/>
                <w:highlight w:val="none"/>
              </w:rPr>
            </w:pPr>
            <w:r>
              <w:rPr>
                <w:rFonts w:ascii="宋体" w:hAnsi="宋体" w:cs="宋体"/>
                <w:color w:val="auto"/>
                <w:szCs w:val="21"/>
                <w:highlight w:val="none"/>
              </w:rPr>
              <w:t xml:space="preserve">     □拱式桥，主跨跨径</w:t>
            </w:r>
            <w:r>
              <w:rPr>
                <w:rStyle w:val="59"/>
                <w:rFonts w:ascii="宋体" w:hAnsi="宋体" w:cs="宋体"/>
                <w:color w:val="auto"/>
                <w:szCs w:val="21"/>
                <w:highlight w:val="none"/>
              </w:rPr>
              <w:footnoteReference w:id="99"/>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2F323C9D">
            <w:pPr>
              <w:pStyle w:val="299"/>
              <w:adjustRightInd w:val="0"/>
              <w:snapToGrid w:val="0"/>
              <w:spacing w:line="38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□悬索桥，主跨跨径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783B254A">
            <w:pPr>
              <w:pStyle w:val="299"/>
              <w:adjustRightInd w:val="0"/>
              <w:snapToGrid w:val="0"/>
              <w:spacing w:line="38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□斜拉桥，主跨跨径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r>
              <w:rPr>
                <w:rFonts w:ascii="宋体" w:hAnsi="宋体" w:cs="宋体"/>
                <w:color w:val="auto"/>
                <w:szCs w:val="21"/>
                <w:highlight w:val="none"/>
              </w:rPr>
              <w:t xml:space="preserve">  </w:t>
            </w:r>
          </w:p>
          <w:p w14:paraId="359D09F0">
            <w:pPr>
              <w:pStyle w:val="299"/>
              <w:adjustRightInd w:val="0"/>
              <w:snapToGrid w:val="0"/>
              <w:spacing w:line="38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□刚构桥，主跨跨径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44B1CBAE">
            <w:pPr>
              <w:pStyle w:val="299"/>
              <w:adjustRightInd w:val="0"/>
              <w:snapToGrid w:val="0"/>
              <w:spacing w:line="38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□组合体系桥，主跨跨径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02320ACE">
            <w:pPr>
              <w:adjustRightInd w:val="0"/>
              <w:snapToGrid w:val="0"/>
              <w:spacing w:line="38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hint="eastAsia" w:ascii="宋体" w:hAnsi="宋体" w:cs="宋体"/>
                <w:color w:val="auto"/>
                <w:szCs w:val="21"/>
                <w:highlight w:val="none"/>
              </w:rPr>
              <w:t>，主跨跨径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7E41A41F">
            <w:pPr>
              <w:adjustRightInd w:val="0"/>
              <w:snapToGrid w:val="0"/>
              <w:spacing w:line="38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座国内（□新建；□改扩建；□新建或改</w:t>
            </w:r>
            <w:r>
              <w:rPr>
                <w:rFonts w:ascii="宋体" w:hAnsi="宋体" w:cs="宋体"/>
                <w:color w:val="auto"/>
                <w:szCs w:val="21"/>
                <w:highlight w:val="none"/>
              </w:rPr>
              <w:t>扩</w:t>
            </w:r>
          </w:p>
          <w:p w14:paraId="05A53184">
            <w:pPr>
              <w:pStyle w:val="299"/>
              <w:adjustRightInd w:val="0"/>
              <w:snapToGrid w:val="0"/>
              <w:spacing w:line="380" w:lineRule="exact"/>
              <w:ind w:left="210" w:hanging="210" w:hangingChars="100"/>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级及以上公路（□中隧道及以上；□长隧道及</w:t>
            </w:r>
          </w:p>
          <w:p w14:paraId="29F501BD">
            <w:pPr>
              <w:pStyle w:val="299"/>
              <w:adjustRightInd w:val="0"/>
              <w:snapToGrid w:val="0"/>
              <w:spacing w:line="380" w:lineRule="exact"/>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以上；</w:t>
            </w:r>
            <w:r>
              <w:rPr>
                <w:rFonts w:ascii="宋体" w:hAnsi="宋体" w:cs="宋体"/>
                <w:color w:val="auto"/>
                <w:szCs w:val="21"/>
                <w:highlight w:val="none"/>
              </w:rPr>
              <w:sym w:font="Wingdings 2" w:char="00A3"/>
            </w:r>
            <w:r>
              <w:rPr>
                <w:rFonts w:ascii="宋体" w:hAnsi="宋体" w:cs="宋体"/>
                <w:color w:val="auto"/>
                <w:szCs w:val="21"/>
                <w:highlight w:val="none"/>
              </w:rPr>
              <w:t>特长隧道；□单洞长度</w:t>
            </w:r>
            <w:r>
              <w:rPr>
                <w:rStyle w:val="59"/>
                <w:rFonts w:ascii="宋体" w:hAnsi="宋体" w:cs="宋体"/>
                <w:color w:val="auto"/>
                <w:szCs w:val="21"/>
                <w:highlight w:val="none"/>
              </w:rPr>
              <w:footnoteReference w:id="100"/>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米及以上特长隧</w:t>
            </w:r>
          </w:p>
          <w:p w14:paraId="36933272">
            <w:pPr>
              <w:adjustRightInd w:val="0"/>
              <w:snapToGrid w:val="0"/>
              <w:spacing w:line="38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道）</w:t>
            </w:r>
            <w:r>
              <w:rPr>
                <w:rStyle w:val="59"/>
                <w:rFonts w:ascii="宋体" w:hAnsi="宋体" w:cs="宋体"/>
                <w:color w:val="auto"/>
                <w:szCs w:val="21"/>
                <w:highlight w:val="none"/>
              </w:rPr>
              <w:footnoteReference w:id="101"/>
            </w:r>
            <w:r>
              <w:rPr>
                <w:rFonts w:hint="eastAsia" w:ascii="宋体" w:hAnsi="宋体" w:cs="宋体"/>
                <w:color w:val="auto"/>
                <w:szCs w:val="21"/>
                <w:highlight w:val="none"/>
              </w:rPr>
              <w:t>施工项目中担任过（□项目总工、□或</w:t>
            </w:r>
            <w:r>
              <w:rPr>
                <w:rFonts w:ascii="宋体" w:hAnsi="宋体"/>
                <w:color w:val="auto"/>
                <w:szCs w:val="21"/>
                <w:highlight w:val="none"/>
              </w:rPr>
              <w:t>项目副总工</w:t>
            </w:r>
            <w:r>
              <w:rPr>
                <w:rFonts w:hint="eastAsia" w:ascii="宋体" w:hAnsi="宋体" w:cs="宋体"/>
                <w:color w:val="auto"/>
                <w:szCs w:val="21"/>
                <w:highlight w:val="none"/>
              </w:rPr>
              <w:t>）职务。</w:t>
            </w:r>
          </w:p>
          <w:p w14:paraId="18587456">
            <w:pPr>
              <w:spacing w:line="38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个国内（□新建；□改扩建；□新建或改扩</w:t>
            </w:r>
          </w:p>
          <w:p w14:paraId="5677925B">
            <w:pPr>
              <w:pStyle w:val="299"/>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公路路面工程施工项目中担任过（□</w:t>
            </w:r>
          </w:p>
          <w:p w14:paraId="68009E17">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项目总工、□或</w:t>
            </w:r>
            <w:r>
              <w:rPr>
                <w:rFonts w:ascii="宋体" w:hAnsi="宋体"/>
                <w:color w:val="auto"/>
                <w:szCs w:val="21"/>
                <w:highlight w:val="none"/>
              </w:rPr>
              <w:t>项目副总工</w:t>
            </w:r>
            <w:r>
              <w:rPr>
                <w:rFonts w:hint="eastAsia" w:ascii="宋体" w:hAnsi="宋体" w:cs="宋体"/>
                <w:color w:val="auto"/>
                <w:szCs w:val="21"/>
                <w:highlight w:val="none"/>
              </w:rPr>
              <w:t>）职务。</w:t>
            </w:r>
          </w:p>
          <w:p w14:paraId="46D18E68">
            <w:pPr>
              <w:spacing w:line="380" w:lineRule="exact"/>
              <w:rPr>
                <w:rFonts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lang w:val="en-US" w:eastAsia="zh-CN"/>
              </w:rPr>
              <w:t>至少</w:t>
            </w:r>
            <w:r>
              <w:rPr>
                <w:rFonts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个国内</w:t>
            </w:r>
            <w:r>
              <w:rPr>
                <w:rFonts w:hint="eastAsia" w:ascii="宋体" w:hAnsi="宋体" w:cs="宋体"/>
                <w:color w:val="auto"/>
                <w:szCs w:val="21"/>
                <w:highlight w:val="none"/>
              </w:rPr>
              <w:t>（□新建；□改扩建；□新建或改扩</w:t>
            </w:r>
          </w:p>
          <w:p w14:paraId="2B25FD73">
            <w:pPr>
              <w:spacing w:line="380" w:lineRule="exact"/>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olor w:val="auto"/>
                <w:szCs w:val="21"/>
                <w:highlight w:val="none"/>
              </w:rPr>
              <w:t>公路交通安全设施工程施工项目中担</w:t>
            </w:r>
          </w:p>
          <w:p w14:paraId="13080FC1">
            <w:pPr>
              <w:pStyle w:val="299"/>
              <w:adjustRightInd w:val="0"/>
              <w:snapToGrid w:val="0"/>
              <w:spacing w:line="38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olor w:val="auto"/>
                <w:szCs w:val="21"/>
                <w:highlight w:val="none"/>
              </w:rPr>
              <w:t>任</w:t>
            </w:r>
            <w:r>
              <w:rPr>
                <w:rFonts w:hint="eastAsia" w:ascii="宋体" w:hAnsi="宋体" w:cs="宋体"/>
                <w:color w:val="auto"/>
                <w:szCs w:val="21"/>
                <w:highlight w:val="none"/>
              </w:rPr>
              <w:t>过（□项目总工、</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或</w:t>
            </w:r>
            <w:r>
              <w:rPr>
                <w:rFonts w:ascii="宋体" w:hAnsi="宋体"/>
                <w:color w:val="auto"/>
                <w:szCs w:val="21"/>
                <w:highlight w:val="none"/>
              </w:rPr>
              <w:t>项目副总工</w:t>
            </w:r>
            <w:r>
              <w:rPr>
                <w:rFonts w:hint="eastAsia" w:ascii="宋体" w:hAnsi="宋体" w:cs="宋体"/>
                <w:color w:val="auto"/>
                <w:szCs w:val="21"/>
                <w:highlight w:val="none"/>
              </w:rPr>
              <w:t>）</w:t>
            </w:r>
            <w:r>
              <w:rPr>
                <w:rFonts w:hint="eastAsia" w:ascii="宋体" w:hAnsi="宋体"/>
                <w:color w:val="auto"/>
                <w:szCs w:val="21"/>
                <w:highlight w:val="none"/>
              </w:rPr>
              <w:t>职务。</w:t>
            </w:r>
          </w:p>
          <w:p w14:paraId="4FD61564">
            <w:pPr>
              <w:spacing w:line="380" w:lineRule="exact"/>
              <w:rPr>
                <w:rFonts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lang w:val="en-US" w:eastAsia="zh-CN"/>
              </w:rPr>
              <w:t>至少</w:t>
            </w:r>
            <w:r>
              <w:rPr>
                <w:rFonts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lang w:val="en-US" w:eastAsia="zh-CN"/>
              </w:rPr>
              <w:t>个</w:t>
            </w:r>
            <w:r>
              <w:rPr>
                <w:rFonts w:hint="eastAsia" w:ascii="宋体" w:hAnsi="宋体"/>
                <w:color w:val="auto"/>
                <w:szCs w:val="21"/>
                <w:highlight w:val="none"/>
              </w:rPr>
              <w:t>国内</w:t>
            </w:r>
            <w:r>
              <w:rPr>
                <w:rFonts w:hint="eastAsia" w:ascii="宋体" w:hAnsi="宋体" w:cs="宋体"/>
                <w:color w:val="auto"/>
                <w:szCs w:val="21"/>
                <w:highlight w:val="none"/>
              </w:rPr>
              <w:t>（□新建；□改扩建；□新建或改扩</w:t>
            </w:r>
          </w:p>
          <w:p w14:paraId="0B0B2F82">
            <w:pPr>
              <w:adjustRightInd w:val="0"/>
              <w:snapToGrid w:val="0"/>
              <w:spacing w:line="380" w:lineRule="exact"/>
              <w:ind w:left="315" w:hanging="315" w:hangingChars="150"/>
              <w:rPr>
                <w:rFonts w:hint="eastAsia" w:ascii="宋体" w:hAnsi="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olor w:val="auto"/>
                <w:szCs w:val="21"/>
                <w:highlight w:val="none"/>
              </w:rPr>
              <w:t>公路</w:t>
            </w:r>
            <w:r>
              <w:rPr>
                <w:rFonts w:hint="eastAsia" w:ascii="宋体" w:hAnsi="宋体" w:cs="宋体"/>
                <w:color w:val="auto"/>
                <w:szCs w:val="21"/>
                <w:highlight w:val="none"/>
              </w:rPr>
              <w:t>隧道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施工项目中</w:t>
            </w:r>
            <w:r>
              <w:rPr>
                <w:rFonts w:hint="eastAsia" w:ascii="宋体" w:hAnsi="宋体" w:cs="宋体"/>
                <w:color w:val="auto"/>
                <w:szCs w:val="21"/>
                <w:highlight w:val="none"/>
              </w:rPr>
              <w:t>担任过（</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项目总工、</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或</w:t>
            </w:r>
            <w:r>
              <w:rPr>
                <w:rFonts w:ascii="宋体" w:hAnsi="宋体"/>
                <w:color w:val="auto"/>
                <w:szCs w:val="21"/>
                <w:highlight w:val="none"/>
              </w:rPr>
              <w:t>项目副总工</w:t>
            </w:r>
            <w:r>
              <w:rPr>
                <w:rFonts w:hint="eastAsia" w:ascii="宋体" w:hAnsi="宋体" w:cs="宋体"/>
                <w:color w:val="auto"/>
                <w:szCs w:val="21"/>
                <w:highlight w:val="none"/>
              </w:rPr>
              <w:t>）</w:t>
            </w:r>
            <w:r>
              <w:rPr>
                <w:rFonts w:hint="eastAsia" w:ascii="宋体" w:hAnsi="宋体"/>
                <w:color w:val="auto"/>
                <w:szCs w:val="21"/>
                <w:highlight w:val="none"/>
              </w:rPr>
              <w:t>职务。</w:t>
            </w:r>
          </w:p>
          <w:p w14:paraId="2C674778">
            <w:pPr>
              <w:adjustRightInd w:val="0"/>
              <w:snapToGrid w:val="0"/>
              <w:spacing w:line="380" w:lineRule="exact"/>
              <w:ind w:left="211" w:hanging="211" w:hangingChars="100"/>
              <w:rPr>
                <w:rFonts w:hint="eastAsia" w:ascii="宋体" w:hAnsi="宋体"/>
                <w:bCs/>
                <w:color w:val="auto"/>
                <w:szCs w:val="21"/>
                <w:highlight w:val="none"/>
              </w:rPr>
            </w:pPr>
            <w:r>
              <w:rPr>
                <w:rFonts w:hint="eastAsia" w:ascii="宋体" w:hAnsi="宋体"/>
                <w:b/>
                <w:color w:val="auto"/>
                <w:szCs w:val="21"/>
                <w:highlight w:val="none"/>
              </w:rPr>
              <w:t>□</w:t>
            </w:r>
            <w:r>
              <w:rPr>
                <w:rFonts w:hint="eastAsia" w:ascii="宋体" w:hAnsi="宋体"/>
                <w:bCs/>
                <w:color w:val="auto"/>
                <w:szCs w:val="21"/>
                <w:highlight w:val="none"/>
              </w:rPr>
              <w:t xml:space="preserve"> </w:t>
            </w:r>
            <w:r>
              <w:rPr>
                <w:rFonts w:hint="eastAsia" w:ascii="宋体" w:hAnsi="宋体"/>
                <w:bCs/>
                <w:color w:val="auto"/>
                <w:szCs w:val="21"/>
                <w:highlight w:val="none"/>
                <w:lang w:val="en-US" w:eastAsia="zh-CN"/>
              </w:rPr>
              <w:t>至少</w:t>
            </w:r>
            <w:r>
              <w:rPr>
                <w:rFonts w:hint="eastAsia" w:ascii="宋体" w:hAnsi="宋体"/>
                <w:bCs/>
                <w:color w:val="auto"/>
                <w:szCs w:val="21"/>
                <w:highlight w:val="none"/>
              </w:rPr>
              <w:t>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个国内房建工程</w:t>
            </w:r>
            <w:r>
              <w:rPr>
                <w:rFonts w:hint="eastAsia" w:ascii="宋体" w:hAnsi="宋体"/>
                <w:bCs/>
                <w:color w:val="auto"/>
                <w:szCs w:val="21"/>
                <w:highlight w:val="none"/>
                <w:lang w:val="en-US" w:eastAsia="zh-CN"/>
              </w:rPr>
              <w:t>施工</w:t>
            </w:r>
            <w:r>
              <w:rPr>
                <w:rFonts w:hint="eastAsia" w:ascii="宋体" w:hAnsi="宋体"/>
                <w:bCs/>
                <w:color w:val="auto"/>
                <w:szCs w:val="21"/>
                <w:highlight w:val="none"/>
              </w:rPr>
              <w:t>项目中担任过（□项目总</w:t>
            </w:r>
          </w:p>
          <w:p w14:paraId="09B47F19">
            <w:pPr>
              <w:adjustRightInd w:val="0"/>
              <w:snapToGrid w:val="0"/>
              <w:spacing w:line="380" w:lineRule="exact"/>
              <w:ind w:left="211" w:hanging="210" w:hangingChars="100"/>
              <w:rPr>
                <w:rFonts w:hint="eastAsia" w:ascii="宋体" w:hAnsi="宋体"/>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工；□或项目副总工）</w:t>
            </w:r>
            <w:r>
              <w:rPr>
                <w:rFonts w:hint="eastAsia" w:ascii="宋体" w:hAnsi="宋体" w:cs="宋体"/>
                <w:color w:val="auto"/>
                <w:kern w:val="0"/>
                <w:sz w:val="24"/>
                <w:highlight w:val="none"/>
              </w:rPr>
              <w:t xml:space="preserve"> </w:t>
            </w:r>
            <w:r>
              <w:rPr>
                <w:rFonts w:hint="eastAsia" w:ascii="宋体" w:hAnsi="宋体"/>
                <w:bCs/>
                <w:color w:val="auto"/>
                <w:szCs w:val="21"/>
                <w:highlight w:val="none"/>
              </w:rPr>
              <w:t>职务</w:t>
            </w:r>
            <w:r>
              <w:rPr>
                <w:rFonts w:hint="eastAsia" w:ascii="宋体" w:hAnsi="宋体"/>
                <w:bCs/>
                <w:color w:val="auto"/>
                <w:szCs w:val="21"/>
                <w:highlight w:val="none"/>
                <w:lang w:eastAsia="zh-CN"/>
              </w:rPr>
              <w:t>。</w:t>
            </w:r>
          </w:p>
          <w:p w14:paraId="72E54944">
            <w:pPr>
              <w:spacing w:line="38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其他</w:t>
            </w:r>
            <w:r>
              <w:rPr>
                <w:rStyle w:val="59"/>
                <w:rFonts w:ascii="宋体" w:hAnsi="宋体" w:cs="宋体"/>
                <w:color w:val="auto"/>
                <w:szCs w:val="21"/>
                <w:highlight w:val="none"/>
              </w:rPr>
              <w:footnoteReference w:id="102"/>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6D2E981">
            <w:pPr>
              <w:spacing w:line="380" w:lineRule="exact"/>
              <w:rPr>
                <w:rFonts w:ascii="宋体" w:hAnsi="宋体"/>
                <w:color w:val="auto"/>
                <w:szCs w:val="21"/>
                <w:highlight w:val="none"/>
              </w:rPr>
            </w:pPr>
            <w:bookmarkStart w:id="137" w:name="_Toc27059667"/>
            <w:bookmarkStart w:id="138" w:name="_Toc27059486"/>
            <w:bookmarkStart w:id="139" w:name="_Toc27059859"/>
            <w:bookmarkStart w:id="140" w:name="_Toc27059757"/>
            <w:bookmarkStart w:id="141" w:name="_Toc27060655"/>
            <w:r>
              <w:rPr>
                <w:rFonts w:hint="eastAsia" w:ascii="宋体" w:hAnsi="宋体"/>
                <w:b/>
                <w:color w:val="auto"/>
                <w:szCs w:val="21"/>
                <w:highlight w:val="none"/>
              </w:rPr>
              <w:t>□</w:t>
            </w:r>
            <w:r>
              <w:rPr>
                <w:rFonts w:ascii="宋体" w:hAnsi="宋体"/>
                <w:color w:val="auto"/>
                <w:szCs w:val="21"/>
                <w:highlight w:val="none"/>
              </w:rPr>
              <w:t xml:space="preserve"> 联合体应满足下列要求：</w:t>
            </w:r>
            <w:bookmarkEnd w:id="137"/>
            <w:bookmarkEnd w:id="138"/>
            <w:bookmarkEnd w:id="139"/>
            <w:bookmarkEnd w:id="140"/>
            <w:bookmarkEnd w:id="141"/>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tc>
        <w:tc>
          <w:tcPr>
            <w:tcW w:w="1295" w:type="dxa"/>
            <w:vAlign w:val="center"/>
          </w:tcPr>
          <w:p w14:paraId="321CA4C1">
            <w:pPr>
              <w:spacing w:line="400" w:lineRule="exact"/>
              <w:jc w:val="center"/>
              <w:rPr>
                <w:rFonts w:ascii="宋体" w:hAnsi="宋体"/>
                <w:color w:val="auto"/>
                <w:szCs w:val="21"/>
                <w:highlight w:val="none"/>
              </w:rPr>
            </w:pPr>
            <w:bookmarkStart w:id="142" w:name="_Toc27059758"/>
            <w:bookmarkStart w:id="143" w:name="_Toc27060656"/>
            <w:bookmarkStart w:id="144" w:name="_Toc27059487"/>
            <w:bookmarkStart w:id="145" w:name="_Toc27059860"/>
            <w:bookmarkStart w:id="146" w:name="_Toc27059668"/>
            <w:r>
              <w:rPr>
                <w:rFonts w:hint="eastAsia" w:ascii="宋体" w:hAnsi="宋体"/>
                <w:color w:val="auto"/>
                <w:szCs w:val="21"/>
                <w:highlight w:val="none"/>
              </w:rPr>
              <w:t>无在岗项目（指目前未在其他项目上任职，或虽在其他项目上任职但本项目中标后能够从该项目撤离）</w:t>
            </w:r>
            <w:bookmarkEnd w:id="142"/>
            <w:bookmarkEnd w:id="143"/>
            <w:bookmarkEnd w:id="144"/>
            <w:bookmarkEnd w:id="145"/>
            <w:bookmarkEnd w:id="146"/>
          </w:p>
        </w:tc>
      </w:tr>
      <w:tr w14:paraId="1114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9" w:type="dxa"/>
            <w:vAlign w:val="center"/>
          </w:tcPr>
          <w:p w14:paraId="680CC548">
            <w:pPr>
              <w:spacing w:line="400" w:lineRule="exact"/>
              <w:jc w:val="center"/>
              <w:rPr>
                <w:rFonts w:ascii="宋体" w:hAnsi="宋体"/>
                <w:color w:val="auto"/>
                <w:szCs w:val="21"/>
                <w:highlight w:val="none"/>
              </w:rPr>
            </w:pPr>
            <w:bookmarkStart w:id="147" w:name="_Toc27059759"/>
            <w:bookmarkStart w:id="148" w:name="_Toc27060657"/>
            <w:bookmarkStart w:id="149" w:name="_Toc27059669"/>
            <w:bookmarkStart w:id="150" w:name="_Toc27059488"/>
            <w:bookmarkStart w:id="151" w:name="_Toc27059861"/>
            <w:r>
              <w:rPr>
                <w:rFonts w:hint="eastAsia" w:ascii="宋体" w:hAnsi="宋体"/>
                <w:color w:val="auto"/>
                <w:szCs w:val="21"/>
                <w:highlight w:val="none"/>
              </w:rPr>
              <w:t>…</w:t>
            </w:r>
            <w:bookmarkEnd w:id="147"/>
            <w:bookmarkEnd w:id="148"/>
            <w:bookmarkEnd w:id="149"/>
            <w:bookmarkEnd w:id="150"/>
            <w:bookmarkEnd w:id="151"/>
            <w:r>
              <w:rPr>
                <w:rFonts w:hint="eastAsia" w:ascii="宋体" w:hAnsi="宋体"/>
                <w:color w:val="auto"/>
                <w:szCs w:val="21"/>
                <w:highlight w:val="none"/>
              </w:rPr>
              <w:t>…</w:t>
            </w:r>
          </w:p>
        </w:tc>
        <w:tc>
          <w:tcPr>
            <w:tcW w:w="972" w:type="dxa"/>
            <w:vAlign w:val="center"/>
          </w:tcPr>
          <w:p w14:paraId="3E1CC658">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5716" w:type="dxa"/>
            <w:vAlign w:val="center"/>
          </w:tcPr>
          <w:p w14:paraId="0231D7B7">
            <w:pPr>
              <w:spacing w:line="400" w:lineRule="exact"/>
              <w:jc w:val="both"/>
              <w:rPr>
                <w:rFonts w:ascii="宋体" w:hAnsi="宋体"/>
                <w:color w:val="auto"/>
                <w:szCs w:val="21"/>
                <w:highlight w:val="none"/>
              </w:rPr>
            </w:pPr>
            <w:bookmarkStart w:id="152" w:name="_Toc27059489"/>
            <w:bookmarkStart w:id="153" w:name="_Toc27059862"/>
            <w:bookmarkStart w:id="154" w:name="_Toc27060658"/>
            <w:bookmarkStart w:id="155" w:name="_Toc27059670"/>
            <w:bookmarkStart w:id="156" w:name="_Toc27059760"/>
            <w:r>
              <w:rPr>
                <w:rFonts w:hint="eastAsia" w:ascii="宋体" w:hAnsi="宋体"/>
                <w:color w:val="auto"/>
                <w:szCs w:val="21"/>
                <w:highlight w:val="none"/>
              </w:rPr>
              <w:t>……</w:t>
            </w:r>
            <w:bookmarkEnd w:id="152"/>
            <w:bookmarkEnd w:id="153"/>
            <w:bookmarkEnd w:id="154"/>
            <w:bookmarkEnd w:id="155"/>
            <w:bookmarkEnd w:id="156"/>
          </w:p>
        </w:tc>
        <w:tc>
          <w:tcPr>
            <w:tcW w:w="1295" w:type="dxa"/>
            <w:vAlign w:val="center"/>
          </w:tcPr>
          <w:p w14:paraId="0AC88BB1">
            <w:pPr>
              <w:spacing w:line="400" w:lineRule="exact"/>
              <w:jc w:val="center"/>
              <w:rPr>
                <w:rFonts w:ascii="宋体" w:hAnsi="宋体"/>
                <w:color w:val="auto"/>
                <w:szCs w:val="21"/>
                <w:highlight w:val="none"/>
              </w:rPr>
            </w:pPr>
            <w:r>
              <w:rPr>
                <w:rFonts w:hint="eastAsia" w:ascii="宋体" w:hAnsi="宋体"/>
                <w:color w:val="auto"/>
                <w:szCs w:val="21"/>
                <w:highlight w:val="none"/>
              </w:rPr>
              <w:t>……</w:t>
            </w:r>
          </w:p>
        </w:tc>
      </w:tr>
    </w:tbl>
    <w:p w14:paraId="31C2D083">
      <w:pPr>
        <w:spacing w:line="480" w:lineRule="exact"/>
        <w:rPr>
          <w:rFonts w:ascii="宋体" w:hAnsi="宋体"/>
          <w:color w:val="auto"/>
          <w:sz w:val="24"/>
          <w:highlight w:val="none"/>
        </w:rPr>
      </w:pPr>
    </w:p>
    <w:p w14:paraId="3E8155E9">
      <w:pPr>
        <w:spacing w:line="480" w:lineRule="exact"/>
        <w:rPr>
          <w:rFonts w:ascii="宋体" w:hAnsi="宋体"/>
          <w:color w:val="auto"/>
          <w:sz w:val="24"/>
          <w:highlight w:val="none"/>
        </w:rPr>
      </w:pPr>
    </w:p>
    <w:p w14:paraId="2BE92DDB">
      <w:pPr>
        <w:spacing w:line="480" w:lineRule="exact"/>
        <w:rPr>
          <w:rFonts w:ascii="宋体" w:hAnsi="宋体"/>
          <w:color w:val="auto"/>
          <w:sz w:val="24"/>
          <w:highlight w:val="none"/>
        </w:rPr>
      </w:pPr>
    </w:p>
    <w:p w14:paraId="5484B623">
      <w:pPr>
        <w:spacing w:line="480" w:lineRule="exact"/>
        <w:rPr>
          <w:rFonts w:ascii="宋体" w:hAnsi="宋体"/>
          <w:color w:val="auto"/>
          <w:sz w:val="24"/>
          <w:highlight w:val="none"/>
        </w:rPr>
      </w:pPr>
    </w:p>
    <w:p w14:paraId="6FE5CC25">
      <w:pPr>
        <w:spacing w:line="480" w:lineRule="exact"/>
        <w:rPr>
          <w:rFonts w:ascii="宋体" w:hAnsi="宋体"/>
          <w:color w:val="auto"/>
          <w:sz w:val="24"/>
          <w:highlight w:val="none"/>
        </w:rPr>
      </w:pPr>
    </w:p>
    <w:p w14:paraId="35850132">
      <w:pPr>
        <w:spacing w:line="480" w:lineRule="exact"/>
        <w:rPr>
          <w:rFonts w:ascii="宋体" w:hAnsi="宋体"/>
          <w:color w:val="auto"/>
          <w:sz w:val="24"/>
          <w:highlight w:val="none"/>
        </w:rPr>
      </w:pPr>
    </w:p>
    <w:p w14:paraId="0DD30B74">
      <w:pPr>
        <w:spacing w:line="480" w:lineRule="exact"/>
        <w:rPr>
          <w:rFonts w:ascii="宋体" w:hAnsi="宋体"/>
          <w:color w:val="auto"/>
          <w:sz w:val="24"/>
          <w:highlight w:val="none"/>
        </w:rPr>
      </w:pPr>
    </w:p>
    <w:p w14:paraId="0F4856EF">
      <w:pPr>
        <w:spacing w:line="480" w:lineRule="exact"/>
        <w:rPr>
          <w:rFonts w:ascii="宋体" w:hAnsi="宋体"/>
          <w:color w:val="auto"/>
          <w:sz w:val="24"/>
          <w:highlight w:val="none"/>
        </w:rPr>
      </w:pPr>
    </w:p>
    <w:p w14:paraId="63015EBB">
      <w:pPr>
        <w:spacing w:line="480" w:lineRule="exact"/>
        <w:rPr>
          <w:rFonts w:ascii="宋体" w:hAnsi="宋体"/>
          <w:color w:val="auto"/>
          <w:sz w:val="24"/>
          <w:highlight w:val="none"/>
        </w:rPr>
      </w:pPr>
    </w:p>
    <w:p w14:paraId="7637BABC">
      <w:pPr>
        <w:spacing w:line="480" w:lineRule="exact"/>
        <w:rPr>
          <w:rFonts w:ascii="宋体" w:hAnsi="宋体"/>
          <w:color w:val="auto"/>
          <w:sz w:val="24"/>
          <w:highlight w:val="none"/>
        </w:rPr>
      </w:pPr>
    </w:p>
    <w:p w14:paraId="480247B3">
      <w:pPr>
        <w:pStyle w:val="6"/>
        <w:outlineLvl w:val="2"/>
        <w:rPr>
          <w:rStyle w:val="152"/>
          <w:rFonts w:hint="eastAsia"/>
          <w:b/>
          <w:bCs/>
          <w:color w:val="auto"/>
          <w:highlight w:val="none"/>
        </w:rPr>
      </w:pPr>
      <w:r>
        <w:rPr>
          <w:rFonts w:ascii="宋体" w:hAnsi="宋体" w:eastAsia="黑体"/>
          <w:color w:val="auto"/>
          <w:sz w:val="28"/>
          <w:highlight w:val="none"/>
        </w:rPr>
        <w:br w:type="page"/>
      </w:r>
      <w:r>
        <w:rPr>
          <w:rStyle w:val="152"/>
          <w:rFonts w:ascii="黑体" w:hAnsi="黑体" w:cs="黑体"/>
          <w:b/>
          <w:bCs/>
          <w:color w:val="auto"/>
          <w:highlight w:val="none"/>
        </w:rPr>
        <w:t>□</w:t>
      </w:r>
      <w:r>
        <w:rPr>
          <w:rStyle w:val="152"/>
          <w:rFonts w:hint="eastAsia" w:ascii="黑体" w:hAnsi="黑体" w:cs="黑体"/>
          <w:b/>
          <w:bCs/>
          <w:color w:val="auto"/>
          <w:highlight w:val="none"/>
        </w:rPr>
        <w:t xml:space="preserve"> </w:t>
      </w:r>
      <w:r>
        <w:rPr>
          <w:rStyle w:val="152"/>
          <w:b/>
          <w:bCs/>
          <w:color w:val="auto"/>
          <w:highlight w:val="none"/>
        </w:rPr>
        <w:t>附录6</w:t>
      </w:r>
      <w:r>
        <w:rPr>
          <w:rStyle w:val="152"/>
          <w:rFonts w:hint="eastAsia"/>
          <w:b/>
          <w:bCs/>
          <w:color w:val="auto"/>
          <w:highlight w:val="none"/>
        </w:rPr>
        <w:t xml:space="preserve">  </w:t>
      </w:r>
      <w:r>
        <w:rPr>
          <w:rStyle w:val="152"/>
          <w:b/>
          <w:bCs/>
          <w:color w:val="auto"/>
          <w:highlight w:val="none"/>
        </w:rPr>
        <w:t>资格审查条件（其他管理和技术人员最低要求）</w:t>
      </w:r>
      <w:r>
        <w:rPr>
          <w:rStyle w:val="152"/>
          <w:rFonts w:hint="eastAsia"/>
          <w:b/>
          <w:bCs/>
          <w:color w:val="auto"/>
          <w:highlight w:val="none"/>
          <w:vertAlign w:val="superscript"/>
        </w:rPr>
        <w:footnoteReference w:id="103"/>
      </w:r>
    </w:p>
    <w:p w14:paraId="71C3D438">
      <w:pPr>
        <w:spacing w:line="360" w:lineRule="auto"/>
        <w:jc w:val="center"/>
        <w:rPr>
          <w:rFonts w:ascii="宋体" w:hAnsi="宋体"/>
          <w:color w:val="auto"/>
          <w:sz w:val="24"/>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659"/>
        <w:gridCol w:w="1371"/>
        <w:gridCol w:w="4675"/>
      </w:tblGrid>
      <w:tr w14:paraId="2C05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076" w:type="dxa"/>
            <w:vAlign w:val="center"/>
          </w:tcPr>
          <w:p w14:paraId="308FD685">
            <w:pPr>
              <w:spacing w:line="480" w:lineRule="exact"/>
              <w:jc w:val="center"/>
              <w:rPr>
                <w:rFonts w:ascii="宋体" w:hAnsi="宋体"/>
                <w:color w:val="auto"/>
                <w:szCs w:val="21"/>
                <w:highlight w:val="none"/>
              </w:rPr>
            </w:pPr>
            <w:r>
              <w:rPr>
                <w:rFonts w:hint="eastAsia" w:ascii="宋体" w:hAnsi="宋体"/>
                <w:color w:val="auto"/>
                <w:szCs w:val="21"/>
                <w:highlight w:val="none"/>
              </w:rPr>
              <w:t>标段</w:t>
            </w:r>
          </w:p>
        </w:tc>
        <w:tc>
          <w:tcPr>
            <w:tcW w:w="1659" w:type="dxa"/>
            <w:vAlign w:val="center"/>
          </w:tcPr>
          <w:p w14:paraId="63FB5776">
            <w:pPr>
              <w:spacing w:line="480" w:lineRule="exact"/>
              <w:jc w:val="center"/>
              <w:rPr>
                <w:rFonts w:ascii="宋体" w:hAnsi="宋体"/>
                <w:color w:val="auto"/>
                <w:szCs w:val="21"/>
                <w:highlight w:val="none"/>
              </w:rPr>
            </w:pPr>
            <w:r>
              <w:rPr>
                <w:rFonts w:hint="eastAsia" w:ascii="宋体" w:hAnsi="宋体"/>
                <w:color w:val="auto"/>
                <w:szCs w:val="21"/>
                <w:highlight w:val="none"/>
              </w:rPr>
              <w:t>人员</w:t>
            </w:r>
          </w:p>
        </w:tc>
        <w:tc>
          <w:tcPr>
            <w:tcW w:w="1371" w:type="dxa"/>
            <w:vAlign w:val="center"/>
          </w:tcPr>
          <w:p w14:paraId="14C838FB">
            <w:pPr>
              <w:spacing w:line="480" w:lineRule="exact"/>
              <w:jc w:val="center"/>
              <w:rPr>
                <w:rFonts w:ascii="宋体" w:hAnsi="宋体"/>
                <w:color w:val="auto"/>
                <w:szCs w:val="21"/>
                <w:highlight w:val="none"/>
              </w:rPr>
            </w:pPr>
            <w:r>
              <w:rPr>
                <w:rFonts w:hint="eastAsia" w:ascii="宋体" w:hAnsi="宋体"/>
                <w:color w:val="auto"/>
                <w:szCs w:val="21"/>
                <w:highlight w:val="none"/>
              </w:rPr>
              <w:t>数量</w:t>
            </w:r>
          </w:p>
        </w:tc>
        <w:tc>
          <w:tcPr>
            <w:tcW w:w="4675" w:type="dxa"/>
            <w:vAlign w:val="center"/>
          </w:tcPr>
          <w:p w14:paraId="23E3366B">
            <w:pPr>
              <w:spacing w:line="480" w:lineRule="exact"/>
              <w:jc w:val="center"/>
              <w:rPr>
                <w:rFonts w:ascii="宋体" w:hAnsi="宋体"/>
                <w:color w:val="auto"/>
                <w:szCs w:val="21"/>
                <w:highlight w:val="none"/>
              </w:rPr>
            </w:pPr>
            <w:r>
              <w:rPr>
                <w:rFonts w:hint="eastAsia" w:ascii="宋体" w:hAnsi="宋体"/>
                <w:color w:val="auto"/>
                <w:szCs w:val="21"/>
                <w:highlight w:val="none"/>
              </w:rPr>
              <w:t>资格要求</w:t>
            </w:r>
          </w:p>
        </w:tc>
      </w:tr>
      <w:tr w14:paraId="2477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Merge w:val="restart"/>
            <w:vAlign w:val="center"/>
          </w:tcPr>
          <w:p w14:paraId="37791D86">
            <w:pPr>
              <w:spacing w:line="480" w:lineRule="exact"/>
              <w:jc w:val="center"/>
              <w:rPr>
                <w:rFonts w:ascii="宋体" w:hAnsi="宋体"/>
                <w:color w:val="auto"/>
                <w:szCs w:val="21"/>
                <w:highlight w:val="none"/>
              </w:rPr>
            </w:pPr>
          </w:p>
        </w:tc>
        <w:tc>
          <w:tcPr>
            <w:tcW w:w="1659" w:type="dxa"/>
            <w:vAlign w:val="center"/>
          </w:tcPr>
          <w:p w14:paraId="040FD63B">
            <w:pPr>
              <w:spacing w:line="480" w:lineRule="exact"/>
              <w:jc w:val="center"/>
              <w:rPr>
                <w:rFonts w:ascii="宋体" w:hAnsi="宋体"/>
                <w:color w:val="auto"/>
                <w:szCs w:val="21"/>
                <w:highlight w:val="none"/>
              </w:rPr>
            </w:pPr>
          </w:p>
        </w:tc>
        <w:tc>
          <w:tcPr>
            <w:tcW w:w="1371" w:type="dxa"/>
            <w:vAlign w:val="center"/>
          </w:tcPr>
          <w:p w14:paraId="5A292686">
            <w:pPr>
              <w:spacing w:line="480" w:lineRule="exact"/>
              <w:jc w:val="center"/>
              <w:rPr>
                <w:rFonts w:ascii="宋体" w:hAnsi="宋体"/>
                <w:color w:val="auto"/>
                <w:szCs w:val="21"/>
                <w:highlight w:val="none"/>
              </w:rPr>
            </w:pPr>
          </w:p>
        </w:tc>
        <w:tc>
          <w:tcPr>
            <w:tcW w:w="4675" w:type="dxa"/>
            <w:vAlign w:val="center"/>
          </w:tcPr>
          <w:p w14:paraId="50085A73">
            <w:pPr>
              <w:spacing w:line="480" w:lineRule="exact"/>
              <w:jc w:val="center"/>
              <w:rPr>
                <w:rFonts w:ascii="宋体" w:hAnsi="宋体"/>
                <w:color w:val="auto"/>
                <w:szCs w:val="21"/>
                <w:highlight w:val="none"/>
              </w:rPr>
            </w:pPr>
          </w:p>
        </w:tc>
      </w:tr>
      <w:tr w14:paraId="2843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076" w:type="dxa"/>
            <w:vMerge w:val="continue"/>
            <w:vAlign w:val="center"/>
          </w:tcPr>
          <w:p w14:paraId="39BFF42A">
            <w:pPr>
              <w:spacing w:line="480" w:lineRule="exact"/>
              <w:jc w:val="center"/>
              <w:rPr>
                <w:rFonts w:ascii="宋体" w:hAnsi="宋体"/>
                <w:color w:val="auto"/>
                <w:szCs w:val="21"/>
                <w:highlight w:val="none"/>
              </w:rPr>
            </w:pPr>
          </w:p>
        </w:tc>
        <w:tc>
          <w:tcPr>
            <w:tcW w:w="1659" w:type="dxa"/>
            <w:vAlign w:val="center"/>
          </w:tcPr>
          <w:p w14:paraId="1D40EE23">
            <w:pPr>
              <w:spacing w:line="480" w:lineRule="exact"/>
              <w:jc w:val="center"/>
              <w:rPr>
                <w:rFonts w:ascii="宋体" w:hAnsi="宋体"/>
                <w:color w:val="auto"/>
                <w:szCs w:val="21"/>
                <w:highlight w:val="none"/>
              </w:rPr>
            </w:pPr>
          </w:p>
        </w:tc>
        <w:tc>
          <w:tcPr>
            <w:tcW w:w="1371" w:type="dxa"/>
            <w:vAlign w:val="center"/>
          </w:tcPr>
          <w:p w14:paraId="594653C3">
            <w:pPr>
              <w:spacing w:line="480" w:lineRule="exact"/>
              <w:jc w:val="center"/>
              <w:rPr>
                <w:rFonts w:ascii="宋体" w:hAnsi="宋体"/>
                <w:color w:val="auto"/>
                <w:szCs w:val="21"/>
                <w:highlight w:val="none"/>
              </w:rPr>
            </w:pPr>
          </w:p>
        </w:tc>
        <w:tc>
          <w:tcPr>
            <w:tcW w:w="4675" w:type="dxa"/>
            <w:vAlign w:val="center"/>
          </w:tcPr>
          <w:p w14:paraId="2759C719">
            <w:pPr>
              <w:spacing w:line="480" w:lineRule="exact"/>
              <w:jc w:val="center"/>
              <w:rPr>
                <w:rFonts w:ascii="宋体" w:hAnsi="宋体"/>
                <w:color w:val="auto"/>
                <w:szCs w:val="21"/>
                <w:highlight w:val="none"/>
              </w:rPr>
            </w:pPr>
          </w:p>
        </w:tc>
      </w:tr>
      <w:tr w14:paraId="5F5B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Merge w:val="continue"/>
            <w:vAlign w:val="center"/>
          </w:tcPr>
          <w:p w14:paraId="37ED007A">
            <w:pPr>
              <w:spacing w:line="480" w:lineRule="exact"/>
              <w:jc w:val="center"/>
              <w:rPr>
                <w:rFonts w:ascii="宋体" w:hAnsi="宋体"/>
                <w:color w:val="auto"/>
                <w:szCs w:val="21"/>
                <w:highlight w:val="none"/>
              </w:rPr>
            </w:pPr>
          </w:p>
        </w:tc>
        <w:tc>
          <w:tcPr>
            <w:tcW w:w="1659" w:type="dxa"/>
            <w:vAlign w:val="center"/>
          </w:tcPr>
          <w:p w14:paraId="28BBF933">
            <w:pPr>
              <w:spacing w:line="480" w:lineRule="exact"/>
              <w:jc w:val="center"/>
              <w:rPr>
                <w:rFonts w:ascii="宋体" w:hAnsi="宋体"/>
                <w:color w:val="auto"/>
                <w:szCs w:val="21"/>
                <w:highlight w:val="none"/>
              </w:rPr>
            </w:pPr>
          </w:p>
        </w:tc>
        <w:tc>
          <w:tcPr>
            <w:tcW w:w="1371" w:type="dxa"/>
            <w:vAlign w:val="center"/>
          </w:tcPr>
          <w:p w14:paraId="0232DE7B">
            <w:pPr>
              <w:spacing w:line="480" w:lineRule="exact"/>
              <w:jc w:val="center"/>
              <w:rPr>
                <w:rFonts w:ascii="宋体" w:hAnsi="宋体"/>
                <w:color w:val="auto"/>
                <w:szCs w:val="21"/>
                <w:highlight w:val="none"/>
              </w:rPr>
            </w:pPr>
          </w:p>
        </w:tc>
        <w:tc>
          <w:tcPr>
            <w:tcW w:w="4675" w:type="dxa"/>
            <w:vAlign w:val="center"/>
          </w:tcPr>
          <w:p w14:paraId="3BFB1D6E">
            <w:pPr>
              <w:spacing w:line="480" w:lineRule="exact"/>
              <w:jc w:val="center"/>
              <w:rPr>
                <w:rFonts w:ascii="宋体" w:hAnsi="宋体"/>
                <w:color w:val="auto"/>
                <w:szCs w:val="21"/>
                <w:highlight w:val="none"/>
              </w:rPr>
            </w:pPr>
          </w:p>
        </w:tc>
      </w:tr>
      <w:tr w14:paraId="3410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Merge w:val="continue"/>
            <w:vAlign w:val="center"/>
          </w:tcPr>
          <w:p w14:paraId="3C808E17">
            <w:pPr>
              <w:spacing w:line="480" w:lineRule="exact"/>
              <w:jc w:val="center"/>
              <w:rPr>
                <w:rFonts w:ascii="宋体" w:hAnsi="宋体"/>
                <w:color w:val="auto"/>
                <w:szCs w:val="21"/>
                <w:highlight w:val="none"/>
              </w:rPr>
            </w:pPr>
          </w:p>
        </w:tc>
        <w:tc>
          <w:tcPr>
            <w:tcW w:w="1659" w:type="dxa"/>
            <w:vAlign w:val="center"/>
          </w:tcPr>
          <w:p w14:paraId="6CFBF28D">
            <w:pPr>
              <w:spacing w:line="480" w:lineRule="exact"/>
              <w:jc w:val="center"/>
              <w:rPr>
                <w:rFonts w:ascii="宋体" w:hAnsi="宋体"/>
                <w:color w:val="auto"/>
                <w:szCs w:val="21"/>
                <w:highlight w:val="none"/>
              </w:rPr>
            </w:pPr>
          </w:p>
        </w:tc>
        <w:tc>
          <w:tcPr>
            <w:tcW w:w="1371" w:type="dxa"/>
            <w:vAlign w:val="center"/>
          </w:tcPr>
          <w:p w14:paraId="2113E58A">
            <w:pPr>
              <w:spacing w:line="480" w:lineRule="exact"/>
              <w:jc w:val="center"/>
              <w:rPr>
                <w:rFonts w:ascii="宋体" w:hAnsi="宋体"/>
                <w:color w:val="auto"/>
                <w:szCs w:val="21"/>
                <w:highlight w:val="none"/>
              </w:rPr>
            </w:pPr>
          </w:p>
        </w:tc>
        <w:tc>
          <w:tcPr>
            <w:tcW w:w="4675" w:type="dxa"/>
            <w:vAlign w:val="center"/>
          </w:tcPr>
          <w:p w14:paraId="1553ED6F">
            <w:pPr>
              <w:spacing w:line="480" w:lineRule="exact"/>
              <w:jc w:val="center"/>
              <w:rPr>
                <w:rFonts w:ascii="宋体" w:hAnsi="宋体"/>
                <w:color w:val="auto"/>
                <w:szCs w:val="21"/>
                <w:highlight w:val="none"/>
              </w:rPr>
            </w:pPr>
          </w:p>
        </w:tc>
      </w:tr>
      <w:tr w14:paraId="0126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6" w:type="dxa"/>
            <w:vMerge w:val="restart"/>
            <w:vAlign w:val="center"/>
          </w:tcPr>
          <w:p w14:paraId="5B60BCEA">
            <w:pPr>
              <w:spacing w:line="480" w:lineRule="exact"/>
              <w:jc w:val="center"/>
              <w:rPr>
                <w:rFonts w:ascii="宋体" w:hAnsi="宋体"/>
                <w:color w:val="auto"/>
                <w:szCs w:val="21"/>
                <w:highlight w:val="none"/>
              </w:rPr>
            </w:pPr>
          </w:p>
        </w:tc>
        <w:tc>
          <w:tcPr>
            <w:tcW w:w="1659" w:type="dxa"/>
            <w:vAlign w:val="center"/>
          </w:tcPr>
          <w:p w14:paraId="76D29A31">
            <w:pPr>
              <w:spacing w:line="480" w:lineRule="exact"/>
              <w:jc w:val="center"/>
              <w:rPr>
                <w:rFonts w:ascii="宋体" w:hAnsi="宋体"/>
                <w:color w:val="auto"/>
                <w:szCs w:val="21"/>
                <w:highlight w:val="none"/>
              </w:rPr>
            </w:pPr>
          </w:p>
        </w:tc>
        <w:tc>
          <w:tcPr>
            <w:tcW w:w="1371" w:type="dxa"/>
            <w:vAlign w:val="center"/>
          </w:tcPr>
          <w:p w14:paraId="1CC67E63">
            <w:pPr>
              <w:spacing w:line="480" w:lineRule="exact"/>
              <w:jc w:val="center"/>
              <w:rPr>
                <w:rFonts w:ascii="宋体" w:hAnsi="宋体"/>
                <w:color w:val="auto"/>
                <w:szCs w:val="21"/>
                <w:highlight w:val="none"/>
              </w:rPr>
            </w:pPr>
          </w:p>
        </w:tc>
        <w:tc>
          <w:tcPr>
            <w:tcW w:w="4675" w:type="dxa"/>
            <w:vAlign w:val="center"/>
          </w:tcPr>
          <w:p w14:paraId="43D46940">
            <w:pPr>
              <w:spacing w:line="480" w:lineRule="exact"/>
              <w:jc w:val="center"/>
              <w:rPr>
                <w:rFonts w:ascii="宋体" w:hAnsi="宋体"/>
                <w:color w:val="auto"/>
                <w:szCs w:val="21"/>
                <w:highlight w:val="none"/>
              </w:rPr>
            </w:pPr>
          </w:p>
        </w:tc>
      </w:tr>
      <w:tr w14:paraId="2907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Merge w:val="continue"/>
            <w:vAlign w:val="center"/>
          </w:tcPr>
          <w:p w14:paraId="35AB4E23">
            <w:pPr>
              <w:spacing w:line="480" w:lineRule="exact"/>
              <w:jc w:val="center"/>
              <w:rPr>
                <w:rFonts w:ascii="宋体" w:hAnsi="宋体"/>
                <w:color w:val="auto"/>
                <w:szCs w:val="21"/>
                <w:highlight w:val="none"/>
              </w:rPr>
            </w:pPr>
          </w:p>
        </w:tc>
        <w:tc>
          <w:tcPr>
            <w:tcW w:w="1659" w:type="dxa"/>
            <w:vAlign w:val="center"/>
          </w:tcPr>
          <w:p w14:paraId="092C65A7">
            <w:pPr>
              <w:spacing w:line="480" w:lineRule="exact"/>
              <w:jc w:val="center"/>
              <w:rPr>
                <w:rFonts w:ascii="宋体" w:hAnsi="宋体"/>
                <w:color w:val="auto"/>
                <w:szCs w:val="21"/>
                <w:highlight w:val="none"/>
              </w:rPr>
            </w:pPr>
          </w:p>
        </w:tc>
        <w:tc>
          <w:tcPr>
            <w:tcW w:w="1371" w:type="dxa"/>
            <w:vAlign w:val="center"/>
          </w:tcPr>
          <w:p w14:paraId="63999596">
            <w:pPr>
              <w:spacing w:line="480" w:lineRule="exact"/>
              <w:jc w:val="center"/>
              <w:rPr>
                <w:rFonts w:ascii="宋体" w:hAnsi="宋体"/>
                <w:color w:val="auto"/>
                <w:szCs w:val="21"/>
                <w:highlight w:val="none"/>
              </w:rPr>
            </w:pPr>
          </w:p>
        </w:tc>
        <w:tc>
          <w:tcPr>
            <w:tcW w:w="4675" w:type="dxa"/>
            <w:vAlign w:val="center"/>
          </w:tcPr>
          <w:p w14:paraId="66AFF509">
            <w:pPr>
              <w:spacing w:line="480" w:lineRule="exact"/>
              <w:jc w:val="center"/>
              <w:rPr>
                <w:rFonts w:ascii="宋体" w:hAnsi="宋体"/>
                <w:color w:val="auto"/>
                <w:szCs w:val="21"/>
                <w:highlight w:val="none"/>
              </w:rPr>
            </w:pPr>
          </w:p>
        </w:tc>
      </w:tr>
      <w:tr w14:paraId="74BA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Merge w:val="continue"/>
            <w:vAlign w:val="center"/>
          </w:tcPr>
          <w:p w14:paraId="7AF98018">
            <w:pPr>
              <w:spacing w:line="480" w:lineRule="exact"/>
              <w:jc w:val="center"/>
              <w:rPr>
                <w:rFonts w:ascii="宋体" w:hAnsi="宋体"/>
                <w:color w:val="auto"/>
                <w:szCs w:val="21"/>
                <w:highlight w:val="none"/>
              </w:rPr>
            </w:pPr>
          </w:p>
        </w:tc>
        <w:tc>
          <w:tcPr>
            <w:tcW w:w="1659" w:type="dxa"/>
            <w:vAlign w:val="center"/>
          </w:tcPr>
          <w:p w14:paraId="13F30689">
            <w:pPr>
              <w:spacing w:line="480" w:lineRule="exact"/>
              <w:jc w:val="center"/>
              <w:rPr>
                <w:rFonts w:ascii="宋体" w:hAnsi="宋体"/>
                <w:color w:val="auto"/>
                <w:szCs w:val="21"/>
                <w:highlight w:val="none"/>
              </w:rPr>
            </w:pPr>
          </w:p>
        </w:tc>
        <w:tc>
          <w:tcPr>
            <w:tcW w:w="1371" w:type="dxa"/>
            <w:vAlign w:val="center"/>
          </w:tcPr>
          <w:p w14:paraId="45A72CB9">
            <w:pPr>
              <w:spacing w:line="480" w:lineRule="exact"/>
              <w:jc w:val="center"/>
              <w:rPr>
                <w:rFonts w:ascii="宋体" w:hAnsi="宋体"/>
                <w:color w:val="auto"/>
                <w:szCs w:val="21"/>
                <w:highlight w:val="none"/>
              </w:rPr>
            </w:pPr>
          </w:p>
        </w:tc>
        <w:tc>
          <w:tcPr>
            <w:tcW w:w="4675" w:type="dxa"/>
            <w:vAlign w:val="center"/>
          </w:tcPr>
          <w:p w14:paraId="6FAA1F37">
            <w:pPr>
              <w:spacing w:line="480" w:lineRule="exact"/>
              <w:jc w:val="center"/>
              <w:rPr>
                <w:rFonts w:ascii="宋体" w:hAnsi="宋体"/>
                <w:color w:val="auto"/>
                <w:szCs w:val="21"/>
                <w:highlight w:val="none"/>
              </w:rPr>
            </w:pPr>
          </w:p>
        </w:tc>
      </w:tr>
      <w:tr w14:paraId="6CE6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Merge w:val="continue"/>
            <w:vAlign w:val="center"/>
          </w:tcPr>
          <w:p w14:paraId="065A28E3">
            <w:pPr>
              <w:spacing w:line="480" w:lineRule="exact"/>
              <w:jc w:val="center"/>
              <w:rPr>
                <w:rFonts w:ascii="宋体" w:hAnsi="宋体"/>
                <w:color w:val="auto"/>
                <w:szCs w:val="21"/>
                <w:highlight w:val="none"/>
              </w:rPr>
            </w:pPr>
          </w:p>
        </w:tc>
        <w:tc>
          <w:tcPr>
            <w:tcW w:w="1659" w:type="dxa"/>
            <w:vAlign w:val="center"/>
          </w:tcPr>
          <w:p w14:paraId="31F17B2B">
            <w:pPr>
              <w:spacing w:line="480" w:lineRule="exact"/>
              <w:jc w:val="center"/>
              <w:rPr>
                <w:rFonts w:ascii="宋体" w:hAnsi="宋体"/>
                <w:color w:val="auto"/>
                <w:szCs w:val="21"/>
                <w:highlight w:val="none"/>
              </w:rPr>
            </w:pPr>
          </w:p>
        </w:tc>
        <w:tc>
          <w:tcPr>
            <w:tcW w:w="1371" w:type="dxa"/>
            <w:vAlign w:val="center"/>
          </w:tcPr>
          <w:p w14:paraId="43FDC724">
            <w:pPr>
              <w:spacing w:line="480" w:lineRule="exact"/>
              <w:jc w:val="center"/>
              <w:rPr>
                <w:rFonts w:ascii="宋体" w:hAnsi="宋体"/>
                <w:color w:val="auto"/>
                <w:szCs w:val="21"/>
                <w:highlight w:val="none"/>
              </w:rPr>
            </w:pPr>
          </w:p>
        </w:tc>
        <w:tc>
          <w:tcPr>
            <w:tcW w:w="4675" w:type="dxa"/>
            <w:vAlign w:val="center"/>
          </w:tcPr>
          <w:p w14:paraId="4DE4620B">
            <w:pPr>
              <w:spacing w:line="480" w:lineRule="exact"/>
              <w:jc w:val="center"/>
              <w:rPr>
                <w:rFonts w:ascii="宋体" w:hAnsi="宋体"/>
                <w:color w:val="auto"/>
                <w:szCs w:val="21"/>
                <w:highlight w:val="none"/>
              </w:rPr>
            </w:pPr>
          </w:p>
        </w:tc>
      </w:tr>
      <w:tr w14:paraId="5E31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4D3F58CC">
            <w:pPr>
              <w:spacing w:line="48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bCs/>
                <w:color w:val="auto"/>
                <w:szCs w:val="21"/>
                <w:highlight w:val="none"/>
              </w:rPr>
              <w:t>……</w:t>
            </w:r>
          </w:p>
        </w:tc>
        <w:tc>
          <w:tcPr>
            <w:tcW w:w="1659" w:type="dxa"/>
            <w:vAlign w:val="center"/>
          </w:tcPr>
          <w:p w14:paraId="50962FE7">
            <w:pPr>
              <w:spacing w:line="48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bCs/>
                <w:color w:val="auto"/>
                <w:szCs w:val="21"/>
                <w:highlight w:val="none"/>
              </w:rPr>
              <w:t>……</w:t>
            </w:r>
          </w:p>
        </w:tc>
        <w:tc>
          <w:tcPr>
            <w:tcW w:w="1371" w:type="dxa"/>
            <w:vAlign w:val="center"/>
          </w:tcPr>
          <w:p w14:paraId="427BFF74">
            <w:pPr>
              <w:spacing w:line="48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bCs/>
                <w:color w:val="auto"/>
                <w:szCs w:val="21"/>
                <w:highlight w:val="none"/>
              </w:rPr>
              <w:t>……</w:t>
            </w:r>
          </w:p>
        </w:tc>
        <w:tc>
          <w:tcPr>
            <w:tcW w:w="4675" w:type="dxa"/>
            <w:vAlign w:val="center"/>
          </w:tcPr>
          <w:p w14:paraId="4ED7C0E6">
            <w:pPr>
              <w:spacing w:line="48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bCs/>
                <w:color w:val="auto"/>
                <w:szCs w:val="21"/>
                <w:highlight w:val="none"/>
              </w:rPr>
              <w:t>……</w:t>
            </w:r>
          </w:p>
        </w:tc>
      </w:tr>
    </w:tbl>
    <w:p w14:paraId="7343E240">
      <w:pPr>
        <w:spacing w:line="360" w:lineRule="auto"/>
        <w:jc w:val="center"/>
        <w:rPr>
          <w:rFonts w:ascii="宋体" w:hAnsi="宋体"/>
          <w:color w:val="auto"/>
          <w:sz w:val="24"/>
          <w:highlight w:val="none"/>
        </w:rPr>
      </w:pPr>
    </w:p>
    <w:p w14:paraId="54B9B058">
      <w:pPr>
        <w:spacing w:line="480" w:lineRule="exact"/>
        <w:rPr>
          <w:rFonts w:ascii="宋体" w:hAnsi="宋体"/>
          <w:color w:val="auto"/>
          <w:sz w:val="24"/>
          <w:highlight w:val="none"/>
        </w:rPr>
      </w:pPr>
    </w:p>
    <w:p w14:paraId="261D103D">
      <w:pPr>
        <w:spacing w:line="480" w:lineRule="exact"/>
        <w:rPr>
          <w:rFonts w:ascii="宋体" w:hAnsi="宋体"/>
          <w:color w:val="auto"/>
          <w:sz w:val="24"/>
          <w:highlight w:val="none"/>
        </w:rPr>
      </w:pPr>
    </w:p>
    <w:p w14:paraId="2FCF6B49">
      <w:pPr>
        <w:spacing w:line="480" w:lineRule="exact"/>
        <w:rPr>
          <w:rFonts w:ascii="宋体" w:hAnsi="宋体"/>
          <w:color w:val="auto"/>
          <w:sz w:val="24"/>
          <w:highlight w:val="none"/>
        </w:rPr>
      </w:pPr>
    </w:p>
    <w:p w14:paraId="0B8E654B">
      <w:pPr>
        <w:spacing w:line="480" w:lineRule="exact"/>
        <w:rPr>
          <w:rFonts w:ascii="宋体" w:hAnsi="宋体"/>
          <w:color w:val="auto"/>
          <w:sz w:val="24"/>
          <w:highlight w:val="none"/>
        </w:rPr>
      </w:pPr>
    </w:p>
    <w:p w14:paraId="1447FF2A">
      <w:pPr>
        <w:spacing w:line="480" w:lineRule="exact"/>
        <w:rPr>
          <w:rFonts w:ascii="宋体" w:hAnsi="宋体"/>
          <w:color w:val="auto"/>
          <w:sz w:val="24"/>
          <w:highlight w:val="none"/>
        </w:rPr>
      </w:pPr>
    </w:p>
    <w:p w14:paraId="09B25C46">
      <w:pPr>
        <w:spacing w:line="480" w:lineRule="exact"/>
        <w:rPr>
          <w:rFonts w:ascii="宋体" w:hAnsi="宋体"/>
          <w:color w:val="auto"/>
          <w:sz w:val="24"/>
          <w:highlight w:val="none"/>
        </w:rPr>
      </w:pPr>
    </w:p>
    <w:p w14:paraId="4ECF5216">
      <w:pPr>
        <w:spacing w:line="480" w:lineRule="exact"/>
        <w:rPr>
          <w:rFonts w:ascii="宋体" w:hAnsi="宋体"/>
          <w:color w:val="auto"/>
          <w:sz w:val="24"/>
          <w:highlight w:val="none"/>
        </w:rPr>
      </w:pPr>
    </w:p>
    <w:p w14:paraId="5BA323DE">
      <w:pPr>
        <w:spacing w:line="480" w:lineRule="exact"/>
        <w:rPr>
          <w:rFonts w:ascii="宋体" w:hAnsi="宋体"/>
          <w:color w:val="auto"/>
          <w:sz w:val="24"/>
          <w:highlight w:val="none"/>
        </w:rPr>
      </w:pPr>
    </w:p>
    <w:p w14:paraId="4D6607BA">
      <w:pPr>
        <w:spacing w:line="240" w:lineRule="auto"/>
        <w:rPr>
          <w:rFonts w:ascii="宋体" w:hAnsi="宋体"/>
          <w:color w:val="auto"/>
          <w:sz w:val="24"/>
          <w:highlight w:val="none"/>
        </w:rPr>
      </w:pPr>
      <w:r>
        <w:rPr>
          <w:rFonts w:ascii="宋体" w:hAnsi="宋体"/>
          <w:color w:val="auto"/>
          <w:sz w:val="24"/>
          <w:highlight w:val="none"/>
        </w:rPr>
        <w:br w:type="page"/>
      </w:r>
    </w:p>
    <w:p w14:paraId="03A6B953">
      <w:pPr>
        <w:pStyle w:val="6"/>
        <w:outlineLvl w:val="2"/>
        <w:rPr>
          <w:rStyle w:val="152"/>
          <w:rFonts w:ascii="黑体" w:hAnsi="黑体" w:cs="黑体"/>
          <w:b/>
          <w:bCs/>
          <w:color w:val="auto"/>
          <w:highlight w:val="none"/>
        </w:rPr>
      </w:pPr>
      <w:r>
        <w:rPr>
          <w:rStyle w:val="152"/>
          <w:rFonts w:ascii="黑体" w:hAnsi="黑体" w:cs="黑体"/>
          <w:b/>
          <w:bCs/>
          <w:color w:val="auto"/>
          <w:kern w:val="0"/>
          <w:highlight w:val="none"/>
        </w:rPr>
        <w:t>□ 附录7  资格审查条件（主要机械设备和试验检测设备最低要求）</w:t>
      </w:r>
      <w:r>
        <w:rPr>
          <w:rStyle w:val="152"/>
          <w:rFonts w:ascii="黑体" w:hAnsi="黑体" w:cs="黑体"/>
          <w:b/>
          <w:bCs/>
          <w:color w:val="auto"/>
          <w:highlight w:val="none"/>
          <w:vertAlign w:val="superscript"/>
        </w:rPr>
        <w:footnoteReference w:id="104"/>
      </w:r>
    </w:p>
    <w:p w14:paraId="433B932A">
      <w:pPr>
        <w:spacing w:line="360" w:lineRule="auto"/>
        <w:jc w:val="center"/>
        <w:rPr>
          <w:rFonts w:ascii="宋体" w:hAnsi="宋体"/>
          <w:color w:val="auto"/>
          <w:sz w:val="24"/>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2976"/>
        <w:gridCol w:w="993"/>
        <w:gridCol w:w="2123"/>
      </w:tblGrid>
      <w:tr w14:paraId="280C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14:paraId="1B734FE1">
            <w:pPr>
              <w:spacing w:line="480" w:lineRule="exact"/>
              <w:jc w:val="center"/>
              <w:rPr>
                <w:rFonts w:ascii="宋体" w:hAnsi="宋体"/>
                <w:color w:val="auto"/>
                <w:szCs w:val="21"/>
                <w:highlight w:val="none"/>
              </w:rPr>
            </w:pPr>
            <w:r>
              <w:rPr>
                <w:rFonts w:hint="eastAsia" w:ascii="宋体" w:hAnsi="宋体"/>
                <w:color w:val="auto"/>
                <w:szCs w:val="21"/>
                <w:highlight w:val="none"/>
              </w:rPr>
              <w:t>标段</w:t>
            </w:r>
          </w:p>
        </w:tc>
        <w:tc>
          <w:tcPr>
            <w:tcW w:w="1560" w:type="dxa"/>
            <w:vAlign w:val="center"/>
          </w:tcPr>
          <w:p w14:paraId="6A2DD34F">
            <w:pPr>
              <w:spacing w:line="48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2976" w:type="dxa"/>
            <w:vAlign w:val="center"/>
          </w:tcPr>
          <w:p w14:paraId="0C31267D">
            <w:pPr>
              <w:spacing w:line="480" w:lineRule="exact"/>
              <w:jc w:val="center"/>
              <w:rPr>
                <w:rFonts w:ascii="宋体" w:hAnsi="宋体"/>
                <w:color w:val="auto"/>
                <w:szCs w:val="21"/>
                <w:highlight w:val="none"/>
              </w:rPr>
            </w:pPr>
            <w:r>
              <w:rPr>
                <w:rFonts w:hint="eastAsia" w:ascii="宋体" w:hAnsi="宋体"/>
                <w:color w:val="auto"/>
                <w:szCs w:val="21"/>
                <w:highlight w:val="none"/>
                <w:lang w:val="en-US" w:eastAsia="zh-CN"/>
              </w:rPr>
              <w:t>规格、</w:t>
            </w:r>
            <w:r>
              <w:rPr>
                <w:rFonts w:hint="eastAsia" w:ascii="宋体" w:hAnsi="宋体"/>
                <w:color w:val="auto"/>
                <w:szCs w:val="21"/>
                <w:highlight w:val="none"/>
              </w:rPr>
              <w:t>功率及容量</w:t>
            </w:r>
          </w:p>
        </w:tc>
        <w:tc>
          <w:tcPr>
            <w:tcW w:w="993" w:type="dxa"/>
            <w:vAlign w:val="center"/>
          </w:tcPr>
          <w:p w14:paraId="030D50B3">
            <w:pPr>
              <w:spacing w:line="480" w:lineRule="exact"/>
              <w:jc w:val="center"/>
              <w:rPr>
                <w:rFonts w:ascii="宋体" w:hAnsi="宋体"/>
                <w:color w:val="auto"/>
                <w:szCs w:val="21"/>
                <w:highlight w:val="none"/>
              </w:rPr>
            </w:pPr>
            <w:r>
              <w:rPr>
                <w:rFonts w:hint="eastAsia" w:ascii="宋体" w:hAnsi="宋体"/>
                <w:color w:val="auto"/>
                <w:szCs w:val="21"/>
                <w:highlight w:val="none"/>
              </w:rPr>
              <w:t>单位</w:t>
            </w:r>
          </w:p>
        </w:tc>
        <w:tc>
          <w:tcPr>
            <w:tcW w:w="2123" w:type="dxa"/>
            <w:vAlign w:val="center"/>
          </w:tcPr>
          <w:p w14:paraId="2A7F3135">
            <w:pPr>
              <w:spacing w:line="480" w:lineRule="exact"/>
              <w:jc w:val="center"/>
              <w:rPr>
                <w:rFonts w:ascii="宋体" w:hAnsi="宋体"/>
                <w:color w:val="auto"/>
                <w:szCs w:val="21"/>
                <w:highlight w:val="none"/>
              </w:rPr>
            </w:pPr>
            <w:r>
              <w:rPr>
                <w:rFonts w:hint="eastAsia" w:ascii="宋体" w:hAnsi="宋体"/>
                <w:color w:val="auto"/>
                <w:szCs w:val="21"/>
                <w:highlight w:val="none"/>
              </w:rPr>
              <w:t>最低数量要求</w:t>
            </w:r>
          </w:p>
        </w:tc>
      </w:tr>
      <w:tr w14:paraId="2045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restart"/>
            <w:vAlign w:val="center"/>
          </w:tcPr>
          <w:p w14:paraId="33659349">
            <w:pPr>
              <w:spacing w:line="480" w:lineRule="exact"/>
              <w:jc w:val="center"/>
              <w:rPr>
                <w:rFonts w:ascii="宋体" w:hAnsi="宋体"/>
                <w:color w:val="auto"/>
                <w:szCs w:val="21"/>
                <w:highlight w:val="none"/>
              </w:rPr>
            </w:pPr>
          </w:p>
        </w:tc>
        <w:tc>
          <w:tcPr>
            <w:tcW w:w="1560" w:type="dxa"/>
            <w:vAlign w:val="center"/>
          </w:tcPr>
          <w:p w14:paraId="5F705340">
            <w:pPr>
              <w:spacing w:line="480" w:lineRule="exact"/>
              <w:jc w:val="center"/>
              <w:rPr>
                <w:rFonts w:ascii="宋体" w:hAnsi="宋体"/>
                <w:color w:val="auto"/>
                <w:szCs w:val="21"/>
                <w:highlight w:val="none"/>
              </w:rPr>
            </w:pPr>
          </w:p>
        </w:tc>
        <w:tc>
          <w:tcPr>
            <w:tcW w:w="2976" w:type="dxa"/>
            <w:vAlign w:val="center"/>
          </w:tcPr>
          <w:p w14:paraId="67DC3E4A">
            <w:pPr>
              <w:spacing w:line="480" w:lineRule="exact"/>
              <w:jc w:val="center"/>
              <w:rPr>
                <w:rFonts w:ascii="宋体" w:hAnsi="宋体"/>
                <w:color w:val="auto"/>
                <w:szCs w:val="21"/>
                <w:highlight w:val="none"/>
              </w:rPr>
            </w:pPr>
          </w:p>
        </w:tc>
        <w:tc>
          <w:tcPr>
            <w:tcW w:w="993" w:type="dxa"/>
            <w:vAlign w:val="center"/>
          </w:tcPr>
          <w:p w14:paraId="7C27F21C">
            <w:pPr>
              <w:spacing w:line="480" w:lineRule="exact"/>
              <w:jc w:val="center"/>
              <w:rPr>
                <w:rFonts w:ascii="宋体" w:hAnsi="宋体"/>
                <w:color w:val="auto"/>
                <w:szCs w:val="21"/>
                <w:highlight w:val="none"/>
              </w:rPr>
            </w:pPr>
          </w:p>
        </w:tc>
        <w:tc>
          <w:tcPr>
            <w:tcW w:w="2123" w:type="dxa"/>
            <w:vAlign w:val="center"/>
          </w:tcPr>
          <w:p w14:paraId="2638CA21">
            <w:pPr>
              <w:spacing w:line="480" w:lineRule="exact"/>
              <w:jc w:val="center"/>
              <w:rPr>
                <w:rFonts w:ascii="宋体" w:hAnsi="宋体"/>
                <w:color w:val="auto"/>
                <w:szCs w:val="21"/>
                <w:highlight w:val="none"/>
              </w:rPr>
            </w:pPr>
          </w:p>
        </w:tc>
      </w:tr>
      <w:tr w14:paraId="00F4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6D2ADE48">
            <w:pPr>
              <w:spacing w:line="480" w:lineRule="exact"/>
              <w:jc w:val="center"/>
              <w:rPr>
                <w:rFonts w:ascii="宋体" w:hAnsi="宋体"/>
                <w:color w:val="auto"/>
                <w:szCs w:val="21"/>
                <w:highlight w:val="none"/>
              </w:rPr>
            </w:pPr>
          </w:p>
        </w:tc>
        <w:tc>
          <w:tcPr>
            <w:tcW w:w="1560" w:type="dxa"/>
            <w:vAlign w:val="center"/>
          </w:tcPr>
          <w:p w14:paraId="5F88E69A">
            <w:pPr>
              <w:spacing w:line="480" w:lineRule="exact"/>
              <w:jc w:val="center"/>
              <w:rPr>
                <w:rFonts w:ascii="宋体" w:hAnsi="宋体"/>
                <w:color w:val="auto"/>
                <w:szCs w:val="21"/>
                <w:highlight w:val="none"/>
              </w:rPr>
            </w:pPr>
          </w:p>
        </w:tc>
        <w:tc>
          <w:tcPr>
            <w:tcW w:w="2976" w:type="dxa"/>
            <w:vAlign w:val="center"/>
          </w:tcPr>
          <w:p w14:paraId="0430D089">
            <w:pPr>
              <w:spacing w:line="480" w:lineRule="exact"/>
              <w:jc w:val="center"/>
              <w:rPr>
                <w:rFonts w:ascii="宋体" w:hAnsi="宋体"/>
                <w:color w:val="auto"/>
                <w:szCs w:val="21"/>
                <w:highlight w:val="none"/>
              </w:rPr>
            </w:pPr>
          </w:p>
        </w:tc>
        <w:tc>
          <w:tcPr>
            <w:tcW w:w="993" w:type="dxa"/>
            <w:vAlign w:val="center"/>
          </w:tcPr>
          <w:p w14:paraId="61AE7FE7">
            <w:pPr>
              <w:spacing w:line="480" w:lineRule="exact"/>
              <w:jc w:val="center"/>
              <w:rPr>
                <w:rFonts w:ascii="宋体" w:hAnsi="宋体"/>
                <w:color w:val="auto"/>
                <w:szCs w:val="21"/>
                <w:highlight w:val="none"/>
              </w:rPr>
            </w:pPr>
          </w:p>
        </w:tc>
        <w:tc>
          <w:tcPr>
            <w:tcW w:w="2123" w:type="dxa"/>
            <w:vAlign w:val="center"/>
          </w:tcPr>
          <w:p w14:paraId="6E7FEAB7">
            <w:pPr>
              <w:spacing w:line="480" w:lineRule="exact"/>
              <w:jc w:val="center"/>
              <w:rPr>
                <w:rFonts w:ascii="宋体" w:hAnsi="宋体"/>
                <w:color w:val="auto"/>
                <w:szCs w:val="21"/>
                <w:highlight w:val="none"/>
              </w:rPr>
            </w:pPr>
          </w:p>
        </w:tc>
      </w:tr>
      <w:tr w14:paraId="5816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4AEB16D6">
            <w:pPr>
              <w:spacing w:line="480" w:lineRule="exact"/>
              <w:jc w:val="center"/>
              <w:rPr>
                <w:rFonts w:ascii="宋体" w:hAnsi="宋体"/>
                <w:color w:val="auto"/>
                <w:szCs w:val="21"/>
                <w:highlight w:val="none"/>
              </w:rPr>
            </w:pPr>
          </w:p>
        </w:tc>
        <w:tc>
          <w:tcPr>
            <w:tcW w:w="1560" w:type="dxa"/>
            <w:vAlign w:val="center"/>
          </w:tcPr>
          <w:p w14:paraId="3C4A62A8">
            <w:pPr>
              <w:spacing w:line="480" w:lineRule="exact"/>
              <w:jc w:val="center"/>
              <w:rPr>
                <w:rFonts w:ascii="宋体" w:hAnsi="宋体"/>
                <w:color w:val="auto"/>
                <w:szCs w:val="21"/>
                <w:highlight w:val="none"/>
              </w:rPr>
            </w:pPr>
          </w:p>
        </w:tc>
        <w:tc>
          <w:tcPr>
            <w:tcW w:w="2976" w:type="dxa"/>
            <w:vAlign w:val="center"/>
          </w:tcPr>
          <w:p w14:paraId="4387C110">
            <w:pPr>
              <w:spacing w:line="480" w:lineRule="exact"/>
              <w:jc w:val="center"/>
              <w:rPr>
                <w:rFonts w:ascii="宋体" w:hAnsi="宋体"/>
                <w:color w:val="auto"/>
                <w:szCs w:val="21"/>
                <w:highlight w:val="none"/>
              </w:rPr>
            </w:pPr>
          </w:p>
        </w:tc>
        <w:tc>
          <w:tcPr>
            <w:tcW w:w="993" w:type="dxa"/>
            <w:vAlign w:val="center"/>
          </w:tcPr>
          <w:p w14:paraId="112E798D">
            <w:pPr>
              <w:spacing w:line="480" w:lineRule="exact"/>
              <w:jc w:val="center"/>
              <w:rPr>
                <w:rFonts w:ascii="宋体" w:hAnsi="宋体"/>
                <w:color w:val="auto"/>
                <w:szCs w:val="21"/>
                <w:highlight w:val="none"/>
              </w:rPr>
            </w:pPr>
          </w:p>
        </w:tc>
        <w:tc>
          <w:tcPr>
            <w:tcW w:w="2123" w:type="dxa"/>
            <w:vAlign w:val="center"/>
          </w:tcPr>
          <w:p w14:paraId="70F8602B">
            <w:pPr>
              <w:spacing w:line="480" w:lineRule="exact"/>
              <w:jc w:val="center"/>
              <w:rPr>
                <w:rFonts w:ascii="宋体" w:hAnsi="宋体"/>
                <w:color w:val="auto"/>
                <w:szCs w:val="21"/>
                <w:highlight w:val="none"/>
              </w:rPr>
            </w:pPr>
          </w:p>
        </w:tc>
      </w:tr>
      <w:tr w14:paraId="287D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78EF69D4">
            <w:pPr>
              <w:spacing w:line="480" w:lineRule="exact"/>
              <w:jc w:val="center"/>
              <w:rPr>
                <w:rFonts w:ascii="宋体" w:hAnsi="宋体"/>
                <w:color w:val="auto"/>
                <w:szCs w:val="21"/>
                <w:highlight w:val="none"/>
              </w:rPr>
            </w:pPr>
          </w:p>
        </w:tc>
        <w:tc>
          <w:tcPr>
            <w:tcW w:w="1560" w:type="dxa"/>
            <w:vAlign w:val="center"/>
          </w:tcPr>
          <w:p w14:paraId="1E5CDE05">
            <w:pPr>
              <w:spacing w:line="480" w:lineRule="exact"/>
              <w:jc w:val="center"/>
              <w:rPr>
                <w:rFonts w:ascii="宋体" w:hAnsi="宋体"/>
                <w:color w:val="auto"/>
                <w:szCs w:val="21"/>
                <w:highlight w:val="none"/>
              </w:rPr>
            </w:pPr>
          </w:p>
        </w:tc>
        <w:tc>
          <w:tcPr>
            <w:tcW w:w="2976" w:type="dxa"/>
            <w:vAlign w:val="center"/>
          </w:tcPr>
          <w:p w14:paraId="62F1CD80">
            <w:pPr>
              <w:spacing w:line="480" w:lineRule="exact"/>
              <w:jc w:val="center"/>
              <w:rPr>
                <w:rFonts w:ascii="宋体" w:hAnsi="宋体"/>
                <w:color w:val="auto"/>
                <w:szCs w:val="21"/>
                <w:highlight w:val="none"/>
              </w:rPr>
            </w:pPr>
          </w:p>
        </w:tc>
        <w:tc>
          <w:tcPr>
            <w:tcW w:w="993" w:type="dxa"/>
            <w:vAlign w:val="center"/>
          </w:tcPr>
          <w:p w14:paraId="66CFE4C4">
            <w:pPr>
              <w:spacing w:line="480" w:lineRule="exact"/>
              <w:jc w:val="center"/>
              <w:rPr>
                <w:rFonts w:ascii="宋体" w:hAnsi="宋体"/>
                <w:color w:val="auto"/>
                <w:szCs w:val="21"/>
                <w:highlight w:val="none"/>
              </w:rPr>
            </w:pPr>
          </w:p>
        </w:tc>
        <w:tc>
          <w:tcPr>
            <w:tcW w:w="2123" w:type="dxa"/>
            <w:vAlign w:val="center"/>
          </w:tcPr>
          <w:p w14:paraId="18B4D9CE">
            <w:pPr>
              <w:spacing w:line="480" w:lineRule="exact"/>
              <w:jc w:val="center"/>
              <w:rPr>
                <w:rFonts w:ascii="宋体" w:hAnsi="宋体"/>
                <w:color w:val="auto"/>
                <w:szCs w:val="21"/>
                <w:highlight w:val="none"/>
              </w:rPr>
            </w:pPr>
          </w:p>
        </w:tc>
      </w:tr>
      <w:tr w14:paraId="383B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1129" w:type="dxa"/>
            <w:vMerge w:val="restart"/>
            <w:vAlign w:val="center"/>
          </w:tcPr>
          <w:p w14:paraId="49EB00AF">
            <w:pPr>
              <w:spacing w:line="480" w:lineRule="exact"/>
              <w:jc w:val="center"/>
              <w:rPr>
                <w:rFonts w:ascii="宋体" w:hAnsi="宋体"/>
                <w:color w:val="auto"/>
                <w:szCs w:val="21"/>
                <w:highlight w:val="none"/>
              </w:rPr>
            </w:pPr>
          </w:p>
        </w:tc>
        <w:tc>
          <w:tcPr>
            <w:tcW w:w="1560" w:type="dxa"/>
            <w:vAlign w:val="center"/>
          </w:tcPr>
          <w:p w14:paraId="3A09D121">
            <w:pPr>
              <w:spacing w:line="480" w:lineRule="exact"/>
              <w:jc w:val="center"/>
              <w:rPr>
                <w:rFonts w:ascii="宋体" w:hAnsi="宋体"/>
                <w:color w:val="auto"/>
                <w:szCs w:val="21"/>
                <w:highlight w:val="none"/>
              </w:rPr>
            </w:pPr>
          </w:p>
        </w:tc>
        <w:tc>
          <w:tcPr>
            <w:tcW w:w="2976" w:type="dxa"/>
            <w:vAlign w:val="center"/>
          </w:tcPr>
          <w:p w14:paraId="57B13D48">
            <w:pPr>
              <w:spacing w:line="480" w:lineRule="exact"/>
              <w:jc w:val="center"/>
              <w:rPr>
                <w:rFonts w:ascii="宋体" w:hAnsi="宋体"/>
                <w:color w:val="auto"/>
                <w:szCs w:val="21"/>
                <w:highlight w:val="none"/>
              </w:rPr>
            </w:pPr>
          </w:p>
        </w:tc>
        <w:tc>
          <w:tcPr>
            <w:tcW w:w="993" w:type="dxa"/>
            <w:vAlign w:val="center"/>
          </w:tcPr>
          <w:p w14:paraId="05A959E6">
            <w:pPr>
              <w:spacing w:line="480" w:lineRule="exact"/>
              <w:jc w:val="center"/>
              <w:rPr>
                <w:rFonts w:ascii="宋体" w:hAnsi="宋体"/>
                <w:color w:val="auto"/>
                <w:szCs w:val="21"/>
                <w:highlight w:val="none"/>
              </w:rPr>
            </w:pPr>
          </w:p>
        </w:tc>
        <w:tc>
          <w:tcPr>
            <w:tcW w:w="2123" w:type="dxa"/>
            <w:vAlign w:val="center"/>
          </w:tcPr>
          <w:p w14:paraId="18FCCB37">
            <w:pPr>
              <w:spacing w:line="480" w:lineRule="exact"/>
              <w:jc w:val="center"/>
              <w:rPr>
                <w:rFonts w:ascii="宋体" w:hAnsi="宋体"/>
                <w:color w:val="auto"/>
                <w:szCs w:val="21"/>
                <w:highlight w:val="none"/>
              </w:rPr>
            </w:pPr>
          </w:p>
        </w:tc>
      </w:tr>
      <w:tr w14:paraId="5E8F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129" w:type="dxa"/>
            <w:vMerge w:val="continue"/>
            <w:vAlign w:val="center"/>
          </w:tcPr>
          <w:p w14:paraId="4C6ADCBF">
            <w:pPr>
              <w:spacing w:line="480" w:lineRule="exact"/>
              <w:jc w:val="center"/>
              <w:rPr>
                <w:rFonts w:ascii="宋体" w:hAnsi="宋体"/>
                <w:color w:val="auto"/>
                <w:szCs w:val="21"/>
                <w:highlight w:val="none"/>
              </w:rPr>
            </w:pPr>
          </w:p>
        </w:tc>
        <w:tc>
          <w:tcPr>
            <w:tcW w:w="1560" w:type="dxa"/>
            <w:vAlign w:val="center"/>
          </w:tcPr>
          <w:p w14:paraId="5390FB91">
            <w:pPr>
              <w:spacing w:line="480" w:lineRule="exact"/>
              <w:jc w:val="center"/>
              <w:rPr>
                <w:rFonts w:ascii="宋体" w:hAnsi="宋体"/>
                <w:color w:val="auto"/>
                <w:szCs w:val="21"/>
                <w:highlight w:val="none"/>
              </w:rPr>
            </w:pPr>
          </w:p>
        </w:tc>
        <w:tc>
          <w:tcPr>
            <w:tcW w:w="2976" w:type="dxa"/>
            <w:vAlign w:val="center"/>
          </w:tcPr>
          <w:p w14:paraId="6195EBE9">
            <w:pPr>
              <w:spacing w:line="480" w:lineRule="exact"/>
              <w:jc w:val="center"/>
              <w:rPr>
                <w:rFonts w:ascii="宋体" w:hAnsi="宋体"/>
                <w:color w:val="auto"/>
                <w:szCs w:val="21"/>
                <w:highlight w:val="none"/>
              </w:rPr>
            </w:pPr>
          </w:p>
        </w:tc>
        <w:tc>
          <w:tcPr>
            <w:tcW w:w="993" w:type="dxa"/>
            <w:vAlign w:val="center"/>
          </w:tcPr>
          <w:p w14:paraId="1F8619D0">
            <w:pPr>
              <w:spacing w:line="480" w:lineRule="exact"/>
              <w:jc w:val="center"/>
              <w:rPr>
                <w:rFonts w:ascii="宋体" w:hAnsi="宋体"/>
                <w:color w:val="auto"/>
                <w:szCs w:val="21"/>
                <w:highlight w:val="none"/>
              </w:rPr>
            </w:pPr>
          </w:p>
        </w:tc>
        <w:tc>
          <w:tcPr>
            <w:tcW w:w="2123" w:type="dxa"/>
            <w:vAlign w:val="center"/>
          </w:tcPr>
          <w:p w14:paraId="5E49ACFB">
            <w:pPr>
              <w:spacing w:line="480" w:lineRule="exact"/>
              <w:jc w:val="center"/>
              <w:rPr>
                <w:rFonts w:ascii="宋体" w:hAnsi="宋体"/>
                <w:color w:val="auto"/>
                <w:szCs w:val="21"/>
                <w:highlight w:val="none"/>
              </w:rPr>
            </w:pPr>
          </w:p>
        </w:tc>
      </w:tr>
      <w:tr w14:paraId="7902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687B053A">
            <w:pPr>
              <w:spacing w:line="480" w:lineRule="exact"/>
              <w:jc w:val="center"/>
              <w:rPr>
                <w:rFonts w:ascii="宋体" w:hAnsi="宋体"/>
                <w:color w:val="auto"/>
                <w:szCs w:val="21"/>
                <w:highlight w:val="none"/>
              </w:rPr>
            </w:pPr>
          </w:p>
        </w:tc>
        <w:tc>
          <w:tcPr>
            <w:tcW w:w="1560" w:type="dxa"/>
            <w:vAlign w:val="center"/>
          </w:tcPr>
          <w:p w14:paraId="446FD27E">
            <w:pPr>
              <w:spacing w:line="480" w:lineRule="exact"/>
              <w:jc w:val="center"/>
              <w:rPr>
                <w:rFonts w:ascii="宋体" w:hAnsi="宋体"/>
                <w:color w:val="auto"/>
                <w:szCs w:val="21"/>
                <w:highlight w:val="none"/>
              </w:rPr>
            </w:pPr>
          </w:p>
        </w:tc>
        <w:tc>
          <w:tcPr>
            <w:tcW w:w="2976" w:type="dxa"/>
            <w:vAlign w:val="center"/>
          </w:tcPr>
          <w:p w14:paraId="4DC611A4">
            <w:pPr>
              <w:spacing w:line="480" w:lineRule="exact"/>
              <w:jc w:val="center"/>
              <w:rPr>
                <w:rFonts w:ascii="宋体" w:hAnsi="宋体"/>
                <w:color w:val="auto"/>
                <w:szCs w:val="21"/>
                <w:highlight w:val="none"/>
              </w:rPr>
            </w:pPr>
          </w:p>
        </w:tc>
        <w:tc>
          <w:tcPr>
            <w:tcW w:w="993" w:type="dxa"/>
            <w:vAlign w:val="center"/>
          </w:tcPr>
          <w:p w14:paraId="0F7C93FF">
            <w:pPr>
              <w:spacing w:line="480" w:lineRule="exact"/>
              <w:jc w:val="center"/>
              <w:rPr>
                <w:rFonts w:ascii="宋体" w:hAnsi="宋体"/>
                <w:color w:val="auto"/>
                <w:szCs w:val="21"/>
                <w:highlight w:val="none"/>
              </w:rPr>
            </w:pPr>
          </w:p>
        </w:tc>
        <w:tc>
          <w:tcPr>
            <w:tcW w:w="2123" w:type="dxa"/>
            <w:vAlign w:val="center"/>
          </w:tcPr>
          <w:p w14:paraId="24367DD6">
            <w:pPr>
              <w:spacing w:line="480" w:lineRule="exact"/>
              <w:jc w:val="center"/>
              <w:rPr>
                <w:rFonts w:ascii="宋体" w:hAnsi="宋体"/>
                <w:color w:val="auto"/>
                <w:szCs w:val="21"/>
                <w:highlight w:val="none"/>
              </w:rPr>
            </w:pPr>
          </w:p>
        </w:tc>
      </w:tr>
      <w:tr w14:paraId="60CF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7EDF85DB">
            <w:pPr>
              <w:spacing w:line="480" w:lineRule="exact"/>
              <w:jc w:val="center"/>
              <w:rPr>
                <w:rFonts w:ascii="宋体" w:hAnsi="宋体"/>
                <w:color w:val="auto"/>
                <w:szCs w:val="21"/>
                <w:highlight w:val="none"/>
              </w:rPr>
            </w:pPr>
          </w:p>
        </w:tc>
        <w:tc>
          <w:tcPr>
            <w:tcW w:w="1560" w:type="dxa"/>
            <w:vAlign w:val="center"/>
          </w:tcPr>
          <w:p w14:paraId="6DD84E64">
            <w:pPr>
              <w:spacing w:line="480" w:lineRule="exact"/>
              <w:jc w:val="center"/>
              <w:rPr>
                <w:rFonts w:ascii="宋体" w:hAnsi="宋体"/>
                <w:color w:val="auto"/>
                <w:szCs w:val="21"/>
                <w:highlight w:val="none"/>
              </w:rPr>
            </w:pPr>
          </w:p>
        </w:tc>
        <w:tc>
          <w:tcPr>
            <w:tcW w:w="2976" w:type="dxa"/>
            <w:vAlign w:val="center"/>
          </w:tcPr>
          <w:p w14:paraId="77B3E246">
            <w:pPr>
              <w:spacing w:line="480" w:lineRule="exact"/>
              <w:jc w:val="center"/>
              <w:rPr>
                <w:rFonts w:ascii="宋体" w:hAnsi="宋体"/>
                <w:color w:val="auto"/>
                <w:szCs w:val="21"/>
                <w:highlight w:val="none"/>
              </w:rPr>
            </w:pPr>
          </w:p>
        </w:tc>
        <w:tc>
          <w:tcPr>
            <w:tcW w:w="993" w:type="dxa"/>
            <w:vAlign w:val="center"/>
          </w:tcPr>
          <w:p w14:paraId="5F76E57A">
            <w:pPr>
              <w:spacing w:line="480" w:lineRule="exact"/>
              <w:jc w:val="center"/>
              <w:rPr>
                <w:rFonts w:ascii="宋体" w:hAnsi="宋体"/>
                <w:color w:val="auto"/>
                <w:szCs w:val="21"/>
                <w:highlight w:val="none"/>
              </w:rPr>
            </w:pPr>
          </w:p>
        </w:tc>
        <w:tc>
          <w:tcPr>
            <w:tcW w:w="2123" w:type="dxa"/>
            <w:vAlign w:val="center"/>
          </w:tcPr>
          <w:p w14:paraId="5CE621A5">
            <w:pPr>
              <w:spacing w:line="480" w:lineRule="exact"/>
              <w:jc w:val="center"/>
              <w:rPr>
                <w:rFonts w:ascii="宋体" w:hAnsi="宋体"/>
                <w:color w:val="auto"/>
                <w:szCs w:val="21"/>
                <w:highlight w:val="none"/>
              </w:rPr>
            </w:pPr>
          </w:p>
        </w:tc>
      </w:tr>
      <w:tr w14:paraId="32F9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14:paraId="574C9D2F">
            <w:pPr>
              <w:spacing w:line="48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bCs/>
                <w:color w:val="auto"/>
                <w:szCs w:val="21"/>
                <w:highlight w:val="none"/>
              </w:rPr>
              <w:t>……</w:t>
            </w:r>
          </w:p>
        </w:tc>
        <w:tc>
          <w:tcPr>
            <w:tcW w:w="1560" w:type="dxa"/>
            <w:vAlign w:val="center"/>
          </w:tcPr>
          <w:p w14:paraId="6A0A7177">
            <w:pPr>
              <w:spacing w:line="48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bCs/>
                <w:color w:val="auto"/>
                <w:szCs w:val="21"/>
                <w:highlight w:val="none"/>
              </w:rPr>
              <w:t>……</w:t>
            </w:r>
          </w:p>
        </w:tc>
        <w:tc>
          <w:tcPr>
            <w:tcW w:w="2976" w:type="dxa"/>
            <w:vAlign w:val="center"/>
          </w:tcPr>
          <w:p w14:paraId="06E4AA82">
            <w:pPr>
              <w:spacing w:line="48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bCs/>
                <w:color w:val="auto"/>
                <w:szCs w:val="21"/>
                <w:highlight w:val="none"/>
              </w:rPr>
              <w:t>……</w:t>
            </w:r>
          </w:p>
        </w:tc>
        <w:tc>
          <w:tcPr>
            <w:tcW w:w="993" w:type="dxa"/>
            <w:vAlign w:val="center"/>
          </w:tcPr>
          <w:p w14:paraId="70798148">
            <w:pPr>
              <w:spacing w:line="48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bCs/>
                <w:color w:val="auto"/>
                <w:szCs w:val="21"/>
                <w:highlight w:val="none"/>
              </w:rPr>
              <w:t>……</w:t>
            </w:r>
          </w:p>
        </w:tc>
        <w:tc>
          <w:tcPr>
            <w:tcW w:w="2123" w:type="dxa"/>
            <w:vAlign w:val="center"/>
          </w:tcPr>
          <w:p w14:paraId="0FC62753">
            <w:pPr>
              <w:spacing w:line="480" w:lineRule="exact"/>
              <w:jc w:val="center"/>
              <w:rPr>
                <w:rFonts w:ascii="宋体" w:hAnsi="宋体"/>
                <w:color w:val="auto"/>
                <w:szCs w:val="21"/>
                <w:highlight w:val="none"/>
              </w:rPr>
            </w:pPr>
            <w:r>
              <w:rPr>
                <w:rFonts w:hint="eastAsia" w:ascii="宋体" w:hAnsi="宋体"/>
                <w:bCs/>
                <w:color w:val="auto"/>
                <w:szCs w:val="21"/>
                <w:highlight w:val="none"/>
              </w:rPr>
              <w:t>……</w:t>
            </w:r>
          </w:p>
        </w:tc>
      </w:tr>
    </w:tbl>
    <w:p w14:paraId="0DEB47B4">
      <w:pPr>
        <w:spacing w:line="480" w:lineRule="exact"/>
        <w:rPr>
          <w:rFonts w:ascii="宋体" w:hAnsi="宋体"/>
          <w:color w:val="auto"/>
          <w:sz w:val="24"/>
          <w:highlight w:val="none"/>
        </w:rPr>
      </w:pPr>
    </w:p>
    <w:p w14:paraId="798C006A">
      <w:pPr>
        <w:spacing w:line="480" w:lineRule="exact"/>
        <w:rPr>
          <w:rFonts w:ascii="宋体" w:hAnsi="宋体"/>
          <w:color w:val="auto"/>
          <w:sz w:val="24"/>
          <w:highlight w:val="none"/>
        </w:rPr>
      </w:pPr>
    </w:p>
    <w:p w14:paraId="780C1B4F">
      <w:pPr>
        <w:spacing w:line="480" w:lineRule="exact"/>
        <w:rPr>
          <w:rFonts w:ascii="宋体" w:hAnsi="宋体"/>
          <w:color w:val="auto"/>
          <w:sz w:val="24"/>
          <w:highlight w:val="none"/>
        </w:rPr>
      </w:pPr>
    </w:p>
    <w:p w14:paraId="1ADF9955">
      <w:pPr>
        <w:spacing w:line="480" w:lineRule="exact"/>
        <w:rPr>
          <w:rFonts w:ascii="宋体" w:hAnsi="宋体"/>
          <w:color w:val="auto"/>
          <w:sz w:val="24"/>
          <w:highlight w:val="none"/>
        </w:rPr>
      </w:pPr>
    </w:p>
    <w:p w14:paraId="64296D85">
      <w:pPr>
        <w:spacing w:line="480" w:lineRule="exact"/>
        <w:rPr>
          <w:rFonts w:ascii="宋体" w:hAnsi="宋体"/>
          <w:color w:val="auto"/>
          <w:sz w:val="24"/>
          <w:highlight w:val="none"/>
        </w:rPr>
      </w:pPr>
    </w:p>
    <w:p w14:paraId="3BF4E8C1">
      <w:pPr>
        <w:spacing w:line="480" w:lineRule="exact"/>
        <w:rPr>
          <w:rFonts w:ascii="宋体" w:hAnsi="宋体"/>
          <w:color w:val="auto"/>
          <w:sz w:val="24"/>
          <w:highlight w:val="none"/>
        </w:rPr>
      </w:pPr>
    </w:p>
    <w:p w14:paraId="07F975F1">
      <w:pPr>
        <w:spacing w:line="480" w:lineRule="exact"/>
        <w:rPr>
          <w:rFonts w:ascii="宋体" w:hAnsi="宋体"/>
          <w:color w:val="auto"/>
          <w:sz w:val="24"/>
          <w:highlight w:val="none"/>
        </w:rPr>
      </w:pPr>
    </w:p>
    <w:p w14:paraId="44002689">
      <w:pPr>
        <w:spacing w:line="480" w:lineRule="exact"/>
        <w:rPr>
          <w:rFonts w:ascii="宋体" w:hAnsi="宋体"/>
          <w:color w:val="auto"/>
          <w:sz w:val="24"/>
          <w:highlight w:val="none"/>
        </w:rPr>
      </w:pPr>
    </w:p>
    <w:p w14:paraId="7445DAFF">
      <w:pPr>
        <w:spacing w:line="480" w:lineRule="exact"/>
        <w:rPr>
          <w:rFonts w:ascii="宋体" w:hAnsi="宋体"/>
          <w:color w:val="auto"/>
          <w:sz w:val="24"/>
          <w:highlight w:val="none"/>
        </w:rPr>
      </w:pPr>
    </w:p>
    <w:p w14:paraId="767549E1">
      <w:pPr>
        <w:spacing w:line="480" w:lineRule="exact"/>
        <w:rPr>
          <w:rFonts w:ascii="宋体" w:hAnsi="宋体"/>
          <w:color w:val="auto"/>
          <w:sz w:val="24"/>
          <w:highlight w:val="none"/>
        </w:rPr>
      </w:pPr>
    </w:p>
    <w:p w14:paraId="103D60DE">
      <w:pPr>
        <w:spacing w:line="480" w:lineRule="exact"/>
        <w:rPr>
          <w:rFonts w:ascii="宋体" w:hAnsi="宋体"/>
          <w:color w:val="auto"/>
          <w:sz w:val="24"/>
          <w:highlight w:val="none"/>
        </w:rPr>
      </w:pPr>
    </w:p>
    <w:p w14:paraId="00595292">
      <w:pPr>
        <w:pStyle w:val="6"/>
        <w:outlineLvl w:val="2"/>
        <w:rPr>
          <w:rStyle w:val="152"/>
          <w:rFonts w:ascii="黑体" w:hAnsi="黑体" w:cs="黑体"/>
          <w:b/>
          <w:bCs/>
          <w:color w:val="auto"/>
          <w:highlight w:val="none"/>
        </w:rPr>
      </w:pPr>
      <w:bookmarkStart w:id="157" w:name="_Toc27059863"/>
      <w:bookmarkStart w:id="158" w:name="_Toc27059490"/>
      <w:bookmarkStart w:id="159" w:name="_Toc234832870"/>
      <w:bookmarkStart w:id="160" w:name="_Toc27059761"/>
      <w:bookmarkStart w:id="161" w:name="_Toc27060659"/>
      <w:bookmarkStart w:id="162" w:name="_Toc501257060"/>
      <w:bookmarkStart w:id="163" w:name="_Toc27059671"/>
      <w:r>
        <w:rPr>
          <w:rStyle w:val="152"/>
          <w:rFonts w:ascii="黑体" w:hAnsi="黑体" w:cs="黑体"/>
          <w:b/>
          <w:bCs/>
          <w:color w:val="auto"/>
          <w:kern w:val="0"/>
          <w:highlight w:val="none"/>
        </w:rPr>
        <w:t>□</w:t>
      </w:r>
      <w:r>
        <w:rPr>
          <w:rStyle w:val="152"/>
          <w:rFonts w:hint="eastAsia" w:ascii="黑体" w:hAnsi="黑体" w:cs="黑体"/>
          <w:b/>
          <w:bCs/>
          <w:color w:val="auto"/>
          <w:kern w:val="0"/>
          <w:highlight w:val="none"/>
        </w:rPr>
        <w:t xml:space="preserve"> </w:t>
      </w:r>
      <w:r>
        <w:rPr>
          <w:rStyle w:val="152"/>
          <w:rFonts w:ascii="黑体" w:hAnsi="黑体" w:cs="黑体"/>
          <w:b/>
          <w:bCs/>
          <w:color w:val="auto"/>
          <w:kern w:val="0"/>
          <w:highlight w:val="none"/>
        </w:rPr>
        <w:t>附录8 资格审查条件（关键机电设备主要技术性能指标最低要求）</w:t>
      </w:r>
      <w:r>
        <w:rPr>
          <w:rStyle w:val="152"/>
          <w:rFonts w:ascii="黑体" w:hAnsi="黑体" w:cs="黑体"/>
          <w:b/>
          <w:bCs/>
          <w:color w:val="auto"/>
          <w:highlight w:val="none"/>
          <w:vertAlign w:val="superscript"/>
        </w:rPr>
        <w:footnoteReference w:id="105"/>
      </w:r>
    </w:p>
    <w:p w14:paraId="3BC696A0">
      <w:pPr>
        <w:jc w:val="center"/>
        <w:rPr>
          <w:rFonts w:ascii="宋体" w:hAnsi="宋体" w:eastAsia="黑体"/>
          <w:b/>
          <w:bCs/>
          <w:color w:val="auto"/>
          <w:kern w:val="0"/>
          <w:szCs w:val="21"/>
          <w:highlight w:val="none"/>
        </w:rPr>
      </w:pPr>
    </w:p>
    <w:tbl>
      <w:tblPr>
        <w:tblStyle w:val="50"/>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68"/>
        <w:gridCol w:w="5615"/>
      </w:tblGrid>
      <w:tr w14:paraId="1F52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60" w:type="dxa"/>
            <w:vMerge w:val="restart"/>
            <w:vAlign w:val="center"/>
          </w:tcPr>
          <w:p w14:paraId="1D243555">
            <w:pPr>
              <w:jc w:val="center"/>
              <w:rPr>
                <w:rFonts w:ascii="宋体" w:hAnsi="宋体"/>
                <w:color w:val="auto"/>
                <w:szCs w:val="21"/>
                <w:highlight w:val="none"/>
              </w:rPr>
            </w:pPr>
            <w:r>
              <w:rPr>
                <w:rFonts w:hint="eastAsia" w:ascii="宋体" w:hAnsi="宋体"/>
                <w:color w:val="auto"/>
                <w:szCs w:val="21"/>
                <w:highlight w:val="none"/>
              </w:rPr>
              <w:t>序号</w:t>
            </w:r>
          </w:p>
        </w:tc>
        <w:tc>
          <w:tcPr>
            <w:tcW w:w="2068" w:type="dxa"/>
            <w:vMerge w:val="restart"/>
            <w:vAlign w:val="center"/>
          </w:tcPr>
          <w:p w14:paraId="3B4283ED">
            <w:pPr>
              <w:jc w:val="center"/>
              <w:rPr>
                <w:rFonts w:ascii="宋体" w:hAnsi="宋体"/>
                <w:color w:val="auto"/>
                <w:szCs w:val="21"/>
                <w:highlight w:val="none"/>
              </w:rPr>
            </w:pPr>
            <w:r>
              <w:rPr>
                <w:rFonts w:hint="eastAsia" w:ascii="宋体" w:hAnsi="宋体"/>
                <w:color w:val="auto"/>
                <w:szCs w:val="21"/>
                <w:highlight w:val="none"/>
              </w:rPr>
              <w:t>设备</w:t>
            </w:r>
            <w:r>
              <w:rPr>
                <w:rFonts w:ascii="宋体" w:hAnsi="宋体"/>
                <w:color w:val="auto"/>
                <w:szCs w:val="21"/>
                <w:highlight w:val="none"/>
              </w:rPr>
              <w:t>名称</w:t>
            </w:r>
          </w:p>
        </w:tc>
        <w:tc>
          <w:tcPr>
            <w:tcW w:w="5615" w:type="dxa"/>
            <w:vMerge w:val="restart"/>
            <w:vAlign w:val="center"/>
          </w:tcPr>
          <w:p w14:paraId="19866774">
            <w:pPr>
              <w:jc w:val="center"/>
              <w:rPr>
                <w:rFonts w:ascii="宋体" w:hAnsi="宋体"/>
                <w:color w:val="auto"/>
                <w:szCs w:val="21"/>
                <w:highlight w:val="none"/>
              </w:rPr>
            </w:pPr>
            <w:r>
              <w:rPr>
                <w:rFonts w:hint="eastAsia" w:ascii="宋体" w:hAnsi="宋体"/>
                <w:color w:val="auto"/>
                <w:szCs w:val="21"/>
                <w:highlight w:val="none"/>
              </w:rPr>
              <w:t>主要技术性能指标最低要求</w:t>
            </w:r>
          </w:p>
        </w:tc>
      </w:tr>
      <w:tr w14:paraId="7C96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vMerge w:val="continue"/>
            <w:vAlign w:val="center"/>
          </w:tcPr>
          <w:p w14:paraId="68A20C4F">
            <w:pPr>
              <w:spacing w:line="400" w:lineRule="exact"/>
              <w:jc w:val="center"/>
              <w:rPr>
                <w:rFonts w:ascii="宋体" w:hAnsi="宋体"/>
                <w:color w:val="auto"/>
                <w:szCs w:val="21"/>
                <w:highlight w:val="none"/>
              </w:rPr>
            </w:pPr>
          </w:p>
        </w:tc>
        <w:tc>
          <w:tcPr>
            <w:tcW w:w="2068" w:type="dxa"/>
            <w:vMerge w:val="continue"/>
            <w:vAlign w:val="center"/>
          </w:tcPr>
          <w:p w14:paraId="037FBB65">
            <w:pPr>
              <w:spacing w:line="400" w:lineRule="exact"/>
              <w:jc w:val="center"/>
              <w:rPr>
                <w:rFonts w:ascii="宋体" w:hAnsi="宋体"/>
                <w:color w:val="auto"/>
                <w:szCs w:val="21"/>
                <w:highlight w:val="none"/>
              </w:rPr>
            </w:pPr>
          </w:p>
        </w:tc>
        <w:tc>
          <w:tcPr>
            <w:tcW w:w="5615" w:type="dxa"/>
            <w:vMerge w:val="continue"/>
            <w:vAlign w:val="center"/>
          </w:tcPr>
          <w:p w14:paraId="386AAD14">
            <w:pPr>
              <w:spacing w:line="400" w:lineRule="exact"/>
              <w:jc w:val="center"/>
              <w:rPr>
                <w:rFonts w:ascii="宋体" w:hAnsi="宋体"/>
                <w:color w:val="auto"/>
                <w:szCs w:val="21"/>
                <w:highlight w:val="none"/>
              </w:rPr>
            </w:pPr>
          </w:p>
        </w:tc>
      </w:tr>
      <w:tr w14:paraId="4B8E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Align w:val="center"/>
          </w:tcPr>
          <w:p w14:paraId="2E8DB39C">
            <w:pPr>
              <w:spacing w:line="400" w:lineRule="exact"/>
              <w:jc w:val="center"/>
              <w:rPr>
                <w:rFonts w:ascii="宋体" w:hAnsi="宋体"/>
                <w:color w:val="auto"/>
                <w:szCs w:val="21"/>
                <w:highlight w:val="none"/>
              </w:rPr>
            </w:pPr>
            <w:r>
              <w:rPr>
                <w:rFonts w:ascii="宋体" w:hAnsi="宋体"/>
                <w:color w:val="auto"/>
                <w:szCs w:val="21"/>
                <w:highlight w:val="none"/>
              </w:rPr>
              <w:t>一</w:t>
            </w:r>
          </w:p>
        </w:tc>
        <w:tc>
          <w:tcPr>
            <w:tcW w:w="7683" w:type="dxa"/>
            <w:gridSpan w:val="2"/>
            <w:vAlign w:val="center"/>
          </w:tcPr>
          <w:p w14:paraId="43800ED1">
            <w:pPr>
              <w:spacing w:line="400" w:lineRule="exact"/>
              <w:rPr>
                <w:rFonts w:ascii="宋体" w:hAnsi="宋体"/>
                <w:color w:val="auto"/>
                <w:szCs w:val="21"/>
                <w:highlight w:val="none"/>
              </w:rPr>
            </w:pPr>
            <w:r>
              <w:rPr>
                <w:rFonts w:hint="default" w:ascii="Arial" w:hAnsi="Arial" w:cs="Arial"/>
                <w:color w:val="auto"/>
                <w:szCs w:val="21"/>
                <w:highlight w:val="none"/>
              </w:rPr>
              <w:t>××</w:t>
            </w:r>
            <w:r>
              <w:rPr>
                <w:rFonts w:ascii="宋体" w:hAnsi="宋体"/>
                <w:color w:val="auto"/>
                <w:szCs w:val="21"/>
                <w:highlight w:val="none"/>
              </w:rPr>
              <w:t>系统</w:t>
            </w:r>
            <w:r>
              <w:rPr>
                <w:rStyle w:val="59"/>
                <w:rFonts w:ascii="宋体" w:hAnsi="宋体"/>
                <w:color w:val="auto"/>
                <w:szCs w:val="21"/>
                <w:highlight w:val="none"/>
              </w:rPr>
              <w:footnoteReference w:id="106"/>
            </w:r>
          </w:p>
        </w:tc>
      </w:tr>
      <w:tr w14:paraId="541D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39BE520C">
            <w:pPr>
              <w:spacing w:line="400" w:lineRule="exact"/>
              <w:jc w:val="center"/>
              <w:rPr>
                <w:rFonts w:ascii="宋体" w:hAnsi="宋体"/>
                <w:color w:val="auto"/>
                <w:szCs w:val="21"/>
                <w:highlight w:val="none"/>
              </w:rPr>
            </w:pPr>
            <w:r>
              <w:rPr>
                <w:rFonts w:hAnsi="宋体"/>
                <w:color w:val="auto"/>
                <w:highlight w:val="none"/>
              </w:rPr>
              <w:t>1</w:t>
            </w:r>
          </w:p>
        </w:tc>
        <w:tc>
          <w:tcPr>
            <w:tcW w:w="2068" w:type="dxa"/>
            <w:vMerge w:val="restart"/>
            <w:vAlign w:val="center"/>
          </w:tcPr>
          <w:p w14:paraId="195E00D3">
            <w:pPr>
              <w:spacing w:line="400" w:lineRule="exact"/>
              <w:jc w:val="center"/>
              <w:rPr>
                <w:rFonts w:ascii="宋体" w:hAnsi="宋体"/>
                <w:color w:val="auto"/>
                <w:szCs w:val="21"/>
                <w:highlight w:val="none"/>
              </w:rPr>
            </w:pPr>
            <w:r>
              <w:rPr>
                <w:rFonts w:hint="default" w:ascii="Arial" w:hAnsi="Arial" w:cs="Arial"/>
                <w:color w:val="auto"/>
                <w:szCs w:val="21"/>
                <w:highlight w:val="none"/>
              </w:rPr>
              <w:t>××</w:t>
            </w:r>
            <w:r>
              <w:rPr>
                <w:rFonts w:hAnsi="宋体"/>
                <w:color w:val="auto"/>
                <w:highlight w:val="none"/>
              </w:rPr>
              <w:t>设备</w:t>
            </w:r>
            <w:r>
              <w:rPr>
                <w:rStyle w:val="59"/>
                <w:rFonts w:hAnsi="宋体"/>
                <w:color w:val="auto"/>
                <w:highlight w:val="none"/>
              </w:rPr>
              <w:footnoteReference w:id="107"/>
            </w:r>
          </w:p>
        </w:tc>
        <w:tc>
          <w:tcPr>
            <w:tcW w:w="5615" w:type="dxa"/>
            <w:vAlign w:val="center"/>
          </w:tcPr>
          <w:p w14:paraId="78D8D2CB">
            <w:pPr>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Ansi="宋体"/>
                <w:color w:val="auto"/>
                <w:highlight w:val="none"/>
              </w:rPr>
              <w:t>）</w:t>
            </w:r>
            <w:r>
              <w:rPr>
                <w:rFonts w:hint="default" w:ascii="Arial" w:hAnsi="Arial" w:cs="Arial"/>
                <w:color w:val="auto"/>
                <w:szCs w:val="21"/>
                <w:highlight w:val="none"/>
              </w:rPr>
              <w:t>××</w:t>
            </w:r>
            <w:r>
              <w:rPr>
                <w:rFonts w:hAnsi="宋体"/>
                <w:color w:val="auto"/>
                <w:highlight w:val="none"/>
              </w:rPr>
              <w:t>指标</w:t>
            </w:r>
            <w:r>
              <w:rPr>
                <w:rStyle w:val="59"/>
                <w:rFonts w:hAnsi="宋体"/>
                <w:color w:val="auto"/>
                <w:highlight w:val="none"/>
              </w:rPr>
              <w:footnoteReference w:id="108"/>
            </w:r>
            <w:r>
              <w:rPr>
                <w:rFonts w:hAnsi="宋体"/>
                <w:color w:val="auto"/>
                <w:highlight w:val="none"/>
              </w:rPr>
              <w:t xml:space="preserve">   </w:t>
            </w:r>
          </w:p>
        </w:tc>
      </w:tr>
      <w:tr w14:paraId="64E9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47CBAA47">
            <w:pPr>
              <w:spacing w:line="400" w:lineRule="exact"/>
              <w:jc w:val="center"/>
              <w:rPr>
                <w:rFonts w:ascii="宋体" w:hAnsi="宋体"/>
                <w:color w:val="auto"/>
                <w:szCs w:val="21"/>
                <w:highlight w:val="none"/>
              </w:rPr>
            </w:pPr>
          </w:p>
        </w:tc>
        <w:tc>
          <w:tcPr>
            <w:tcW w:w="2068" w:type="dxa"/>
            <w:vMerge w:val="continue"/>
            <w:vAlign w:val="center"/>
          </w:tcPr>
          <w:p w14:paraId="19BECC00">
            <w:pPr>
              <w:spacing w:line="400" w:lineRule="exact"/>
              <w:jc w:val="center"/>
              <w:rPr>
                <w:rFonts w:ascii="宋体" w:hAnsi="宋体"/>
                <w:color w:val="auto"/>
                <w:szCs w:val="21"/>
                <w:highlight w:val="none"/>
              </w:rPr>
            </w:pPr>
          </w:p>
        </w:tc>
        <w:tc>
          <w:tcPr>
            <w:tcW w:w="5615" w:type="dxa"/>
            <w:vAlign w:val="center"/>
          </w:tcPr>
          <w:p w14:paraId="08EDEB8D">
            <w:pPr>
              <w:spacing w:line="400" w:lineRule="exact"/>
              <w:rPr>
                <w:rFonts w:ascii="宋体" w:hAnsi="宋体"/>
                <w:color w:val="auto"/>
                <w:szCs w:val="21"/>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w:t>
            </w:r>
          </w:p>
        </w:tc>
      </w:tr>
      <w:tr w14:paraId="1B56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1578B0A4">
            <w:pPr>
              <w:spacing w:line="400" w:lineRule="exact"/>
              <w:jc w:val="center"/>
              <w:rPr>
                <w:rFonts w:ascii="宋体" w:hAnsi="宋体"/>
                <w:color w:val="auto"/>
                <w:szCs w:val="21"/>
                <w:highlight w:val="none"/>
              </w:rPr>
            </w:pPr>
          </w:p>
        </w:tc>
        <w:tc>
          <w:tcPr>
            <w:tcW w:w="2068" w:type="dxa"/>
            <w:vMerge w:val="continue"/>
            <w:vAlign w:val="center"/>
          </w:tcPr>
          <w:p w14:paraId="75F2B3BF">
            <w:pPr>
              <w:spacing w:line="400" w:lineRule="exact"/>
              <w:jc w:val="center"/>
              <w:rPr>
                <w:rFonts w:ascii="宋体" w:hAnsi="宋体"/>
                <w:color w:val="auto"/>
                <w:szCs w:val="21"/>
                <w:highlight w:val="none"/>
              </w:rPr>
            </w:pPr>
          </w:p>
        </w:tc>
        <w:tc>
          <w:tcPr>
            <w:tcW w:w="5615" w:type="dxa"/>
            <w:vAlign w:val="center"/>
          </w:tcPr>
          <w:p w14:paraId="72489E87">
            <w:pPr>
              <w:spacing w:line="400" w:lineRule="exact"/>
              <w:rPr>
                <w:rFonts w:ascii="宋体" w:hAnsi="宋体"/>
                <w:color w:val="auto"/>
                <w:szCs w:val="21"/>
                <w:highlight w:val="none"/>
              </w:rPr>
            </w:pPr>
            <w:r>
              <w:rPr>
                <w:rFonts w:hint="eastAsia" w:hAnsi="宋体"/>
                <w:color w:val="auto"/>
                <w:highlight w:val="none"/>
              </w:rPr>
              <w:t>…</w:t>
            </w:r>
          </w:p>
        </w:tc>
      </w:tr>
      <w:tr w14:paraId="7FE6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762BD08F">
            <w:pPr>
              <w:spacing w:line="400" w:lineRule="exact"/>
              <w:jc w:val="center"/>
              <w:rPr>
                <w:rFonts w:ascii="宋体" w:hAnsi="宋体"/>
                <w:color w:val="auto"/>
                <w:szCs w:val="21"/>
                <w:highlight w:val="none"/>
              </w:rPr>
            </w:pPr>
          </w:p>
        </w:tc>
        <w:tc>
          <w:tcPr>
            <w:tcW w:w="2068" w:type="dxa"/>
            <w:vMerge w:val="continue"/>
            <w:vAlign w:val="center"/>
          </w:tcPr>
          <w:p w14:paraId="32596407">
            <w:pPr>
              <w:spacing w:line="400" w:lineRule="exact"/>
              <w:jc w:val="center"/>
              <w:rPr>
                <w:rFonts w:ascii="宋体" w:hAnsi="宋体"/>
                <w:color w:val="auto"/>
                <w:szCs w:val="21"/>
                <w:highlight w:val="none"/>
              </w:rPr>
            </w:pPr>
          </w:p>
        </w:tc>
        <w:tc>
          <w:tcPr>
            <w:tcW w:w="5615" w:type="dxa"/>
            <w:vAlign w:val="center"/>
          </w:tcPr>
          <w:p w14:paraId="38897C01">
            <w:pPr>
              <w:spacing w:line="400" w:lineRule="exact"/>
              <w:rPr>
                <w:rFonts w:ascii="宋体" w:hAnsi="宋体"/>
                <w:color w:val="auto"/>
                <w:szCs w:val="21"/>
                <w:highlight w:val="none"/>
              </w:rPr>
            </w:pPr>
            <w:r>
              <w:rPr>
                <w:rFonts w:hint="eastAsia" w:hAnsi="宋体"/>
                <w:color w:val="auto"/>
                <w:highlight w:val="none"/>
              </w:rPr>
              <w:t>…</w:t>
            </w:r>
          </w:p>
        </w:tc>
      </w:tr>
      <w:tr w14:paraId="7795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5D05FB41">
            <w:pPr>
              <w:spacing w:line="400" w:lineRule="exact"/>
              <w:jc w:val="center"/>
              <w:rPr>
                <w:rFonts w:ascii="宋体" w:hAnsi="宋体"/>
                <w:color w:val="auto"/>
                <w:szCs w:val="21"/>
                <w:highlight w:val="none"/>
              </w:rPr>
            </w:pPr>
            <w:r>
              <w:rPr>
                <w:rFonts w:hAnsi="宋体"/>
                <w:color w:val="auto"/>
                <w:highlight w:val="none"/>
              </w:rPr>
              <w:t>2</w:t>
            </w:r>
          </w:p>
        </w:tc>
        <w:tc>
          <w:tcPr>
            <w:tcW w:w="2068" w:type="dxa"/>
            <w:vMerge w:val="restart"/>
            <w:vAlign w:val="center"/>
          </w:tcPr>
          <w:p w14:paraId="7A5F6BD5">
            <w:pPr>
              <w:spacing w:line="400" w:lineRule="exact"/>
              <w:jc w:val="center"/>
              <w:rPr>
                <w:rFonts w:ascii="宋体" w:hAnsi="宋体"/>
                <w:color w:val="auto"/>
                <w:szCs w:val="21"/>
                <w:highlight w:val="none"/>
              </w:rPr>
            </w:pPr>
            <w:r>
              <w:rPr>
                <w:rFonts w:hint="default" w:ascii="Arial" w:hAnsi="Arial" w:cs="Arial"/>
                <w:color w:val="auto"/>
                <w:szCs w:val="21"/>
                <w:highlight w:val="none"/>
              </w:rPr>
              <w:t>××</w:t>
            </w:r>
            <w:r>
              <w:rPr>
                <w:rFonts w:hAnsi="宋体"/>
                <w:color w:val="auto"/>
                <w:highlight w:val="none"/>
              </w:rPr>
              <w:t>设备</w:t>
            </w:r>
          </w:p>
        </w:tc>
        <w:tc>
          <w:tcPr>
            <w:tcW w:w="5615" w:type="dxa"/>
            <w:vAlign w:val="center"/>
          </w:tcPr>
          <w:p w14:paraId="4EE2F589">
            <w:pPr>
              <w:spacing w:line="400" w:lineRule="exact"/>
              <w:rPr>
                <w:rFonts w:ascii="宋体" w:hAnsi="宋体"/>
                <w:color w:val="auto"/>
                <w:szCs w:val="21"/>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w:t>
            </w:r>
          </w:p>
        </w:tc>
      </w:tr>
      <w:tr w14:paraId="63A9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3694185D">
            <w:pPr>
              <w:spacing w:line="400" w:lineRule="exact"/>
              <w:jc w:val="center"/>
              <w:rPr>
                <w:rFonts w:ascii="宋体" w:hAnsi="宋体"/>
                <w:color w:val="auto"/>
                <w:szCs w:val="21"/>
                <w:highlight w:val="none"/>
              </w:rPr>
            </w:pPr>
          </w:p>
        </w:tc>
        <w:tc>
          <w:tcPr>
            <w:tcW w:w="2068" w:type="dxa"/>
            <w:vMerge w:val="continue"/>
            <w:vAlign w:val="center"/>
          </w:tcPr>
          <w:p w14:paraId="0C246D1F">
            <w:pPr>
              <w:spacing w:line="400" w:lineRule="exact"/>
              <w:jc w:val="center"/>
              <w:rPr>
                <w:rFonts w:ascii="宋体" w:hAnsi="宋体"/>
                <w:color w:val="auto"/>
                <w:szCs w:val="21"/>
                <w:highlight w:val="none"/>
              </w:rPr>
            </w:pPr>
          </w:p>
        </w:tc>
        <w:tc>
          <w:tcPr>
            <w:tcW w:w="5615" w:type="dxa"/>
            <w:vAlign w:val="center"/>
          </w:tcPr>
          <w:p w14:paraId="707B162B">
            <w:pPr>
              <w:spacing w:line="400" w:lineRule="exact"/>
              <w:rPr>
                <w:rFonts w:ascii="宋体" w:hAnsi="宋体"/>
                <w:color w:val="auto"/>
                <w:szCs w:val="21"/>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w:t>
            </w:r>
          </w:p>
        </w:tc>
      </w:tr>
      <w:tr w14:paraId="0C75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52096922">
            <w:pPr>
              <w:spacing w:line="400" w:lineRule="exact"/>
              <w:jc w:val="center"/>
              <w:rPr>
                <w:rFonts w:ascii="宋体" w:hAnsi="宋体"/>
                <w:color w:val="auto"/>
                <w:szCs w:val="21"/>
                <w:highlight w:val="none"/>
              </w:rPr>
            </w:pPr>
          </w:p>
        </w:tc>
        <w:tc>
          <w:tcPr>
            <w:tcW w:w="2068" w:type="dxa"/>
            <w:vMerge w:val="continue"/>
            <w:vAlign w:val="center"/>
          </w:tcPr>
          <w:p w14:paraId="4FAE6302">
            <w:pPr>
              <w:spacing w:line="400" w:lineRule="exact"/>
              <w:jc w:val="center"/>
              <w:rPr>
                <w:rFonts w:ascii="宋体" w:hAnsi="宋体"/>
                <w:color w:val="auto"/>
                <w:szCs w:val="21"/>
                <w:highlight w:val="none"/>
              </w:rPr>
            </w:pPr>
          </w:p>
        </w:tc>
        <w:tc>
          <w:tcPr>
            <w:tcW w:w="5615" w:type="dxa"/>
            <w:vAlign w:val="center"/>
          </w:tcPr>
          <w:p w14:paraId="6DBBC717">
            <w:pPr>
              <w:spacing w:line="400" w:lineRule="exact"/>
              <w:rPr>
                <w:rFonts w:ascii="宋体" w:hAnsi="宋体"/>
                <w:color w:val="auto"/>
                <w:szCs w:val="21"/>
                <w:highlight w:val="none"/>
              </w:rPr>
            </w:pPr>
            <w:r>
              <w:rPr>
                <w:rFonts w:hint="eastAsia" w:hAnsi="宋体"/>
                <w:color w:val="auto"/>
                <w:highlight w:val="none"/>
              </w:rPr>
              <w:t>…</w:t>
            </w:r>
          </w:p>
        </w:tc>
      </w:tr>
      <w:tr w14:paraId="4EAB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65FFC153">
            <w:pPr>
              <w:spacing w:line="400" w:lineRule="exact"/>
              <w:jc w:val="center"/>
              <w:rPr>
                <w:rFonts w:ascii="宋体" w:hAnsi="宋体"/>
                <w:color w:val="auto"/>
                <w:szCs w:val="21"/>
                <w:highlight w:val="none"/>
              </w:rPr>
            </w:pPr>
          </w:p>
        </w:tc>
        <w:tc>
          <w:tcPr>
            <w:tcW w:w="2068" w:type="dxa"/>
            <w:vMerge w:val="continue"/>
            <w:vAlign w:val="center"/>
          </w:tcPr>
          <w:p w14:paraId="702C0E15">
            <w:pPr>
              <w:spacing w:line="400" w:lineRule="exact"/>
              <w:jc w:val="center"/>
              <w:rPr>
                <w:rFonts w:ascii="宋体" w:hAnsi="宋体"/>
                <w:color w:val="auto"/>
                <w:szCs w:val="21"/>
                <w:highlight w:val="none"/>
              </w:rPr>
            </w:pPr>
          </w:p>
        </w:tc>
        <w:tc>
          <w:tcPr>
            <w:tcW w:w="5615" w:type="dxa"/>
            <w:vAlign w:val="center"/>
          </w:tcPr>
          <w:p w14:paraId="4D2C6C74">
            <w:pPr>
              <w:spacing w:line="400" w:lineRule="exact"/>
              <w:rPr>
                <w:rFonts w:hAnsi="宋体"/>
                <w:color w:val="auto"/>
                <w:highlight w:val="none"/>
              </w:rPr>
            </w:pPr>
            <w:r>
              <w:rPr>
                <w:rFonts w:hint="eastAsia" w:hAnsi="宋体"/>
                <w:color w:val="auto"/>
                <w:highlight w:val="none"/>
              </w:rPr>
              <w:t>…</w:t>
            </w:r>
          </w:p>
        </w:tc>
      </w:tr>
      <w:tr w14:paraId="6DF0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6457B613">
            <w:pPr>
              <w:spacing w:line="400" w:lineRule="exact"/>
              <w:jc w:val="center"/>
              <w:rPr>
                <w:rFonts w:ascii="宋体" w:hAnsi="宋体"/>
                <w:color w:val="auto"/>
                <w:szCs w:val="21"/>
                <w:highlight w:val="none"/>
              </w:rPr>
            </w:pPr>
            <w:r>
              <w:rPr>
                <w:rFonts w:hint="eastAsia" w:hAnsi="宋体"/>
                <w:color w:val="auto"/>
                <w:highlight w:val="none"/>
              </w:rPr>
              <w:t>…</w:t>
            </w:r>
          </w:p>
        </w:tc>
        <w:tc>
          <w:tcPr>
            <w:tcW w:w="2068" w:type="dxa"/>
            <w:vAlign w:val="center"/>
          </w:tcPr>
          <w:p w14:paraId="36F233C3">
            <w:pPr>
              <w:spacing w:line="400" w:lineRule="exact"/>
              <w:jc w:val="center"/>
              <w:rPr>
                <w:rFonts w:ascii="宋体" w:hAnsi="宋体"/>
                <w:color w:val="auto"/>
                <w:szCs w:val="21"/>
                <w:highlight w:val="none"/>
              </w:rPr>
            </w:pPr>
            <w:r>
              <w:rPr>
                <w:rFonts w:hint="eastAsia" w:hAnsi="宋体"/>
                <w:color w:val="auto"/>
                <w:highlight w:val="none"/>
              </w:rPr>
              <w:t>…</w:t>
            </w:r>
          </w:p>
        </w:tc>
        <w:tc>
          <w:tcPr>
            <w:tcW w:w="5615" w:type="dxa"/>
            <w:vAlign w:val="center"/>
          </w:tcPr>
          <w:p w14:paraId="0FC6187F">
            <w:pPr>
              <w:spacing w:line="400" w:lineRule="exact"/>
              <w:rPr>
                <w:rFonts w:hAnsi="宋体"/>
                <w:color w:val="auto"/>
                <w:highlight w:val="none"/>
              </w:rPr>
            </w:pPr>
            <w:r>
              <w:rPr>
                <w:rFonts w:hint="eastAsia" w:hAnsi="宋体"/>
                <w:color w:val="auto"/>
                <w:highlight w:val="none"/>
              </w:rPr>
              <w:t>…</w:t>
            </w:r>
          </w:p>
        </w:tc>
      </w:tr>
      <w:tr w14:paraId="3F2E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4FD7C6A9">
            <w:pPr>
              <w:spacing w:line="400" w:lineRule="exact"/>
              <w:jc w:val="center"/>
              <w:rPr>
                <w:rFonts w:ascii="宋体" w:hAnsi="宋体"/>
                <w:color w:val="auto"/>
                <w:szCs w:val="21"/>
                <w:highlight w:val="none"/>
              </w:rPr>
            </w:pPr>
            <w:r>
              <w:rPr>
                <w:rFonts w:hint="eastAsia" w:hAnsi="宋体"/>
                <w:color w:val="auto"/>
                <w:highlight w:val="none"/>
              </w:rPr>
              <w:t>…</w:t>
            </w:r>
          </w:p>
        </w:tc>
        <w:tc>
          <w:tcPr>
            <w:tcW w:w="2068" w:type="dxa"/>
            <w:vAlign w:val="center"/>
          </w:tcPr>
          <w:p w14:paraId="60C86434">
            <w:pPr>
              <w:spacing w:line="400" w:lineRule="exact"/>
              <w:jc w:val="center"/>
              <w:rPr>
                <w:rFonts w:ascii="宋体" w:hAnsi="宋体"/>
                <w:color w:val="auto"/>
                <w:szCs w:val="21"/>
                <w:highlight w:val="none"/>
              </w:rPr>
            </w:pPr>
            <w:r>
              <w:rPr>
                <w:rFonts w:hint="eastAsia" w:hAnsi="宋体"/>
                <w:color w:val="auto"/>
                <w:highlight w:val="none"/>
              </w:rPr>
              <w:t>…</w:t>
            </w:r>
          </w:p>
        </w:tc>
        <w:tc>
          <w:tcPr>
            <w:tcW w:w="5615" w:type="dxa"/>
            <w:vAlign w:val="center"/>
          </w:tcPr>
          <w:p w14:paraId="7BF82B83">
            <w:pPr>
              <w:spacing w:line="400" w:lineRule="exact"/>
              <w:rPr>
                <w:rFonts w:hAnsi="宋体"/>
                <w:color w:val="auto"/>
                <w:highlight w:val="none"/>
              </w:rPr>
            </w:pPr>
            <w:r>
              <w:rPr>
                <w:rFonts w:hint="eastAsia" w:hAnsi="宋体"/>
                <w:color w:val="auto"/>
                <w:highlight w:val="none"/>
              </w:rPr>
              <w:t>…</w:t>
            </w:r>
          </w:p>
        </w:tc>
      </w:tr>
      <w:tr w14:paraId="068C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21B2FE9C">
            <w:pPr>
              <w:spacing w:line="400" w:lineRule="exact"/>
              <w:jc w:val="center"/>
              <w:rPr>
                <w:rFonts w:ascii="宋体" w:hAnsi="宋体"/>
                <w:color w:val="auto"/>
                <w:szCs w:val="21"/>
                <w:highlight w:val="none"/>
              </w:rPr>
            </w:pPr>
            <w:r>
              <w:rPr>
                <w:rFonts w:ascii="宋体" w:hAnsi="宋体"/>
                <w:color w:val="auto"/>
                <w:szCs w:val="21"/>
                <w:highlight w:val="none"/>
              </w:rPr>
              <w:t>二</w:t>
            </w:r>
          </w:p>
        </w:tc>
        <w:tc>
          <w:tcPr>
            <w:tcW w:w="7683" w:type="dxa"/>
            <w:gridSpan w:val="2"/>
            <w:vAlign w:val="center"/>
          </w:tcPr>
          <w:p w14:paraId="494071A3">
            <w:pPr>
              <w:spacing w:line="400" w:lineRule="exact"/>
              <w:rPr>
                <w:rFonts w:hAnsi="宋体"/>
                <w:color w:val="auto"/>
                <w:highlight w:val="none"/>
              </w:rPr>
            </w:pPr>
            <w:r>
              <w:rPr>
                <w:rFonts w:hint="default" w:ascii="Arial" w:hAnsi="Arial" w:cs="Arial"/>
                <w:color w:val="auto"/>
                <w:szCs w:val="21"/>
                <w:highlight w:val="none"/>
              </w:rPr>
              <w:t>××</w:t>
            </w:r>
            <w:r>
              <w:rPr>
                <w:rFonts w:ascii="宋体" w:hAnsi="宋体"/>
                <w:color w:val="auto"/>
                <w:szCs w:val="21"/>
                <w:highlight w:val="none"/>
              </w:rPr>
              <w:t>系统</w:t>
            </w:r>
          </w:p>
        </w:tc>
      </w:tr>
      <w:tr w14:paraId="40AA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355CF981">
            <w:pPr>
              <w:spacing w:line="400" w:lineRule="exact"/>
              <w:jc w:val="center"/>
              <w:rPr>
                <w:rFonts w:ascii="宋体" w:hAnsi="宋体"/>
                <w:color w:val="auto"/>
                <w:szCs w:val="21"/>
                <w:highlight w:val="none"/>
              </w:rPr>
            </w:pPr>
            <w:r>
              <w:rPr>
                <w:rFonts w:hAnsi="宋体"/>
                <w:color w:val="auto"/>
                <w:highlight w:val="none"/>
              </w:rPr>
              <w:t>1</w:t>
            </w:r>
          </w:p>
        </w:tc>
        <w:tc>
          <w:tcPr>
            <w:tcW w:w="2068" w:type="dxa"/>
            <w:vMerge w:val="restart"/>
            <w:vAlign w:val="center"/>
          </w:tcPr>
          <w:p w14:paraId="606EF560">
            <w:pPr>
              <w:spacing w:line="400" w:lineRule="exact"/>
              <w:jc w:val="center"/>
              <w:rPr>
                <w:rFonts w:ascii="宋体" w:hAnsi="宋体"/>
                <w:color w:val="auto"/>
                <w:szCs w:val="21"/>
                <w:highlight w:val="none"/>
              </w:rPr>
            </w:pPr>
            <w:r>
              <w:rPr>
                <w:rFonts w:hint="default" w:ascii="Arial" w:hAnsi="Arial" w:cs="Arial"/>
                <w:color w:val="auto"/>
                <w:szCs w:val="21"/>
                <w:highlight w:val="none"/>
              </w:rPr>
              <w:t>××</w:t>
            </w:r>
            <w:r>
              <w:rPr>
                <w:rFonts w:hAnsi="宋体"/>
                <w:color w:val="auto"/>
                <w:highlight w:val="none"/>
              </w:rPr>
              <w:t>设备</w:t>
            </w:r>
          </w:p>
        </w:tc>
        <w:tc>
          <w:tcPr>
            <w:tcW w:w="5615" w:type="dxa"/>
            <w:vAlign w:val="center"/>
          </w:tcPr>
          <w:p w14:paraId="489BE150">
            <w:pPr>
              <w:spacing w:line="400" w:lineRule="exact"/>
              <w:rPr>
                <w:rFonts w:hAnsi="宋体"/>
                <w:color w:val="auto"/>
                <w:highlight w:val="none"/>
              </w:rPr>
            </w:pPr>
            <w:r>
              <w:rPr>
                <w:rFonts w:hint="eastAsia" w:ascii="宋体" w:hAnsi="宋体"/>
                <w:color w:val="auto"/>
                <w:szCs w:val="21"/>
                <w:highlight w:val="none"/>
              </w:rPr>
              <w:t>（</w:t>
            </w:r>
            <w:r>
              <w:rPr>
                <w:rFonts w:ascii="宋体" w:hAnsi="宋体"/>
                <w:color w:val="auto"/>
                <w:szCs w:val="21"/>
                <w:highlight w:val="none"/>
              </w:rPr>
              <w:t>1</w:t>
            </w:r>
            <w:r>
              <w:rPr>
                <w:rFonts w:hAnsi="宋体"/>
                <w:color w:val="auto"/>
                <w:highlight w:val="none"/>
              </w:rPr>
              <w:t xml:space="preserve">）   </w:t>
            </w:r>
          </w:p>
        </w:tc>
      </w:tr>
      <w:tr w14:paraId="7867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368E4E80">
            <w:pPr>
              <w:spacing w:line="400" w:lineRule="exact"/>
              <w:jc w:val="center"/>
              <w:rPr>
                <w:rFonts w:ascii="宋体" w:hAnsi="宋体"/>
                <w:color w:val="auto"/>
                <w:szCs w:val="21"/>
                <w:highlight w:val="none"/>
              </w:rPr>
            </w:pPr>
          </w:p>
        </w:tc>
        <w:tc>
          <w:tcPr>
            <w:tcW w:w="2068" w:type="dxa"/>
            <w:vMerge w:val="continue"/>
            <w:vAlign w:val="center"/>
          </w:tcPr>
          <w:p w14:paraId="4E7C7F79">
            <w:pPr>
              <w:spacing w:line="400" w:lineRule="exact"/>
              <w:jc w:val="center"/>
              <w:rPr>
                <w:rFonts w:ascii="宋体" w:hAnsi="宋体"/>
                <w:color w:val="auto"/>
                <w:szCs w:val="21"/>
                <w:highlight w:val="none"/>
              </w:rPr>
            </w:pPr>
          </w:p>
        </w:tc>
        <w:tc>
          <w:tcPr>
            <w:tcW w:w="5615" w:type="dxa"/>
            <w:vAlign w:val="center"/>
          </w:tcPr>
          <w:p w14:paraId="17A3A783">
            <w:pPr>
              <w:spacing w:line="400" w:lineRule="exac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w:t>
            </w:r>
          </w:p>
        </w:tc>
      </w:tr>
      <w:tr w14:paraId="5D66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30B78984">
            <w:pPr>
              <w:spacing w:line="400" w:lineRule="exact"/>
              <w:jc w:val="center"/>
              <w:rPr>
                <w:rFonts w:ascii="宋体" w:hAnsi="宋体"/>
                <w:color w:val="auto"/>
                <w:szCs w:val="21"/>
                <w:highlight w:val="none"/>
              </w:rPr>
            </w:pPr>
          </w:p>
        </w:tc>
        <w:tc>
          <w:tcPr>
            <w:tcW w:w="2068" w:type="dxa"/>
            <w:vMerge w:val="continue"/>
            <w:vAlign w:val="center"/>
          </w:tcPr>
          <w:p w14:paraId="13BAF50A">
            <w:pPr>
              <w:spacing w:line="400" w:lineRule="exact"/>
              <w:jc w:val="center"/>
              <w:rPr>
                <w:rFonts w:ascii="宋体" w:hAnsi="宋体"/>
                <w:color w:val="auto"/>
                <w:szCs w:val="21"/>
                <w:highlight w:val="none"/>
              </w:rPr>
            </w:pPr>
          </w:p>
        </w:tc>
        <w:tc>
          <w:tcPr>
            <w:tcW w:w="5615" w:type="dxa"/>
            <w:vAlign w:val="center"/>
          </w:tcPr>
          <w:p w14:paraId="2925A421">
            <w:pPr>
              <w:spacing w:line="400" w:lineRule="exact"/>
              <w:rPr>
                <w:rFonts w:hAnsi="宋体"/>
                <w:color w:val="auto"/>
                <w:highlight w:val="none"/>
              </w:rPr>
            </w:pPr>
            <w:r>
              <w:rPr>
                <w:rFonts w:hint="eastAsia" w:hAnsi="宋体"/>
                <w:color w:val="auto"/>
                <w:highlight w:val="none"/>
              </w:rPr>
              <w:t>…</w:t>
            </w:r>
          </w:p>
        </w:tc>
      </w:tr>
      <w:tr w14:paraId="0FB1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61E28355">
            <w:pPr>
              <w:spacing w:line="400" w:lineRule="exact"/>
              <w:jc w:val="center"/>
              <w:rPr>
                <w:rFonts w:ascii="宋体" w:hAnsi="宋体"/>
                <w:color w:val="auto"/>
                <w:szCs w:val="21"/>
                <w:highlight w:val="none"/>
              </w:rPr>
            </w:pPr>
          </w:p>
        </w:tc>
        <w:tc>
          <w:tcPr>
            <w:tcW w:w="2068" w:type="dxa"/>
            <w:vMerge w:val="continue"/>
            <w:vAlign w:val="center"/>
          </w:tcPr>
          <w:p w14:paraId="7D95A6FC">
            <w:pPr>
              <w:spacing w:line="400" w:lineRule="exact"/>
              <w:jc w:val="center"/>
              <w:rPr>
                <w:rFonts w:ascii="宋体" w:hAnsi="宋体"/>
                <w:color w:val="auto"/>
                <w:szCs w:val="21"/>
                <w:highlight w:val="none"/>
              </w:rPr>
            </w:pPr>
          </w:p>
        </w:tc>
        <w:tc>
          <w:tcPr>
            <w:tcW w:w="5615" w:type="dxa"/>
            <w:vAlign w:val="center"/>
          </w:tcPr>
          <w:p w14:paraId="33D12171">
            <w:pPr>
              <w:spacing w:line="400" w:lineRule="exact"/>
              <w:rPr>
                <w:rFonts w:hAnsi="宋体"/>
                <w:color w:val="auto"/>
                <w:highlight w:val="none"/>
              </w:rPr>
            </w:pPr>
            <w:r>
              <w:rPr>
                <w:rFonts w:hint="eastAsia" w:hAnsi="宋体"/>
                <w:color w:val="auto"/>
                <w:highlight w:val="none"/>
              </w:rPr>
              <w:t>…</w:t>
            </w:r>
          </w:p>
        </w:tc>
      </w:tr>
      <w:tr w14:paraId="1BAF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3AEA1F35">
            <w:pPr>
              <w:spacing w:line="400" w:lineRule="exact"/>
              <w:jc w:val="center"/>
              <w:rPr>
                <w:rFonts w:ascii="宋体" w:hAnsi="宋体"/>
                <w:color w:val="auto"/>
                <w:szCs w:val="21"/>
                <w:highlight w:val="none"/>
              </w:rPr>
            </w:pPr>
            <w:r>
              <w:rPr>
                <w:rFonts w:hAnsi="宋体"/>
                <w:color w:val="auto"/>
                <w:highlight w:val="none"/>
              </w:rPr>
              <w:t>2</w:t>
            </w:r>
          </w:p>
        </w:tc>
        <w:tc>
          <w:tcPr>
            <w:tcW w:w="2068" w:type="dxa"/>
            <w:vMerge w:val="restart"/>
            <w:vAlign w:val="center"/>
          </w:tcPr>
          <w:p w14:paraId="569E9510">
            <w:pPr>
              <w:spacing w:line="400" w:lineRule="exact"/>
              <w:jc w:val="center"/>
              <w:rPr>
                <w:rFonts w:ascii="宋体" w:hAnsi="宋体"/>
                <w:color w:val="auto"/>
                <w:szCs w:val="21"/>
                <w:highlight w:val="none"/>
              </w:rPr>
            </w:pPr>
            <w:r>
              <w:rPr>
                <w:rFonts w:hint="default" w:ascii="Arial" w:hAnsi="Arial" w:cs="Arial"/>
                <w:color w:val="auto"/>
                <w:szCs w:val="21"/>
                <w:highlight w:val="none"/>
              </w:rPr>
              <w:t>××</w:t>
            </w:r>
            <w:r>
              <w:rPr>
                <w:rFonts w:hAnsi="宋体"/>
                <w:color w:val="auto"/>
                <w:highlight w:val="none"/>
              </w:rPr>
              <w:t>设备</w:t>
            </w:r>
          </w:p>
        </w:tc>
        <w:tc>
          <w:tcPr>
            <w:tcW w:w="5615" w:type="dxa"/>
            <w:vAlign w:val="center"/>
          </w:tcPr>
          <w:p w14:paraId="4D00E211">
            <w:pPr>
              <w:spacing w:line="400" w:lineRule="exac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w:t>
            </w:r>
          </w:p>
        </w:tc>
      </w:tr>
      <w:tr w14:paraId="71F8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4BC17B15">
            <w:pPr>
              <w:spacing w:line="400" w:lineRule="exact"/>
              <w:jc w:val="center"/>
              <w:rPr>
                <w:rFonts w:ascii="宋体" w:hAnsi="宋体"/>
                <w:color w:val="auto"/>
                <w:szCs w:val="21"/>
                <w:highlight w:val="none"/>
              </w:rPr>
            </w:pPr>
          </w:p>
        </w:tc>
        <w:tc>
          <w:tcPr>
            <w:tcW w:w="2068" w:type="dxa"/>
            <w:vMerge w:val="continue"/>
            <w:vAlign w:val="center"/>
          </w:tcPr>
          <w:p w14:paraId="3C8607BB">
            <w:pPr>
              <w:spacing w:line="400" w:lineRule="exact"/>
              <w:jc w:val="center"/>
              <w:rPr>
                <w:rFonts w:ascii="宋体" w:hAnsi="宋体"/>
                <w:color w:val="auto"/>
                <w:szCs w:val="21"/>
                <w:highlight w:val="none"/>
              </w:rPr>
            </w:pPr>
          </w:p>
        </w:tc>
        <w:tc>
          <w:tcPr>
            <w:tcW w:w="5615" w:type="dxa"/>
            <w:vAlign w:val="center"/>
          </w:tcPr>
          <w:p w14:paraId="1D9DEC8E">
            <w:pPr>
              <w:spacing w:line="400" w:lineRule="exac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w:t>
            </w:r>
          </w:p>
        </w:tc>
      </w:tr>
      <w:tr w14:paraId="428B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62F676EC">
            <w:pPr>
              <w:spacing w:line="400" w:lineRule="exact"/>
              <w:jc w:val="center"/>
              <w:rPr>
                <w:rFonts w:ascii="宋体" w:hAnsi="宋体"/>
                <w:color w:val="auto"/>
                <w:szCs w:val="21"/>
                <w:highlight w:val="none"/>
              </w:rPr>
            </w:pPr>
          </w:p>
        </w:tc>
        <w:tc>
          <w:tcPr>
            <w:tcW w:w="2068" w:type="dxa"/>
            <w:vMerge w:val="continue"/>
            <w:vAlign w:val="center"/>
          </w:tcPr>
          <w:p w14:paraId="542E3B63">
            <w:pPr>
              <w:spacing w:line="400" w:lineRule="exact"/>
              <w:jc w:val="center"/>
              <w:rPr>
                <w:rFonts w:ascii="宋体" w:hAnsi="宋体"/>
                <w:color w:val="auto"/>
                <w:szCs w:val="21"/>
                <w:highlight w:val="none"/>
              </w:rPr>
            </w:pPr>
          </w:p>
        </w:tc>
        <w:tc>
          <w:tcPr>
            <w:tcW w:w="5615" w:type="dxa"/>
            <w:vAlign w:val="center"/>
          </w:tcPr>
          <w:p w14:paraId="61FAA98E">
            <w:pPr>
              <w:spacing w:line="400" w:lineRule="exact"/>
              <w:rPr>
                <w:rFonts w:hAnsi="宋体"/>
                <w:color w:val="auto"/>
                <w:highlight w:val="none"/>
              </w:rPr>
            </w:pPr>
            <w:r>
              <w:rPr>
                <w:rFonts w:hint="eastAsia" w:hAnsi="宋体"/>
                <w:color w:val="auto"/>
                <w:highlight w:val="none"/>
              </w:rPr>
              <w:t>…</w:t>
            </w:r>
          </w:p>
        </w:tc>
      </w:tr>
      <w:tr w14:paraId="7AA6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01D9B073">
            <w:pPr>
              <w:spacing w:line="400" w:lineRule="exact"/>
              <w:jc w:val="center"/>
              <w:rPr>
                <w:rFonts w:ascii="宋体" w:hAnsi="宋体"/>
                <w:color w:val="auto"/>
                <w:szCs w:val="21"/>
                <w:highlight w:val="none"/>
              </w:rPr>
            </w:pPr>
          </w:p>
        </w:tc>
        <w:tc>
          <w:tcPr>
            <w:tcW w:w="2068" w:type="dxa"/>
            <w:vMerge w:val="continue"/>
            <w:vAlign w:val="center"/>
          </w:tcPr>
          <w:p w14:paraId="4093EE2E">
            <w:pPr>
              <w:spacing w:line="400" w:lineRule="exact"/>
              <w:jc w:val="center"/>
              <w:rPr>
                <w:rFonts w:ascii="宋体" w:hAnsi="宋体"/>
                <w:color w:val="auto"/>
                <w:szCs w:val="21"/>
                <w:highlight w:val="none"/>
              </w:rPr>
            </w:pPr>
          </w:p>
        </w:tc>
        <w:tc>
          <w:tcPr>
            <w:tcW w:w="5615" w:type="dxa"/>
            <w:vAlign w:val="center"/>
          </w:tcPr>
          <w:p w14:paraId="5E2A31C6">
            <w:pPr>
              <w:spacing w:line="400" w:lineRule="exact"/>
              <w:rPr>
                <w:rFonts w:hAnsi="宋体"/>
                <w:color w:val="auto"/>
                <w:highlight w:val="none"/>
              </w:rPr>
            </w:pPr>
            <w:r>
              <w:rPr>
                <w:rFonts w:hint="eastAsia" w:hAnsi="宋体"/>
                <w:color w:val="auto"/>
                <w:highlight w:val="none"/>
              </w:rPr>
              <w:t>…</w:t>
            </w:r>
          </w:p>
        </w:tc>
      </w:tr>
      <w:tr w14:paraId="687F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6BD0B421">
            <w:pPr>
              <w:spacing w:line="400" w:lineRule="exact"/>
              <w:jc w:val="center"/>
              <w:rPr>
                <w:rFonts w:ascii="宋体" w:hAnsi="宋体"/>
                <w:color w:val="auto"/>
                <w:szCs w:val="21"/>
                <w:highlight w:val="none"/>
              </w:rPr>
            </w:pPr>
            <w:r>
              <w:rPr>
                <w:rFonts w:hint="eastAsia" w:hAnsi="宋体"/>
                <w:color w:val="auto"/>
                <w:highlight w:val="none"/>
              </w:rPr>
              <w:t>…</w:t>
            </w:r>
          </w:p>
        </w:tc>
        <w:tc>
          <w:tcPr>
            <w:tcW w:w="2068" w:type="dxa"/>
            <w:vAlign w:val="center"/>
          </w:tcPr>
          <w:p w14:paraId="5D220DEA">
            <w:pPr>
              <w:spacing w:line="400" w:lineRule="exact"/>
              <w:jc w:val="center"/>
              <w:rPr>
                <w:rFonts w:ascii="宋体" w:hAnsi="宋体"/>
                <w:color w:val="auto"/>
                <w:szCs w:val="21"/>
                <w:highlight w:val="none"/>
              </w:rPr>
            </w:pPr>
            <w:r>
              <w:rPr>
                <w:rFonts w:hint="eastAsia" w:hAnsi="宋体"/>
                <w:color w:val="auto"/>
                <w:highlight w:val="none"/>
              </w:rPr>
              <w:t>…</w:t>
            </w:r>
          </w:p>
        </w:tc>
        <w:tc>
          <w:tcPr>
            <w:tcW w:w="5615" w:type="dxa"/>
            <w:vAlign w:val="center"/>
          </w:tcPr>
          <w:p w14:paraId="66C722C4">
            <w:pPr>
              <w:spacing w:line="400" w:lineRule="exact"/>
              <w:rPr>
                <w:rFonts w:hAnsi="宋体"/>
                <w:color w:val="auto"/>
                <w:highlight w:val="none"/>
              </w:rPr>
            </w:pPr>
            <w:r>
              <w:rPr>
                <w:rFonts w:hint="eastAsia" w:hAnsi="宋体"/>
                <w:color w:val="auto"/>
                <w:highlight w:val="none"/>
              </w:rPr>
              <w:t>…</w:t>
            </w:r>
          </w:p>
        </w:tc>
      </w:tr>
      <w:tr w14:paraId="5433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30BA6354">
            <w:pPr>
              <w:spacing w:line="400" w:lineRule="exact"/>
              <w:jc w:val="center"/>
              <w:rPr>
                <w:rFonts w:ascii="宋体" w:hAnsi="宋体"/>
                <w:color w:val="auto"/>
                <w:szCs w:val="21"/>
                <w:highlight w:val="none"/>
              </w:rPr>
            </w:pPr>
            <w:r>
              <w:rPr>
                <w:rFonts w:hint="eastAsia" w:hAnsi="宋体"/>
                <w:color w:val="auto"/>
                <w:highlight w:val="none"/>
              </w:rPr>
              <w:t>…</w:t>
            </w:r>
          </w:p>
        </w:tc>
        <w:tc>
          <w:tcPr>
            <w:tcW w:w="2068" w:type="dxa"/>
            <w:vAlign w:val="center"/>
          </w:tcPr>
          <w:p w14:paraId="16FA9913">
            <w:pPr>
              <w:spacing w:line="400" w:lineRule="exact"/>
              <w:jc w:val="center"/>
              <w:rPr>
                <w:rFonts w:ascii="宋体" w:hAnsi="宋体"/>
                <w:color w:val="auto"/>
                <w:szCs w:val="21"/>
                <w:highlight w:val="none"/>
              </w:rPr>
            </w:pPr>
            <w:r>
              <w:rPr>
                <w:rFonts w:hint="eastAsia" w:hAnsi="宋体"/>
                <w:color w:val="auto"/>
                <w:highlight w:val="none"/>
              </w:rPr>
              <w:t>…</w:t>
            </w:r>
          </w:p>
        </w:tc>
        <w:tc>
          <w:tcPr>
            <w:tcW w:w="5615" w:type="dxa"/>
            <w:vAlign w:val="center"/>
          </w:tcPr>
          <w:p w14:paraId="62B5A251">
            <w:pPr>
              <w:spacing w:line="400" w:lineRule="exact"/>
              <w:rPr>
                <w:rFonts w:hAnsi="宋体"/>
                <w:color w:val="auto"/>
                <w:highlight w:val="none"/>
              </w:rPr>
            </w:pPr>
            <w:r>
              <w:rPr>
                <w:rFonts w:hint="eastAsia" w:hAnsi="宋体"/>
                <w:color w:val="auto"/>
                <w:highlight w:val="none"/>
              </w:rPr>
              <w:t>…</w:t>
            </w:r>
          </w:p>
        </w:tc>
      </w:tr>
    </w:tbl>
    <w:p w14:paraId="26B1A105">
      <w:pPr>
        <w:pStyle w:val="27"/>
        <w:jc w:val="left"/>
        <w:rPr>
          <w:rFonts w:hAnsi="宋体"/>
          <w:color w:val="auto"/>
          <w:highlight w:val="none"/>
        </w:rPr>
      </w:pPr>
    </w:p>
    <w:p w14:paraId="12C60315">
      <w:pPr>
        <w:rPr>
          <w:rFonts w:ascii="黑体" w:hAnsi="黑体" w:eastAsia="黑体"/>
          <w:color w:val="auto"/>
          <w:sz w:val="28"/>
          <w:szCs w:val="28"/>
          <w:highlight w:val="none"/>
        </w:rPr>
      </w:pPr>
      <w:r>
        <w:rPr>
          <w:rFonts w:ascii="宋体" w:hAnsi="宋体"/>
          <w:color w:val="auto"/>
          <w:szCs w:val="21"/>
          <w:highlight w:val="none"/>
        </w:rPr>
        <w:t>注</w:t>
      </w:r>
      <w:r>
        <w:rPr>
          <w:rFonts w:hint="eastAsia" w:ascii="宋体" w:hAnsi="宋体"/>
          <w:color w:val="auto"/>
          <w:szCs w:val="21"/>
          <w:highlight w:val="none"/>
        </w:rPr>
        <w:t>：</w:t>
      </w:r>
      <w:r>
        <w:rPr>
          <w:rFonts w:hint="eastAsia" w:asciiTheme="minorEastAsia" w:hAnsiTheme="minorEastAsia" w:eastAsiaTheme="minorEastAsia"/>
          <w:color w:val="auto"/>
          <w:highlight w:val="none"/>
        </w:rPr>
        <w:t>如本表“主要</w:t>
      </w:r>
      <w:r>
        <w:rPr>
          <w:rFonts w:hint="eastAsia" w:asciiTheme="minorEastAsia" w:hAnsiTheme="minorEastAsia" w:eastAsiaTheme="minorEastAsia"/>
          <w:color w:val="auto"/>
          <w:szCs w:val="21"/>
          <w:highlight w:val="none"/>
        </w:rPr>
        <w:t>技术</w:t>
      </w:r>
      <w:r>
        <w:rPr>
          <w:rFonts w:hint="eastAsia" w:asciiTheme="minorEastAsia" w:hAnsiTheme="minorEastAsia" w:eastAsiaTheme="minorEastAsia"/>
          <w:color w:val="auto"/>
          <w:highlight w:val="none"/>
        </w:rPr>
        <w:t>性能指标</w:t>
      </w:r>
      <w:r>
        <w:rPr>
          <w:rFonts w:hint="eastAsia" w:asciiTheme="minorEastAsia" w:hAnsiTheme="minorEastAsia" w:eastAsiaTheme="minorEastAsia"/>
          <w:color w:val="auto"/>
          <w:szCs w:val="21"/>
          <w:highlight w:val="none"/>
        </w:rPr>
        <w:t>最低</w:t>
      </w:r>
      <w:r>
        <w:rPr>
          <w:rFonts w:hint="eastAsia" w:asciiTheme="minorEastAsia" w:hAnsiTheme="minorEastAsia" w:eastAsiaTheme="minorEastAsia"/>
          <w:color w:val="auto"/>
          <w:highlight w:val="none"/>
        </w:rPr>
        <w:t>要求”与技术规范不一致，以本表中主要性能指标要求为准。</w:t>
      </w:r>
      <w:r>
        <w:rPr>
          <w:rFonts w:ascii="黑体" w:hAnsi="黑体" w:eastAsia="黑体"/>
          <w:color w:val="auto"/>
          <w:sz w:val="28"/>
          <w:szCs w:val="28"/>
          <w:highlight w:val="none"/>
        </w:rPr>
        <w:br w:type="page"/>
      </w:r>
    </w:p>
    <w:p w14:paraId="2AFE8DD9">
      <w:pPr>
        <w:pStyle w:val="5"/>
        <w:rPr>
          <w:color w:val="auto"/>
          <w:highlight w:val="none"/>
        </w:rPr>
      </w:pPr>
      <w:r>
        <w:rPr>
          <w:color w:val="auto"/>
          <w:highlight w:val="none"/>
        </w:rPr>
        <w:t>1. 总则</w:t>
      </w:r>
      <w:bookmarkEnd w:id="157"/>
      <w:bookmarkEnd w:id="158"/>
      <w:bookmarkEnd w:id="159"/>
      <w:bookmarkEnd w:id="160"/>
      <w:bookmarkEnd w:id="161"/>
      <w:bookmarkEnd w:id="162"/>
      <w:bookmarkEnd w:id="163"/>
    </w:p>
    <w:p w14:paraId="5EE0F94D">
      <w:pPr>
        <w:pStyle w:val="6"/>
        <w:numPr>
          <w:ilvl w:val="0"/>
          <w:numId w:val="0"/>
        </w:numPr>
        <w:spacing w:line="360" w:lineRule="auto"/>
        <w:jc w:val="both"/>
        <w:rPr>
          <w:rFonts w:ascii="Times New Roman" w:hAnsi="Times New Roman"/>
          <w:b w:val="0"/>
          <w:bCs w:val="0"/>
          <w:color w:val="auto"/>
          <w:highlight w:val="none"/>
        </w:rPr>
      </w:pPr>
      <w:bookmarkStart w:id="164" w:name="_Toc27059864"/>
      <w:bookmarkStart w:id="165" w:name="_Toc27060660"/>
      <w:bookmarkStart w:id="166" w:name="_Toc234832871"/>
      <w:bookmarkStart w:id="167" w:name="_Toc27059491"/>
      <w:bookmarkStart w:id="168" w:name="_Toc501257061"/>
      <w:bookmarkStart w:id="169" w:name="_Toc53685587"/>
      <w:bookmarkStart w:id="170" w:name="_Toc27059762"/>
      <w:bookmarkStart w:id="171" w:name="_Toc27059672"/>
      <w:r>
        <w:rPr>
          <w:rFonts w:ascii="Times New Roman" w:hAnsi="Times New Roman"/>
          <w:b w:val="0"/>
          <w:bCs w:val="0"/>
          <w:color w:val="auto"/>
          <w:highlight w:val="none"/>
        </w:rPr>
        <w:t xml:space="preserve">1.1 </w:t>
      </w:r>
      <w:r>
        <w:rPr>
          <w:rFonts w:hint="default" w:ascii="Times New Roman" w:hAnsi="Times New Roman"/>
          <w:b w:val="0"/>
          <w:bCs w:val="0"/>
          <w:color w:val="auto"/>
          <w:highlight w:val="none"/>
        </w:rPr>
        <w:t>项目概况</w:t>
      </w:r>
      <w:bookmarkEnd w:id="164"/>
      <w:bookmarkEnd w:id="165"/>
      <w:bookmarkEnd w:id="166"/>
      <w:bookmarkEnd w:id="167"/>
      <w:bookmarkEnd w:id="168"/>
      <w:bookmarkEnd w:id="169"/>
      <w:bookmarkEnd w:id="170"/>
      <w:bookmarkEnd w:id="171"/>
    </w:p>
    <w:p w14:paraId="638E96FF">
      <w:pPr>
        <w:spacing w:line="360" w:lineRule="auto"/>
        <w:ind w:firstLine="480" w:firstLineChars="200"/>
        <w:rPr>
          <w:rFonts w:ascii="宋体" w:hAnsi="宋体"/>
          <w:color w:val="auto"/>
          <w:sz w:val="24"/>
          <w:highlight w:val="none"/>
        </w:rPr>
      </w:pPr>
      <w:r>
        <w:rPr>
          <w:rFonts w:ascii="宋体" w:hAnsi="宋体"/>
          <w:color w:val="auto"/>
          <w:sz w:val="24"/>
          <w:highlight w:val="none"/>
        </w:rPr>
        <w:t>1.1.1 根据《中华人民共和国招标投标法》《中华人民共和国招标投标法实施条例》</w:t>
      </w:r>
      <w:r>
        <w:rPr>
          <w:rFonts w:hint="eastAsia" w:ascii="宋体" w:hAnsi="宋体"/>
          <w:color w:val="auto"/>
          <w:sz w:val="24"/>
          <w:highlight w:val="none"/>
        </w:rPr>
        <w:t>《公路工程建设项目招标投标管理办法》</w:t>
      </w:r>
      <w:r>
        <w:rPr>
          <w:rFonts w:ascii="宋体" w:hAnsi="宋体"/>
          <w:color w:val="auto"/>
          <w:sz w:val="24"/>
          <w:highlight w:val="none"/>
        </w:rPr>
        <w:t>等有关法律、法规和规章的规定，本招标项目已具备招标条件，现对本标段施工进行招标。</w:t>
      </w:r>
    </w:p>
    <w:p w14:paraId="07FA6248">
      <w:pPr>
        <w:spacing w:line="360" w:lineRule="auto"/>
        <w:ind w:firstLine="480" w:firstLineChars="200"/>
        <w:rPr>
          <w:rFonts w:ascii="宋体" w:hAnsi="宋体"/>
          <w:color w:val="auto"/>
          <w:sz w:val="24"/>
          <w:highlight w:val="none"/>
        </w:rPr>
      </w:pPr>
      <w:r>
        <w:rPr>
          <w:rFonts w:ascii="宋体" w:hAnsi="宋体"/>
          <w:color w:val="auto"/>
          <w:sz w:val="24"/>
          <w:highlight w:val="none"/>
        </w:rPr>
        <w:t>1.1.2 本招标项目招标人：见投标人须知前附表。</w:t>
      </w:r>
    </w:p>
    <w:p w14:paraId="20273CC0">
      <w:pPr>
        <w:spacing w:line="360" w:lineRule="auto"/>
        <w:ind w:firstLine="480" w:firstLineChars="200"/>
        <w:rPr>
          <w:rFonts w:ascii="宋体" w:hAnsi="宋体"/>
          <w:color w:val="auto"/>
          <w:sz w:val="24"/>
          <w:highlight w:val="none"/>
        </w:rPr>
      </w:pPr>
      <w:r>
        <w:rPr>
          <w:rFonts w:ascii="宋体" w:hAnsi="宋体"/>
          <w:color w:val="auto"/>
          <w:sz w:val="24"/>
          <w:highlight w:val="none"/>
        </w:rPr>
        <w:t>1.1.3 本</w:t>
      </w:r>
      <w:r>
        <w:rPr>
          <w:rFonts w:hint="eastAsia" w:ascii="宋体" w:hAnsi="宋体"/>
          <w:color w:val="auto"/>
          <w:sz w:val="24"/>
          <w:highlight w:val="none"/>
          <w:lang w:val="en-US" w:eastAsia="zh-CN"/>
        </w:rPr>
        <w:t>标段</w:t>
      </w:r>
      <w:r>
        <w:rPr>
          <w:rFonts w:ascii="宋体" w:hAnsi="宋体"/>
          <w:color w:val="auto"/>
          <w:sz w:val="24"/>
          <w:highlight w:val="none"/>
        </w:rPr>
        <w:t>招标代理机构：见投标人须知前附表。</w:t>
      </w:r>
    </w:p>
    <w:p w14:paraId="2FC56FA6">
      <w:pPr>
        <w:spacing w:line="360" w:lineRule="auto"/>
        <w:ind w:firstLine="480" w:firstLineChars="200"/>
        <w:rPr>
          <w:rFonts w:ascii="宋体" w:hAnsi="宋体"/>
          <w:color w:val="auto"/>
          <w:sz w:val="24"/>
          <w:highlight w:val="none"/>
        </w:rPr>
      </w:pPr>
      <w:r>
        <w:rPr>
          <w:rFonts w:ascii="宋体" w:hAnsi="宋体"/>
          <w:color w:val="auto"/>
          <w:sz w:val="24"/>
          <w:highlight w:val="none"/>
        </w:rPr>
        <w:t>1.1.4 本招标项目名称：见投标人须知前附表。</w:t>
      </w:r>
    </w:p>
    <w:p w14:paraId="475E5017">
      <w:pPr>
        <w:spacing w:line="360" w:lineRule="auto"/>
        <w:ind w:firstLine="480" w:firstLineChars="200"/>
        <w:rPr>
          <w:rFonts w:ascii="宋体" w:hAnsi="宋体"/>
          <w:color w:val="auto"/>
          <w:sz w:val="24"/>
          <w:highlight w:val="none"/>
        </w:rPr>
      </w:pPr>
      <w:r>
        <w:rPr>
          <w:rFonts w:ascii="宋体" w:hAnsi="宋体"/>
          <w:color w:val="auto"/>
          <w:sz w:val="24"/>
          <w:highlight w:val="none"/>
        </w:rPr>
        <w:t>1.1.5 本标段建设地点：见投标人须知前附表。</w:t>
      </w:r>
    </w:p>
    <w:p w14:paraId="46148BAE">
      <w:pPr>
        <w:pStyle w:val="6"/>
        <w:numPr>
          <w:ilvl w:val="-1"/>
          <w:numId w:val="0"/>
        </w:numPr>
        <w:spacing w:line="360" w:lineRule="auto"/>
        <w:ind w:left="0" w:firstLine="0"/>
        <w:jc w:val="both"/>
        <w:outlineLvl w:val="2"/>
        <w:rPr>
          <w:rFonts w:ascii="Times New Roman" w:hAnsi="Times New Roman"/>
          <w:b w:val="0"/>
          <w:bCs w:val="0"/>
          <w:color w:val="auto"/>
          <w:highlight w:val="none"/>
        </w:rPr>
      </w:pPr>
      <w:bookmarkStart w:id="172" w:name="_Toc27060661"/>
      <w:bookmarkStart w:id="173" w:name="_Toc53685588"/>
      <w:bookmarkStart w:id="174" w:name="_Toc234832872"/>
      <w:bookmarkStart w:id="175" w:name="_Toc27059763"/>
      <w:bookmarkStart w:id="176" w:name="_Toc27059673"/>
      <w:bookmarkStart w:id="177" w:name="_Toc501257062"/>
      <w:bookmarkStart w:id="178" w:name="_Toc27059865"/>
      <w:bookmarkStart w:id="179" w:name="_Toc27059492"/>
      <w:r>
        <w:rPr>
          <w:rFonts w:ascii="Times New Roman" w:hAnsi="Times New Roman"/>
          <w:b w:val="0"/>
          <w:bCs w:val="0"/>
          <w:color w:val="auto"/>
          <w:highlight w:val="none"/>
        </w:rPr>
        <w:t xml:space="preserve">1.2 </w:t>
      </w:r>
      <w:r>
        <w:rPr>
          <w:rFonts w:hint="default" w:ascii="Times New Roman" w:hAnsi="Times New Roman"/>
          <w:b w:val="0"/>
          <w:bCs w:val="0"/>
          <w:color w:val="auto"/>
          <w:highlight w:val="none"/>
        </w:rPr>
        <w:t>招标项目的资金来源和落实情况</w:t>
      </w:r>
      <w:bookmarkEnd w:id="172"/>
      <w:bookmarkEnd w:id="173"/>
      <w:bookmarkEnd w:id="174"/>
      <w:bookmarkEnd w:id="175"/>
      <w:bookmarkEnd w:id="176"/>
      <w:bookmarkEnd w:id="177"/>
      <w:bookmarkEnd w:id="178"/>
      <w:bookmarkEnd w:id="179"/>
      <w:r>
        <w:rPr>
          <w:rFonts w:ascii="Times New Roman" w:hAnsi="Times New Roman"/>
          <w:b w:val="0"/>
          <w:bCs w:val="0"/>
          <w:color w:val="auto"/>
          <w:highlight w:val="none"/>
        </w:rPr>
        <w:t xml:space="preserve"> </w:t>
      </w:r>
    </w:p>
    <w:p w14:paraId="339B3C73">
      <w:pPr>
        <w:spacing w:line="360" w:lineRule="auto"/>
        <w:ind w:firstLine="480" w:firstLineChars="200"/>
        <w:rPr>
          <w:rFonts w:ascii="宋体" w:hAnsi="宋体"/>
          <w:color w:val="auto"/>
          <w:sz w:val="24"/>
          <w:highlight w:val="none"/>
        </w:rPr>
      </w:pPr>
      <w:r>
        <w:rPr>
          <w:rFonts w:ascii="宋体" w:hAnsi="宋体"/>
          <w:color w:val="auto"/>
          <w:sz w:val="24"/>
          <w:highlight w:val="none"/>
        </w:rPr>
        <w:t>1.2.1 资金来源及比例：见投标人须知前附表。</w:t>
      </w:r>
    </w:p>
    <w:p w14:paraId="512A9459">
      <w:pPr>
        <w:spacing w:line="360" w:lineRule="auto"/>
        <w:ind w:firstLine="480" w:firstLineChars="200"/>
        <w:rPr>
          <w:rFonts w:ascii="隶书" w:eastAsia="隶书"/>
          <w:color w:val="auto"/>
          <w:sz w:val="24"/>
          <w:highlight w:val="none"/>
        </w:rPr>
      </w:pPr>
      <w:r>
        <w:rPr>
          <w:rFonts w:ascii="宋体" w:hAnsi="宋体"/>
          <w:color w:val="auto"/>
          <w:sz w:val="24"/>
          <w:highlight w:val="none"/>
        </w:rPr>
        <w:t>1.2.2 资金落实情况：见投标人须知前附表</w:t>
      </w:r>
      <w:r>
        <w:rPr>
          <w:rFonts w:hint="eastAsia" w:ascii="隶书" w:eastAsia="隶书"/>
          <w:color w:val="auto"/>
          <w:sz w:val="24"/>
          <w:highlight w:val="none"/>
        </w:rPr>
        <w:t>。</w:t>
      </w:r>
    </w:p>
    <w:p w14:paraId="1972B453">
      <w:pPr>
        <w:pStyle w:val="6"/>
        <w:numPr>
          <w:ilvl w:val="0"/>
          <w:numId w:val="0"/>
        </w:numPr>
        <w:spacing w:line="360" w:lineRule="auto"/>
        <w:jc w:val="both"/>
        <w:rPr>
          <w:rFonts w:ascii="Times New Roman" w:hAnsi="Times New Roman"/>
          <w:b w:val="0"/>
          <w:bCs w:val="0"/>
          <w:color w:val="auto"/>
          <w:sz w:val="28"/>
          <w:szCs w:val="32"/>
          <w:highlight w:val="none"/>
        </w:rPr>
      </w:pPr>
      <w:bookmarkStart w:id="180" w:name="_Toc234832873"/>
      <w:bookmarkStart w:id="181" w:name="_Toc27059493"/>
      <w:bookmarkStart w:id="182" w:name="_Toc27060662"/>
      <w:bookmarkStart w:id="183" w:name="_Toc27059674"/>
      <w:bookmarkStart w:id="184" w:name="_Toc27059764"/>
      <w:bookmarkStart w:id="185" w:name="_Toc53685589"/>
      <w:bookmarkStart w:id="186" w:name="_Toc27059866"/>
      <w:bookmarkStart w:id="187" w:name="_Toc501257063"/>
      <w:r>
        <w:rPr>
          <w:rFonts w:ascii="Times New Roman" w:hAnsi="Times New Roman"/>
          <w:b w:val="0"/>
          <w:bCs w:val="0"/>
          <w:color w:val="auto"/>
          <w:sz w:val="28"/>
          <w:szCs w:val="32"/>
          <w:highlight w:val="none"/>
        </w:rPr>
        <w:t xml:space="preserve">1.3 </w:t>
      </w:r>
      <w:r>
        <w:rPr>
          <w:rFonts w:hint="default" w:ascii="Times New Roman" w:hAnsi="Times New Roman"/>
          <w:b w:val="0"/>
          <w:bCs w:val="0"/>
          <w:color w:val="auto"/>
          <w:sz w:val="28"/>
          <w:szCs w:val="32"/>
          <w:highlight w:val="none"/>
        </w:rPr>
        <w:t>招标范围、计划工期、质量要求</w:t>
      </w:r>
      <w:bookmarkEnd w:id="180"/>
      <w:r>
        <w:rPr>
          <w:rFonts w:hint="default" w:ascii="Times New Roman" w:hAnsi="Times New Roman"/>
          <w:b w:val="0"/>
          <w:bCs w:val="0"/>
          <w:color w:val="auto"/>
          <w:sz w:val="28"/>
          <w:szCs w:val="32"/>
          <w:highlight w:val="none"/>
        </w:rPr>
        <w:t>和安全目标</w:t>
      </w:r>
      <w:bookmarkEnd w:id="181"/>
      <w:bookmarkEnd w:id="182"/>
      <w:bookmarkEnd w:id="183"/>
      <w:bookmarkEnd w:id="184"/>
      <w:bookmarkEnd w:id="185"/>
      <w:bookmarkEnd w:id="186"/>
      <w:bookmarkEnd w:id="187"/>
    </w:p>
    <w:p w14:paraId="714078B3">
      <w:pPr>
        <w:spacing w:line="360" w:lineRule="auto"/>
        <w:ind w:firstLine="480" w:firstLineChars="200"/>
        <w:rPr>
          <w:rFonts w:ascii="宋体" w:hAnsi="宋体"/>
          <w:color w:val="auto"/>
          <w:sz w:val="24"/>
          <w:highlight w:val="none"/>
        </w:rPr>
      </w:pPr>
      <w:r>
        <w:rPr>
          <w:rFonts w:ascii="宋体" w:hAnsi="宋体"/>
          <w:color w:val="auto"/>
          <w:sz w:val="24"/>
          <w:highlight w:val="none"/>
        </w:rPr>
        <w:t>1.3.1 招标范围：见投标人须知前附表。</w:t>
      </w:r>
    </w:p>
    <w:p w14:paraId="47BD1CE6">
      <w:pPr>
        <w:spacing w:line="360" w:lineRule="auto"/>
        <w:ind w:firstLine="480" w:firstLineChars="200"/>
        <w:rPr>
          <w:rFonts w:ascii="宋体" w:hAnsi="宋体"/>
          <w:color w:val="auto"/>
          <w:sz w:val="24"/>
          <w:highlight w:val="none"/>
        </w:rPr>
      </w:pPr>
      <w:r>
        <w:rPr>
          <w:rFonts w:ascii="宋体" w:hAnsi="宋体"/>
          <w:color w:val="auto"/>
          <w:sz w:val="24"/>
          <w:highlight w:val="none"/>
        </w:rPr>
        <w:t>1.3.2 本标段的计划工期：见投标人须知前附表。</w:t>
      </w:r>
    </w:p>
    <w:p w14:paraId="36E62571">
      <w:pPr>
        <w:spacing w:line="360" w:lineRule="auto"/>
        <w:ind w:firstLine="480" w:firstLineChars="200"/>
        <w:rPr>
          <w:rFonts w:ascii="宋体" w:hAnsi="宋体"/>
          <w:color w:val="auto"/>
          <w:sz w:val="24"/>
          <w:highlight w:val="none"/>
        </w:rPr>
      </w:pPr>
      <w:r>
        <w:rPr>
          <w:rFonts w:ascii="宋体" w:hAnsi="宋体"/>
          <w:color w:val="auto"/>
          <w:sz w:val="24"/>
          <w:highlight w:val="none"/>
        </w:rPr>
        <w:t>1.3.3 本标段的质量要求：见投标人须知前附表。</w:t>
      </w:r>
    </w:p>
    <w:p w14:paraId="254188E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1.3.4 </w:t>
      </w:r>
      <w:r>
        <w:rPr>
          <w:rFonts w:hint="eastAsia" w:ascii="宋体" w:hAnsi="宋体"/>
          <w:color w:val="auto"/>
          <w:sz w:val="24"/>
          <w:highlight w:val="none"/>
        </w:rPr>
        <w:t>本标段的安全目标：</w:t>
      </w:r>
      <w:r>
        <w:rPr>
          <w:rFonts w:ascii="宋体" w:hAnsi="宋体"/>
          <w:color w:val="auto"/>
          <w:sz w:val="24"/>
          <w:highlight w:val="none"/>
        </w:rPr>
        <w:t>见</w:t>
      </w:r>
      <w:r>
        <w:rPr>
          <w:rFonts w:hint="eastAsia" w:ascii="宋体" w:hAnsi="宋体"/>
          <w:color w:val="auto"/>
          <w:sz w:val="24"/>
          <w:highlight w:val="none"/>
        </w:rPr>
        <w:t>投标</w:t>
      </w:r>
      <w:r>
        <w:rPr>
          <w:rFonts w:ascii="宋体" w:hAnsi="宋体"/>
          <w:color w:val="auto"/>
          <w:sz w:val="24"/>
          <w:highlight w:val="none"/>
        </w:rPr>
        <w:t>人须知前附表。</w:t>
      </w:r>
    </w:p>
    <w:p w14:paraId="11F4D8E1">
      <w:pPr>
        <w:pStyle w:val="6"/>
        <w:numPr>
          <w:ilvl w:val="0"/>
          <w:numId w:val="0"/>
        </w:numPr>
        <w:spacing w:line="360" w:lineRule="auto"/>
        <w:jc w:val="both"/>
        <w:rPr>
          <w:rFonts w:ascii="Times New Roman" w:hAnsi="Times New Roman"/>
          <w:b w:val="0"/>
          <w:bCs w:val="0"/>
          <w:color w:val="auto"/>
          <w:sz w:val="28"/>
          <w:szCs w:val="32"/>
          <w:highlight w:val="none"/>
        </w:rPr>
      </w:pPr>
      <w:bookmarkStart w:id="188" w:name="_Toc27059765"/>
      <w:bookmarkStart w:id="189" w:name="_Toc27059675"/>
      <w:bookmarkStart w:id="190" w:name="_Toc27059494"/>
      <w:bookmarkStart w:id="191" w:name="_Toc27060663"/>
      <w:bookmarkStart w:id="192" w:name="_Toc234832875"/>
      <w:bookmarkStart w:id="193" w:name="_Toc53685590"/>
      <w:bookmarkStart w:id="194" w:name="_Toc501257065"/>
      <w:bookmarkStart w:id="195" w:name="_Toc27059867"/>
      <w:r>
        <w:rPr>
          <w:rFonts w:ascii="Times New Roman" w:hAnsi="Times New Roman"/>
          <w:b w:val="0"/>
          <w:bCs w:val="0"/>
          <w:color w:val="auto"/>
          <w:sz w:val="28"/>
          <w:szCs w:val="32"/>
          <w:highlight w:val="none"/>
        </w:rPr>
        <w:t xml:space="preserve">1.4 </w:t>
      </w:r>
      <w:r>
        <w:rPr>
          <w:rFonts w:hint="default" w:ascii="Times New Roman" w:hAnsi="Times New Roman"/>
          <w:b w:val="0"/>
          <w:bCs w:val="0"/>
          <w:color w:val="auto"/>
          <w:sz w:val="28"/>
          <w:szCs w:val="32"/>
          <w:highlight w:val="none"/>
        </w:rPr>
        <w:t>投标人资格要求</w:t>
      </w:r>
      <w:bookmarkEnd w:id="188"/>
      <w:bookmarkEnd w:id="189"/>
      <w:bookmarkEnd w:id="190"/>
      <w:bookmarkEnd w:id="191"/>
      <w:bookmarkEnd w:id="192"/>
      <w:bookmarkEnd w:id="193"/>
      <w:bookmarkEnd w:id="194"/>
      <w:bookmarkEnd w:id="195"/>
    </w:p>
    <w:p w14:paraId="7A0AA2C1">
      <w:pPr>
        <w:topLinePunct/>
        <w:spacing w:line="360" w:lineRule="auto"/>
        <w:ind w:firstLine="480" w:firstLineChars="200"/>
        <w:rPr>
          <w:color w:val="auto"/>
          <w:sz w:val="24"/>
          <w:highlight w:val="none"/>
        </w:rPr>
      </w:pPr>
      <w:r>
        <w:rPr>
          <w:rFonts w:ascii="宋体" w:hAnsi="宋体"/>
          <w:color w:val="auto"/>
          <w:sz w:val="24"/>
          <w:highlight w:val="none"/>
        </w:rPr>
        <w:t>1.4.1</w:t>
      </w:r>
      <w:r>
        <w:rPr>
          <w:color w:val="auto"/>
          <w:sz w:val="24"/>
          <w:highlight w:val="none"/>
        </w:rPr>
        <w:t xml:space="preserve"> </w:t>
      </w:r>
      <w:r>
        <w:rPr>
          <w:rFonts w:hint="eastAsia"/>
          <w:color w:val="auto"/>
          <w:sz w:val="24"/>
          <w:highlight w:val="none"/>
        </w:rPr>
        <w:t>投标人应具备承担本标段的资质条件、能力和信誉。</w:t>
      </w:r>
    </w:p>
    <w:p w14:paraId="3AB14961">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（1）资质</w:t>
      </w:r>
      <w:r>
        <w:rPr>
          <w:rFonts w:hint="eastAsia" w:ascii="宋体" w:hAnsi="宋体"/>
          <w:color w:val="auto"/>
          <w:sz w:val="24"/>
          <w:highlight w:val="none"/>
        </w:rPr>
        <w:t>最低要求</w:t>
      </w:r>
      <w:r>
        <w:rPr>
          <w:rFonts w:ascii="宋体" w:hAnsi="宋体"/>
          <w:color w:val="auto"/>
          <w:sz w:val="24"/>
          <w:highlight w:val="none"/>
        </w:rPr>
        <w:t>：见投标人须知前附表；</w:t>
      </w:r>
    </w:p>
    <w:p w14:paraId="3A1AA364">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财务最低</w:t>
      </w:r>
      <w:r>
        <w:rPr>
          <w:rFonts w:ascii="宋体" w:hAnsi="宋体"/>
          <w:color w:val="auto"/>
          <w:sz w:val="24"/>
          <w:highlight w:val="none"/>
        </w:rPr>
        <w:t>要求：见投标人须知前附表；</w:t>
      </w:r>
    </w:p>
    <w:p w14:paraId="1CB4C8DA">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（3）业绩</w:t>
      </w:r>
      <w:r>
        <w:rPr>
          <w:rFonts w:hint="eastAsia" w:ascii="宋体" w:hAnsi="宋体"/>
          <w:color w:val="auto"/>
          <w:sz w:val="24"/>
          <w:highlight w:val="none"/>
        </w:rPr>
        <w:t>最低</w:t>
      </w:r>
      <w:r>
        <w:rPr>
          <w:rFonts w:ascii="宋体" w:hAnsi="宋体"/>
          <w:color w:val="auto"/>
          <w:sz w:val="24"/>
          <w:highlight w:val="none"/>
        </w:rPr>
        <w:t>要求：见投标人须知前附表；</w:t>
      </w:r>
    </w:p>
    <w:p w14:paraId="31A9988E">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（4）信誉</w:t>
      </w:r>
      <w:r>
        <w:rPr>
          <w:rFonts w:hint="eastAsia" w:ascii="宋体" w:hAnsi="宋体"/>
          <w:color w:val="auto"/>
          <w:sz w:val="24"/>
          <w:highlight w:val="none"/>
        </w:rPr>
        <w:t>最低</w:t>
      </w:r>
      <w:r>
        <w:rPr>
          <w:rFonts w:ascii="宋体" w:hAnsi="宋体"/>
          <w:color w:val="auto"/>
          <w:sz w:val="24"/>
          <w:highlight w:val="none"/>
        </w:rPr>
        <w:t>要求：见投标人须知前附表；</w:t>
      </w:r>
    </w:p>
    <w:p w14:paraId="7182BDA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5）主要人员最低要求：见投标人须知前附表； </w:t>
      </w:r>
    </w:p>
    <w:p w14:paraId="6E1E05A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6）其他要求：见投标人须知前附表。</w:t>
      </w:r>
    </w:p>
    <w:p w14:paraId="2E72CC2D">
      <w:pPr>
        <w:spacing w:line="360" w:lineRule="auto"/>
        <w:ind w:firstLine="360" w:firstLineChars="150"/>
        <w:rPr>
          <w:rFonts w:ascii="隶书" w:eastAsia="隶书"/>
          <w:color w:val="auto"/>
          <w:sz w:val="24"/>
          <w:highlight w:val="none"/>
        </w:rPr>
      </w:pPr>
      <w:r>
        <w:rPr>
          <w:rFonts w:ascii="宋体" w:hAnsi="宋体"/>
          <w:color w:val="auto"/>
          <w:sz w:val="24"/>
          <w:highlight w:val="none"/>
        </w:rPr>
        <w:t>需要提交的相关证明材料见本章第3.5款的规定</w:t>
      </w:r>
      <w:r>
        <w:rPr>
          <w:rFonts w:hint="eastAsia" w:ascii="隶书" w:eastAsia="隶书"/>
          <w:color w:val="auto"/>
          <w:sz w:val="24"/>
          <w:highlight w:val="none"/>
        </w:rPr>
        <w:t>。</w:t>
      </w:r>
    </w:p>
    <w:p w14:paraId="1ED78E4D">
      <w:pPr>
        <w:spacing w:line="360" w:lineRule="auto"/>
        <w:ind w:firstLine="480" w:firstLineChars="200"/>
        <w:rPr>
          <w:rFonts w:ascii="宋体" w:hAnsi="宋体"/>
          <w:color w:val="auto"/>
          <w:sz w:val="24"/>
          <w:highlight w:val="none"/>
        </w:rPr>
      </w:pPr>
      <w:r>
        <w:rPr>
          <w:rFonts w:ascii="宋体" w:hAnsi="宋体"/>
          <w:color w:val="auto"/>
          <w:sz w:val="24"/>
          <w:highlight w:val="none"/>
        </w:rPr>
        <w:t>1.4.2 投标人须知前附表规定接受联合体投标的，联合体除应符合本章第1.4.1项和投标人须知前附表的要求外，还应遵守以下规定：</w:t>
      </w:r>
    </w:p>
    <w:p w14:paraId="00464B5E">
      <w:pPr>
        <w:spacing w:line="360" w:lineRule="auto"/>
        <w:ind w:firstLine="480" w:firstLineChars="200"/>
        <w:rPr>
          <w:rFonts w:ascii="宋体" w:hAnsi="宋体"/>
          <w:color w:val="auto"/>
          <w:sz w:val="24"/>
          <w:highlight w:val="none"/>
        </w:rPr>
      </w:pPr>
      <w:r>
        <w:rPr>
          <w:rFonts w:ascii="宋体" w:hAnsi="宋体"/>
          <w:color w:val="auto"/>
          <w:sz w:val="24"/>
          <w:highlight w:val="none"/>
        </w:rPr>
        <w:t>（1）联合体各方应按招标文件提供的格式签订联合体协议书，明确联合体牵头人和各方权利义务，并承诺就中标项目向招标人承担连带责任；</w:t>
      </w:r>
    </w:p>
    <w:p w14:paraId="6A965D67">
      <w:pPr>
        <w:spacing w:line="360" w:lineRule="auto"/>
        <w:ind w:firstLine="480" w:firstLineChars="200"/>
        <w:rPr>
          <w:rFonts w:ascii="宋体" w:hAnsi="宋体"/>
          <w:color w:val="auto"/>
          <w:sz w:val="24"/>
          <w:highlight w:val="none"/>
        </w:rPr>
      </w:pPr>
      <w:r>
        <w:rPr>
          <w:rFonts w:ascii="宋体" w:hAnsi="宋体"/>
          <w:color w:val="auto"/>
          <w:sz w:val="24"/>
          <w:highlight w:val="none"/>
        </w:rPr>
        <w:t>（2）由同一专业的单位组成的联合体，按照资质等级较低的单位确定资质等级；</w:t>
      </w:r>
    </w:p>
    <w:p w14:paraId="182AC9FD">
      <w:pPr>
        <w:spacing w:line="360" w:lineRule="auto"/>
        <w:ind w:firstLine="480" w:firstLineChars="200"/>
        <w:rPr>
          <w:rFonts w:ascii="宋体" w:hAnsi="宋体"/>
          <w:color w:val="auto"/>
          <w:sz w:val="24"/>
          <w:highlight w:val="none"/>
        </w:rPr>
      </w:pPr>
      <w:r>
        <w:rPr>
          <w:rFonts w:ascii="宋体" w:hAnsi="宋体"/>
          <w:color w:val="auto"/>
          <w:sz w:val="24"/>
          <w:highlight w:val="none"/>
        </w:rPr>
        <w:t>（3）联合体各方不得再以自己名义单独或参加其他联合体在同一标段中投标</w:t>
      </w:r>
      <w:r>
        <w:rPr>
          <w:rFonts w:hint="eastAsia" w:ascii="宋体" w:hAnsi="宋体"/>
          <w:color w:val="auto"/>
          <w:sz w:val="24"/>
          <w:highlight w:val="none"/>
        </w:rPr>
        <w:t>；</w:t>
      </w:r>
    </w:p>
    <w:p w14:paraId="799A2B86">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rPr>
        <w:t>（</w:t>
      </w:r>
      <w:r>
        <w:rPr>
          <w:rFonts w:ascii="宋体" w:hAnsi="宋体"/>
          <w:color w:val="auto"/>
          <w:sz w:val="24"/>
          <w:szCs w:val="24"/>
          <w:highlight w:val="none"/>
        </w:rPr>
        <w:t>4</w:t>
      </w:r>
      <w:r>
        <w:rPr>
          <w:rFonts w:hint="default" w:ascii="宋体" w:hAnsi="宋体"/>
          <w:color w:val="auto"/>
          <w:sz w:val="24"/>
          <w:szCs w:val="24"/>
          <w:highlight w:val="none"/>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698D0D30">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rPr>
        <w:t>（</w:t>
      </w:r>
      <w:r>
        <w:rPr>
          <w:rFonts w:ascii="宋体" w:hAnsi="宋体"/>
          <w:color w:val="auto"/>
          <w:sz w:val="24"/>
          <w:szCs w:val="24"/>
          <w:highlight w:val="none"/>
        </w:rPr>
        <w:t>5</w:t>
      </w:r>
      <w:r>
        <w:rPr>
          <w:rFonts w:hint="default" w:ascii="宋体" w:hAnsi="宋体"/>
          <w:color w:val="auto"/>
          <w:sz w:val="24"/>
          <w:szCs w:val="24"/>
          <w:highlight w:val="none"/>
        </w:rPr>
        <w:t>）尽管委任了联合体牵头人，但联合体各成员在投标、签订合同与履行合同过程中，仍负有连带的和各自的法律责任。</w:t>
      </w:r>
    </w:p>
    <w:p w14:paraId="756BBAF8">
      <w:pPr>
        <w:spacing w:line="360" w:lineRule="auto"/>
        <w:ind w:firstLine="480" w:firstLineChars="200"/>
        <w:rPr>
          <w:rFonts w:ascii="宋体" w:hAnsi="宋体"/>
          <w:color w:val="auto"/>
          <w:sz w:val="24"/>
          <w:szCs w:val="24"/>
          <w:highlight w:val="none"/>
        </w:rPr>
      </w:pPr>
      <w:r>
        <w:rPr>
          <w:rFonts w:ascii="宋体" w:hAnsi="宋体"/>
          <w:color w:val="auto"/>
          <w:sz w:val="24"/>
          <w:highlight w:val="none"/>
        </w:rPr>
        <w:t>1.4.3 投标人</w:t>
      </w:r>
      <w:r>
        <w:rPr>
          <w:rFonts w:hint="eastAsia" w:ascii="宋体" w:hAnsi="宋体"/>
          <w:color w:val="auto"/>
          <w:sz w:val="24"/>
          <w:highlight w:val="none"/>
        </w:rPr>
        <w:t>（包括联合体各成员）</w:t>
      </w:r>
      <w:r>
        <w:rPr>
          <w:rFonts w:ascii="宋体" w:hAnsi="宋体"/>
          <w:color w:val="auto"/>
          <w:sz w:val="24"/>
          <w:highlight w:val="none"/>
        </w:rPr>
        <w:t>不得</w:t>
      </w:r>
      <w:r>
        <w:rPr>
          <w:rFonts w:hint="eastAsia" w:ascii="宋体" w:hAnsi="宋体"/>
          <w:color w:val="auto"/>
          <w:sz w:val="24"/>
          <w:highlight w:val="none"/>
        </w:rPr>
        <w:t>与</w:t>
      </w:r>
      <w:r>
        <w:rPr>
          <w:rFonts w:ascii="宋体" w:hAnsi="宋体"/>
          <w:color w:val="auto"/>
          <w:sz w:val="24"/>
          <w:highlight w:val="none"/>
        </w:rPr>
        <w:t>本标段相关单位存在下列关联</w:t>
      </w:r>
      <w:r>
        <w:rPr>
          <w:rFonts w:hint="eastAsia" w:ascii="宋体" w:hAnsi="宋体"/>
          <w:color w:val="auto"/>
          <w:sz w:val="24"/>
          <w:highlight w:val="none"/>
        </w:rPr>
        <w:t>情形</w:t>
      </w:r>
      <w:r>
        <w:rPr>
          <w:rFonts w:ascii="宋体" w:hAnsi="宋体"/>
          <w:color w:val="auto"/>
          <w:sz w:val="24"/>
          <w:highlight w:val="none"/>
        </w:rPr>
        <w:t>：</w:t>
      </w:r>
      <w:r>
        <w:rPr>
          <w:rFonts w:ascii="宋体" w:hAnsi="宋体"/>
          <w:color w:val="auto"/>
          <w:sz w:val="24"/>
          <w:szCs w:val="24"/>
          <w:highlight w:val="none"/>
        </w:rPr>
        <w:t>（1）为招标人不具有独立法人资格的附属机构（单位）；</w:t>
      </w:r>
    </w:p>
    <w:p w14:paraId="2721041F">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rPr>
        <w:t>（</w:t>
      </w:r>
      <w:r>
        <w:rPr>
          <w:rFonts w:ascii="宋体" w:hAnsi="宋体"/>
          <w:color w:val="auto"/>
          <w:sz w:val="24"/>
          <w:szCs w:val="24"/>
          <w:highlight w:val="none"/>
        </w:rPr>
        <w:t>2）与招标人存在利害关系且可能影响招标公正性；</w:t>
      </w:r>
    </w:p>
    <w:p w14:paraId="100FC97C">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rPr>
        <w:t>（</w:t>
      </w:r>
      <w:r>
        <w:rPr>
          <w:rFonts w:ascii="宋体" w:hAnsi="宋体"/>
          <w:color w:val="auto"/>
          <w:sz w:val="24"/>
          <w:szCs w:val="24"/>
          <w:highlight w:val="none"/>
        </w:rPr>
        <w:t>3）</w:t>
      </w:r>
      <w:r>
        <w:rPr>
          <w:rFonts w:hint="default" w:ascii="宋体" w:hAnsi="宋体"/>
          <w:color w:val="auto"/>
          <w:sz w:val="24"/>
          <w:szCs w:val="24"/>
          <w:highlight w:val="none"/>
        </w:rPr>
        <w:t>与</w:t>
      </w:r>
      <w:r>
        <w:rPr>
          <w:rFonts w:ascii="宋体" w:hAnsi="宋体"/>
          <w:color w:val="auto"/>
          <w:sz w:val="24"/>
          <w:szCs w:val="24"/>
          <w:highlight w:val="none"/>
        </w:rPr>
        <w:t>本标段</w:t>
      </w:r>
      <w:r>
        <w:rPr>
          <w:rFonts w:hint="default" w:ascii="宋体" w:hAnsi="宋体"/>
          <w:color w:val="auto"/>
          <w:sz w:val="24"/>
          <w:szCs w:val="24"/>
          <w:highlight w:val="none"/>
        </w:rPr>
        <w:t>的</w:t>
      </w:r>
      <w:r>
        <w:rPr>
          <w:rFonts w:ascii="宋体" w:hAnsi="宋体"/>
          <w:color w:val="auto"/>
          <w:sz w:val="24"/>
          <w:szCs w:val="24"/>
          <w:highlight w:val="none"/>
        </w:rPr>
        <w:t>其</w:t>
      </w:r>
      <w:r>
        <w:rPr>
          <w:rFonts w:hint="default" w:ascii="宋体" w:hAnsi="宋体"/>
          <w:color w:val="auto"/>
          <w:sz w:val="24"/>
          <w:szCs w:val="24"/>
          <w:highlight w:val="none"/>
        </w:rPr>
        <w:t>他投标人同为</w:t>
      </w:r>
      <w:r>
        <w:rPr>
          <w:rFonts w:ascii="宋体" w:hAnsi="宋体"/>
          <w:color w:val="auto"/>
          <w:sz w:val="24"/>
          <w:szCs w:val="24"/>
          <w:highlight w:val="none"/>
        </w:rPr>
        <w:t>一个</w:t>
      </w:r>
      <w:r>
        <w:rPr>
          <w:rFonts w:hint="default" w:ascii="宋体" w:hAnsi="宋体"/>
          <w:color w:val="auto"/>
          <w:sz w:val="24"/>
          <w:szCs w:val="24"/>
          <w:highlight w:val="none"/>
        </w:rPr>
        <w:t>单位</w:t>
      </w:r>
      <w:r>
        <w:rPr>
          <w:rFonts w:ascii="宋体" w:hAnsi="宋体"/>
          <w:color w:val="auto"/>
          <w:sz w:val="24"/>
          <w:szCs w:val="24"/>
          <w:highlight w:val="none"/>
        </w:rPr>
        <w:t>负责人；</w:t>
      </w:r>
    </w:p>
    <w:p w14:paraId="5B8FE259">
      <w:pPr>
        <w:spacing w:line="360" w:lineRule="auto"/>
        <w:ind w:firstLine="480" w:firstLineChars="200"/>
        <w:rPr>
          <w:rFonts w:hint="default" w:ascii="宋体" w:hAnsi="宋体"/>
          <w:color w:val="auto"/>
          <w:sz w:val="24"/>
          <w:szCs w:val="24"/>
          <w:highlight w:val="none"/>
        </w:rPr>
      </w:pPr>
      <w:r>
        <w:rPr>
          <w:rFonts w:hint="default" w:ascii="宋体" w:hAnsi="宋体"/>
          <w:color w:val="auto"/>
          <w:sz w:val="24"/>
          <w:szCs w:val="24"/>
          <w:highlight w:val="none"/>
        </w:rPr>
        <w:t>（</w:t>
      </w:r>
      <w:r>
        <w:rPr>
          <w:rFonts w:ascii="宋体" w:hAnsi="宋体"/>
          <w:color w:val="auto"/>
          <w:sz w:val="24"/>
          <w:szCs w:val="24"/>
          <w:highlight w:val="none"/>
        </w:rPr>
        <w:t>4）</w:t>
      </w:r>
      <w:r>
        <w:rPr>
          <w:rFonts w:hint="default" w:ascii="宋体" w:hAnsi="宋体"/>
          <w:color w:val="auto"/>
          <w:sz w:val="24"/>
          <w:szCs w:val="24"/>
          <w:highlight w:val="none"/>
        </w:rPr>
        <w:t>与</w:t>
      </w:r>
      <w:r>
        <w:rPr>
          <w:rFonts w:ascii="宋体" w:hAnsi="宋体"/>
          <w:color w:val="auto"/>
          <w:sz w:val="24"/>
          <w:szCs w:val="24"/>
          <w:highlight w:val="none"/>
        </w:rPr>
        <w:t>本标段</w:t>
      </w:r>
      <w:r>
        <w:rPr>
          <w:rFonts w:hint="default" w:ascii="宋体" w:hAnsi="宋体"/>
          <w:color w:val="auto"/>
          <w:sz w:val="24"/>
          <w:szCs w:val="24"/>
          <w:highlight w:val="none"/>
        </w:rPr>
        <w:t>的</w:t>
      </w:r>
      <w:r>
        <w:rPr>
          <w:rFonts w:ascii="宋体" w:hAnsi="宋体"/>
          <w:color w:val="auto"/>
          <w:sz w:val="24"/>
          <w:szCs w:val="24"/>
          <w:highlight w:val="none"/>
        </w:rPr>
        <w:t>其他</w:t>
      </w:r>
      <w:r>
        <w:rPr>
          <w:rFonts w:hint="default" w:ascii="宋体" w:hAnsi="宋体"/>
          <w:color w:val="auto"/>
          <w:sz w:val="24"/>
          <w:szCs w:val="24"/>
          <w:highlight w:val="none"/>
        </w:rPr>
        <w:t>投标人存在控股、管理关系；</w:t>
      </w:r>
    </w:p>
    <w:p w14:paraId="0192C99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（5）为本标段前期准备提供设计或咨询服务的</w:t>
      </w:r>
      <w:r>
        <w:rPr>
          <w:rFonts w:hint="default" w:ascii="宋体" w:hAnsi="宋体"/>
          <w:color w:val="auto"/>
          <w:sz w:val="24"/>
          <w:szCs w:val="24"/>
          <w:highlight w:val="none"/>
        </w:rPr>
        <w:t>法人或其任何附属机构（单位）</w:t>
      </w:r>
      <w:r>
        <w:rPr>
          <w:rFonts w:ascii="宋体" w:hAnsi="宋体"/>
          <w:color w:val="auto"/>
          <w:sz w:val="24"/>
          <w:szCs w:val="24"/>
          <w:highlight w:val="none"/>
        </w:rPr>
        <w:t>；</w:t>
      </w:r>
    </w:p>
    <w:p w14:paraId="3D21537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（6）为本标段的监理人；</w:t>
      </w:r>
    </w:p>
    <w:p w14:paraId="45A426E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（7）为本标段的代建人；</w:t>
      </w:r>
    </w:p>
    <w:p w14:paraId="13E92B4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（8）为本标段的招标代理机构；</w:t>
      </w:r>
    </w:p>
    <w:p w14:paraId="286652F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（9）与本标段的监理人或代建人或招标代理机构同为一个法定代表人；</w:t>
      </w:r>
    </w:p>
    <w:p w14:paraId="13A15EE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（10）与本标段的监理人或代建人或招标代理机构</w:t>
      </w:r>
      <w:r>
        <w:rPr>
          <w:rFonts w:hint="default" w:ascii="宋体" w:hAnsi="宋体"/>
          <w:color w:val="auto"/>
          <w:sz w:val="24"/>
          <w:szCs w:val="24"/>
          <w:highlight w:val="none"/>
        </w:rPr>
        <w:t>存在</w:t>
      </w:r>
      <w:r>
        <w:rPr>
          <w:rFonts w:ascii="宋体" w:hAnsi="宋体"/>
          <w:color w:val="auto"/>
          <w:sz w:val="24"/>
          <w:szCs w:val="24"/>
          <w:highlight w:val="none"/>
        </w:rPr>
        <w:t>控股或参股</w:t>
      </w:r>
      <w:r>
        <w:rPr>
          <w:rFonts w:hint="default" w:ascii="宋体" w:hAnsi="宋体"/>
          <w:color w:val="auto"/>
          <w:sz w:val="24"/>
          <w:szCs w:val="24"/>
          <w:highlight w:val="none"/>
        </w:rPr>
        <w:t>关系；</w:t>
      </w:r>
    </w:p>
    <w:p w14:paraId="4083E107">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rPr>
        <w:t>（</w:t>
      </w:r>
      <w:r>
        <w:rPr>
          <w:rFonts w:ascii="宋体" w:hAnsi="宋体"/>
          <w:color w:val="auto"/>
          <w:sz w:val="24"/>
          <w:szCs w:val="24"/>
          <w:highlight w:val="none"/>
        </w:rPr>
        <w:t>11）</w:t>
      </w:r>
      <w:r>
        <w:rPr>
          <w:rFonts w:hint="default" w:ascii="宋体" w:hAnsi="宋体"/>
          <w:color w:val="auto"/>
          <w:sz w:val="24"/>
          <w:szCs w:val="24"/>
          <w:highlight w:val="none"/>
        </w:rPr>
        <w:t>为本标段电子招标投标交易平台的运营机构或与该机构有控股或者管理关系且可能影响招标公正性的单位；</w:t>
      </w:r>
    </w:p>
    <w:p w14:paraId="5868838D">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lang w:eastAsia="zh-CN"/>
        </w:rPr>
        <w:t>（</w:t>
      </w:r>
      <w:r>
        <w:rPr>
          <w:rFonts w:hint="default" w:ascii="宋体" w:hAnsi="宋体"/>
          <w:color w:val="auto"/>
          <w:sz w:val="24"/>
          <w:szCs w:val="24"/>
          <w:highlight w:val="none"/>
          <w:lang w:val="en-US" w:eastAsia="zh-CN"/>
        </w:rPr>
        <w:t>12</w:t>
      </w:r>
      <w:r>
        <w:rPr>
          <w:rFonts w:hint="default" w:ascii="宋体" w:hAnsi="宋体"/>
          <w:color w:val="auto"/>
          <w:sz w:val="24"/>
          <w:szCs w:val="24"/>
          <w:highlight w:val="none"/>
          <w:lang w:eastAsia="zh-CN"/>
        </w:rPr>
        <w:t>）</w:t>
      </w:r>
      <w:r>
        <w:rPr>
          <w:rFonts w:ascii="宋体" w:hAnsi="宋体"/>
          <w:color w:val="auto"/>
          <w:sz w:val="24"/>
          <w:szCs w:val="24"/>
          <w:highlight w:val="none"/>
        </w:rPr>
        <w:t>法律法规或投标人须知前附表规定的其他情形。</w:t>
      </w:r>
    </w:p>
    <w:p w14:paraId="7AFA43D2">
      <w:pPr>
        <w:tabs>
          <w:tab w:val="left" w:pos="360"/>
          <w:tab w:val="left" w:pos="54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1.4.4 </w:t>
      </w:r>
      <w:r>
        <w:rPr>
          <w:rFonts w:hint="eastAsia" w:ascii="宋体" w:hAnsi="宋体"/>
          <w:color w:val="auto"/>
          <w:sz w:val="24"/>
          <w:highlight w:val="none"/>
        </w:rPr>
        <w:t>投标人（包括联合体各成员）</w:t>
      </w:r>
      <w:r>
        <w:rPr>
          <w:rFonts w:ascii="宋体" w:hAnsi="宋体"/>
          <w:color w:val="auto"/>
          <w:sz w:val="24"/>
          <w:highlight w:val="none"/>
        </w:rPr>
        <w:t>不得存在下列不良状况或不良信用记录：</w:t>
      </w:r>
    </w:p>
    <w:p w14:paraId="54C1B072">
      <w:pPr>
        <w:tabs>
          <w:tab w:val="left" w:pos="360"/>
          <w:tab w:val="left" w:pos="540"/>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（1）被省级及以上交通运输主管部门取消招标项目所在地的投标资格且处于有效期内；</w:t>
      </w:r>
    </w:p>
    <w:p w14:paraId="34561C36">
      <w:pPr>
        <w:tabs>
          <w:tab w:val="left" w:pos="360"/>
          <w:tab w:val="left" w:pos="540"/>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（2）被责令停业，暂扣或吊销执照，或吊销资质证书；</w:t>
      </w:r>
    </w:p>
    <w:p w14:paraId="1C0CFE33">
      <w:pPr>
        <w:tabs>
          <w:tab w:val="left" w:pos="360"/>
          <w:tab w:val="left" w:pos="540"/>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（3）进入清算程序，或被宣告破产，或其他丧失履约能力的情形；</w:t>
      </w:r>
    </w:p>
    <w:p w14:paraId="0B0F57D1">
      <w:pPr>
        <w:tabs>
          <w:tab w:val="left" w:pos="360"/>
          <w:tab w:val="left" w:pos="540"/>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（4）在国家企业信用信息公示系统（</w:t>
      </w:r>
      <w:r>
        <w:rPr>
          <w:rFonts w:hint="eastAsia" w:ascii="宋体" w:hAnsi="宋体"/>
          <w:color w:val="auto"/>
          <w:sz w:val="24"/>
          <w:szCs w:val="24"/>
          <w:highlight w:val="none"/>
          <w:lang w:eastAsia="zh-CN"/>
        </w:rPr>
        <w:t>https</w:t>
      </w:r>
      <w:r>
        <w:rPr>
          <w:rFonts w:hint="eastAsia" w:ascii="宋体" w:hAnsi="宋体"/>
          <w:color w:val="auto"/>
          <w:sz w:val="24"/>
          <w:szCs w:val="24"/>
          <w:highlight w:val="none"/>
        </w:rPr>
        <w:t>://www.gsxt.gov.cn/）中被列入严重违法失信企业名单；</w:t>
      </w:r>
    </w:p>
    <w:p w14:paraId="09DF6D45">
      <w:pPr>
        <w:tabs>
          <w:tab w:val="left" w:pos="360"/>
          <w:tab w:val="left" w:pos="540"/>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（5）在“信用中国”网站（</w:t>
      </w:r>
      <w:r>
        <w:rPr>
          <w:rFonts w:hint="eastAsia" w:ascii="宋体" w:hAnsi="宋体"/>
          <w:color w:val="auto"/>
          <w:sz w:val="24"/>
          <w:szCs w:val="24"/>
          <w:highlight w:val="none"/>
          <w:lang w:eastAsia="zh-CN"/>
        </w:rPr>
        <w:t>https</w:t>
      </w:r>
      <w:r>
        <w:rPr>
          <w:rFonts w:hint="eastAsia" w:ascii="宋体" w:hAnsi="宋体"/>
          <w:color w:val="auto"/>
          <w:sz w:val="24"/>
          <w:szCs w:val="24"/>
          <w:highlight w:val="none"/>
        </w:rPr>
        <w:t>://www.creditchina.gov.cn/）中被列入失信被执行人</w:t>
      </w:r>
      <w:r>
        <w:rPr>
          <w:rFonts w:hint="eastAsia" w:ascii="宋体" w:hAnsi="宋体"/>
          <w:color w:val="auto"/>
          <w:sz w:val="24"/>
          <w:szCs w:val="24"/>
          <w:highlight w:val="none"/>
          <w:lang w:val="en-US" w:eastAsia="zh-CN"/>
        </w:rPr>
        <w:t>名单</w:t>
      </w:r>
      <w:r>
        <w:rPr>
          <w:rFonts w:hint="eastAsia" w:ascii="宋体" w:hAnsi="宋体"/>
          <w:color w:val="auto"/>
          <w:sz w:val="24"/>
          <w:szCs w:val="24"/>
          <w:highlight w:val="none"/>
        </w:rPr>
        <w:t>；</w:t>
      </w:r>
    </w:p>
    <w:p w14:paraId="52EF62C0">
      <w:pPr>
        <w:tabs>
          <w:tab w:val="left" w:pos="360"/>
          <w:tab w:val="left" w:pos="540"/>
        </w:tabs>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（6）投标人或其法定代表人、拟委任的项目经理在近三年内被人民法院生效判决</w:t>
      </w:r>
      <w:r>
        <w:rPr>
          <w:rFonts w:hint="eastAsia" w:ascii="宋体" w:hAnsi="宋体"/>
          <w:color w:val="auto"/>
          <w:sz w:val="24"/>
          <w:szCs w:val="24"/>
          <w:highlight w:val="none"/>
          <w:lang w:val="en-US" w:eastAsia="zh-CN"/>
        </w:rPr>
        <w:t>或裁定认定</w:t>
      </w:r>
      <w:r>
        <w:rPr>
          <w:rFonts w:hint="eastAsia" w:ascii="宋体" w:hAnsi="宋体"/>
          <w:color w:val="auto"/>
          <w:sz w:val="24"/>
          <w:szCs w:val="24"/>
          <w:highlight w:val="none"/>
        </w:rPr>
        <w:t>为行贿犯罪的；</w:t>
      </w:r>
    </w:p>
    <w:p w14:paraId="52CD40FC">
      <w:pPr>
        <w:tabs>
          <w:tab w:val="left" w:pos="360"/>
          <w:tab w:val="left" w:pos="540"/>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（7）法律法规或投标人须知前附表规定的其他情形。</w:t>
      </w:r>
    </w:p>
    <w:p w14:paraId="634AFDDF">
      <w:pPr>
        <w:tabs>
          <w:tab w:val="left" w:pos="360"/>
          <w:tab w:val="left" w:pos="540"/>
        </w:tabs>
        <w:spacing w:line="360" w:lineRule="auto"/>
        <w:ind w:firstLine="480" w:firstLineChars="200"/>
        <w:rPr>
          <w:rFonts w:hint="eastAsia" w:ascii="宋体" w:hAnsi="宋体"/>
          <w:color w:val="auto"/>
          <w:sz w:val="24"/>
          <w:szCs w:val="24"/>
          <w:highlight w:val="none"/>
        </w:rPr>
      </w:pPr>
      <w:r>
        <w:rPr>
          <w:rFonts w:hint="eastAsia" w:ascii="宋体" w:hAnsi="宋体"/>
          <w:color w:val="auto"/>
          <w:kern w:val="2"/>
          <w:sz w:val="24"/>
          <w:szCs w:val="24"/>
          <w:highlight w:val="none"/>
        </w:rPr>
        <w:t>1.4.5 投标人</w:t>
      </w:r>
      <w:r>
        <w:rPr>
          <w:rFonts w:hint="eastAsia" w:ascii="宋体" w:hAnsi="宋体"/>
          <w:color w:val="auto"/>
          <w:sz w:val="24"/>
          <w:szCs w:val="24"/>
          <w:highlight w:val="none"/>
        </w:rPr>
        <w:t>（包括联合体各成员）</w:t>
      </w:r>
      <w:r>
        <w:rPr>
          <w:rFonts w:hint="eastAsia" w:ascii="宋体" w:hAnsi="宋体"/>
          <w:color w:val="auto"/>
          <w:kern w:val="2"/>
          <w:sz w:val="24"/>
          <w:szCs w:val="24"/>
          <w:highlight w:val="none"/>
        </w:rPr>
        <w:t>应进入交通运输部“</w:t>
      </w:r>
      <w:r>
        <w:rPr>
          <w:rFonts w:hint="eastAsia" w:ascii="宋体" w:hAnsi="宋体" w:cs="Times New Roman"/>
          <w:color w:val="auto"/>
          <w:kern w:val="2"/>
          <w:sz w:val="24"/>
          <w:szCs w:val="24"/>
          <w:highlight w:val="none"/>
        </w:rPr>
        <w:t>全国公路建设市场监督管理系统（https://hwdms.mot.gov.cn/BMWebSite/）</w:t>
      </w:r>
      <w:r>
        <w:rPr>
          <w:rFonts w:hint="eastAsia" w:ascii="宋体" w:hAnsi="宋体"/>
          <w:color w:val="auto"/>
          <w:kern w:val="2"/>
          <w:sz w:val="24"/>
          <w:szCs w:val="24"/>
          <w:highlight w:val="none"/>
        </w:rPr>
        <w:t>”中的公路工程施工资质企业名录，且投标人名称和资质与该名录中的相应企业名称和资质完全一致。投标人不满足本项规定条件的，将被否决投标。</w:t>
      </w:r>
      <w:bookmarkStart w:id="196" w:name="_Hlk94000183"/>
      <w:r>
        <w:rPr>
          <w:rFonts w:hint="eastAsia" w:ascii="宋体" w:hAnsi="宋体"/>
          <w:color w:val="auto"/>
          <w:kern w:val="2"/>
          <w:sz w:val="24"/>
          <w:szCs w:val="24"/>
          <w:highlight w:val="none"/>
          <w:vertAlign w:val="superscript"/>
        </w:rPr>
        <w:footnoteReference w:id="109"/>
      </w:r>
      <w:bookmarkEnd w:id="196"/>
    </w:p>
    <w:p w14:paraId="6E0E532A">
      <w:pPr>
        <w:pStyle w:val="6"/>
        <w:numPr>
          <w:ilvl w:val="0"/>
          <w:numId w:val="0"/>
        </w:numPr>
        <w:spacing w:line="360" w:lineRule="auto"/>
        <w:jc w:val="both"/>
        <w:rPr>
          <w:rFonts w:ascii="Times New Roman" w:hAnsi="Times New Roman"/>
          <w:b w:val="0"/>
          <w:bCs w:val="0"/>
          <w:color w:val="auto"/>
          <w:sz w:val="28"/>
          <w:szCs w:val="32"/>
          <w:highlight w:val="none"/>
        </w:rPr>
      </w:pPr>
      <w:bookmarkStart w:id="197" w:name="_Toc27059868"/>
      <w:bookmarkStart w:id="198" w:name="_Toc27059676"/>
      <w:bookmarkStart w:id="199" w:name="_Toc27059495"/>
      <w:bookmarkStart w:id="200" w:name="_Toc27059766"/>
      <w:bookmarkStart w:id="201" w:name="_Toc234832876"/>
      <w:bookmarkStart w:id="202" w:name="_Toc501257066"/>
      <w:bookmarkStart w:id="203" w:name="_Toc27060664"/>
      <w:bookmarkStart w:id="204" w:name="_Toc53685591"/>
      <w:r>
        <w:rPr>
          <w:rFonts w:ascii="Times New Roman" w:hAnsi="Times New Roman"/>
          <w:b w:val="0"/>
          <w:bCs w:val="0"/>
          <w:color w:val="auto"/>
          <w:sz w:val="28"/>
          <w:szCs w:val="32"/>
          <w:highlight w:val="none"/>
        </w:rPr>
        <w:t xml:space="preserve">1.5 </w:t>
      </w:r>
      <w:r>
        <w:rPr>
          <w:rFonts w:hint="default" w:ascii="Times New Roman" w:hAnsi="Times New Roman"/>
          <w:b w:val="0"/>
          <w:bCs w:val="0"/>
          <w:color w:val="auto"/>
          <w:sz w:val="28"/>
          <w:szCs w:val="32"/>
          <w:highlight w:val="none"/>
        </w:rPr>
        <w:t>费用承担</w:t>
      </w:r>
      <w:bookmarkEnd w:id="197"/>
      <w:bookmarkEnd w:id="198"/>
      <w:bookmarkEnd w:id="199"/>
      <w:bookmarkEnd w:id="200"/>
      <w:bookmarkEnd w:id="201"/>
      <w:bookmarkEnd w:id="202"/>
      <w:bookmarkEnd w:id="203"/>
      <w:bookmarkEnd w:id="204"/>
    </w:p>
    <w:p w14:paraId="18AB7C32">
      <w:pPr>
        <w:spacing w:line="400" w:lineRule="atLeast"/>
        <w:ind w:firstLine="480" w:firstLineChars="200"/>
        <w:rPr>
          <w:color w:val="auto"/>
          <w:sz w:val="24"/>
          <w:highlight w:val="none"/>
        </w:rPr>
      </w:pPr>
      <w:r>
        <w:rPr>
          <w:rFonts w:hint="eastAsia"/>
          <w:color w:val="auto"/>
          <w:sz w:val="24"/>
          <w:highlight w:val="none"/>
        </w:rPr>
        <w:t>投标人准备和参加投标活动发生的费用自理。</w:t>
      </w:r>
    </w:p>
    <w:p w14:paraId="54757E40">
      <w:pPr>
        <w:pStyle w:val="6"/>
        <w:numPr>
          <w:ilvl w:val="0"/>
          <w:numId w:val="0"/>
        </w:numPr>
        <w:spacing w:line="360" w:lineRule="auto"/>
        <w:jc w:val="both"/>
        <w:rPr>
          <w:rFonts w:ascii="Times New Roman" w:hAnsi="Times New Roman"/>
          <w:b w:val="0"/>
          <w:bCs w:val="0"/>
          <w:color w:val="auto"/>
          <w:sz w:val="28"/>
          <w:szCs w:val="32"/>
          <w:highlight w:val="none"/>
        </w:rPr>
      </w:pPr>
      <w:bookmarkStart w:id="205" w:name="_Toc27059767"/>
      <w:bookmarkStart w:id="206" w:name="_Toc27059677"/>
      <w:bookmarkStart w:id="207" w:name="_Toc234832877"/>
      <w:bookmarkStart w:id="208" w:name="_Toc501257067"/>
      <w:bookmarkStart w:id="209" w:name="_Toc27060665"/>
      <w:bookmarkStart w:id="210" w:name="_Toc27059496"/>
      <w:bookmarkStart w:id="211" w:name="_Toc27059869"/>
      <w:bookmarkStart w:id="212" w:name="_Toc53685592"/>
      <w:r>
        <w:rPr>
          <w:rFonts w:ascii="Times New Roman" w:hAnsi="Times New Roman"/>
          <w:b w:val="0"/>
          <w:bCs w:val="0"/>
          <w:color w:val="auto"/>
          <w:sz w:val="28"/>
          <w:szCs w:val="32"/>
          <w:highlight w:val="none"/>
        </w:rPr>
        <w:t xml:space="preserve">1.6 </w:t>
      </w:r>
      <w:r>
        <w:rPr>
          <w:rFonts w:hint="default" w:ascii="Times New Roman" w:hAnsi="Times New Roman"/>
          <w:b w:val="0"/>
          <w:bCs w:val="0"/>
          <w:color w:val="auto"/>
          <w:sz w:val="28"/>
          <w:szCs w:val="32"/>
          <w:highlight w:val="none"/>
        </w:rPr>
        <w:t>保密</w:t>
      </w:r>
      <w:bookmarkEnd w:id="205"/>
      <w:bookmarkEnd w:id="206"/>
      <w:bookmarkEnd w:id="207"/>
      <w:bookmarkEnd w:id="208"/>
      <w:bookmarkEnd w:id="209"/>
      <w:bookmarkEnd w:id="210"/>
      <w:bookmarkEnd w:id="211"/>
      <w:bookmarkEnd w:id="212"/>
    </w:p>
    <w:p w14:paraId="0AE8371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参与招标投标活动的各方应对招标文件和投标文件中的商业和技术等秘密保密，</w:t>
      </w:r>
      <w:r>
        <w:rPr>
          <w:rFonts w:asciiTheme="minorEastAsia" w:hAnsiTheme="minorEastAsia" w:eastAsiaTheme="minorEastAsia"/>
          <w:color w:val="auto"/>
          <w:kern w:val="2"/>
          <w:sz w:val="24"/>
          <w:szCs w:val="24"/>
          <w:highlight w:val="none"/>
        </w:rPr>
        <w:t>否则应承担相应的法律责任。</w:t>
      </w:r>
    </w:p>
    <w:p w14:paraId="48B3C608">
      <w:pPr>
        <w:pStyle w:val="6"/>
        <w:numPr>
          <w:ilvl w:val="0"/>
          <w:numId w:val="0"/>
        </w:numPr>
        <w:spacing w:line="360" w:lineRule="auto"/>
        <w:jc w:val="both"/>
        <w:rPr>
          <w:rFonts w:ascii="Times New Roman" w:hAnsi="Times New Roman"/>
          <w:b w:val="0"/>
          <w:bCs w:val="0"/>
          <w:color w:val="auto"/>
          <w:sz w:val="28"/>
          <w:szCs w:val="32"/>
          <w:highlight w:val="none"/>
        </w:rPr>
      </w:pPr>
      <w:bookmarkStart w:id="213" w:name="_Toc27059497"/>
      <w:bookmarkStart w:id="214" w:name="_Toc27059678"/>
      <w:bookmarkStart w:id="215" w:name="_Toc27059768"/>
      <w:bookmarkStart w:id="216" w:name="_Toc27060666"/>
      <w:bookmarkStart w:id="217" w:name="_Toc501257068"/>
      <w:bookmarkStart w:id="218" w:name="_Toc27059870"/>
      <w:bookmarkStart w:id="219" w:name="_Toc53685593"/>
      <w:bookmarkStart w:id="220" w:name="_Toc234832878"/>
      <w:r>
        <w:rPr>
          <w:rFonts w:ascii="Times New Roman" w:hAnsi="Times New Roman"/>
          <w:b w:val="0"/>
          <w:bCs w:val="0"/>
          <w:color w:val="auto"/>
          <w:sz w:val="28"/>
          <w:szCs w:val="32"/>
          <w:highlight w:val="none"/>
        </w:rPr>
        <w:t xml:space="preserve">1.7 </w:t>
      </w:r>
      <w:r>
        <w:rPr>
          <w:rFonts w:hint="default" w:ascii="Times New Roman" w:hAnsi="Times New Roman"/>
          <w:b w:val="0"/>
          <w:bCs w:val="0"/>
          <w:color w:val="auto"/>
          <w:sz w:val="28"/>
          <w:szCs w:val="32"/>
          <w:highlight w:val="none"/>
        </w:rPr>
        <w:t>语言文字</w:t>
      </w:r>
      <w:bookmarkEnd w:id="213"/>
      <w:bookmarkEnd w:id="214"/>
      <w:bookmarkEnd w:id="215"/>
      <w:bookmarkEnd w:id="216"/>
      <w:bookmarkEnd w:id="217"/>
      <w:bookmarkEnd w:id="218"/>
      <w:bookmarkEnd w:id="219"/>
      <w:bookmarkEnd w:id="220"/>
    </w:p>
    <w:p w14:paraId="6F0C2178">
      <w:pPr>
        <w:spacing w:line="360" w:lineRule="auto"/>
        <w:ind w:firstLine="480" w:firstLineChars="200"/>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2"/>
          <w:sz w:val="24"/>
          <w:szCs w:val="24"/>
          <w:highlight w:val="none"/>
        </w:rPr>
        <w:t>招标投标文件使用的语言文字为中文</w:t>
      </w:r>
      <w:r>
        <w:rPr>
          <w:rFonts w:hint="default" w:asciiTheme="minorEastAsia" w:hAnsiTheme="minorEastAsia" w:eastAsiaTheme="minorEastAsia"/>
          <w:color w:val="auto"/>
          <w:kern w:val="2"/>
          <w:sz w:val="24"/>
          <w:szCs w:val="24"/>
          <w:highlight w:val="none"/>
        </w:rPr>
        <w:t>。</w:t>
      </w:r>
      <w:r>
        <w:rPr>
          <w:rFonts w:asciiTheme="minorEastAsia" w:hAnsiTheme="minorEastAsia" w:eastAsiaTheme="minorEastAsia"/>
          <w:color w:val="auto"/>
          <w:kern w:val="2"/>
          <w:sz w:val="24"/>
          <w:szCs w:val="24"/>
          <w:highlight w:val="none"/>
        </w:rPr>
        <w:t>专用术语使用外文的，应附有中文注释。</w:t>
      </w:r>
    </w:p>
    <w:p w14:paraId="19277C4F">
      <w:pPr>
        <w:pStyle w:val="6"/>
        <w:numPr>
          <w:ilvl w:val="-1"/>
          <w:numId w:val="0"/>
        </w:numPr>
        <w:spacing w:line="360" w:lineRule="auto"/>
        <w:jc w:val="both"/>
        <w:rPr>
          <w:rFonts w:ascii="Times New Roman" w:hAnsi="Times New Roman"/>
          <w:b w:val="0"/>
          <w:bCs w:val="0"/>
          <w:color w:val="auto"/>
          <w:sz w:val="28"/>
          <w:szCs w:val="32"/>
          <w:highlight w:val="none"/>
        </w:rPr>
      </w:pPr>
      <w:bookmarkStart w:id="221" w:name="_Toc27060667"/>
      <w:bookmarkStart w:id="222" w:name="_Toc27059679"/>
      <w:bookmarkStart w:id="223" w:name="_Toc27059498"/>
      <w:bookmarkStart w:id="224" w:name="_Toc27059871"/>
      <w:bookmarkStart w:id="225" w:name="_Toc53685594"/>
      <w:bookmarkStart w:id="226" w:name="_Toc234832879"/>
      <w:bookmarkStart w:id="227" w:name="_Toc501257069"/>
      <w:bookmarkStart w:id="228" w:name="_Toc27059769"/>
      <w:r>
        <w:rPr>
          <w:rFonts w:ascii="Times New Roman" w:hAnsi="Times New Roman"/>
          <w:b w:val="0"/>
          <w:bCs w:val="0"/>
          <w:color w:val="auto"/>
          <w:sz w:val="28"/>
          <w:szCs w:val="32"/>
          <w:highlight w:val="none"/>
        </w:rPr>
        <w:t xml:space="preserve">1.8 </w:t>
      </w:r>
      <w:r>
        <w:rPr>
          <w:rFonts w:hint="default" w:ascii="Times New Roman" w:hAnsi="Times New Roman"/>
          <w:b w:val="0"/>
          <w:bCs w:val="0"/>
          <w:color w:val="auto"/>
          <w:sz w:val="28"/>
          <w:szCs w:val="32"/>
          <w:highlight w:val="none"/>
        </w:rPr>
        <w:t>计量单位</w:t>
      </w:r>
      <w:bookmarkEnd w:id="221"/>
      <w:bookmarkEnd w:id="222"/>
      <w:bookmarkEnd w:id="223"/>
      <w:bookmarkEnd w:id="224"/>
      <w:bookmarkEnd w:id="225"/>
      <w:bookmarkEnd w:id="226"/>
      <w:bookmarkEnd w:id="227"/>
      <w:bookmarkEnd w:id="228"/>
    </w:p>
    <w:p w14:paraId="03844DD4">
      <w:pPr>
        <w:spacing w:line="360" w:lineRule="auto"/>
        <w:ind w:firstLine="480" w:firstLineChars="200"/>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所有计量均采用中华人民共和国法定计量单位。</w:t>
      </w:r>
    </w:p>
    <w:p w14:paraId="39DCCD25">
      <w:pPr>
        <w:pStyle w:val="6"/>
        <w:numPr>
          <w:ilvl w:val="-1"/>
          <w:numId w:val="0"/>
        </w:numPr>
        <w:spacing w:line="360" w:lineRule="auto"/>
        <w:jc w:val="both"/>
        <w:rPr>
          <w:rFonts w:ascii="Times New Roman" w:hAnsi="Times New Roman"/>
          <w:b w:val="0"/>
          <w:bCs w:val="0"/>
          <w:color w:val="auto"/>
          <w:sz w:val="28"/>
          <w:szCs w:val="32"/>
          <w:highlight w:val="none"/>
        </w:rPr>
      </w:pPr>
      <w:bookmarkStart w:id="229" w:name="_Toc27059770"/>
      <w:bookmarkStart w:id="230" w:name="_Toc27060668"/>
      <w:bookmarkStart w:id="231" w:name="_Toc53685595"/>
      <w:bookmarkStart w:id="232" w:name="_Toc27059680"/>
      <w:bookmarkStart w:id="233" w:name="_Toc27059872"/>
      <w:bookmarkStart w:id="234" w:name="_Toc501257070"/>
      <w:bookmarkStart w:id="235" w:name="_Toc234832880"/>
      <w:bookmarkStart w:id="236" w:name="_Toc27059499"/>
      <w:r>
        <w:rPr>
          <w:rFonts w:ascii="Times New Roman" w:hAnsi="Times New Roman"/>
          <w:b w:val="0"/>
          <w:bCs w:val="0"/>
          <w:color w:val="auto"/>
          <w:sz w:val="28"/>
          <w:szCs w:val="32"/>
          <w:highlight w:val="none"/>
        </w:rPr>
        <w:t xml:space="preserve">1.9 </w:t>
      </w:r>
      <w:r>
        <w:rPr>
          <w:rFonts w:hint="default" w:ascii="Times New Roman" w:hAnsi="Times New Roman"/>
          <w:b w:val="0"/>
          <w:bCs w:val="0"/>
          <w:color w:val="auto"/>
          <w:sz w:val="28"/>
          <w:szCs w:val="32"/>
          <w:highlight w:val="none"/>
        </w:rPr>
        <w:t>踏勘现场</w:t>
      </w:r>
      <w:bookmarkEnd w:id="229"/>
      <w:bookmarkEnd w:id="230"/>
      <w:bookmarkEnd w:id="231"/>
      <w:bookmarkEnd w:id="232"/>
      <w:bookmarkEnd w:id="233"/>
      <w:bookmarkEnd w:id="234"/>
      <w:bookmarkEnd w:id="235"/>
      <w:bookmarkEnd w:id="236"/>
    </w:p>
    <w:p w14:paraId="474E2BA6">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1.9.1 </w:t>
      </w:r>
      <w:r>
        <w:rPr>
          <w:rFonts w:hint="eastAsia" w:asciiTheme="minorEastAsia" w:hAnsiTheme="minorEastAsia" w:eastAsiaTheme="minorEastAsia"/>
          <w:color w:val="auto"/>
          <w:sz w:val="24"/>
          <w:highlight w:val="none"/>
        </w:rPr>
        <w:t>第一章“招标公告”</w:t>
      </w:r>
      <w:r>
        <w:rPr>
          <w:rFonts w:asciiTheme="minorEastAsia" w:hAnsiTheme="minorEastAsia" w:eastAsiaTheme="minorEastAsia"/>
          <w:color w:val="auto"/>
          <w:sz w:val="24"/>
          <w:highlight w:val="none"/>
        </w:rPr>
        <w:t>规定组织踏勘现场的，招标人按规定的时间、地点组织投标人踏勘项目现场。部分投标人未按时参加踏勘现场的，不影响踏勘现场的正常进行。</w:t>
      </w:r>
      <w:r>
        <w:rPr>
          <w:rFonts w:hint="eastAsia" w:asciiTheme="minorEastAsia" w:hAnsiTheme="minorEastAsia" w:eastAsiaTheme="minorEastAsia"/>
          <w:color w:val="auto"/>
          <w:sz w:val="24"/>
          <w:highlight w:val="none"/>
        </w:rPr>
        <w:t>招标人不得组织单个或部分投标人踏勘项目现场。</w:t>
      </w:r>
    </w:p>
    <w:p w14:paraId="788610C6">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1.9.2 </w:t>
      </w:r>
      <w:r>
        <w:rPr>
          <w:rFonts w:hint="eastAsia" w:asciiTheme="minorEastAsia" w:hAnsiTheme="minorEastAsia" w:eastAsiaTheme="minorEastAsia"/>
          <w:color w:val="auto"/>
          <w:sz w:val="24"/>
          <w:highlight w:val="none"/>
        </w:rPr>
        <w:t>投标人踏勘现场发生的费用自理。</w:t>
      </w:r>
    </w:p>
    <w:p w14:paraId="42B2E68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1.9.3 </w:t>
      </w:r>
      <w:r>
        <w:rPr>
          <w:rFonts w:hint="eastAsia" w:asciiTheme="minorEastAsia" w:hAnsiTheme="minorEastAsia" w:eastAsiaTheme="minorEastAsia"/>
          <w:color w:val="auto"/>
          <w:sz w:val="24"/>
          <w:highlight w:val="none"/>
        </w:rPr>
        <w:t>除招标人的原因外，投标人自行负责在踏勘现场中所发生的人员伤亡和财产损失。</w:t>
      </w:r>
    </w:p>
    <w:p w14:paraId="7F6CA13D">
      <w:pPr>
        <w:spacing w:line="360" w:lineRule="auto"/>
        <w:ind w:firstLine="480" w:firstLineChars="200"/>
        <w:rPr>
          <w:color w:val="auto"/>
          <w:sz w:val="24"/>
          <w:highlight w:val="none"/>
        </w:rPr>
      </w:pPr>
      <w:r>
        <w:rPr>
          <w:rFonts w:asciiTheme="minorEastAsia" w:hAnsiTheme="minorEastAsia" w:eastAsiaTheme="minorEastAsia"/>
          <w:color w:val="auto"/>
          <w:sz w:val="24"/>
          <w:highlight w:val="none"/>
        </w:rPr>
        <w:t xml:space="preserve">1.9.4 </w:t>
      </w:r>
      <w:r>
        <w:rPr>
          <w:rFonts w:hint="eastAsia" w:asciiTheme="minorEastAsia" w:hAnsiTheme="minorEastAsia" w:eastAsiaTheme="minorEastAsia"/>
          <w:color w:val="auto"/>
          <w:sz w:val="24"/>
          <w:highlight w:val="none"/>
        </w:rPr>
        <w:t>招标人在踏勘现场中介绍的工程场地和相关的周边环境情况，供投标人在编制投标文件时参考</w:t>
      </w:r>
      <w:r>
        <w:rPr>
          <w:rFonts w:hint="eastAsia"/>
          <w:color w:val="auto"/>
          <w:sz w:val="24"/>
          <w:highlight w:val="none"/>
        </w:rPr>
        <w:t>，招标人不对投标人据此作出的判断和决策负责。</w:t>
      </w:r>
    </w:p>
    <w:p w14:paraId="7C0614C5">
      <w:pP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70EEBCC2">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237" w:name="_Toc27059500"/>
      <w:bookmarkStart w:id="238" w:name="_Toc27059681"/>
      <w:bookmarkStart w:id="239" w:name="_Toc27059771"/>
      <w:bookmarkStart w:id="240" w:name="_Toc234832881"/>
      <w:bookmarkStart w:id="241" w:name="_Toc53685596"/>
      <w:bookmarkStart w:id="242" w:name="_Toc27060669"/>
      <w:bookmarkStart w:id="243" w:name="_Toc27059873"/>
      <w:bookmarkStart w:id="244" w:name="_Toc501257071"/>
      <w:r>
        <w:rPr>
          <w:rFonts w:ascii="Times New Roman" w:hAnsi="Times New Roman"/>
          <w:b w:val="0"/>
          <w:bCs w:val="0"/>
          <w:color w:val="auto"/>
          <w:sz w:val="28"/>
          <w:szCs w:val="32"/>
          <w:highlight w:val="none"/>
        </w:rPr>
        <w:t xml:space="preserve">1.10 </w:t>
      </w:r>
      <w:r>
        <w:rPr>
          <w:rFonts w:hint="default" w:ascii="Times New Roman" w:hAnsi="Times New Roman"/>
          <w:b w:val="0"/>
          <w:bCs w:val="0"/>
          <w:color w:val="auto"/>
          <w:sz w:val="28"/>
          <w:szCs w:val="32"/>
          <w:highlight w:val="none"/>
        </w:rPr>
        <w:t>投标预备会</w:t>
      </w:r>
      <w:bookmarkEnd w:id="237"/>
      <w:bookmarkEnd w:id="238"/>
      <w:bookmarkEnd w:id="239"/>
      <w:bookmarkEnd w:id="240"/>
      <w:bookmarkEnd w:id="241"/>
      <w:bookmarkEnd w:id="242"/>
      <w:bookmarkEnd w:id="243"/>
      <w:bookmarkEnd w:id="244"/>
    </w:p>
    <w:p w14:paraId="162C87AE">
      <w:pPr>
        <w:spacing w:line="360" w:lineRule="auto"/>
        <w:ind w:firstLine="480" w:firstLineChars="200"/>
        <w:rPr>
          <w:rFonts w:ascii="宋体" w:hAnsi="宋体"/>
          <w:color w:val="auto"/>
          <w:sz w:val="24"/>
          <w:highlight w:val="none"/>
        </w:rPr>
      </w:pPr>
      <w:r>
        <w:rPr>
          <w:rFonts w:ascii="宋体" w:hAnsi="宋体"/>
          <w:color w:val="auto"/>
          <w:sz w:val="24"/>
          <w:highlight w:val="none"/>
        </w:rPr>
        <w:t>1.10.1</w:t>
      </w:r>
      <w:r>
        <w:rPr>
          <w:color w:val="auto"/>
          <w:sz w:val="24"/>
          <w:highlight w:val="none"/>
        </w:rPr>
        <w:t xml:space="preserve"> </w:t>
      </w:r>
      <w:r>
        <w:rPr>
          <w:rFonts w:ascii="宋体" w:hAnsi="宋体"/>
          <w:color w:val="auto"/>
          <w:sz w:val="24"/>
          <w:highlight w:val="none"/>
        </w:rPr>
        <w:t>第一章</w:t>
      </w:r>
      <w:r>
        <w:rPr>
          <w:rFonts w:hint="eastAsia" w:ascii="宋体" w:hAnsi="宋体"/>
          <w:color w:val="auto"/>
          <w:sz w:val="24"/>
          <w:highlight w:val="none"/>
        </w:rPr>
        <w:t>“招标公告”</w:t>
      </w:r>
      <w:r>
        <w:rPr>
          <w:rFonts w:ascii="宋体" w:hAnsi="宋体"/>
          <w:color w:val="auto"/>
          <w:sz w:val="24"/>
          <w:highlight w:val="none"/>
        </w:rPr>
        <w:t>规定召开投标预备会的，招标人按规定的时间和地点召开投标预备会，澄清投标人提出的问题。</w:t>
      </w:r>
    </w:p>
    <w:p w14:paraId="0BE285D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1.10.2 投标人应按投标人须知前附表规定的时间和形式将提出的问题送达招标人，以便招标人在会议期间澄清。</w:t>
      </w:r>
    </w:p>
    <w:p w14:paraId="0F1CD71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1.10.3 投标预备会后，招标人将对投标人所提问题的澄清，以</w:t>
      </w:r>
      <w:r>
        <w:rPr>
          <w:rFonts w:hint="default" w:ascii="宋体" w:hAnsi="宋体"/>
          <w:color w:val="auto"/>
          <w:sz w:val="24"/>
          <w:szCs w:val="24"/>
          <w:highlight w:val="none"/>
        </w:rPr>
        <w:t>本</w:t>
      </w:r>
      <w:r>
        <w:rPr>
          <w:rFonts w:ascii="宋体" w:hAnsi="宋体"/>
          <w:color w:val="auto"/>
          <w:sz w:val="24"/>
          <w:szCs w:val="24"/>
          <w:highlight w:val="none"/>
        </w:rPr>
        <w:t>章第2.2款规定的形式</w:t>
      </w:r>
      <w:r>
        <w:rPr>
          <w:rFonts w:hint="default" w:ascii="宋体" w:hAnsi="宋体"/>
          <w:color w:val="auto"/>
          <w:sz w:val="24"/>
          <w:szCs w:val="24"/>
          <w:highlight w:val="none"/>
          <w:lang w:val="en-US" w:eastAsia="zh-CN"/>
        </w:rPr>
        <w:t>和时间发出</w:t>
      </w:r>
      <w:r>
        <w:rPr>
          <w:rFonts w:hint="default" w:ascii="宋体" w:hAnsi="宋体"/>
          <w:color w:val="auto"/>
          <w:sz w:val="24"/>
          <w:szCs w:val="24"/>
          <w:highlight w:val="none"/>
          <w:lang w:eastAsia="zh-CN"/>
        </w:rPr>
        <w:t>，</w:t>
      </w:r>
      <w:r>
        <w:rPr>
          <w:rFonts w:ascii="宋体" w:hAnsi="宋体"/>
          <w:color w:val="auto"/>
          <w:sz w:val="24"/>
          <w:szCs w:val="24"/>
          <w:highlight w:val="none"/>
        </w:rPr>
        <w:t>该澄清内容为招标文件的组成部分。</w:t>
      </w:r>
    </w:p>
    <w:p w14:paraId="0FAA1973">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245" w:name="_Toc234832882"/>
      <w:bookmarkStart w:id="246" w:name="_Toc27060670"/>
      <w:bookmarkStart w:id="247" w:name="_Toc27059682"/>
      <w:bookmarkStart w:id="248" w:name="_Toc53685597"/>
      <w:bookmarkStart w:id="249" w:name="_Toc27059501"/>
      <w:bookmarkStart w:id="250" w:name="_Toc27059874"/>
      <w:bookmarkStart w:id="251" w:name="_Toc501257072"/>
      <w:bookmarkStart w:id="252" w:name="_Toc27059772"/>
      <w:r>
        <w:rPr>
          <w:rFonts w:ascii="Times New Roman" w:hAnsi="Times New Roman"/>
          <w:b w:val="0"/>
          <w:bCs w:val="0"/>
          <w:color w:val="auto"/>
          <w:sz w:val="28"/>
          <w:szCs w:val="32"/>
          <w:highlight w:val="none"/>
        </w:rPr>
        <w:t xml:space="preserve">1.11 </w:t>
      </w:r>
      <w:r>
        <w:rPr>
          <w:rFonts w:hint="default" w:ascii="Times New Roman" w:hAnsi="Times New Roman"/>
          <w:b w:val="0"/>
          <w:bCs w:val="0"/>
          <w:color w:val="auto"/>
          <w:sz w:val="28"/>
          <w:szCs w:val="32"/>
          <w:highlight w:val="none"/>
        </w:rPr>
        <w:t>分包</w:t>
      </w:r>
      <w:bookmarkEnd w:id="245"/>
      <w:bookmarkEnd w:id="246"/>
      <w:bookmarkEnd w:id="247"/>
      <w:bookmarkEnd w:id="248"/>
      <w:bookmarkEnd w:id="249"/>
      <w:bookmarkEnd w:id="250"/>
      <w:bookmarkEnd w:id="251"/>
      <w:bookmarkEnd w:id="252"/>
    </w:p>
    <w:p w14:paraId="7B4EDA7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1.11.1 投标人拟在中标后将中标项目的部分非主体、非关键性工作进行分包的，应符合以下规定：</w:t>
      </w:r>
    </w:p>
    <w:p w14:paraId="5CA94C59">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rPr>
        <w:t>（</w:t>
      </w:r>
      <w:r>
        <w:rPr>
          <w:rFonts w:ascii="宋体" w:hAnsi="宋体"/>
          <w:color w:val="auto"/>
          <w:sz w:val="24"/>
          <w:szCs w:val="24"/>
          <w:highlight w:val="none"/>
        </w:rPr>
        <w:t>1）分包内容要求：允许分包的工程范围仅限于非关键性工程或适合专业化队伍施工的专项工程。招标人允许分包或不允许分包的专项工程（如有）应在投标人须知前附表中载明。</w:t>
      </w:r>
    </w:p>
    <w:p w14:paraId="17D358A4">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rPr>
        <w:t>（</w:t>
      </w:r>
      <w:r>
        <w:rPr>
          <w:rFonts w:ascii="宋体" w:hAnsi="宋体"/>
          <w:color w:val="auto"/>
          <w:sz w:val="24"/>
          <w:szCs w:val="24"/>
          <w:highlight w:val="none"/>
        </w:rPr>
        <w:t>2）接受分包的第三人资格要求：分包人的资格能力应与其分包工程的标准和规模相适应，且具备投标人须知前附表中规定的资格条件。</w:t>
      </w:r>
    </w:p>
    <w:p w14:paraId="7145CA6E">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rPr>
        <w:t>（</w:t>
      </w:r>
      <w:r>
        <w:rPr>
          <w:rFonts w:ascii="宋体" w:hAnsi="宋体"/>
          <w:color w:val="auto"/>
          <w:sz w:val="24"/>
          <w:szCs w:val="24"/>
          <w:highlight w:val="none"/>
        </w:rPr>
        <w:t>3）其他要求：投标人如有分包计划，应按第九章“投标文件格式”的要求填写“拟分包项目情况表”，明确拟分包的工程及规模，且投标人中标后的分包应满足合同条款第4.3款的相关要求。</w:t>
      </w:r>
    </w:p>
    <w:p w14:paraId="7FBA8EEA">
      <w:pPr>
        <w:spacing w:line="360" w:lineRule="auto"/>
        <w:ind w:firstLine="480" w:firstLineChars="200"/>
        <w:rPr>
          <w:rFonts w:ascii="宋体" w:hAnsi="宋体" w:eastAsia="宋体"/>
          <w:color w:val="auto"/>
          <w:sz w:val="24"/>
          <w:szCs w:val="24"/>
          <w:highlight w:val="none"/>
        </w:rPr>
      </w:pPr>
      <w:r>
        <w:rPr>
          <w:rFonts w:ascii="宋体" w:hAnsi="宋体"/>
          <w:color w:val="auto"/>
          <w:sz w:val="24"/>
          <w:szCs w:val="24"/>
          <w:highlight w:val="none"/>
        </w:rPr>
        <w:t>1.11.2 中标人不得向他人转让中标项目，接受分包的人不得再次分包。中标人应就分包项目向招标人负责，接受分包的人就分包项目承担连带责任。</w:t>
      </w:r>
    </w:p>
    <w:p w14:paraId="431C1EEC">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253" w:name="_Toc234832883"/>
      <w:bookmarkStart w:id="254" w:name="_Toc27059875"/>
      <w:bookmarkStart w:id="255" w:name="_Toc27059502"/>
      <w:bookmarkStart w:id="256" w:name="_Toc501257073"/>
      <w:bookmarkStart w:id="257" w:name="_Toc53685598"/>
      <w:bookmarkStart w:id="258" w:name="_Toc27059683"/>
      <w:bookmarkStart w:id="259" w:name="_Toc27060671"/>
      <w:bookmarkStart w:id="260" w:name="_Toc27059773"/>
      <w:r>
        <w:rPr>
          <w:rFonts w:ascii="Times New Roman" w:hAnsi="Times New Roman"/>
          <w:b w:val="0"/>
          <w:bCs w:val="0"/>
          <w:color w:val="auto"/>
          <w:sz w:val="28"/>
          <w:szCs w:val="32"/>
          <w:highlight w:val="none"/>
        </w:rPr>
        <w:t xml:space="preserve">1.12 </w:t>
      </w:r>
      <w:bookmarkEnd w:id="253"/>
      <w:r>
        <w:rPr>
          <w:rFonts w:hint="default" w:ascii="Times New Roman" w:hAnsi="Times New Roman"/>
          <w:b w:val="0"/>
          <w:bCs w:val="0"/>
          <w:color w:val="auto"/>
          <w:sz w:val="28"/>
          <w:szCs w:val="32"/>
          <w:highlight w:val="none"/>
        </w:rPr>
        <w:t>响应和偏差</w:t>
      </w:r>
      <w:bookmarkEnd w:id="254"/>
      <w:bookmarkEnd w:id="255"/>
      <w:bookmarkEnd w:id="256"/>
      <w:bookmarkEnd w:id="257"/>
      <w:bookmarkEnd w:id="258"/>
      <w:bookmarkEnd w:id="259"/>
      <w:bookmarkEnd w:id="260"/>
    </w:p>
    <w:p w14:paraId="32A3D31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1.12.1 投标文件偏离招标文件某些要求</w:t>
      </w:r>
      <w:r>
        <w:rPr>
          <w:rFonts w:hint="eastAsia" w:ascii="宋体" w:hAnsi="宋体"/>
          <w:color w:val="auto"/>
          <w:sz w:val="24"/>
          <w:szCs w:val="24"/>
          <w:highlight w:val="none"/>
        </w:rPr>
        <w:t>，</w:t>
      </w:r>
      <w:r>
        <w:rPr>
          <w:rFonts w:ascii="宋体" w:hAnsi="宋体"/>
          <w:color w:val="auto"/>
          <w:sz w:val="24"/>
          <w:szCs w:val="24"/>
          <w:highlight w:val="none"/>
        </w:rPr>
        <w:t>视为投标文件存在偏差</w:t>
      </w:r>
      <w:r>
        <w:rPr>
          <w:rFonts w:hint="eastAsia" w:ascii="宋体" w:hAnsi="宋体"/>
          <w:color w:val="auto"/>
          <w:sz w:val="24"/>
          <w:szCs w:val="24"/>
          <w:highlight w:val="none"/>
        </w:rPr>
        <w:t>。</w:t>
      </w:r>
      <w:r>
        <w:rPr>
          <w:rFonts w:ascii="宋体" w:hAnsi="宋体"/>
          <w:color w:val="auto"/>
          <w:sz w:val="24"/>
          <w:szCs w:val="24"/>
          <w:highlight w:val="none"/>
        </w:rPr>
        <w:t>偏差包括</w:t>
      </w:r>
      <w:r>
        <w:rPr>
          <w:rFonts w:hint="eastAsia" w:ascii="宋体" w:hAnsi="宋体"/>
          <w:color w:val="auto"/>
          <w:sz w:val="24"/>
          <w:szCs w:val="24"/>
          <w:highlight w:val="none"/>
        </w:rPr>
        <w:t>重大偏差和细微偏差。</w:t>
      </w:r>
    </w:p>
    <w:p w14:paraId="329EB90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1.12.2 投标文件应对招标文件的实质性要求和条件作出满足性或更有利于招标人的响应，否则，视为投标文件存在重大偏差</w:t>
      </w:r>
      <w:r>
        <w:rPr>
          <w:rFonts w:hint="eastAsia" w:ascii="宋体" w:hAnsi="宋体"/>
          <w:color w:val="auto"/>
          <w:sz w:val="24"/>
          <w:szCs w:val="24"/>
          <w:highlight w:val="none"/>
        </w:rPr>
        <w:t>，</w:t>
      </w:r>
      <w:r>
        <w:rPr>
          <w:rFonts w:ascii="宋体" w:hAnsi="宋体"/>
          <w:color w:val="auto"/>
          <w:sz w:val="24"/>
          <w:szCs w:val="24"/>
          <w:highlight w:val="none"/>
        </w:rPr>
        <w:t>投标人的投标将被否决。</w:t>
      </w:r>
    </w:p>
    <w:p w14:paraId="4C558C06">
      <w:pPr>
        <w:spacing w:line="360" w:lineRule="auto"/>
        <w:rPr>
          <w:rFonts w:ascii="宋体" w:hAnsi="宋体"/>
          <w:color w:val="auto"/>
          <w:sz w:val="24"/>
          <w:szCs w:val="24"/>
          <w:highlight w:val="none"/>
        </w:rPr>
      </w:pPr>
      <w:r>
        <w:rPr>
          <w:rFonts w:hint="eastAsia" w:ascii="宋体" w:hAnsi="宋体"/>
          <w:color w:val="auto"/>
          <w:sz w:val="24"/>
          <w:szCs w:val="24"/>
          <w:highlight w:val="none"/>
        </w:rPr>
        <w:t>投标文件存在第三章“评标办法”中所列任一否决投标情形的，均属于存在重大偏差。</w:t>
      </w:r>
    </w:p>
    <w:p w14:paraId="16439F2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1.12.3 </w:t>
      </w:r>
      <w:r>
        <w:rPr>
          <w:rFonts w:hint="eastAsia" w:ascii="宋体" w:hAnsi="宋体"/>
          <w:color w:val="auto"/>
          <w:sz w:val="24"/>
          <w:szCs w:val="24"/>
          <w:highlight w:val="none"/>
        </w:rPr>
        <w:t>投标文件中的下列偏差为细微偏差：</w:t>
      </w:r>
    </w:p>
    <w:p w14:paraId="5179F2E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1）在按照第三章“评标办法”的规定对投标价进行算术性错误修正及其他错误修正后，最终投标报价未超过最高投标限价</w:t>
      </w:r>
      <w:r>
        <w:rPr>
          <w:rFonts w:hint="default" w:ascii="宋体" w:hAnsi="宋体"/>
          <w:color w:val="auto"/>
          <w:sz w:val="24"/>
          <w:szCs w:val="24"/>
          <w:highlight w:val="none"/>
          <w:lang w:eastAsia="zh-CN"/>
        </w:rPr>
        <w:t>（</w:t>
      </w:r>
      <w:r>
        <w:rPr>
          <w:rFonts w:hint="default" w:ascii="宋体" w:hAnsi="宋体"/>
          <w:color w:val="auto"/>
          <w:sz w:val="24"/>
          <w:szCs w:val="24"/>
          <w:highlight w:val="none"/>
          <w:lang w:val="en-US" w:eastAsia="zh-CN"/>
        </w:rPr>
        <w:t>如有</w:t>
      </w:r>
      <w:r>
        <w:rPr>
          <w:rFonts w:hint="default" w:ascii="宋体" w:hAnsi="宋体"/>
          <w:color w:val="auto"/>
          <w:sz w:val="24"/>
          <w:szCs w:val="24"/>
          <w:highlight w:val="none"/>
          <w:lang w:eastAsia="zh-CN"/>
        </w:rPr>
        <w:t>）</w:t>
      </w:r>
      <w:r>
        <w:rPr>
          <w:rFonts w:ascii="宋体" w:hAnsi="宋体"/>
          <w:color w:val="auto"/>
          <w:sz w:val="24"/>
          <w:szCs w:val="24"/>
          <w:highlight w:val="none"/>
        </w:rPr>
        <w:t>的情况下，出现第三章“评标办法”规定的算术性错误和投标报价的其他错误；</w:t>
      </w:r>
    </w:p>
    <w:p w14:paraId="065C52C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2）施工组织设计（含关键工程技术方案）和项目管理机构不够完善；</w:t>
      </w:r>
    </w:p>
    <w:p w14:paraId="62F6F2C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投标文件页码不连续</w:t>
      </w:r>
      <w:r>
        <w:rPr>
          <w:rFonts w:hint="default" w:ascii="宋体" w:hAnsi="宋体" w:cs="Times New Roman"/>
          <w:color w:val="auto"/>
          <w:sz w:val="24"/>
          <w:highlight w:val="none"/>
          <w:vertAlign w:val="baseline"/>
        </w:rPr>
        <w:t>、</w:t>
      </w:r>
      <w:r>
        <w:rPr>
          <w:rFonts w:hint="eastAsia" w:ascii="宋体" w:hAnsi="宋体"/>
          <w:color w:val="auto"/>
          <w:sz w:val="24"/>
          <w:szCs w:val="24"/>
          <w:highlight w:val="none"/>
        </w:rPr>
        <w:t>个别文字有遗漏错误等不影响投标文件实质性内容的偏差</w:t>
      </w:r>
      <w:r>
        <w:rPr>
          <w:rFonts w:hint="default" w:ascii="宋体" w:hAnsi="宋体" w:cs="Times New Roman"/>
          <w:color w:val="auto"/>
          <w:sz w:val="24"/>
          <w:highlight w:val="none"/>
        </w:rPr>
        <w:t>。</w:t>
      </w:r>
    </w:p>
    <w:p w14:paraId="739D13D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1.12.4 </w:t>
      </w:r>
      <w:r>
        <w:rPr>
          <w:rFonts w:hint="eastAsia" w:ascii="宋体" w:hAnsi="宋体"/>
          <w:color w:val="auto"/>
          <w:sz w:val="24"/>
          <w:szCs w:val="24"/>
          <w:highlight w:val="none"/>
        </w:rPr>
        <w:t>评标委员会对投标文件中的细微偏差按如下规定处理：</w:t>
      </w:r>
    </w:p>
    <w:p w14:paraId="0377B86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1）对于本章第1.12.3项（1）目所述的细微偏差，按照第三章“评标办法”的规定予以修正并要求投标人进行澄清；</w:t>
      </w:r>
    </w:p>
    <w:p w14:paraId="3747655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对于本章第1.12.3项（2）目所述的细微偏差，如果采用合理低价法或经评审的最低投标价法评标，应要求投标人对细微偏差进行澄清，只有投标人的澄清文件被评标委员会接受，投标人才能参加评标价的最终评比；</w:t>
      </w:r>
      <w:bookmarkStart w:id="261" w:name="_Hlk99790233"/>
      <w:r>
        <w:rPr>
          <w:rFonts w:hint="eastAsia" w:ascii="宋体" w:hAnsi="宋体"/>
          <w:color w:val="auto"/>
          <w:sz w:val="24"/>
          <w:szCs w:val="24"/>
          <w:highlight w:val="none"/>
        </w:rPr>
        <w:t>如果采用技术评分最低标价法或综合评分法评标，可在相关评分因素的评分中酌情扣分。</w:t>
      </w:r>
      <w:bookmarkEnd w:id="261"/>
    </w:p>
    <w:p w14:paraId="349185E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3）对于本章第1.12.3项（3）目所述的细微偏差，可要求投标人对细微偏差进行澄清。</w:t>
      </w:r>
    </w:p>
    <w:p w14:paraId="6359975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1.12.5 投标人应根据招标文件的要求提供施工组织设计等内容以对招标文件作出响应。</w:t>
      </w:r>
    </w:p>
    <w:p w14:paraId="082DE54E">
      <w:pPr>
        <w:pStyle w:val="5"/>
        <w:rPr>
          <w:rFonts w:ascii="Arial" w:hAnsi="Arial"/>
          <w:b/>
          <w:color w:val="auto"/>
          <w:sz w:val="28"/>
          <w:szCs w:val="32"/>
          <w:highlight w:val="none"/>
        </w:rPr>
      </w:pPr>
      <w:bookmarkStart w:id="262" w:name="_Toc27060672"/>
      <w:bookmarkStart w:id="263" w:name="_Toc27059876"/>
      <w:bookmarkStart w:id="264" w:name="_Toc27059503"/>
      <w:bookmarkStart w:id="265" w:name="_Toc234832884"/>
      <w:bookmarkStart w:id="266" w:name="_Toc27059774"/>
      <w:bookmarkStart w:id="267" w:name="_Toc53685599"/>
      <w:bookmarkStart w:id="268" w:name="_Toc501257074"/>
      <w:bookmarkStart w:id="269" w:name="_Toc27059684"/>
      <w:r>
        <w:rPr>
          <w:rFonts w:ascii="Arial" w:hAnsi="Arial"/>
          <w:b/>
          <w:color w:val="auto"/>
          <w:sz w:val="28"/>
          <w:szCs w:val="32"/>
          <w:highlight w:val="none"/>
        </w:rPr>
        <w:t xml:space="preserve">2. </w:t>
      </w:r>
      <w:r>
        <w:rPr>
          <w:rFonts w:hint="default" w:ascii="Arial" w:hAnsi="Arial"/>
          <w:b/>
          <w:color w:val="auto"/>
          <w:sz w:val="28"/>
          <w:szCs w:val="32"/>
          <w:highlight w:val="none"/>
        </w:rPr>
        <w:t>招标文件</w:t>
      </w:r>
      <w:bookmarkEnd w:id="262"/>
      <w:bookmarkEnd w:id="263"/>
      <w:bookmarkEnd w:id="264"/>
      <w:bookmarkEnd w:id="265"/>
      <w:bookmarkEnd w:id="266"/>
      <w:bookmarkEnd w:id="267"/>
      <w:bookmarkEnd w:id="268"/>
      <w:bookmarkEnd w:id="269"/>
    </w:p>
    <w:p w14:paraId="0BE5E41B">
      <w:pPr>
        <w:pStyle w:val="6"/>
        <w:numPr>
          <w:ilvl w:val="0"/>
          <w:numId w:val="0"/>
        </w:numPr>
        <w:spacing w:line="360" w:lineRule="auto"/>
        <w:jc w:val="both"/>
        <w:rPr>
          <w:rFonts w:ascii="Times New Roman" w:hAnsi="Times New Roman"/>
          <w:b w:val="0"/>
          <w:bCs w:val="0"/>
          <w:color w:val="auto"/>
          <w:sz w:val="28"/>
          <w:szCs w:val="32"/>
          <w:highlight w:val="none"/>
        </w:rPr>
      </w:pPr>
      <w:bookmarkStart w:id="270" w:name="_Toc27060673"/>
      <w:bookmarkStart w:id="271" w:name="_Toc27059504"/>
      <w:bookmarkStart w:id="272" w:name="_Toc27059775"/>
      <w:bookmarkStart w:id="273" w:name="_Toc501257075"/>
      <w:bookmarkStart w:id="274" w:name="_Toc27059685"/>
      <w:bookmarkStart w:id="275" w:name="_Toc53685600"/>
      <w:bookmarkStart w:id="276" w:name="_Toc27059877"/>
      <w:bookmarkStart w:id="277" w:name="_Toc234832885"/>
      <w:r>
        <w:rPr>
          <w:rFonts w:ascii="Times New Roman" w:hAnsi="Times New Roman"/>
          <w:b w:val="0"/>
          <w:bCs w:val="0"/>
          <w:color w:val="auto"/>
          <w:sz w:val="28"/>
          <w:szCs w:val="32"/>
          <w:highlight w:val="none"/>
        </w:rPr>
        <w:t xml:space="preserve">2.1 </w:t>
      </w:r>
      <w:r>
        <w:rPr>
          <w:rFonts w:hint="default" w:ascii="Times New Roman" w:hAnsi="Times New Roman"/>
          <w:b w:val="0"/>
          <w:bCs w:val="0"/>
          <w:color w:val="auto"/>
          <w:sz w:val="28"/>
          <w:szCs w:val="32"/>
          <w:highlight w:val="none"/>
        </w:rPr>
        <w:t>招标文件的组成</w:t>
      </w:r>
      <w:bookmarkEnd w:id="270"/>
      <w:bookmarkEnd w:id="271"/>
      <w:bookmarkEnd w:id="272"/>
      <w:bookmarkEnd w:id="273"/>
      <w:bookmarkEnd w:id="274"/>
      <w:bookmarkEnd w:id="275"/>
      <w:bookmarkEnd w:id="276"/>
      <w:bookmarkEnd w:id="277"/>
    </w:p>
    <w:p w14:paraId="3F2550EF">
      <w:pPr>
        <w:spacing w:line="360" w:lineRule="auto"/>
        <w:ind w:firstLine="480" w:firstLineChars="200"/>
        <w:rPr>
          <w:rStyle w:val="170"/>
          <w:color w:val="auto"/>
          <w:sz w:val="24"/>
          <w:szCs w:val="24"/>
          <w:highlight w:val="none"/>
        </w:rPr>
      </w:pPr>
      <w:r>
        <w:rPr>
          <w:rStyle w:val="170"/>
          <w:rFonts w:hint="eastAsia"/>
          <w:color w:val="auto"/>
          <w:sz w:val="24"/>
          <w:szCs w:val="24"/>
          <w:highlight w:val="none"/>
        </w:rPr>
        <w:t>本招标文件包括：</w:t>
      </w:r>
    </w:p>
    <w:p w14:paraId="1219E3B1">
      <w:pPr>
        <w:spacing w:line="360" w:lineRule="auto"/>
        <w:ind w:firstLine="480" w:firstLineChars="200"/>
        <w:rPr>
          <w:rStyle w:val="170"/>
          <w:color w:val="auto"/>
          <w:sz w:val="24"/>
          <w:szCs w:val="24"/>
          <w:highlight w:val="none"/>
        </w:rPr>
      </w:pPr>
      <w:r>
        <w:rPr>
          <w:rStyle w:val="170"/>
          <w:rFonts w:hint="eastAsia"/>
          <w:color w:val="auto"/>
          <w:sz w:val="24"/>
          <w:szCs w:val="24"/>
          <w:highlight w:val="none"/>
        </w:rPr>
        <w:t>（1）招标公告；</w:t>
      </w:r>
    </w:p>
    <w:p w14:paraId="7FB89291">
      <w:pPr>
        <w:spacing w:line="360" w:lineRule="auto"/>
        <w:ind w:firstLine="480" w:firstLineChars="200"/>
        <w:rPr>
          <w:rStyle w:val="170"/>
          <w:color w:val="auto"/>
          <w:sz w:val="24"/>
          <w:szCs w:val="24"/>
          <w:highlight w:val="none"/>
        </w:rPr>
      </w:pPr>
      <w:r>
        <w:rPr>
          <w:rStyle w:val="170"/>
          <w:rFonts w:hint="eastAsia"/>
          <w:color w:val="auto"/>
          <w:sz w:val="24"/>
          <w:szCs w:val="24"/>
          <w:highlight w:val="none"/>
        </w:rPr>
        <w:t>（2）投标人须知；</w:t>
      </w:r>
    </w:p>
    <w:p w14:paraId="6E4F998F">
      <w:pPr>
        <w:spacing w:line="360" w:lineRule="auto"/>
        <w:ind w:firstLine="480" w:firstLineChars="200"/>
        <w:rPr>
          <w:rStyle w:val="170"/>
          <w:color w:val="auto"/>
          <w:sz w:val="24"/>
          <w:szCs w:val="24"/>
          <w:highlight w:val="none"/>
        </w:rPr>
      </w:pPr>
      <w:r>
        <w:rPr>
          <w:rStyle w:val="170"/>
          <w:rFonts w:hint="eastAsia"/>
          <w:color w:val="auto"/>
          <w:sz w:val="24"/>
          <w:szCs w:val="24"/>
          <w:highlight w:val="none"/>
        </w:rPr>
        <w:t>（3）评标办法；</w:t>
      </w:r>
    </w:p>
    <w:p w14:paraId="2BAB58E7">
      <w:pPr>
        <w:spacing w:line="360" w:lineRule="auto"/>
        <w:ind w:firstLine="480" w:firstLineChars="200"/>
        <w:rPr>
          <w:rStyle w:val="170"/>
          <w:color w:val="auto"/>
          <w:sz w:val="24"/>
          <w:szCs w:val="24"/>
          <w:highlight w:val="none"/>
        </w:rPr>
      </w:pPr>
      <w:r>
        <w:rPr>
          <w:rStyle w:val="170"/>
          <w:rFonts w:hint="eastAsia"/>
          <w:color w:val="auto"/>
          <w:sz w:val="24"/>
          <w:szCs w:val="24"/>
          <w:highlight w:val="none"/>
        </w:rPr>
        <w:t>（4）合同条款及格式；</w:t>
      </w:r>
    </w:p>
    <w:p w14:paraId="4E8754BA">
      <w:pPr>
        <w:spacing w:line="360" w:lineRule="auto"/>
        <w:ind w:firstLine="480" w:firstLineChars="200"/>
        <w:rPr>
          <w:rStyle w:val="170"/>
          <w:color w:val="auto"/>
          <w:sz w:val="24"/>
          <w:szCs w:val="24"/>
          <w:highlight w:val="none"/>
        </w:rPr>
      </w:pPr>
      <w:r>
        <w:rPr>
          <w:rStyle w:val="170"/>
          <w:rFonts w:hint="eastAsia"/>
          <w:color w:val="auto"/>
          <w:sz w:val="24"/>
          <w:szCs w:val="24"/>
          <w:highlight w:val="none"/>
        </w:rPr>
        <w:t>（5）工程量清单；</w:t>
      </w:r>
    </w:p>
    <w:p w14:paraId="644BEF74">
      <w:pPr>
        <w:spacing w:line="360" w:lineRule="auto"/>
        <w:ind w:firstLine="480" w:firstLineChars="200"/>
        <w:rPr>
          <w:rStyle w:val="170"/>
          <w:color w:val="auto"/>
          <w:sz w:val="24"/>
          <w:szCs w:val="24"/>
          <w:highlight w:val="none"/>
        </w:rPr>
      </w:pPr>
      <w:r>
        <w:rPr>
          <w:rStyle w:val="170"/>
          <w:rFonts w:hint="eastAsia"/>
          <w:color w:val="auto"/>
          <w:sz w:val="24"/>
          <w:szCs w:val="24"/>
          <w:highlight w:val="none"/>
        </w:rPr>
        <w:t>（6）图纸和资料；</w:t>
      </w:r>
    </w:p>
    <w:p w14:paraId="44941982">
      <w:pPr>
        <w:spacing w:line="360" w:lineRule="auto"/>
        <w:ind w:firstLine="480" w:firstLineChars="200"/>
        <w:rPr>
          <w:rStyle w:val="170"/>
          <w:color w:val="auto"/>
          <w:sz w:val="24"/>
          <w:szCs w:val="24"/>
          <w:highlight w:val="none"/>
        </w:rPr>
      </w:pPr>
      <w:r>
        <w:rPr>
          <w:rStyle w:val="170"/>
          <w:rFonts w:hint="eastAsia"/>
          <w:color w:val="auto"/>
          <w:sz w:val="24"/>
          <w:szCs w:val="24"/>
          <w:highlight w:val="none"/>
        </w:rPr>
        <w:t>（7）技术规范；</w:t>
      </w:r>
    </w:p>
    <w:p w14:paraId="25A94F40">
      <w:pPr>
        <w:tabs>
          <w:tab w:val="center" w:pos="4634"/>
        </w:tabs>
        <w:spacing w:line="360" w:lineRule="auto"/>
        <w:ind w:firstLine="480" w:firstLineChars="200"/>
        <w:rPr>
          <w:rStyle w:val="170"/>
          <w:color w:val="auto"/>
          <w:sz w:val="24"/>
          <w:szCs w:val="24"/>
          <w:highlight w:val="none"/>
        </w:rPr>
      </w:pPr>
      <w:r>
        <w:rPr>
          <w:rStyle w:val="170"/>
          <w:rFonts w:hint="eastAsia"/>
          <w:color w:val="auto"/>
          <w:sz w:val="24"/>
          <w:szCs w:val="24"/>
          <w:highlight w:val="none"/>
        </w:rPr>
        <w:t>（</w:t>
      </w:r>
      <w:r>
        <w:rPr>
          <w:rStyle w:val="170"/>
          <w:color w:val="auto"/>
          <w:sz w:val="24"/>
          <w:szCs w:val="24"/>
          <w:highlight w:val="none"/>
        </w:rPr>
        <w:t>8</w:t>
      </w:r>
      <w:r>
        <w:rPr>
          <w:rStyle w:val="170"/>
          <w:rFonts w:hint="eastAsia"/>
          <w:color w:val="auto"/>
          <w:sz w:val="24"/>
          <w:szCs w:val="24"/>
          <w:highlight w:val="none"/>
        </w:rPr>
        <w:t>）工程量清单计量规则；</w:t>
      </w:r>
    </w:p>
    <w:p w14:paraId="4D71B08D">
      <w:pPr>
        <w:spacing w:line="360" w:lineRule="auto"/>
        <w:ind w:firstLine="480" w:firstLineChars="200"/>
        <w:rPr>
          <w:rStyle w:val="170"/>
          <w:color w:val="auto"/>
          <w:sz w:val="24"/>
          <w:szCs w:val="24"/>
          <w:highlight w:val="none"/>
        </w:rPr>
      </w:pPr>
      <w:r>
        <w:rPr>
          <w:rStyle w:val="170"/>
          <w:color w:val="auto"/>
          <w:sz w:val="24"/>
          <w:szCs w:val="24"/>
          <w:highlight w:val="none"/>
        </w:rPr>
        <w:t>（9）投标文件格式；</w:t>
      </w:r>
    </w:p>
    <w:p w14:paraId="379400E3">
      <w:pPr>
        <w:spacing w:line="360" w:lineRule="auto"/>
        <w:ind w:firstLine="480" w:firstLineChars="200"/>
        <w:rPr>
          <w:rFonts w:ascii="宋体" w:hAnsi="宋体"/>
          <w:color w:val="auto"/>
          <w:sz w:val="24"/>
          <w:highlight w:val="none"/>
        </w:rPr>
      </w:pPr>
      <w:r>
        <w:rPr>
          <w:rFonts w:ascii="宋体" w:hAnsi="宋体"/>
          <w:color w:val="auto"/>
          <w:sz w:val="24"/>
          <w:highlight w:val="none"/>
        </w:rPr>
        <w:t>（10）投标人须知前附表规定的其他</w:t>
      </w:r>
      <w:r>
        <w:rPr>
          <w:rFonts w:hint="eastAsia" w:ascii="宋体" w:hAnsi="宋体"/>
          <w:color w:val="auto"/>
          <w:sz w:val="24"/>
          <w:highlight w:val="none"/>
        </w:rPr>
        <w:t>资料</w:t>
      </w:r>
      <w:r>
        <w:rPr>
          <w:rFonts w:ascii="宋体" w:hAnsi="宋体"/>
          <w:color w:val="auto"/>
          <w:sz w:val="24"/>
          <w:highlight w:val="none"/>
        </w:rPr>
        <w:t>。</w:t>
      </w:r>
    </w:p>
    <w:p w14:paraId="22290BF0">
      <w:pPr>
        <w:spacing w:line="360" w:lineRule="auto"/>
        <w:ind w:firstLine="480" w:firstLineChars="200"/>
        <w:rPr>
          <w:rFonts w:ascii="宋体" w:hAnsi="宋体"/>
          <w:color w:val="auto"/>
          <w:sz w:val="24"/>
          <w:highlight w:val="none"/>
        </w:rPr>
      </w:pPr>
      <w:r>
        <w:rPr>
          <w:rFonts w:ascii="宋体" w:hAnsi="宋体"/>
          <w:color w:val="auto"/>
          <w:sz w:val="24"/>
          <w:highlight w:val="none"/>
        </w:rPr>
        <w:t>根据本章第1.10款、第2.2款和第2.3款对招标文件所作的澄清、修改，构成招标文件的组成部分。</w:t>
      </w:r>
    </w:p>
    <w:p w14:paraId="4AF58E49">
      <w:pPr>
        <w:spacing w:line="360" w:lineRule="auto"/>
        <w:ind w:firstLine="480" w:firstLineChars="200"/>
        <w:rPr>
          <w:rFonts w:ascii="宋体" w:hAnsi="宋体"/>
          <w:color w:val="auto"/>
          <w:sz w:val="24"/>
          <w:szCs w:val="24"/>
          <w:highlight w:val="none"/>
        </w:rPr>
      </w:pPr>
      <w:r>
        <w:rPr>
          <w:rFonts w:hint="default" w:ascii="宋体" w:hAnsi="宋体"/>
          <w:color w:val="auto"/>
          <w:sz w:val="24"/>
          <w:szCs w:val="24"/>
          <w:highlight w:val="none"/>
        </w:rPr>
        <w:t>当招标文件、招标文件的澄清或修改等在同一内容的表述上不一致时，以最后发出的书面文件为准。</w:t>
      </w:r>
    </w:p>
    <w:p w14:paraId="7C871FE4">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278" w:name="_Toc27059776"/>
      <w:bookmarkStart w:id="279" w:name="_Toc53685601"/>
      <w:bookmarkStart w:id="280" w:name="_Toc27059505"/>
      <w:bookmarkStart w:id="281" w:name="_Toc27059686"/>
      <w:bookmarkStart w:id="282" w:name="_Toc27060674"/>
      <w:bookmarkStart w:id="283" w:name="_Toc234832886"/>
      <w:bookmarkStart w:id="284" w:name="_Toc501257076"/>
      <w:bookmarkStart w:id="285" w:name="_Toc27059878"/>
      <w:r>
        <w:rPr>
          <w:rFonts w:ascii="Times New Roman" w:hAnsi="Times New Roman"/>
          <w:b w:val="0"/>
          <w:bCs w:val="0"/>
          <w:color w:val="auto"/>
          <w:sz w:val="28"/>
          <w:szCs w:val="32"/>
          <w:highlight w:val="none"/>
        </w:rPr>
        <w:t xml:space="preserve">2.2 </w:t>
      </w:r>
      <w:r>
        <w:rPr>
          <w:rFonts w:hint="default" w:ascii="Times New Roman" w:hAnsi="Times New Roman"/>
          <w:b w:val="0"/>
          <w:bCs w:val="0"/>
          <w:color w:val="auto"/>
          <w:sz w:val="28"/>
          <w:szCs w:val="32"/>
          <w:highlight w:val="none"/>
        </w:rPr>
        <w:t>招标文件的澄清</w:t>
      </w:r>
      <w:bookmarkEnd w:id="278"/>
      <w:bookmarkEnd w:id="279"/>
      <w:bookmarkEnd w:id="280"/>
      <w:bookmarkEnd w:id="281"/>
      <w:bookmarkEnd w:id="282"/>
      <w:bookmarkEnd w:id="283"/>
      <w:bookmarkEnd w:id="284"/>
      <w:bookmarkEnd w:id="285"/>
    </w:p>
    <w:p w14:paraId="7195AE34">
      <w:pPr>
        <w:spacing w:line="360" w:lineRule="auto"/>
        <w:ind w:firstLine="480" w:firstLineChars="200"/>
        <w:rPr>
          <w:rFonts w:ascii="宋体" w:hAnsi="宋体"/>
          <w:color w:val="auto"/>
          <w:sz w:val="24"/>
          <w:highlight w:val="none"/>
        </w:rPr>
      </w:pPr>
      <w:r>
        <w:rPr>
          <w:rFonts w:ascii="宋体" w:hAnsi="宋体"/>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8141C68">
      <w:pPr>
        <w:spacing w:line="360" w:lineRule="auto"/>
        <w:ind w:firstLine="480" w:firstLineChars="200"/>
        <w:rPr>
          <w:rFonts w:ascii="宋体" w:hAnsi="宋体"/>
          <w:color w:val="auto"/>
          <w:sz w:val="24"/>
          <w:highlight w:val="none"/>
        </w:rPr>
      </w:pPr>
      <w:r>
        <w:rPr>
          <w:rFonts w:ascii="宋体" w:hAnsi="宋体"/>
          <w:color w:val="auto"/>
          <w:sz w:val="24"/>
          <w:highlight w:val="none"/>
        </w:rPr>
        <w:t>2.2.2 招标文件的澄清以投标人须知前附表规定的形式</w:t>
      </w:r>
      <w:r>
        <w:rPr>
          <w:rFonts w:hint="eastAsia" w:ascii="宋体" w:hAnsi="宋体"/>
          <w:color w:val="auto"/>
          <w:sz w:val="24"/>
          <w:highlight w:val="none"/>
        </w:rPr>
        <w:t>发出</w:t>
      </w:r>
      <w:r>
        <w:rPr>
          <w:rFonts w:ascii="宋体" w:hAnsi="宋体"/>
          <w:color w:val="auto"/>
          <w:sz w:val="24"/>
          <w:highlight w:val="none"/>
        </w:rPr>
        <w:t>，但不指明澄清问题的来源。澄清发出的时间距本章第4.2.1项规定的投标截止时间不足15日，且澄清内容可能影响投标文件编制，</w:t>
      </w:r>
      <w:r>
        <w:rPr>
          <w:rFonts w:hint="eastAsia" w:ascii="宋体" w:hAnsi="宋体"/>
          <w:color w:val="auto"/>
          <w:sz w:val="24"/>
          <w:highlight w:val="none"/>
        </w:rPr>
        <w:t>将</w:t>
      </w:r>
      <w:r>
        <w:rPr>
          <w:rFonts w:ascii="宋体" w:hAnsi="宋体"/>
          <w:color w:val="auto"/>
          <w:sz w:val="24"/>
          <w:highlight w:val="none"/>
        </w:rPr>
        <w:t>相应延长投标截止时间。</w:t>
      </w:r>
    </w:p>
    <w:p w14:paraId="52B98751">
      <w:pPr>
        <w:pStyle w:val="22"/>
        <w:spacing w:line="360" w:lineRule="auto"/>
        <w:ind w:firstLine="480" w:firstLineChars="200"/>
        <w:rPr>
          <w:color w:val="auto"/>
          <w:highlight w:val="none"/>
        </w:rPr>
      </w:pPr>
      <w:r>
        <w:rPr>
          <w:color w:val="auto"/>
          <w:highlight w:val="none"/>
        </w:rPr>
        <w:t>2.2.3 投标人</w:t>
      </w:r>
      <w:r>
        <w:rPr>
          <w:rFonts w:hint="eastAsia"/>
          <w:color w:val="auto"/>
          <w:highlight w:val="none"/>
        </w:rPr>
        <w:t>按照投标人须知前附表要求及时收悉澄清内容。投标人应注意及时浏览澄清发布媒介发出的澄清，因投标人自身原因未及时获知澄清内容而导致的任何后果将由投标人自行承担。</w:t>
      </w:r>
    </w:p>
    <w:p w14:paraId="43B337C6">
      <w:pPr>
        <w:pStyle w:val="22"/>
        <w:spacing w:line="360" w:lineRule="auto"/>
        <w:ind w:firstLine="480" w:firstLineChars="200"/>
        <w:rPr>
          <w:color w:val="auto"/>
          <w:highlight w:val="none"/>
        </w:rPr>
      </w:pPr>
      <w:r>
        <w:rPr>
          <w:color w:val="auto"/>
          <w:highlight w:val="none"/>
        </w:rPr>
        <w:t>2.2.4 除非招标人认为确有必要答复，否则，招标人有权拒绝回复投标人在</w:t>
      </w:r>
      <w:r>
        <w:rPr>
          <w:rFonts w:hint="eastAsia"/>
          <w:color w:val="auto"/>
          <w:highlight w:val="none"/>
        </w:rPr>
        <w:t>本章第</w:t>
      </w:r>
      <w:r>
        <w:rPr>
          <w:color w:val="auto"/>
          <w:highlight w:val="none"/>
        </w:rPr>
        <w:t>2.2.1项规定的时间后提出的任何澄清要求。</w:t>
      </w:r>
    </w:p>
    <w:p w14:paraId="278C35E0">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286" w:name="_Toc234832887"/>
      <w:bookmarkStart w:id="287" w:name="_Toc501257077"/>
      <w:bookmarkStart w:id="288" w:name="_Toc53685602"/>
      <w:bookmarkStart w:id="289" w:name="_Toc27059506"/>
      <w:bookmarkStart w:id="290" w:name="_Toc27059879"/>
      <w:bookmarkStart w:id="291" w:name="_Toc27059777"/>
      <w:bookmarkStart w:id="292" w:name="_Toc27059687"/>
      <w:bookmarkStart w:id="293" w:name="_Toc27060675"/>
      <w:r>
        <w:rPr>
          <w:rFonts w:ascii="Times New Roman" w:hAnsi="Times New Roman"/>
          <w:b w:val="0"/>
          <w:bCs w:val="0"/>
          <w:color w:val="auto"/>
          <w:sz w:val="28"/>
          <w:szCs w:val="32"/>
          <w:highlight w:val="none"/>
        </w:rPr>
        <w:t xml:space="preserve">2.3 </w:t>
      </w:r>
      <w:r>
        <w:rPr>
          <w:rFonts w:hint="default" w:ascii="Times New Roman" w:hAnsi="Times New Roman"/>
          <w:b w:val="0"/>
          <w:bCs w:val="0"/>
          <w:color w:val="auto"/>
          <w:sz w:val="28"/>
          <w:szCs w:val="32"/>
          <w:highlight w:val="none"/>
        </w:rPr>
        <w:t>招标文件的修改</w:t>
      </w:r>
      <w:bookmarkEnd w:id="286"/>
      <w:bookmarkEnd w:id="287"/>
      <w:bookmarkEnd w:id="288"/>
      <w:bookmarkEnd w:id="289"/>
      <w:bookmarkEnd w:id="290"/>
      <w:bookmarkEnd w:id="291"/>
      <w:bookmarkEnd w:id="292"/>
      <w:bookmarkEnd w:id="293"/>
    </w:p>
    <w:p w14:paraId="559F8520">
      <w:pPr>
        <w:spacing w:line="360" w:lineRule="auto"/>
        <w:ind w:firstLine="480" w:firstLineChars="200"/>
        <w:rPr>
          <w:rFonts w:ascii="宋体" w:hAnsi="宋体"/>
          <w:color w:val="auto"/>
          <w:sz w:val="24"/>
          <w:highlight w:val="none"/>
        </w:rPr>
      </w:pPr>
      <w:r>
        <w:rPr>
          <w:rFonts w:ascii="宋体" w:hAnsi="宋体"/>
          <w:color w:val="auto"/>
          <w:sz w:val="24"/>
          <w:highlight w:val="none"/>
        </w:rPr>
        <w:t>2.3.1 招标人以投标人须知前附表规定的形式修改招标文件。修改招标文件的时间距本章第4.2.1项规定的投标截止时间不足15日，且修改内容可能影响投标文件编制的，将相应延长投标截止时间。</w:t>
      </w:r>
    </w:p>
    <w:p w14:paraId="4FDE9A50">
      <w:pPr>
        <w:pStyle w:val="22"/>
        <w:spacing w:line="360" w:lineRule="auto"/>
        <w:ind w:firstLine="480" w:firstLineChars="200"/>
        <w:rPr>
          <w:color w:val="auto"/>
          <w:highlight w:val="none"/>
        </w:rPr>
      </w:pPr>
      <w:r>
        <w:rPr>
          <w:color w:val="auto"/>
          <w:highlight w:val="none"/>
        </w:rPr>
        <w:t>2.3.2投标人</w:t>
      </w:r>
      <w:r>
        <w:rPr>
          <w:rFonts w:hint="eastAsia"/>
          <w:color w:val="auto"/>
          <w:highlight w:val="none"/>
        </w:rPr>
        <w:t>按照投标人须知前附表要求及时收悉</w:t>
      </w:r>
      <w:r>
        <w:rPr>
          <w:color w:val="auto"/>
          <w:highlight w:val="none"/>
        </w:rPr>
        <w:t>修改</w:t>
      </w:r>
      <w:r>
        <w:rPr>
          <w:rFonts w:hint="eastAsia"/>
          <w:color w:val="auto"/>
          <w:highlight w:val="none"/>
        </w:rPr>
        <w:t>内容。投标人应注意及时浏览澄清发布媒介发出的修改，因投标人自身原因未及时获知修改内容而导致的任何后果将由投标人自行承担。</w:t>
      </w:r>
    </w:p>
    <w:p w14:paraId="14CD3782">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294" w:name="_Toc27059507"/>
      <w:bookmarkStart w:id="295" w:name="_Toc27059688"/>
      <w:bookmarkStart w:id="296" w:name="_Toc27059880"/>
      <w:bookmarkStart w:id="297" w:name="_Toc27059778"/>
      <w:bookmarkStart w:id="298" w:name="_Toc53685603"/>
      <w:bookmarkStart w:id="299" w:name="_Toc27060676"/>
      <w:bookmarkStart w:id="300" w:name="_Toc501257078"/>
      <w:r>
        <w:rPr>
          <w:rFonts w:ascii="Times New Roman" w:hAnsi="Times New Roman"/>
          <w:b w:val="0"/>
          <w:bCs w:val="0"/>
          <w:color w:val="auto"/>
          <w:sz w:val="28"/>
          <w:szCs w:val="32"/>
          <w:highlight w:val="none"/>
        </w:rPr>
        <w:t xml:space="preserve">2.4 </w:t>
      </w:r>
      <w:r>
        <w:rPr>
          <w:rFonts w:hint="default" w:ascii="Times New Roman" w:hAnsi="Times New Roman"/>
          <w:b w:val="0"/>
          <w:bCs w:val="0"/>
          <w:color w:val="auto"/>
          <w:sz w:val="28"/>
          <w:szCs w:val="32"/>
          <w:highlight w:val="none"/>
        </w:rPr>
        <w:t>招标文件的异议</w:t>
      </w:r>
      <w:bookmarkEnd w:id="294"/>
      <w:bookmarkEnd w:id="295"/>
      <w:bookmarkEnd w:id="296"/>
      <w:bookmarkEnd w:id="297"/>
      <w:bookmarkEnd w:id="298"/>
      <w:bookmarkEnd w:id="299"/>
      <w:bookmarkEnd w:id="300"/>
    </w:p>
    <w:p w14:paraId="0F9FFB43">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投标人或其他利害关系人对招标文件有异议的，应在投标截止时间</w:t>
      </w:r>
      <w:r>
        <w:rPr>
          <w:rFonts w:ascii="宋体" w:hAnsi="宋体"/>
          <w:color w:val="auto"/>
          <w:sz w:val="24"/>
          <w:highlight w:val="none"/>
        </w:rPr>
        <w:t>10日前提出。招标人将在收到异议之日起3日内作出答复；作出答复前，将暂停招标投标活动。</w:t>
      </w:r>
    </w:p>
    <w:p w14:paraId="74134021">
      <w:pPr>
        <w:pStyle w:val="5"/>
        <w:rPr>
          <w:rFonts w:ascii="Arial" w:hAnsi="Arial"/>
          <w:b/>
          <w:color w:val="auto"/>
          <w:sz w:val="28"/>
          <w:szCs w:val="32"/>
          <w:highlight w:val="none"/>
        </w:rPr>
      </w:pPr>
      <w:bookmarkStart w:id="301" w:name="_Toc27059508"/>
      <w:bookmarkStart w:id="302" w:name="_Toc27059779"/>
      <w:bookmarkStart w:id="303" w:name="_Toc27059881"/>
      <w:bookmarkStart w:id="304" w:name="_Toc27059689"/>
      <w:bookmarkStart w:id="305" w:name="_Toc501257079"/>
      <w:bookmarkStart w:id="306" w:name="_Toc53685604"/>
      <w:bookmarkStart w:id="307" w:name="_Toc27060677"/>
      <w:bookmarkStart w:id="308" w:name="_Toc234832888"/>
      <w:r>
        <w:rPr>
          <w:rFonts w:ascii="Arial" w:hAnsi="Arial"/>
          <w:b/>
          <w:color w:val="auto"/>
          <w:sz w:val="28"/>
          <w:szCs w:val="32"/>
          <w:highlight w:val="none"/>
        </w:rPr>
        <w:t xml:space="preserve">3. </w:t>
      </w:r>
      <w:r>
        <w:rPr>
          <w:rFonts w:hint="default" w:ascii="Arial" w:hAnsi="Arial"/>
          <w:b/>
          <w:color w:val="auto"/>
          <w:sz w:val="28"/>
          <w:szCs w:val="32"/>
          <w:highlight w:val="none"/>
        </w:rPr>
        <w:t>投标文件</w:t>
      </w:r>
      <w:bookmarkEnd w:id="301"/>
      <w:bookmarkEnd w:id="302"/>
      <w:bookmarkEnd w:id="303"/>
      <w:bookmarkEnd w:id="304"/>
      <w:bookmarkEnd w:id="305"/>
      <w:bookmarkEnd w:id="306"/>
      <w:bookmarkEnd w:id="307"/>
      <w:bookmarkEnd w:id="308"/>
    </w:p>
    <w:p w14:paraId="1A320344">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309" w:name="_Toc27059780"/>
      <w:bookmarkStart w:id="310" w:name="_Toc27059509"/>
      <w:bookmarkStart w:id="311" w:name="_Toc27060678"/>
      <w:bookmarkStart w:id="312" w:name="_Toc27059690"/>
      <w:bookmarkStart w:id="313" w:name="_Toc53685605"/>
      <w:bookmarkStart w:id="314" w:name="_Toc234832889"/>
      <w:bookmarkStart w:id="315" w:name="_Toc27059882"/>
      <w:bookmarkStart w:id="316" w:name="_Toc501257080"/>
      <w:r>
        <w:rPr>
          <w:rFonts w:ascii="Times New Roman" w:hAnsi="Times New Roman"/>
          <w:b w:val="0"/>
          <w:bCs w:val="0"/>
          <w:color w:val="auto"/>
          <w:sz w:val="28"/>
          <w:szCs w:val="32"/>
          <w:highlight w:val="none"/>
        </w:rPr>
        <w:t>3.1</w:t>
      </w:r>
      <w:r>
        <w:rPr>
          <w:rFonts w:hint="default" w:ascii="Times New Roman" w:hAnsi="Times New Roman"/>
          <w:b w:val="0"/>
          <w:bCs w:val="0"/>
          <w:color w:val="auto"/>
          <w:sz w:val="28"/>
          <w:szCs w:val="32"/>
          <w:highlight w:val="none"/>
          <w:lang w:val="en-US" w:eastAsia="zh-CN"/>
        </w:rPr>
        <w:t xml:space="preserve"> </w:t>
      </w:r>
      <w:r>
        <w:rPr>
          <w:rFonts w:hint="default" w:ascii="Times New Roman" w:hAnsi="Times New Roman"/>
          <w:b w:val="0"/>
          <w:bCs w:val="0"/>
          <w:color w:val="auto"/>
          <w:sz w:val="28"/>
          <w:szCs w:val="32"/>
          <w:highlight w:val="none"/>
        </w:rPr>
        <w:t>投标文件的组成</w:t>
      </w:r>
      <w:bookmarkEnd w:id="309"/>
      <w:bookmarkEnd w:id="310"/>
      <w:bookmarkEnd w:id="311"/>
      <w:bookmarkEnd w:id="312"/>
      <w:bookmarkEnd w:id="313"/>
      <w:bookmarkEnd w:id="314"/>
      <w:bookmarkEnd w:id="315"/>
      <w:bookmarkEnd w:id="316"/>
    </w:p>
    <w:p w14:paraId="0E624160">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3.1.1 </w:t>
      </w:r>
      <w:r>
        <w:rPr>
          <w:rFonts w:hint="eastAsia" w:ascii="宋体" w:hAnsi="宋体"/>
          <w:color w:val="auto"/>
          <w:sz w:val="24"/>
          <w:highlight w:val="none"/>
        </w:rPr>
        <w:t>投标文件应采用双信封形式，包括下列内容：</w:t>
      </w:r>
    </w:p>
    <w:p w14:paraId="235C1E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第一个信封（商务及技术文件）：</w:t>
      </w:r>
    </w:p>
    <w:p w14:paraId="587691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1）投标函及投标函附录；</w:t>
      </w:r>
    </w:p>
    <w:p w14:paraId="649A02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2）授权委托书或法定代表人身份证明；</w:t>
      </w:r>
    </w:p>
    <w:p w14:paraId="20DA03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3）联合体协议书；</w:t>
      </w:r>
    </w:p>
    <w:p w14:paraId="597134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4）投标保证金；</w:t>
      </w:r>
    </w:p>
    <w:p w14:paraId="166671B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5）施工组织设计；</w:t>
      </w:r>
    </w:p>
    <w:p w14:paraId="2CDCAA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6）项目管理机构；</w:t>
      </w:r>
    </w:p>
    <w:p w14:paraId="598F884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7）拟分包项目情况表；</w:t>
      </w:r>
    </w:p>
    <w:p w14:paraId="5CAEBA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8）资格审查资料； </w:t>
      </w:r>
    </w:p>
    <w:p w14:paraId="57D5C1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9）其他资料</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r>
        <w:rPr>
          <w:rFonts w:ascii="宋体" w:hAnsi="宋体"/>
          <w:color w:val="auto"/>
          <w:sz w:val="24"/>
          <w:highlight w:val="none"/>
        </w:rPr>
        <w:t>。</w:t>
      </w:r>
    </w:p>
    <w:p w14:paraId="0041DE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第二个信封（报价文件）：</w:t>
      </w:r>
    </w:p>
    <w:p w14:paraId="37F7966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1）投标函</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第二个信封</w:t>
      </w:r>
      <w:r>
        <w:rPr>
          <w:rFonts w:hint="eastAsia" w:ascii="宋体" w:hAnsi="宋体"/>
          <w:color w:val="auto"/>
          <w:sz w:val="24"/>
          <w:highlight w:val="none"/>
          <w:lang w:eastAsia="zh-CN"/>
        </w:rPr>
        <w:t>）</w:t>
      </w:r>
      <w:r>
        <w:rPr>
          <w:rFonts w:ascii="宋体" w:hAnsi="宋体"/>
          <w:color w:val="auto"/>
          <w:sz w:val="24"/>
          <w:highlight w:val="none"/>
        </w:rPr>
        <w:t>；</w:t>
      </w:r>
    </w:p>
    <w:p w14:paraId="50D59A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2）已标价工程量清单。</w:t>
      </w:r>
    </w:p>
    <w:p w14:paraId="417D0A89">
      <w:pPr>
        <w:spacing w:line="360" w:lineRule="auto"/>
        <w:ind w:firstLine="480" w:firstLineChars="200"/>
        <w:rPr>
          <w:rFonts w:ascii="宋体" w:hAnsi="宋体"/>
          <w:color w:val="auto"/>
          <w:sz w:val="24"/>
          <w:highlight w:val="none"/>
        </w:rPr>
      </w:pPr>
      <w:r>
        <w:rPr>
          <w:rFonts w:ascii="宋体" w:hAnsi="宋体"/>
          <w:color w:val="auto"/>
          <w:sz w:val="24"/>
          <w:highlight w:val="none"/>
        </w:rPr>
        <w:t>投标人在评标过程中作出的符合法律法规和招标文件规定的澄清确认，构成投标文件的组成部分。</w:t>
      </w:r>
    </w:p>
    <w:p w14:paraId="3D36197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3.1.2 </w:t>
      </w:r>
      <w:r>
        <w:rPr>
          <w:rFonts w:hint="eastAsia" w:ascii="宋体" w:hAnsi="宋体"/>
          <w:color w:val="auto"/>
          <w:sz w:val="24"/>
          <w:highlight w:val="none"/>
        </w:rPr>
        <w:t>投标人须知前附表规定不接受联合体投标的，或投标人没有组成联合体的，投标文件不包括本章第</w:t>
      </w:r>
      <w:r>
        <w:rPr>
          <w:rFonts w:ascii="宋体" w:hAnsi="宋体"/>
          <w:color w:val="auto"/>
          <w:sz w:val="24"/>
          <w:highlight w:val="none"/>
        </w:rPr>
        <w:t>3.1.1</w:t>
      </w:r>
      <w:r>
        <w:rPr>
          <w:rFonts w:hint="eastAsia" w:ascii="宋体" w:hAnsi="宋体"/>
          <w:color w:val="auto"/>
          <w:sz w:val="24"/>
          <w:highlight w:val="none"/>
          <w:lang w:val="en-US" w:eastAsia="zh-CN"/>
        </w:rPr>
        <w:t>项</w:t>
      </w: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）目所指的联合体协议书。</w:t>
      </w:r>
      <w:r>
        <w:rPr>
          <w:rFonts w:ascii="宋体" w:hAnsi="宋体"/>
          <w:color w:val="auto"/>
          <w:sz w:val="24"/>
          <w:highlight w:val="none"/>
        </w:rPr>
        <w:t xml:space="preserve"> </w:t>
      </w:r>
    </w:p>
    <w:p w14:paraId="442A0EA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3.1.3 </w:t>
      </w:r>
      <w:r>
        <w:rPr>
          <w:rFonts w:hint="eastAsia" w:ascii="宋体" w:hAnsi="宋体"/>
          <w:color w:val="auto"/>
          <w:sz w:val="24"/>
          <w:highlight w:val="none"/>
        </w:rPr>
        <w:t>投标人须知前附表未要求提交投标保证金的，投标文件不包括本章第</w:t>
      </w:r>
      <w:r>
        <w:rPr>
          <w:rFonts w:ascii="宋体" w:hAnsi="宋体"/>
          <w:color w:val="auto"/>
          <w:sz w:val="24"/>
          <w:highlight w:val="none"/>
        </w:rPr>
        <w:t>3.1.1</w:t>
      </w:r>
      <w:r>
        <w:rPr>
          <w:rFonts w:hint="eastAsia" w:ascii="宋体" w:hAnsi="宋体"/>
          <w:color w:val="auto"/>
          <w:sz w:val="24"/>
          <w:highlight w:val="none"/>
          <w:lang w:val="en-US" w:eastAsia="zh-CN"/>
        </w:rPr>
        <w:t>项</w:t>
      </w: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）目所指的投标保证金。</w:t>
      </w:r>
    </w:p>
    <w:p w14:paraId="223E9952">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317" w:name="_Toc27059691"/>
      <w:bookmarkStart w:id="318" w:name="_Toc501257081"/>
      <w:bookmarkStart w:id="319" w:name="_Toc27059781"/>
      <w:bookmarkStart w:id="320" w:name="_Toc27059510"/>
      <w:bookmarkStart w:id="321" w:name="_Toc27059883"/>
      <w:bookmarkStart w:id="322" w:name="_Toc234832890"/>
      <w:bookmarkStart w:id="323" w:name="_Toc53685606"/>
      <w:bookmarkStart w:id="324" w:name="_Toc27060679"/>
      <w:r>
        <w:rPr>
          <w:rFonts w:ascii="Times New Roman" w:hAnsi="Times New Roman"/>
          <w:b w:val="0"/>
          <w:bCs w:val="0"/>
          <w:color w:val="auto"/>
          <w:sz w:val="28"/>
          <w:szCs w:val="32"/>
          <w:highlight w:val="none"/>
        </w:rPr>
        <w:t xml:space="preserve">3.2 </w:t>
      </w:r>
      <w:r>
        <w:rPr>
          <w:rFonts w:hint="default" w:ascii="Times New Roman" w:hAnsi="Times New Roman"/>
          <w:b w:val="0"/>
          <w:bCs w:val="0"/>
          <w:color w:val="auto"/>
          <w:sz w:val="28"/>
          <w:szCs w:val="32"/>
          <w:highlight w:val="none"/>
        </w:rPr>
        <w:t>投标报价</w:t>
      </w:r>
      <w:bookmarkEnd w:id="317"/>
      <w:bookmarkEnd w:id="318"/>
      <w:bookmarkEnd w:id="319"/>
      <w:bookmarkEnd w:id="320"/>
      <w:bookmarkEnd w:id="321"/>
      <w:bookmarkEnd w:id="322"/>
      <w:bookmarkEnd w:id="323"/>
      <w:bookmarkEnd w:id="324"/>
      <w:r>
        <w:rPr>
          <w:rFonts w:ascii="Times New Roman" w:hAnsi="Times New Roman"/>
          <w:b w:val="0"/>
          <w:bCs w:val="0"/>
          <w:color w:val="auto"/>
          <w:sz w:val="28"/>
          <w:szCs w:val="32"/>
          <w:highlight w:val="none"/>
        </w:rPr>
        <w:t xml:space="preserve"> </w:t>
      </w:r>
    </w:p>
    <w:p w14:paraId="530F7B2D">
      <w:pPr>
        <w:spacing w:line="360" w:lineRule="auto"/>
        <w:ind w:firstLine="480" w:firstLineChars="200"/>
        <w:rPr>
          <w:rFonts w:ascii="宋体" w:hAnsi="宋体"/>
          <w:color w:val="auto"/>
          <w:sz w:val="24"/>
          <w:highlight w:val="none"/>
        </w:rPr>
      </w:pPr>
      <w:r>
        <w:rPr>
          <w:rFonts w:ascii="宋体" w:hAnsi="宋体"/>
          <w:color w:val="auto"/>
          <w:sz w:val="24"/>
          <w:highlight w:val="none"/>
        </w:rPr>
        <w:t>3.2.1 投标报价应包括国家规定的增值税税金，除投标人须知前附表另有规定外，增值税税金按一般计税方法计算。投标人应按第九章</w:t>
      </w:r>
      <w:r>
        <w:rPr>
          <w:rFonts w:hint="eastAsia" w:ascii="宋体" w:hAnsi="宋体"/>
          <w:color w:val="auto"/>
          <w:sz w:val="24"/>
          <w:highlight w:val="none"/>
        </w:rPr>
        <w:t>“</w:t>
      </w:r>
      <w:r>
        <w:rPr>
          <w:rFonts w:ascii="宋体" w:hAnsi="宋体"/>
          <w:color w:val="auto"/>
          <w:sz w:val="24"/>
          <w:highlight w:val="none"/>
        </w:rPr>
        <w:t>投标文件格式</w:t>
      </w:r>
      <w:r>
        <w:rPr>
          <w:rFonts w:hint="eastAsia" w:ascii="宋体" w:hAnsi="宋体"/>
          <w:color w:val="auto"/>
          <w:sz w:val="24"/>
          <w:highlight w:val="none"/>
        </w:rPr>
        <w:t>”</w:t>
      </w:r>
      <w:r>
        <w:rPr>
          <w:rFonts w:ascii="宋体" w:hAnsi="宋体"/>
          <w:color w:val="auto"/>
          <w:sz w:val="24"/>
          <w:highlight w:val="none"/>
        </w:rPr>
        <w:t>的要求在投标函</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第二个信封</w:t>
      </w:r>
      <w:r>
        <w:rPr>
          <w:rFonts w:hint="eastAsia" w:ascii="宋体" w:hAnsi="宋体"/>
          <w:color w:val="auto"/>
          <w:sz w:val="24"/>
          <w:highlight w:val="none"/>
          <w:lang w:eastAsia="zh-CN"/>
        </w:rPr>
        <w:t>）</w:t>
      </w:r>
      <w:r>
        <w:rPr>
          <w:rFonts w:ascii="宋体" w:hAnsi="宋体"/>
          <w:color w:val="auto"/>
          <w:sz w:val="24"/>
          <w:highlight w:val="none"/>
        </w:rPr>
        <w:t>中进行报价并填写</w:t>
      </w:r>
      <w:r>
        <w:rPr>
          <w:rFonts w:hint="eastAsia" w:ascii="宋体" w:hAnsi="宋体"/>
          <w:color w:val="auto"/>
          <w:sz w:val="24"/>
          <w:highlight w:val="none"/>
        </w:rPr>
        <w:t>工程量</w:t>
      </w:r>
      <w:r>
        <w:rPr>
          <w:rFonts w:ascii="宋体" w:hAnsi="宋体"/>
          <w:color w:val="auto"/>
          <w:sz w:val="24"/>
          <w:highlight w:val="none"/>
        </w:rPr>
        <w:t>清单相应表格。</w:t>
      </w:r>
    </w:p>
    <w:p w14:paraId="6C135A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本项目招标采用工程量固化清单，招标人</w:t>
      </w:r>
      <w:r>
        <w:rPr>
          <w:rFonts w:ascii="宋体" w:hAnsi="宋体"/>
          <w:color w:val="auto"/>
          <w:sz w:val="24"/>
          <w:highlight w:val="none"/>
        </w:rPr>
        <w:t>将</w:t>
      </w:r>
      <w:r>
        <w:rPr>
          <w:rFonts w:hint="eastAsia" w:ascii="宋体" w:hAnsi="宋体"/>
          <w:color w:val="auto"/>
          <w:sz w:val="24"/>
          <w:highlight w:val="none"/>
        </w:rPr>
        <w:t>工程量固化清单电子文件上传</w:t>
      </w:r>
      <w:r>
        <w:rPr>
          <w:rFonts w:ascii="宋体" w:hAnsi="宋体"/>
          <w:color w:val="auto"/>
          <w:sz w:val="24"/>
          <w:highlight w:val="none"/>
        </w:rPr>
        <w:t>至</w:t>
      </w:r>
      <w:r>
        <w:rPr>
          <w:rFonts w:hint="eastAsia" w:ascii="宋体" w:hAnsi="宋体"/>
          <w:color w:val="auto"/>
          <w:sz w:val="24"/>
          <w:highlight w:val="none"/>
        </w:rPr>
        <w:t>招标文件规定</w:t>
      </w:r>
      <w:r>
        <w:rPr>
          <w:rFonts w:ascii="宋体" w:hAnsi="宋体"/>
          <w:color w:val="auto"/>
          <w:sz w:val="24"/>
          <w:highlight w:val="none"/>
        </w:rPr>
        <w:t>的网站</w:t>
      </w:r>
      <w:r>
        <w:rPr>
          <w:rFonts w:hint="eastAsia" w:ascii="宋体" w:hAnsi="宋体"/>
          <w:color w:val="auto"/>
          <w:sz w:val="24"/>
          <w:highlight w:val="none"/>
        </w:rPr>
        <w:t>供</w:t>
      </w:r>
      <w:r>
        <w:rPr>
          <w:rFonts w:ascii="宋体" w:hAnsi="宋体"/>
          <w:color w:val="auto"/>
          <w:sz w:val="24"/>
          <w:highlight w:val="none"/>
        </w:rPr>
        <w:t>投标人</w:t>
      </w:r>
      <w:r>
        <w:rPr>
          <w:rFonts w:hint="eastAsia" w:ascii="宋体" w:hAnsi="宋体"/>
          <w:color w:val="auto"/>
          <w:sz w:val="24"/>
          <w:highlight w:val="none"/>
        </w:rPr>
        <w:t>自行</w:t>
      </w:r>
      <w:r>
        <w:rPr>
          <w:rFonts w:ascii="宋体" w:hAnsi="宋体"/>
          <w:color w:val="auto"/>
          <w:sz w:val="24"/>
          <w:highlight w:val="none"/>
        </w:rPr>
        <w:t>下载</w:t>
      </w:r>
      <w:r>
        <w:rPr>
          <w:rFonts w:hint="eastAsia" w:ascii="宋体" w:hAnsi="宋体"/>
          <w:color w:val="auto"/>
          <w:sz w:val="24"/>
          <w:highlight w:val="none"/>
        </w:rPr>
        <w:t>。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216A31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投标人必须严格遵循工程量固化清单电子文件中的数据、格式及运算定义，</w:t>
      </w:r>
      <w:r>
        <w:rPr>
          <w:rFonts w:ascii="宋体" w:hAnsi="宋体"/>
          <w:color w:val="auto"/>
          <w:sz w:val="24"/>
          <w:highlight w:val="none"/>
        </w:rPr>
        <w:t>严禁投标人修改工程量固化清单电子文件中的数据、格式及运算定义。</w:t>
      </w:r>
    </w:p>
    <w:p w14:paraId="1061053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投标人根据招标人提供的工程量固化清单电子文件填报完成并打印的投标工程量清单中的投标报价和投标函</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第二个信封</w:t>
      </w:r>
      <w:r>
        <w:rPr>
          <w:rFonts w:hint="eastAsia" w:ascii="宋体" w:hAnsi="宋体"/>
          <w:color w:val="auto"/>
          <w:sz w:val="24"/>
          <w:highlight w:val="none"/>
          <w:lang w:eastAsia="zh-CN"/>
        </w:rPr>
        <w:t>）</w:t>
      </w:r>
      <w:r>
        <w:rPr>
          <w:rFonts w:hint="eastAsia" w:ascii="宋体" w:hAnsi="宋体"/>
          <w:color w:val="auto"/>
          <w:sz w:val="24"/>
          <w:highlight w:val="none"/>
        </w:rPr>
        <w:t>中大写金额报价应一致，如果报价金额出现差异，按照</w:t>
      </w:r>
      <w:r>
        <w:rPr>
          <w:rFonts w:ascii="宋体" w:hAnsi="宋体"/>
          <w:color w:val="auto"/>
          <w:sz w:val="24"/>
          <w:highlight w:val="none"/>
        </w:rPr>
        <w:t>评标办法的规定进行修正</w:t>
      </w:r>
      <w:r>
        <w:rPr>
          <w:rFonts w:hint="eastAsia" w:ascii="宋体" w:hAnsi="宋体"/>
          <w:color w:val="auto"/>
          <w:sz w:val="24"/>
          <w:highlight w:val="none"/>
        </w:rPr>
        <w:t>。</w:t>
      </w:r>
    </w:p>
    <w:p w14:paraId="6D82A46C">
      <w:pPr>
        <w:spacing w:line="360" w:lineRule="auto"/>
        <w:ind w:firstLine="480" w:firstLineChars="200"/>
        <w:rPr>
          <w:rFonts w:ascii="宋体" w:hAnsi="宋体"/>
          <w:color w:val="auto"/>
          <w:sz w:val="24"/>
          <w:highlight w:val="none"/>
        </w:rPr>
      </w:pPr>
      <w:r>
        <w:rPr>
          <w:rFonts w:ascii="宋体" w:hAnsi="宋体"/>
          <w:color w:val="auto"/>
          <w:sz w:val="24"/>
          <w:highlight w:val="none"/>
        </w:rPr>
        <w:t>3.2.2 投标人应充分了解</w:t>
      </w:r>
      <w:r>
        <w:rPr>
          <w:rFonts w:hint="eastAsia" w:ascii="宋体" w:hAnsi="宋体"/>
          <w:color w:val="auto"/>
          <w:sz w:val="24"/>
          <w:highlight w:val="none"/>
        </w:rPr>
        <w:t>本</w:t>
      </w:r>
      <w:r>
        <w:rPr>
          <w:rFonts w:ascii="宋体" w:hAnsi="宋体"/>
          <w:color w:val="auto"/>
          <w:sz w:val="24"/>
          <w:highlight w:val="none"/>
        </w:rPr>
        <w:t>项目的总体情况以及影响投标报价的其他要素。</w:t>
      </w:r>
    </w:p>
    <w:p w14:paraId="024695E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3.2.3 </w:t>
      </w:r>
      <w:r>
        <w:rPr>
          <w:rFonts w:hint="eastAsia" w:ascii="宋体" w:hAnsi="宋体"/>
          <w:color w:val="auto"/>
          <w:sz w:val="24"/>
          <w:highlight w:val="none"/>
        </w:rPr>
        <w:t>本项目的报价方式见投标人须知前附表。</w:t>
      </w:r>
      <w:r>
        <w:rPr>
          <w:rFonts w:ascii="宋体" w:hAnsi="宋体"/>
          <w:color w:val="auto"/>
          <w:sz w:val="24"/>
          <w:highlight w:val="none"/>
        </w:rPr>
        <w:t>投标人在投标截止时间前修改投标函</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第二个信封</w:t>
      </w:r>
      <w:r>
        <w:rPr>
          <w:rFonts w:hint="eastAsia" w:ascii="宋体" w:hAnsi="宋体"/>
          <w:color w:val="auto"/>
          <w:sz w:val="24"/>
          <w:highlight w:val="none"/>
          <w:lang w:eastAsia="zh-CN"/>
        </w:rPr>
        <w:t>）</w:t>
      </w:r>
      <w:r>
        <w:rPr>
          <w:rFonts w:ascii="宋体" w:hAnsi="宋体"/>
          <w:color w:val="auto"/>
          <w:sz w:val="24"/>
          <w:highlight w:val="none"/>
        </w:rPr>
        <w:t>中的投标总报价，应同时修改</w:t>
      </w:r>
      <w:r>
        <w:rPr>
          <w:rFonts w:hint="eastAsia" w:ascii="宋体" w:hAnsi="宋体"/>
          <w:color w:val="auto"/>
          <w:sz w:val="24"/>
          <w:highlight w:val="none"/>
        </w:rPr>
        <w:t>投标</w:t>
      </w:r>
      <w:r>
        <w:rPr>
          <w:rFonts w:ascii="宋体" w:hAnsi="宋体"/>
          <w:color w:val="auto"/>
          <w:sz w:val="24"/>
          <w:highlight w:val="none"/>
        </w:rPr>
        <w:t>文件“已标价工程量清单”中的相应报价。此修改须符合本章第4.3款的有关要求。</w:t>
      </w:r>
    </w:p>
    <w:p w14:paraId="386BC4E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3.2.4 </w:t>
      </w:r>
      <w:r>
        <w:rPr>
          <w:rFonts w:hint="eastAsia" w:ascii="宋体" w:hAnsi="宋体"/>
          <w:color w:val="auto"/>
          <w:sz w:val="24"/>
          <w:highlight w:val="none"/>
        </w:rPr>
        <w:t>投标人如果发现工程量清单中的数量与图纸中数量不一致时，应立即通知招标人核查，除非招标人以书面方式予以更正，否则，应以工程量清单中列出的数量为准。</w:t>
      </w:r>
    </w:p>
    <w:p w14:paraId="43C3837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3.2.5 </w:t>
      </w:r>
      <w:r>
        <w:rPr>
          <w:rFonts w:hint="eastAsia" w:ascii="宋体" w:hAnsi="宋体"/>
          <w:color w:val="auto"/>
          <w:sz w:val="24"/>
          <w:highlight w:val="none"/>
        </w:rPr>
        <w:t>投标人应根据《公路水运工程安全生产监督管理办法》，在投标总价中计入安全生产费用，安全生产费用应符合合同条款第</w:t>
      </w:r>
      <w:r>
        <w:rPr>
          <w:rFonts w:ascii="宋体" w:hAnsi="宋体"/>
          <w:color w:val="auto"/>
          <w:sz w:val="24"/>
          <w:highlight w:val="none"/>
        </w:rPr>
        <w:t>9.2.5项的规定。工程量清单第100章内列有上述安全生产费的支付子目，由投标人按招标文件的规定填写总额价。</w:t>
      </w:r>
    </w:p>
    <w:p w14:paraId="078B8F7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3.2.6 </w:t>
      </w:r>
      <w:r>
        <w:rPr>
          <w:rFonts w:hint="eastAsia" w:ascii="宋体" w:hAnsi="宋体"/>
          <w:color w:val="auto"/>
          <w:sz w:val="24"/>
          <w:highlight w:val="none"/>
        </w:rPr>
        <w:t>招标人不接受调价函。</w:t>
      </w:r>
    </w:p>
    <w:p w14:paraId="02A2A19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3.2.7 </w:t>
      </w:r>
      <w:r>
        <w:rPr>
          <w:rFonts w:hint="eastAsia" w:ascii="宋体" w:hAnsi="宋体"/>
          <w:color w:val="auto"/>
          <w:sz w:val="24"/>
          <w:highlight w:val="none"/>
        </w:rPr>
        <w:t>在合同实施期间，投标人填写的单价、合价和总额价是否由于物价波动进行价格调整按照合同条款第</w:t>
      </w:r>
      <w:r>
        <w:rPr>
          <w:rFonts w:ascii="宋体" w:hAnsi="宋体"/>
          <w:color w:val="auto"/>
          <w:sz w:val="24"/>
          <w:highlight w:val="none"/>
        </w:rPr>
        <w:t>16.1款的规定处理。如果按照合同条款第16.1.1项的规定采用价格调整公式进行价格调整，由招标人根据项目实际情况测算确定价格调整公式中的变值权重范围，合同实施期间将按此权重进行调价。</w:t>
      </w:r>
    </w:p>
    <w:p w14:paraId="2A88EE6F">
      <w:pPr>
        <w:spacing w:line="360" w:lineRule="auto"/>
        <w:ind w:firstLine="480" w:firstLineChars="200"/>
        <w:rPr>
          <w:rFonts w:ascii="宋体" w:hAnsi="宋体"/>
          <w:color w:val="auto"/>
          <w:sz w:val="24"/>
          <w:highlight w:val="none"/>
        </w:rPr>
      </w:pPr>
      <w:r>
        <w:rPr>
          <w:rFonts w:ascii="宋体" w:hAnsi="宋体"/>
          <w:color w:val="auto"/>
          <w:sz w:val="24"/>
          <w:highlight w:val="none"/>
        </w:rPr>
        <w:t>3.2.8 招标人设有最高投标限价的，投标人的投标报价不得超过最高投标限价，最高投标限价在投标</w:t>
      </w:r>
      <w:bookmarkStart w:id="325" w:name="_Toc247513968"/>
      <w:bookmarkStart w:id="326" w:name="_Toc352691488"/>
      <w:bookmarkStart w:id="327" w:name="_Toc144974512"/>
      <w:bookmarkStart w:id="328" w:name="_Toc247527569"/>
      <w:bookmarkStart w:id="329" w:name="_Toc300834965"/>
      <w:bookmarkStart w:id="330" w:name="_Toc369531531"/>
      <w:bookmarkStart w:id="331" w:name="_Toc152042320"/>
      <w:bookmarkStart w:id="332" w:name="_Toc361508600"/>
      <w:bookmarkStart w:id="333" w:name="_Toc10429"/>
      <w:bookmarkStart w:id="334" w:name="_Toc152045544"/>
      <w:bookmarkStart w:id="335" w:name="_Toc384308225"/>
      <w:r>
        <w:rPr>
          <w:rFonts w:ascii="宋体" w:hAnsi="宋体"/>
          <w:color w:val="auto"/>
          <w:sz w:val="24"/>
          <w:highlight w:val="none"/>
        </w:rPr>
        <w:t>人须知前附表中载明。</w:t>
      </w:r>
      <w:bookmarkEnd w:id="325"/>
      <w:bookmarkEnd w:id="326"/>
      <w:bookmarkEnd w:id="327"/>
      <w:bookmarkEnd w:id="328"/>
      <w:bookmarkEnd w:id="329"/>
      <w:bookmarkEnd w:id="330"/>
      <w:bookmarkEnd w:id="331"/>
      <w:bookmarkEnd w:id="332"/>
      <w:bookmarkEnd w:id="333"/>
      <w:bookmarkEnd w:id="334"/>
      <w:bookmarkEnd w:id="335"/>
    </w:p>
    <w:p w14:paraId="29ED4D6B">
      <w:pPr>
        <w:spacing w:line="360" w:lineRule="auto"/>
        <w:ind w:firstLine="480" w:firstLineChars="200"/>
        <w:rPr>
          <w:rFonts w:ascii="宋体" w:hAnsi="宋体"/>
          <w:color w:val="auto"/>
          <w:sz w:val="24"/>
          <w:highlight w:val="none"/>
        </w:rPr>
      </w:pPr>
      <w:r>
        <w:rPr>
          <w:rFonts w:ascii="宋体" w:hAnsi="宋体"/>
          <w:color w:val="auto"/>
          <w:sz w:val="24"/>
          <w:highlight w:val="none"/>
        </w:rPr>
        <w:t>3.2.9 投标报价的</w:t>
      </w:r>
      <w:r>
        <w:rPr>
          <w:rFonts w:hint="eastAsia" w:ascii="宋体" w:hAnsi="宋体"/>
          <w:color w:val="auto"/>
          <w:sz w:val="24"/>
          <w:highlight w:val="none"/>
        </w:rPr>
        <w:t>其</w:t>
      </w:r>
      <w:r>
        <w:rPr>
          <w:rFonts w:hint="eastAsia" w:ascii="宋体" w:hAnsi="宋体"/>
          <w:color w:val="auto"/>
          <w:sz w:val="24"/>
          <w:highlight w:val="none"/>
          <w:lang w:val="en-US" w:eastAsia="zh-CN"/>
        </w:rPr>
        <w:t>他</w:t>
      </w:r>
      <w:r>
        <w:rPr>
          <w:rFonts w:ascii="宋体" w:hAnsi="宋体"/>
          <w:color w:val="auto"/>
          <w:sz w:val="24"/>
          <w:highlight w:val="none"/>
        </w:rPr>
        <w:t>要求见投标人须知前附表。</w:t>
      </w:r>
    </w:p>
    <w:p w14:paraId="2DB1E638">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336" w:name="_Toc53685607"/>
      <w:bookmarkStart w:id="337" w:name="_Toc27059692"/>
      <w:bookmarkStart w:id="338" w:name="_Toc27059884"/>
      <w:bookmarkStart w:id="339" w:name="_Toc27059511"/>
      <w:bookmarkStart w:id="340" w:name="_Toc27059782"/>
      <w:bookmarkStart w:id="341" w:name="_Toc27060680"/>
      <w:bookmarkStart w:id="342" w:name="_Toc234832892"/>
      <w:bookmarkStart w:id="343" w:name="_Toc501257083"/>
      <w:r>
        <w:rPr>
          <w:rFonts w:ascii="Times New Roman" w:hAnsi="Times New Roman"/>
          <w:b w:val="0"/>
          <w:bCs w:val="0"/>
          <w:color w:val="auto"/>
          <w:sz w:val="28"/>
          <w:szCs w:val="32"/>
          <w:highlight w:val="none"/>
        </w:rPr>
        <w:t xml:space="preserve">3.3 </w:t>
      </w:r>
      <w:r>
        <w:rPr>
          <w:rFonts w:hint="default" w:ascii="Times New Roman" w:hAnsi="Times New Roman"/>
          <w:b w:val="0"/>
          <w:bCs w:val="0"/>
          <w:color w:val="auto"/>
          <w:sz w:val="28"/>
          <w:szCs w:val="32"/>
          <w:highlight w:val="none"/>
        </w:rPr>
        <w:t>投标有效期</w:t>
      </w:r>
      <w:bookmarkEnd w:id="336"/>
      <w:bookmarkEnd w:id="337"/>
      <w:bookmarkEnd w:id="338"/>
      <w:bookmarkEnd w:id="339"/>
      <w:bookmarkEnd w:id="340"/>
      <w:bookmarkEnd w:id="341"/>
    </w:p>
    <w:p w14:paraId="335BF00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3.3.1 </w:t>
      </w:r>
      <w:r>
        <w:rPr>
          <w:rFonts w:hint="eastAsia" w:ascii="宋体" w:hAnsi="宋体"/>
          <w:color w:val="auto"/>
          <w:sz w:val="24"/>
          <w:highlight w:val="none"/>
        </w:rPr>
        <w:t>除投标人须知前附表另有规定外，投标有效期为</w:t>
      </w:r>
      <w:r>
        <w:rPr>
          <w:rFonts w:ascii="宋体" w:hAnsi="宋体"/>
          <w:color w:val="auto"/>
          <w:sz w:val="24"/>
          <w:highlight w:val="none"/>
        </w:rPr>
        <w:t>90日。</w:t>
      </w:r>
    </w:p>
    <w:p w14:paraId="50347CE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3.3.2 </w:t>
      </w:r>
      <w:r>
        <w:rPr>
          <w:rFonts w:hint="eastAsia" w:ascii="宋体" w:hAnsi="宋体"/>
          <w:color w:val="auto"/>
          <w:sz w:val="24"/>
          <w:highlight w:val="none"/>
        </w:rPr>
        <w:t>在投标有效期内，投标人撤销投标文件的，应承担招标文件和法律规定的责任。</w:t>
      </w:r>
    </w:p>
    <w:p w14:paraId="0D239D0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3.3.3 </w:t>
      </w:r>
      <w:r>
        <w:rPr>
          <w:rFonts w:hint="eastAsia" w:ascii="宋体" w:hAnsi="宋体"/>
          <w:color w:val="auto"/>
          <w:sz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6C2047B4">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344" w:name="_Toc27060681"/>
      <w:bookmarkStart w:id="345" w:name="_Toc27059693"/>
      <w:bookmarkStart w:id="346" w:name="_Toc53685608"/>
      <w:bookmarkStart w:id="347" w:name="_Toc27059885"/>
      <w:bookmarkStart w:id="348" w:name="_Toc27059512"/>
      <w:bookmarkStart w:id="349" w:name="_Toc27059783"/>
      <w:r>
        <w:rPr>
          <w:rFonts w:ascii="Times New Roman" w:hAnsi="Times New Roman"/>
          <w:b w:val="0"/>
          <w:bCs w:val="0"/>
          <w:color w:val="auto"/>
          <w:sz w:val="28"/>
          <w:szCs w:val="32"/>
          <w:highlight w:val="none"/>
        </w:rPr>
        <w:t>3.4</w:t>
      </w:r>
      <w:r>
        <w:rPr>
          <w:rFonts w:hint="eastAsia" w:ascii="Times New Roman" w:hAnsi="Times New Roman"/>
          <w:b w:val="0"/>
          <w:bCs w:val="0"/>
          <w:color w:val="auto"/>
          <w:sz w:val="28"/>
          <w:szCs w:val="32"/>
          <w:highlight w:val="none"/>
          <w:lang w:val="en-US" w:eastAsia="zh-CN"/>
        </w:rPr>
        <w:t xml:space="preserve"> </w:t>
      </w:r>
      <w:r>
        <w:rPr>
          <w:rFonts w:hint="default" w:ascii="Times New Roman" w:hAnsi="Times New Roman"/>
          <w:b w:val="0"/>
          <w:bCs w:val="0"/>
          <w:color w:val="auto"/>
          <w:sz w:val="28"/>
          <w:szCs w:val="32"/>
          <w:highlight w:val="none"/>
        </w:rPr>
        <w:t>投标保证金</w:t>
      </w:r>
      <w:bookmarkEnd w:id="342"/>
      <w:bookmarkEnd w:id="343"/>
      <w:bookmarkEnd w:id="344"/>
      <w:bookmarkEnd w:id="345"/>
      <w:bookmarkEnd w:id="346"/>
      <w:bookmarkEnd w:id="347"/>
      <w:bookmarkEnd w:id="348"/>
      <w:bookmarkEnd w:id="349"/>
      <w:r>
        <w:rPr>
          <w:rFonts w:ascii="Times New Roman" w:hAnsi="Times New Roman"/>
          <w:b w:val="0"/>
          <w:bCs w:val="0"/>
          <w:color w:val="auto"/>
          <w:sz w:val="28"/>
          <w:szCs w:val="32"/>
          <w:highlight w:val="none"/>
        </w:rPr>
        <w:t xml:space="preserve"> </w:t>
      </w:r>
    </w:p>
    <w:p w14:paraId="7F90C79B">
      <w:pPr>
        <w:spacing w:line="360" w:lineRule="auto"/>
        <w:ind w:firstLine="480" w:firstLineChars="200"/>
        <w:rPr>
          <w:rFonts w:ascii="宋体" w:hAnsi="宋体"/>
          <w:color w:val="auto"/>
          <w:sz w:val="24"/>
          <w:highlight w:val="none"/>
        </w:rPr>
      </w:pPr>
      <w:r>
        <w:rPr>
          <w:rFonts w:ascii="宋体" w:hAnsi="宋体"/>
          <w:color w:val="auto"/>
          <w:sz w:val="24"/>
          <w:highlight w:val="none"/>
        </w:rPr>
        <w:t>3.4.1 投标人在递交投标文件的同时，应按投标人须知前附表规定的金额和第</w:t>
      </w:r>
      <w:r>
        <w:rPr>
          <w:rFonts w:hint="eastAsia" w:ascii="宋体" w:hAnsi="宋体"/>
          <w:color w:val="auto"/>
          <w:sz w:val="24"/>
          <w:highlight w:val="none"/>
        </w:rPr>
        <w:t>九</w:t>
      </w:r>
      <w:r>
        <w:rPr>
          <w:rFonts w:ascii="宋体" w:hAnsi="宋体"/>
          <w:color w:val="auto"/>
          <w:sz w:val="24"/>
          <w:highlight w:val="none"/>
        </w:rPr>
        <w:t>章“投标文件格式”规定的投标保证金格式递交投标保证金，并作为其投标文件的组成部分。联合体投标的，其投标保证金由牵头人递交，并应符合投标人须知前附表的规定。</w:t>
      </w:r>
    </w:p>
    <w:p w14:paraId="3D3FDC9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投标保证金应采用现金、支票、银行保函或招标人在</w:t>
      </w:r>
      <w:r>
        <w:rPr>
          <w:rFonts w:ascii="宋体" w:hAnsi="宋体"/>
          <w:color w:val="auto"/>
          <w:sz w:val="24"/>
          <w:highlight w:val="none"/>
        </w:rPr>
        <w:t>投标人须知前附表</w:t>
      </w:r>
      <w:r>
        <w:rPr>
          <w:rFonts w:hint="eastAsia" w:ascii="宋体" w:hAnsi="宋体"/>
          <w:color w:val="auto"/>
          <w:sz w:val="24"/>
          <w:highlight w:val="none"/>
        </w:rPr>
        <w:t>规定的其他形式。</w:t>
      </w:r>
    </w:p>
    <w:p w14:paraId="51C53F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1）若采用现金或支票，投标人应在递交投标文件</w:t>
      </w:r>
      <w:r>
        <w:rPr>
          <w:rFonts w:hint="eastAsia" w:ascii="宋体" w:hAnsi="宋体"/>
          <w:color w:val="auto"/>
          <w:sz w:val="24"/>
          <w:highlight w:val="none"/>
        </w:rPr>
        <w:t>截止时间之前，将投标保证金由投标人的基本账户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或基本存款账户</w:t>
      </w:r>
      <w:r>
        <w:rPr>
          <w:rFonts w:hint="eastAsia" w:ascii="宋体" w:hAnsi="宋体"/>
          <w:color w:val="auto"/>
          <w:sz w:val="24"/>
          <w:highlight w:val="none"/>
          <w:lang w:eastAsia="zh-CN"/>
        </w:rPr>
        <w:t>）</w:t>
      </w:r>
      <w:r>
        <w:rPr>
          <w:rFonts w:hint="eastAsia" w:ascii="宋体" w:hAnsi="宋体"/>
          <w:color w:val="auto"/>
          <w:sz w:val="24"/>
          <w:highlight w:val="none"/>
        </w:rPr>
        <w:t>转入招标人指定账户，否则视为投标保证金无效。招标人指定的开户银行及账号见投标人须知前附表。</w:t>
      </w:r>
    </w:p>
    <w:p w14:paraId="585A166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s="宋体"/>
          <w:color w:val="auto"/>
          <w:sz w:val="24"/>
          <w:highlight w:val="none"/>
        </w:rPr>
        <w:t>若采用银行保函，则应由符合投标人须知前附表规定的银行开具，并采用招标文件提供的格式。银行保函</w:t>
      </w:r>
      <w:r>
        <w:rPr>
          <w:rFonts w:hint="eastAsia" w:ascii="宋体" w:hAnsi="宋体" w:cs="宋体"/>
          <w:color w:val="auto"/>
          <w:sz w:val="24"/>
          <w:highlight w:val="none"/>
          <w:lang w:val="en-US" w:eastAsia="zh-CN"/>
        </w:rPr>
        <w:t>递交方式见投标人须知前附表</w:t>
      </w:r>
      <w:r>
        <w:rPr>
          <w:rFonts w:hint="eastAsia" w:ascii="宋体" w:hAnsi="宋体"/>
          <w:color w:val="auto"/>
          <w:sz w:val="24"/>
          <w:highlight w:val="none"/>
        </w:rPr>
        <w:t>。</w:t>
      </w:r>
    </w:p>
    <w:p w14:paraId="598D06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无论采取何种形式的投标保证金，投标保证金有效期均应与投标有效期一致。招标人如果按本章第</w:t>
      </w:r>
      <w:r>
        <w:rPr>
          <w:rFonts w:ascii="宋体" w:hAnsi="宋体"/>
          <w:color w:val="auto"/>
          <w:sz w:val="24"/>
          <w:highlight w:val="none"/>
        </w:rPr>
        <w:t>3.3.3项的规定延长了投标有效期，则投标保证金的有效期也相应延长。</w:t>
      </w:r>
    </w:p>
    <w:p w14:paraId="18F8D2AF">
      <w:pPr>
        <w:spacing w:line="360" w:lineRule="auto"/>
        <w:ind w:firstLine="480" w:firstLineChars="200"/>
        <w:rPr>
          <w:rFonts w:ascii="宋体" w:hAnsi="宋体"/>
          <w:color w:val="auto"/>
          <w:sz w:val="24"/>
          <w:highlight w:val="none"/>
        </w:rPr>
      </w:pPr>
      <w:r>
        <w:rPr>
          <w:rFonts w:ascii="宋体" w:hAnsi="宋体"/>
          <w:color w:val="auto"/>
          <w:sz w:val="24"/>
          <w:highlight w:val="none"/>
        </w:rPr>
        <w:t>3.4.2 投标人不按本章第3.4.1项要求提交投标保证金的，评标委员会将否决其投标。</w:t>
      </w:r>
    </w:p>
    <w:p w14:paraId="42B4B484">
      <w:pPr>
        <w:spacing w:line="360" w:lineRule="auto"/>
        <w:ind w:firstLine="480" w:firstLineChars="200"/>
        <w:rPr>
          <w:rFonts w:ascii="宋体" w:hAnsi="宋体"/>
          <w:color w:val="auto"/>
          <w:sz w:val="24"/>
          <w:highlight w:val="none"/>
        </w:rPr>
      </w:pPr>
      <w:r>
        <w:rPr>
          <w:rFonts w:ascii="宋体" w:hAnsi="宋体"/>
          <w:color w:val="auto"/>
          <w:sz w:val="24"/>
          <w:highlight w:val="none"/>
        </w:rPr>
        <w:t>3.4.3 招标人最迟将在中标通知书发出后5</w:t>
      </w:r>
      <w:r>
        <w:rPr>
          <w:rFonts w:hint="eastAsia" w:ascii="宋体" w:hAnsi="宋体"/>
          <w:color w:val="auto"/>
          <w:sz w:val="24"/>
          <w:highlight w:val="none"/>
        </w:rPr>
        <w:t>日</w:t>
      </w:r>
      <w:r>
        <w:rPr>
          <w:rFonts w:ascii="宋体" w:hAnsi="宋体"/>
          <w:color w:val="auto"/>
          <w:sz w:val="24"/>
          <w:highlight w:val="none"/>
        </w:rPr>
        <w:t>内向中标候选人以外的其他投标人退还投标保证金，与中标人签订合同后5</w:t>
      </w:r>
      <w:r>
        <w:rPr>
          <w:rFonts w:hint="eastAsia" w:ascii="宋体" w:hAnsi="宋体"/>
          <w:color w:val="auto"/>
          <w:sz w:val="24"/>
          <w:highlight w:val="none"/>
        </w:rPr>
        <w:t>日</w:t>
      </w:r>
      <w:r>
        <w:rPr>
          <w:rFonts w:ascii="宋体" w:hAnsi="宋体"/>
          <w:color w:val="auto"/>
          <w:sz w:val="24"/>
          <w:highlight w:val="none"/>
        </w:rPr>
        <w:t>内向中标人和其他中标候选人退还投标保证金。投标保证金以现金或支票形式递交的，招标人应同时退还投标保证金的银行同期活期存款利息，且退还至投标人的基本账户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或基本存款账户</w:t>
      </w:r>
      <w:r>
        <w:rPr>
          <w:rFonts w:hint="eastAsia" w:ascii="宋体" w:hAnsi="宋体"/>
          <w:color w:val="auto"/>
          <w:sz w:val="24"/>
          <w:highlight w:val="none"/>
          <w:lang w:eastAsia="zh-CN"/>
        </w:rPr>
        <w:t>）</w:t>
      </w:r>
      <w:r>
        <w:rPr>
          <w:rFonts w:ascii="宋体" w:hAnsi="宋体"/>
          <w:color w:val="auto"/>
          <w:sz w:val="24"/>
          <w:highlight w:val="none"/>
        </w:rPr>
        <w:t>。</w:t>
      </w:r>
    </w:p>
    <w:p w14:paraId="6C61BF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利息计算原则、投标保证金退还方式见投标人须知前附表。</w:t>
      </w:r>
    </w:p>
    <w:p w14:paraId="1AD5C4D3">
      <w:pPr>
        <w:spacing w:line="360" w:lineRule="auto"/>
        <w:ind w:firstLine="480" w:firstLineChars="200"/>
        <w:rPr>
          <w:color w:val="auto"/>
          <w:sz w:val="24"/>
          <w:highlight w:val="none"/>
        </w:rPr>
      </w:pPr>
      <w:r>
        <w:rPr>
          <w:rFonts w:ascii="宋体" w:hAnsi="宋体"/>
          <w:color w:val="auto"/>
          <w:sz w:val="24"/>
          <w:highlight w:val="none"/>
        </w:rPr>
        <w:t xml:space="preserve">3.4.4 </w:t>
      </w:r>
      <w:r>
        <w:rPr>
          <w:rFonts w:hint="eastAsia" w:ascii="宋体" w:hAnsi="宋体"/>
          <w:color w:val="auto"/>
          <w:sz w:val="24"/>
          <w:highlight w:val="none"/>
        </w:rPr>
        <w:t>有下列情形之一的，投标保证金将不予退还</w:t>
      </w:r>
      <w:r>
        <w:rPr>
          <w:rFonts w:hint="eastAsia"/>
          <w:color w:val="auto"/>
          <w:sz w:val="24"/>
          <w:highlight w:val="none"/>
        </w:rPr>
        <w:t>：</w:t>
      </w:r>
    </w:p>
    <w:p w14:paraId="553686C5">
      <w:pPr>
        <w:spacing w:line="360" w:lineRule="auto"/>
        <w:ind w:firstLine="480" w:firstLineChars="200"/>
        <w:rPr>
          <w:rFonts w:ascii="宋体" w:hAnsi="宋体"/>
          <w:color w:val="auto"/>
          <w:sz w:val="24"/>
          <w:highlight w:val="none"/>
        </w:rPr>
      </w:pPr>
      <w:r>
        <w:rPr>
          <w:rFonts w:ascii="宋体" w:hAnsi="宋体"/>
          <w:color w:val="auto"/>
          <w:sz w:val="24"/>
          <w:highlight w:val="none"/>
        </w:rPr>
        <w:t>（1）投标人在投标有效期内撤销投标文件；</w:t>
      </w:r>
    </w:p>
    <w:p w14:paraId="3F55FF55">
      <w:pPr>
        <w:spacing w:line="360" w:lineRule="auto"/>
        <w:ind w:firstLine="480" w:firstLineChars="200"/>
        <w:rPr>
          <w:rFonts w:ascii="宋体" w:hAnsi="宋体"/>
          <w:color w:val="auto"/>
          <w:sz w:val="24"/>
          <w:highlight w:val="none"/>
        </w:rPr>
      </w:pPr>
      <w:r>
        <w:rPr>
          <w:rFonts w:ascii="宋体" w:hAnsi="宋体"/>
          <w:color w:val="auto"/>
          <w:sz w:val="24"/>
          <w:highlight w:val="none"/>
        </w:rPr>
        <w:t>（2）中标人在收到中标通知书后，无正当理由不与招标人订立合同，在签订合同时向招标人提出附加条件，或不按照招标文件要求提交履约保证金；</w:t>
      </w:r>
    </w:p>
    <w:p w14:paraId="3A8FDDA0">
      <w:pPr>
        <w:spacing w:line="360" w:lineRule="auto"/>
        <w:ind w:firstLine="480" w:firstLineChars="200"/>
        <w:rPr>
          <w:rFonts w:ascii="宋体" w:hAnsi="宋体"/>
          <w:color w:val="auto"/>
          <w:sz w:val="24"/>
          <w:highlight w:val="none"/>
        </w:rPr>
      </w:pPr>
      <w:r>
        <w:rPr>
          <w:rFonts w:ascii="宋体" w:hAnsi="宋体"/>
          <w:color w:val="auto"/>
          <w:sz w:val="24"/>
          <w:highlight w:val="none"/>
        </w:rPr>
        <w:t>（3）发生投标人须知前附表规定的其他不予退还投标保证金的情形。</w:t>
      </w:r>
    </w:p>
    <w:p w14:paraId="7A68062B">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350" w:name="_Toc53685609"/>
      <w:bookmarkStart w:id="351" w:name="_Toc27059694"/>
      <w:bookmarkStart w:id="352" w:name="_Toc234832894"/>
      <w:bookmarkStart w:id="353" w:name="_Toc27059513"/>
      <w:bookmarkStart w:id="354" w:name="_Toc501257085"/>
      <w:bookmarkStart w:id="355" w:name="_Toc27060682"/>
      <w:bookmarkStart w:id="356" w:name="_Toc27059886"/>
      <w:bookmarkStart w:id="357" w:name="_Toc27059784"/>
      <w:r>
        <w:rPr>
          <w:rFonts w:ascii="Times New Roman" w:hAnsi="Times New Roman"/>
          <w:b w:val="0"/>
          <w:bCs w:val="0"/>
          <w:color w:val="auto"/>
          <w:sz w:val="28"/>
          <w:szCs w:val="32"/>
          <w:highlight w:val="none"/>
        </w:rPr>
        <w:t>3</w:t>
      </w:r>
      <w:r>
        <w:rPr>
          <w:rFonts w:hint="eastAsia" w:ascii="Times New Roman" w:hAnsi="Times New Roman"/>
          <w:b w:val="0"/>
          <w:bCs w:val="0"/>
          <w:color w:val="auto"/>
          <w:sz w:val="28"/>
          <w:szCs w:val="32"/>
          <w:highlight w:val="none"/>
          <w:lang w:val="en-US" w:eastAsia="zh-CN"/>
        </w:rPr>
        <w:t xml:space="preserve">.5 </w:t>
      </w:r>
      <w:r>
        <w:rPr>
          <w:rFonts w:hint="default" w:ascii="Times New Roman" w:hAnsi="Times New Roman"/>
          <w:b w:val="0"/>
          <w:bCs w:val="0"/>
          <w:color w:val="auto"/>
          <w:sz w:val="28"/>
          <w:szCs w:val="32"/>
          <w:highlight w:val="none"/>
        </w:rPr>
        <w:t>资格审查资料</w:t>
      </w:r>
      <w:bookmarkEnd w:id="350"/>
      <w:bookmarkEnd w:id="351"/>
      <w:bookmarkEnd w:id="352"/>
      <w:bookmarkEnd w:id="353"/>
      <w:bookmarkEnd w:id="354"/>
      <w:bookmarkEnd w:id="355"/>
      <w:bookmarkEnd w:id="356"/>
      <w:bookmarkEnd w:id="357"/>
    </w:p>
    <w:p w14:paraId="5C11B130">
      <w:pPr>
        <w:spacing w:line="360" w:lineRule="auto"/>
        <w:ind w:firstLine="480" w:firstLineChars="200"/>
        <w:rPr>
          <w:rFonts w:ascii="宋体" w:hAnsi="宋体"/>
          <w:color w:val="auto"/>
          <w:sz w:val="24"/>
          <w:highlight w:val="none"/>
        </w:rPr>
      </w:pPr>
      <w:r>
        <w:rPr>
          <w:rFonts w:ascii="宋体" w:hAnsi="宋体"/>
          <w:color w:val="auto"/>
          <w:sz w:val="24"/>
          <w:highlight w:val="none"/>
        </w:rPr>
        <w:t>除投标人须知前附表另有规定外，投标人应按下列规定提供资格审查资料，以证明其满足本章第1.4款规定的资质、财务、业绩、信誉等要求。</w:t>
      </w:r>
    </w:p>
    <w:p w14:paraId="519F90E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3.5.1 </w:t>
      </w:r>
      <w:r>
        <w:rPr>
          <w:rFonts w:hint="eastAsia" w:ascii="宋体" w:hAnsi="宋体"/>
          <w:color w:val="auto"/>
          <w:sz w:val="24"/>
          <w:highlight w:val="none"/>
        </w:rPr>
        <w:t>“投标人基本情况表”应附的证明材料要求：见投标人须知前附表。</w:t>
      </w:r>
    </w:p>
    <w:p w14:paraId="26C71B5C">
      <w:pPr>
        <w:spacing w:line="360" w:lineRule="auto"/>
        <w:ind w:firstLine="480" w:firstLineChars="200"/>
        <w:rPr>
          <w:rFonts w:ascii="宋体" w:hAnsi="宋体"/>
          <w:color w:val="auto"/>
          <w:sz w:val="24"/>
          <w:highlight w:val="none"/>
        </w:rPr>
      </w:pPr>
      <w:r>
        <w:rPr>
          <w:rFonts w:ascii="宋体" w:hAnsi="宋体"/>
          <w:color w:val="auto"/>
          <w:sz w:val="24"/>
          <w:highlight w:val="none"/>
        </w:rPr>
        <w:t>3.5.2</w:t>
      </w:r>
      <w:r>
        <w:rPr>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财务状况表</w:t>
      </w:r>
      <w:r>
        <w:rPr>
          <w:rFonts w:hint="eastAsia" w:ascii="宋体" w:hAnsi="宋体"/>
          <w:color w:val="auto"/>
          <w:sz w:val="24"/>
          <w:highlight w:val="none"/>
        </w:rPr>
        <w:t>”应附的证明材料要求：见投标人须知前附表。</w:t>
      </w:r>
      <w:r>
        <w:rPr>
          <w:rFonts w:ascii="宋体" w:hAnsi="宋体"/>
          <w:color w:val="auto"/>
          <w:sz w:val="24"/>
          <w:highlight w:val="none"/>
        </w:rPr>
        <w:t>具体年份要求见投标人须知前附表</w:t>
      </w:r>
      <w:r>
        <w:rPr>
          <w:rFonts w:hint="eastAsia" w:ascii="宋体" w:hAnsi="宋体"/>
          <w:color w:val="auto"/>
          <w:sz w:val="24"/>
          <w:highlight w:val="none"/>
        </w:rPr>
        <w:t>，</w:t>
      </w:r>
      <w:r>
        <w:rPr>
          <w:rFonts w:ascii="宋体" w:hAnsi="宋体"/>
          <w:color w:val="auto"/>
          <w:sz w:val="24"/>
          <w:highlight w:val="none"/>
        </w:rPr>
        <w:t>投标人的成立时间少于投标人须知前附表规定年份的，</w:t>
      </w:r>
      <w:r>
        <w:rPr>
          <w:rFonts w:hint="eastAsia" w:ascii="宋体" w:hAnsi="宋体"/>
          <w:color w:val="auto"/>
          <w:sz w:val="24"/>
          <w:highlight w:val="none"/>
        </w:rPr>
        <w:t>指</w:t>
      </w:r>
      <w:r>
        <w:rPr>
          <w:rFonts w:ascii="宋体" w:hAnsi="宋体"/>
          <w:color w:val="auto"/>
          <w:sz w:val="24"/>
          <w:highlight w:val="none"/>
        </w:rPr>
        <w:t>成立以来的</w:t>
      </w:r>
      <w:r>
        <w:rPr>
          <w:rFonts w:hint="eastAsia" w:ascii="宋体" w:hAnsi="宋体"/>
          <w:color w:val="auto"/>
          <w:sz w:val="24"/>
          <w:highlight w:val="none"/>
          <w:lang w:val="en-US" w:eastAsia="zh-CN"/>
        </w:rPr>
        <w:t>年份</w:t>
      </w:r>
      <w:r>
        <w:rPr>
          <w:rFonts w:ascii="宋体" w:hAnsi="宋体"/>
          <w:color w:val="auto"/>
          <w:sz w:val="24"/>
          <w:highlight w:val="none"/>
        </w:rPr>
        <w:t>。</w:t>
      </w:r>
    </w:p>
    <w:p w14:paraId="66B82BAA">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3.5.3 “近年完成的类似项目</w:t>
      </w:r>
      <w:r>
        <w:rPr>
          <w:rFonts w:hint="eastAsia" w:ascii="宋体" w:hAnsi="宋体"/>
          <w:color w:val="auto"/>
          <w:sz w:val="24"/>
          <w:highlight w:val="none"/>
        </w:rPr>
        <w:t>”</w:t>
      </w:r>
      <w:r>
        <w:rPr>
          <w:rFonts w:hint="eastAsia" w:ascii="宋体" w:hAnsi="宋体"/>
          <w:color w:val="auto"/>
          <w:sz w:val="24"/>
          <w:highlight w:val="none"/>
          <w:lang w:val="en-US" w:eastAsia="zh-CN"/>
        </w:rPr>
        <w:t>具体时间</w:t>
      </w:r>
      <w:r>
        <w:rPr>
          <w:rFonts w:hint="eastAsia" w:ascii="宋体" w:hAnsi="宋体"/>
          <w:color w:val="auto"/>
          <w:sz w:val="24"/>
          <w:highlight w:val="none"/>
        </w:rPr>
        <w:t>要求：见投标人须知前附表。</w:t>
      </w:r>
    </w:p>
    <w:p w14:paraId="089E623F">
      <w:pPr>
        <w:topLinePunct/>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“近年完成的类似项目情况表”</w:t>
      </w:r>
      <w:r>
        <w:rPr>
          <w:rFonts w:hint="eastAsia" w:ascii="宋体" w:hAnsi="宋体"/>
          <w:color w:val="auto"/>
          <w:sz w:val="24"/>
          <w:highlight w:val="none"/>
        </w:rPr>
        <w:t>应附的证明材料要求：见投标人须知前附表。</w:t>
      </w:r>
    </w:p>
    <w:p w14:paraId="3DDAD2DB">
      <w:pPr>
        <w:topLinePunct/>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如投标人未提供相关项目证明材料或相关证明材料中的信息无法证实投标人满足招标文件规定的资格审查条件（业绩最低要求）</w:t>
      </w:r>
      <w:r>
        <w:rPr>
          <w:rFonts w:ascii="宋体" w:hAnsi="宋体" w:cs="宋体"/>
          <w:color w:val="auto"/>
          <w:sz w:val="24"/>
          <w:highlight w:val="none"/>
        </w:rPr>
        <w:t>,则该项目业绩不予认定。</w:t>
      </w:r>
    </w:p>
    <w:p w14:paraId="2D631155">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3.5.4 </w:t>
      </w:r>
      <w:r>
        <w:rPr>
          <w:rFonts w:hint="eastAsia" w:ascii="宋体" w:hAnsi="宋体"/>
          <w:color w:val="auto"/>
          <w:sz w:val="24"/>
          <w:highlight w:val="none"/>
        </w:rPr>
        <w:t>“投标人的信誉</w:t>
      </w:r>
      <w:r>
        <w:rPr>
          <w:rFonts w:ascii="宋体" w:hAnsi="宋体"/>
          <w:color w:val="auto"/>
          <w:sz w:val="24"/>
          <w:highlight w:val="none"/>
        </w:rPr>
        <w:t>情况表</w:t>
      </w:r>
      <w:r>
        <w:rPr>
          <w:rFonts w:hint="eastAsia" w:ascii="宋体" w:hAnsi="宋体"/>
          <w:color w:val="auto"/>
          <w:sz w:val="24"/>
          <w:highlight w:val="none"/>
        </w:rPr>
        <w:t>”应附的证明材料要求：见投标人须知前附表。</w:t>
      </w:r>
    </w:p>
    <w:p w14:paraId="1B83B72B">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3.5.5 </w:t>
      </w:r>
      <w:r>
        <w:rPr>
          <w:rFonts w:hint="eastAsia" w:ascii="宋体" w:hAnsi="宋体"/>
          <w:color w:val="auto"/>
          <w:sz w:val="24"/>
          <w:highlight w:val="none"/>
        </w:rPr>
        <w:t>“拟委任的主要人员资历表”</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r>
        <w:rPr>
          <w:rFonts w:hint="eastAsia" w:ascii="宋体" w:hAnsi="宋体"/>
          <w:color w:val="auto"/>
          <w:sz w:val="24"/>
          <w:highlight w:val="none"/>
        </w:rPr>
        <w:t>应附的证明材料要求：见投标人须知前附表。</w:t>
      </w:r>
    </w:p>
    <w:p w14:paraId="6A62B9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如投标人未提供主要人员相关业绩证明材料或相关业绩证明材料中的信息无法证实投标人满足招标文件规定的资格审查条件（主要人员最低要求）</w:t>
      </w:r>
      <w:r>
        <w:rPr>
          <w:rFonts w:ascii="宋体" w:hAnsi="宋体" w:cs="宋体"/>
          <w:color w:val="auto"/>
          <w:sz w:val="24"/>
          <w:highlight w:val="none"/>
        </w:rPr>
        <w:t>,则该</w:t>
      </w:r>
      <w:r>
        <w:rPr>
          <w:rFonts w:hint="eastAsia" w:ascii="宋体" w:hAnsi="宋体" w:cs="宋体"/>
          <w:color w:val="auto"/>
          <w:sz w:val="24"/>
          <w:highlight w:val="none"/>
        </w:rPr>
        <w:t>项业绩不予认定。</w:t>
      </w:r>
    </w:p>
    <w:p w14:paraId="08BAE41E">
      <w:pPr>
        <w:topLinePunct/>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如拟委任的项目经理、</w:t>
      </w:r>
      <w:r>
        <w:rPr>
          <w:rFonts w:ascii="宋体" w:hAnsi="宋体" w:cs="宋体"/>
          <w:color w:val="auto"/>
          <w:sz w:val="24"/>
          <w:highlight w:val="none"/>
        </w:rPr>
        <w:t>项目总工</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主要人员目前仍在其他项目上任职，则投标人在投标函中应承诺可以从该项目撤离。</w:t>
      </w:r>
    </w:p>
    <w:p w14:paraId="1539FC93">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3.5.6 </w:t>
      </w:r>
      <w:r>
        <w:rPr>
          <w:rFonts w:hint="eastAsia" w:ascii="宋体" w:hAnsi="宋体"/>
          <w:color w:val="auto"/>
          <w:sz w:val="24"/>
          <w:highlight w:val="none"/>
        </w:rPr>
        <w:t>“</w:t>
      </w:r>
      <w:r>
        <w:rPr>
          <w:rFonts w:ascii="宋体" w:hAnsi="宋体"/>
          <w:color w:val="auto"/>
          <w:sz w:val="24"/>
          <w:highlight w:val="none"/>
        </w:rPr>
        <w:t>拟委任的其他管理和技术人员</w:t>
      </w:r>
      <w:r>
        <w:rPr>
          <w:rFonts w:hint="eastAsia" w:ascii="宋体" w:hAnsi="宋体"/>
          <w:color w:val="auto"/>
          <w:sz w:val="24"/>
          <w:highlight w:val="none"/>
        </w:rPr>
        <w:t>资历</w:t>
      </w:r>
      <w:r>
        <w:rPr>
          <w:rFonts w:ascii="宋体" w:hAnsi="宋体"/>
          <w:color w:val="auto"/>
          <w:sz w:val="24"/>
          <w:highlight w:val="none"/>
        </w:rPr>
        <w:t>表</w:t>
      </w:r>
      <w:r>
        <w:rPr>
          <w:rFonts w:hint="eastAsia" w:ascii="宋体" w:hAnsi="宋体"/>
          <w:color w:val="auto"/>
          <w:sz w:val="24"/>
          <w:highlight w:val="none"/>
        </w:rPr>
        <w:t>”（如有）</w:t>
      </w:r>
      <w:r>
        <w:rPr>
          <w:rFonts w:hint="eastAsia" w:ascii="宋体" w:hAnsi="宋体" w:cs="宋体"/>
          <w:color w:val="auto"/>
          <w:sz w:val="24"/>
          <w:highlight w:val="none"/>
        </w:rPr>
        <w:t>应填报满足投标人须知前附表对应附录规定的其他主要人员的相关信息</w:t>
      </w:r>
      <w:r>
        <w:rPr>
          <w:rFonts w:hint="eastAsia" w:ascii="宋体" w:hAnsi="宋体" w:cs="宋体"/>
          <w:color w:val="auto"/>
          <w:sz w:val="24"/>
          <w:highlight w:val="none"/>
          <w:lang w:eastAsia="zh-CN"/>
        </w:rPr>
        <w:t>，</w:t>
      </w:r>
      <w:r>
        <w:rPr>
          <w:rFonts w:hint="eastAsia" w:ascii="宋体" w:hAnsi="宋体"/>
          <w:color w:val="auto"/>
          <w:sz w:val="24"/>
          <w:highlight w:val="none"/>
        </w:rPr>
        <w:t>应附的证明材料要求：见投标人须知前附表。</w:t>
      </w:r>
    </w:p>
    <w:p w14:paraId="13D26786">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3.5.7 </w:t>
      </w:r>
      <w:r>
        <w:rPr>
          <w:rFonts w:hint="eastAsia" w:ascii="宋体" w:hAnsi="宋体"/>
          <w:color w:val="auto"/>
          <w:sz w:val="24"/>
          <w:highlight w:val="none"/>
        </w:rPr>
        <w:t>“</w:t>
      </w:r>
      <w:r>
        <w:rPr>
          <w:rFonts w:ascii="宋体" w:hAnsi="宋体"/>
          <w:color w:val="auto"/>
          <w:sz w:val="24"/>
          <w:highlight w:val="none"/>
        </w:rPr>
        <w:t>拟投入本标段的主要施工机械表</w:t>
      </w:r>
      <w:r>
        <w:rPr>
          <w:rFonts w:hint="eastAsia" w:ascii="宋体" w:hAnsi="宋体"/>
          <w:color w:val="auto"/>
          <w:sz w:val="24"/>
          <w:highlight w:val="none"/>
        </w:rPr>
        <w:t>”“</w:t>
      </w:r>
      <w:r>
        <w:rPr>
          <w:rFonts w:ascii="宋体" w:hAnsi="宋体"/>
          <w:color w:val="auto"/>
          <w:sz w:val="24"/>
          <w:highlight w:val="none"/>
        </w:rPr>
        <w:t>拟配备本标段的主要材料试验、测量、质检仪器设备表</w:t>
      </w:r>
      <w:r>
        <w:rPr>
          <w:rFonts w:hint="eastAsia" w:ascii="宋体" w:hAnsi="宋体"/>
          <w:color w:val="auto"/>
          <w:sz w:val="24"/>
          <w:highlight w:val="none"/>
        </w:rPr>
        <w:t>”（如有）应填报满足投标人须知前附表对应附录规定的机械设备和试验检测设备。</w:t>
      </w:r>
    </w:p>
    <w:p w14:paraId="1FBCBD5A">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3.5.8 “拟</w:t>
      </w:r>
      <w:r>
        <w:rPr>
          <w:rFonts w:hint="eastAsia" w:ascii="宋体" w:hAnsi="宋体"/>
          <w:color w:val="auto"/>
          <w:sz w:val="24"/>
          <w:highlight w:val="none"/>
        </w:rPr>
        <w:t>用于</w:t>
      </w:r>
      <w:r>
        <w:rPr>
          <w:rFonts w:ascii="宋体" w:hAnsi="宋体"/>
          <w:color w:val="auto"/>
          <w:sz w:val="24"/>
          <w:highlight w:val="none"/>
        </w:rPr>
        <w:t>本标段的</w:t>
      </w:r>
      <w:r>
        <w:rPr>
          <w:rFonts w:hint="eastAsia" w:ascii="宋体" w:hAnsi="宋体"/>
          <w:color w:val="auto"/>
          <w:sz w:val="24"/>
          <w:highlight w:val="none"/>
        </w:rPr>
        <w:t>关键机电设备品牌</w:t>
      </w:r>
      <w:r>
        <w:rPr>
          <w:rFonts w:ascii="宋体" w:hAnsi="宋体"/>
          <w:color w:val="auto"/>
          <w:sz w:val="24"/>
          <w:highlight w:val="none"/>
        </w:rPr>
        <w:t>及主要</w:t>
      </w:r>
      <w:r>
        <w:rPr>
          <w:rFonts w:hint="eastAsia" w:ascii="宋体" w:hAnsi="宋体"/>
          <w:color w:val="auto"/>
          <w:sz w:val="24"/>
          <w:highlight w:val="none"/>
        </w:rPr>
        <w:t>技术性能</w:t>
      </w:r>
      <w:r>
        <w:rPr>
          <w:rFonts w:ascii="宋体" w:hAnsi="宋体"/>
          <w:color w:val="auto"/>
          <w:sz w:val="24"/>
          <w:highlight w:val="none"/>
        </w:rPr>
        <w:t>指标</w:t>
      </w:r>
      <w:r>
        <w:rPr>
          <w:rFonts w:hint="eastAsia" w:ascii="宋体" w:hAnsi="宋体"/>
          <w:color w:val="auto"/>
          <w:sz w:val="24"/>
          <w:highlight w:val="none"/>
        </w:rPr>
        <w:t>表”（如有）应对投标人须知前附表对应附录规定的关键机电设备</w:t>
      </w:r>
      <w:r>
        <w:rPr>
          <w:rFonts w:ascii="宋体" w:hAnsi="宋体"/>
          <w:color w:val="auto"/>
          <w:sz w:val="24"/>
          <w:highlight w:val="none"/>
        </w:rPr>
        <w:t>品牌及主要技术性能指标</w:t>
      </w:r>
      <w:r>
        <w:rPr>
          <w:rFonts w:hint="eastAsia" w:ascii="宋体" w:hAnsi="宋体"/>
          <w:color w:val="auto"/>
          <w:sz w:val="24"/>
          <w:highlight w:val="none"/>
        </w:rPr>
        <w:t>作出响应，应附的证明材料要求：见投标人须知前附表。</w:t>
      </w:r>
    </w:p>
    <w:p w14:paraId="698BFADD">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3.5.</w:t>
      </w:r>
      <w:r>
        <w:rPr>
          <w:rFonts w:hint="eastAsia" w:ascii="宋体" w:hAnsi="宋体"/>
          <w:color w:val="auto"/>
          <w:sz w:val="24"/>
          <w:highlight w:val="none"/>
          <w:lang w:val="en-US" w:eastAsia="zh-CN"/>
        </w:rPr>
        <w:t>9</w:t>
      </w:r>
      <w:r>
        <w:rPr>
          <w:rFonts w:ascii="宋体" w:hAnsi="宋体"/>
          <w:color w:val="auto"/>
          <w:sz w:val="24"/>
          <w:highlight w:val="none"/>
        </w:rPr>
        <w:t xml:space="preserve"> 投标人须知前附表规定接受联合体投标的，本章第3.5.1项至第3.5.7项规定的表格和资料应包括联合体各方相关情况。</w:t>
      </w:r>
    </w:p>
    <w:p w14:paraId="580B7D60">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3.5.</w:t>
      </w:r>
      <w:r>
        <w:rPr>
          <w:rFonts w:hint="eastAsia" w:ascii="宋体" w:hAnsi="宋体"/>
          <w:color w:val="auto"/>
          <w:sz w:val="24"/>
          <w:highlight w:val="none"/>
          <w:lang w:val="en-US" w:eastAsia="zh-CN"/>
        </w:rPr>
        <w:t>10</w:t>
      </w:r>
      <w:r>
        <w:rPr>
          <w:rFonts w:ascii="宋体" w:hAnsi="宋体"/>
          <w:color w:val="auto"/>
          <w:sz w:val="24"/>
          <w:highlight w:val="none"/>
        </w:rPr>
        <w:t xml:space="preserve"> </w:t>
      </w:r>
      <w:r>
        <w:rPr>
          <w:rFonts w:hint="eastAsia" w:ascii="宋体" w:hAnsi="宋体"/>
          <w:color w:val="auto"/>
          <w:sz w:val="24"/>
          <w:highlight w:val="none"/>
        </w:rPr>
        <w:t>除合同</w:t>
      </w:r>
      <w:r>
        <w:rPr>
          <w:rFonts w:ascii="宋体" w:hAnsi="宋体"/>
          <w:color w:val="auto"/>
          <w:sz w:val="24"/>
          <w:highlight w:val="none"/>
        </w:rPr>
        <w:t>条款</w:t>
      </w:r>
      <w:r>
        <w:rPr>
          <w:rFonts w:hint="eastAsia" w:ascii="宋体" w:hAnsi="宋体"/>
          <w:color w:val="auto"/>
          <w:sz w:val="24"/>
          <w:highlight w:val="none"/>
        </w:rPr>
        <w:t>约定</w:t>
      </w:r>
      <w:r>
        <w:rPr>
          <w:rFonts w:ascii="宋体" w:hAnsi="宋体"/>
          <w:color w:val="auto"/>
          <w:sz w:val="24"/>
          <w:highlight w:val="none"/>
        </w:rPr>
        <w:t>的</w:t>
      </w:r>
      <w:r>
        <w:rPr>
          <w:rFonts w:hint="eastAsia" w:ascii="宋体" w:hAnsi="宋体"/>
          <w:color w:val="auto"/>
          <w:sz w:val="24"/>
          <w:highlight w:val="none"/>
        </w:rPr>
        <w:t>特殊</w:t>
      </w:r>
      <w:r>
        <w:rPr>
          <w:rFonts w:ascii="宋体" w:hAnsi="宋体"/>
          <w:color w:val="auto"/>
          <w:sz w:val="24"/>
          <w:highlight w:val="none"/>
        </w:rPr>
        <w:t>情形</w:t>
      </w:r>
      <w:r>
        <w:rPr>
          <w:rFonts w:hint="eastAsia" w:ascii="宋体" w:hAnsi="宋体"/>
          <w:color w:val="auto"/>
          <w:sz w:val="24"/>
          <w:highlight w:val="none"/>
        </w:rPr>
        <w:t>外</w:t>
      </w:r>
      <w:r>
        <w:rPr>
          <w:rFonts w:ascii="宋体" w:hAnsi="宋体"/>
          <w:color w:val="auto"/>
          <w:sz w:val="24"/>
          <w:highlight w:val="none"/>
        </w:rPr>
        <w:t>，</w:t>
      </w:r>
      <w:r>
        <w:rPr>
          <w:rFonts w:hint="eastAsia" w:ascii="宋体" w:hAnsi="宋体"/>
          <w:color w:val="auto"/>
          <w:sz w:val="24"/>
          <w:highlight w:val="none"/>
        </w:rPr>
        <w:t>投标人在投标文件中填报的主要人员不允许更换。</w:t>
      </w:r>
    </w:p>
    <w:p w14:paraId="5560F0CB">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3.5.1</w:t>
      </w:r>
      <w:r>
        <w:rPr>
          <w:rFonts w:hint="eastAsia" w:ascii="宋体" w:hAnsi="宋体"/>
          <w:color w:val="auto"/>
          <w:sz w:val="24"/>
          <w:highlight w:val="none"/>
          <w:lang w:val="en-US" w:eastAsia="zh-CN"/>
        </w:rPr>
        <w:t>1</w:t>
      </w:r>
      <w:r>
        <w:rPr>
          <w:rFonts w:ascii="宋体" w:hAnsi="宋体"/>
          <w:color w:val="auto"/>
          <w:sz w:val="24"/>
          <w:highlight w:val="none"/>
        </w:rPr>
        <w:t xml:space="preserve"> 投标人在</w:t>
      </w:r>
      <w:r>
        <w:rPr>
          <w:rFonts w:hint="eastAsia" w:ascii="宋体" w:hAnsi="宋体"/>
          <w:color w:val="auto"/>
          <w:sz w:val="24"/>
          <w:highlight w:val="none"/>
        </w:rPr>
        <w:t>投标文件</w:t>
      </w:r>
      <w:r>
        <w:rPr>
          <w:rFonts w:ascii="宋体" w:hAnsi="宋体"/>
          <w:color w:val="auto"/>
          <w:sz w:val="24"/>
          <w:highlight w:val="none"/>
        </w:rPr>
        <w:t>中填报的资质、业绩、主要人员资历</w:t>
      </w:r>
      <w:r>
        <w:rPr>
          <w:rFonts w:hint="eastAsia" w:ascii="宋体" w:hAnsi="宋体"/>
          <w:color w:val="auto"/>
          <w:sz w:val="24"/>
          <w:highlight w:val="none"/>
        </w:rPr>
        <w:t>等信息，</w:t>
      </w:r>
      <w:r>
        <w:rPr>
          <w:rFonts w:ascii="宋体" w:hAnsi="宋体"/>
          <w:color w:val="auto"/>
          <w:sz w:val="24"/>
          <w:highlight w:val="none"/>
        </w:rPr>
        <w:t>应与其在</w:t>
      </w:r>
      <w:r>
        <w:rPr>
          <w:rFonts w:hint="eastAsia" w:ascii="宋体" w:hAnsi="宋体"/>
          <w:color w:val="auto"/>
          <w:sz w:val="24"/>
          <w:highlight w:val="none"/>
        </w:rPr>
        <w:t>交通运输主管部门“</w:t>
      </w:r>
      <w:r>
        <w:rPr>
          <w:rFonts w:hint="eastAsia" w:ascii="宋体" w:hAnsi="宋体" w:cs="Times New Roman"/>
          <w:color w:val="auto"/>
          <w:kern w:val="0"/>
          <w:sz w:val="24"/>
          <w:szCs w:val="24"/>
          <w:highlight w:val="none"/>
        </w:rPr>
        <w:t>全国公路建设市场监督管理系统</w:t>
      </w:r>
      <w:r>
        <w:rPr>
          <w:rFonts w:hint="eastAsia" w:ascii="宋体" w:hAnsi="宋体"/>
          <w:color w:val="auto"/>
          <w:sz w:val="24"/>
          <w:highlight w:val="none"/>
        </w:rPr>
        <w:t>”上</w:t>
      </w:r>
      <w:r>
        <w:rPr>
          <w:rFonts w:ascii="宋体" w:hAnsi="宋体"/>
          <w:color w:val="auto"/>
          <w:sz w:val="24"/>
          <w:highlight w:val="none"/>
        </w:rPr>
        <w:t>填报并发布的相关信息一致</w:t>
      </w:r>
      <w:bookmarkStart w:id="358" w:name="_Hlk94000849"/>
      <w:r>
        <w:rPr>
          <w:rStyle w:val="59"/>
          <w:rFonts w:ascii="宋体" w:hAnsi="宋体"/>
          <w:color w:val="auto"/>
          <w:sz w:val="24"/>
          <w:highlight w:val="none"/>
        </w:rPr>
        <w:footnoteReference w:id="110"/>
      </w:r>
      <w:bookmarkEnd w:id="358"/>
      <w:r>
        <w:rPr>
          <w:rFonts w:hint="eastAsia" w:ascii="宋体" w:hAnsi="宋体"/>
          <w:color w:val="auto"/>
          <w:sz w:val="24"/>
          <w:highlight w:val="none"/>
        </w:rPr>
        <w:t>，信用等级信息应以“信用交通·四川”上查询结果为准</w:t>
      </w:r>
      <w:r>
        <w:rPr>
          <w:rFonts w:ascii="宋体" w:hAnsi="宋体"/>
          <w:color w:val="auto"/>
          <w:sz w:val="24"/>
          <w:highlight w:val="none"/>
        </w:rPr>
        <w:t>。</w:t>
      </w:r>
      <w:r>
        <w:rPr>
          <w:rFonts w:hint="eastAsia" w:ascii="宋体" w:hAnsi="宋体"/>
          <w:color w:val="auto"/>
          <w:sz w:val="24"/>
          <w:highlight w:val="none"/>
        </w:rPr>
        <w:t>投标人应根据本单位实际情况及时完成相关信息的申报、录入和动态更新，并对相关信息的真实性、完整性和准确性负责。</w:t>
      </w:r>
    </w:p>
    <w:p w14:paraId="3DDD5ECC">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3.5.1</w:t>
      </w:r>
      <w:r>
        <w:rPr>
          <w:rFonts w:hint="eastAsia" w:ascii="宋体" w:hAnsi="宋体"/>
          <w:color w:val="auto"/>
          <w:sz w:val="24"/>
          <w:highlight w:val="none"/>
          <w:lang w:val="en-US" w:eastAsia="zh-CN"/>
        </w:rPr>
        <w:t>2</w:t>
      </w:r>
      <w:r>
        <w:rPr>
          <w:rFonts w:hint="eastAsia" w:ascii="宋体" w:hAnsi="宋体"/>
          <w:color w:val="auto"/>
          <w:sz w:val="24"/>
          <w:highlight w:val="none"/>
        </w:rPr>
        <w:t>招标人有权核查投标人在投标</w:t>
      </w:r>
      <w:r>
        <w:rPr>
          <w:rFonts w:ascii="宋体" w:hAnsi="宋体"/>
          <w:color w:val="auto"/>
          <w:sz w:val="24"/>
          <w:highlight w:val="none"/>
        </w:rPr>
        <w:t>文件</w:t>
      </w:r>
      <w:r>
        <w:rPr>
          <w:rFonts w:hint="eastAsia" w:ascii="宋体" w:hAnsi="宋体"/>
          <w:color w:val="auto"/>
          <w:sz w:val="24"/>
          <w:highlight w:val="none"/>
        </w:rPr>
        <w:t>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w:t>
      </w:r>
      <w:r>
        <w:rPr>
          <w:rFonts w:ascii="宋体" w:hAnsi="宋体"/>
          <w:color w:val="auto"/>
          <w:sz w:val="24"/>
          <w:highlight w:val="none"/>
        </w:rPr>
        <w:t>10</w:t>
      </w:r>
      <w:r>
        <w:rPr>
          <w:rFonts w:hint="eastAsia" w:ascii="宋体" w:hAnsi="宋体"/>
          <w:color w:val="auto"/>
          <w:sz w:val="24"/>
          <w:highlight w:val="none"/>
          <w:lang w:val="en-US" w:eastAsia="zh-CN"/>
        </w:rPr>
        <w:t>%</w:t>
      </w:r>
      <w:r>
        <w:rPr>
          <w:rFonts w:ascii="宋体" w:hAnsi="宋体"/>
          <w:color w:val="auto"/>
          <w:sz w:val="24"/>
          <w:highlight w:val="none"/>
        </w:rPr>
        <w:t>签约合同价</w:t>
      </w:r>
      <w:r>
        <w:rPr>
          <w:rFonts w:hint="eastAsia" w:ascii="宋体" w:hAnsi="宋体"/>
          <w:color w:val="auto"/>
          <w:sz w:val="24"/>
          <w:highlight w:val="none"/>
        </w:rPr>
        <w:t>的金额作为违约金。同时招标人将投标人上述弄虚作假行为上报省级交通运输主管部门，作为不良记录纳入公路建设市场</w:t>
      </w:r>
      <w:r>
        <w:rPr>
          <w:rFonts w:hint="eastAsia" w:ascii="宋体" w:hAnsi="宋体"/>
          <w:color w:val="auto"/>
          <w:sz w:val="24"/>
          <w:highlight w:val="none"/>
          <w:lang w:val="en-US" w:eastAsia="zh-CN"/>
        </w:rPr>
        <w:t>监督</w:t>
      </w:r>
      <w:r>
        <w:rPr>
          <w:rFonts w:hint="eastAsia" w:ascii="宋体" w:hAnsi="宋体"/>
          <w:color w:val="auto"/>
          <w:sz w:val="24"/>
          <w:highlight w:val="none"/>
        </w:rPr>
        <w:t>管理系统。</w:t>
      </w:r>
    </w:p>
    <w:p w14:paraId="7A54591C">
      <w:pPr>
        <w:pStyle w:val="6"/>
        <w:numPr>
          <w:ilvl w:val="0"/>
          <w:numId w:val="0"/>
        </w:numPr>
        <w:spacing w:line="360" w:lineRule="auto"/>
        <w:jc w:val="both"/>
        <w:outlineLvl w:val="2"/>
        <w:rPr>
          <w:rFonts w:ascii="Times New Roman" w:hAnsi="Times New Roman" w:eastAsia="黑体"/>
          <w:b w:val="0"/>
          <w:bCs w:val="0"/>
          <w:color w:val="auto"/>
          <w:sz w:val="28"/>
          <w:szCs w:val="32"/>
          <w:highlight w:val="none"/>
        </w:rPr>
      </w:pPr>
      <w:bookmarkStart w:id="359" w:name="_Toc27059695"/>
      <w:bookmarkStart w:id="360" w:name="_Toc27060683"/>
      <w:bookmarkStart w:id="361" w:name="_Toc27059785"/>
      <w:bookmarkStart w:id="362" w:name="_Toc53685610"/>
      <w:bookmarkStart w:id="363" w:name="_Toc501257086"/>
      <w:bookmarkStart w:id="364" w:name="_Toc234832895"/>
      <w:bookmarkStart w:id="365" w:name="_Toc27059887"/>
      <w:bookmarkStart w:id="366" w:name="_Toc27059514"/>
      <w:r>
        <w:rPr>
          <w:rFonts w:ascii="Times New Roman" w:hAnsi="Times New Roman"/>
          <w:b w:val="0"/>
          <w:bCs w:val="0"/>
          <w:color w:val="auto"/>
          <w:sz w:val="28"/>
          <w:szCs w:val="32"/>
          <w:highlight w:val="none"/>
        </w:rPr>
        <w:t>3.6</w:t>
      </w:r>
      <w:r>
        <w:rPr>
          <w:rFonts w:ascii="Times New Roman" w:hAnsi="Times New Roman" w:eastAsia="黑体"/>
          <w:b w:val="0"/>
          <w:bCs w:val="0"/>
          <w:color w:val="auto"/>
          <w:sz w:val="28"/>
          <w:szCs w:val="32"/>
          <w:highlight w:val="none"/>
        </w:rPr>
        <w:t xml:space="preserve"> 备选投标方案</w:t>
      </w:r>
      <w:bookmarkEnd w:id="359"/>
      <w:bookmarkEnd w:id="360"/>
      <w:bookmarkEnd w:id="361"/>
      <w:bookmarkEnd w:id="362"/>
      <w:bookmarkEnd w:id="363"/>
      <w:bookmarkEnd w:id="364"/>
      <w:bookmarkEnd w:id="365"/>
      <w:bookmarkEnd w:id="366"/>
    </w:p>
    <w:p w14:paraId="15D58722">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3.6.1 除投标人须知前附表规定允许外，投标人不得递交备选投标方案，否则其投标将被否决。</w:t>
      </w:r>
    </w:p>
    <w:p w14:paraId="3F10EE85">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7DC7D5D">
      <w:pPr>
        <w:topLinePunct/>
        <w:spacing w:line="360" w:lineRule="auto"/>
        <w:ind w:firstLine="480" w:firstLineChars="200"/>
        <w:rPr>
          <w:rFonts w:ascii="宋体" w:hAnsi="宋体"/>
          <w:color w:val="auto"/>
          <w:sz w:val="24"/>
          <w:highlight w:val="none"/>
        </w:rPr>
      </w:pPr>
      <w:r>
        <w:rPr>
          <w:rFonts w:ascii="宋体" w:hAnsi="宋体"/>
          <w:color w:val="auto"/>
          <w:sz w:val="24"/>
          <w:highlight w:val="none"/>
        </w:rPr>
        <w:t>3.6.3 投标人提供两个或两个以上投标报价，或在投标文件中提供一个报价，但同时提供两个或两个以上</w:t>
      </w:r>
      <w:bookmarkStart w:id="367" w:name="_Toc300834971"/>
      <w:bookmarkStart w:id="368" w:name="_Toc247513974"/>
      <w:bookmarkStart w:id="369" w:name="_Toc152045550"/>
      <w:bookmarkStart w:id="370" w:name="_Toc384308232"/>
      <w:bookmarkStart w:id="371" w:name="_Toc352691495"/>
      <w:bookmarkStart w:id="372" w:name="_Toc361508607"/>
      <w:bookmarkStart w:id="373" w:name="_Toc29902"/>
      <w:bookmarkStart w:id="374" w:name="_Toc369531538"/>
      <w:bookmarkStart w:id="375" w:name="_Toc144974518"/>
      <w:bookmarkStart w:id="376" w:name="_Toc247527575"/>
      <w:bookmarkStart w:id="377" w:name="_Toc152042326"/>
      <w:r>
        <w:rPr>
          <w:rFonts w:hint="eastAsia" w:ascii="宋体" w:hAnsi="宋体"/>
          <w:color w:val="auto"/>
          <w:sz w:val="24"/>
          <w:highlight w:val="none"/>
        </w:rPr>
        <w:t>施工组织设计</w:t>
      </w:r>
      <w:r>
        <w:rPr>
          <w:rFonts w:ascii="宋体" w:hAnsi="宋体"/>
          <w:color w:val="auto"/>
          <w:sz w:val="24"/>
          <w:highlight w:val="none"/>
        </w:rPr>
        <w:t>的</w:t>
      </w:r>
      <w:bookmarkEnd w:id="367"/>
      <w:bookmarkEnd w:id="368"/>
      <w:bookmarkEnd w:id="369"/>
      <w:bookmarkEnd w:id="370"/>
      <w:bookmarkEnd w:id="371"/>
      <w:bookmarkEnd w:id="372"/>
      <w:bookmarkEnd w:id="373"/>
      <w:bookmarkEnd w:id="374"/>
      <w:bookmarkEnd w:id="375"/>
      <w:bookmarkEnd w:id="376"/>
      <w:bookmarkEnd w:id="377"/>
      <w:r>
        <w:rPr>
          <w:rFonts w:ascii="宋体" w:hAnsi="宋体"/>
          <w:color w:val="auto"/>
          <w:sz w:val="24"/>
          <w:highlight w:val="none"/>
        </w:rPr>
        <w:t>，视为提供备选</w:t>
      </w:r>
      <w:r>
        <w:rPr>
          <w:rFonts w:hint="eastAsia" w:ascii="宋体" w:hAnsi="宋体"/>
          <w:color w:val="auto"/>
          <w:sz w:val="24"/>
          <w:highlight w:val="none"/>
          <w:lang w:val="en-US" w:eastAsia="zh-CN"/>
        </w:rPr>
        <w:t>投标</w:t>
      </w:r>
      <w:r>
        <w:rPr>
          <w:rFonts w:ascii="宋体" w:hAnsi="宋体"/>
          <w:color w:val="auto"/>
          <w:sz w:val="24"/>
          <w:highlight w:val="none"/>
        </w:rPr>
        <w:t>方案。</w:t>
      </w:r>
    </w:p>
    <w:p w14:paraId="33058BFD">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378" w:name="_Toc27059888"/>
      <w:bookmarkStart w:id="379" w:name="_Toc27059515"/>
      <w:bookmarkStart w:id="380" w:name="_Toc27059696"/>
      <w:bookmarkStart w:id="381" w:name="_Toc27060684"/>
      <w:bookmarkStart w:id="382" w:name="_Toc53685611"/>
      <w:bookmarkStart w:id="383" w:name="_Toc27059786"/>
      <w:r>
        <w:rPr>
          <w:rFonts w:ascii="Times New Roman" w:hAnsi="Times New Roman"/>
          <w:b w:val="0"/>
          <w:bCs w:val="0"/>
          <w:color w:val="auto"/>
          <w:sz w:val="28"/>
          <w:szCs w:val="32"/>
          <w:highlight w:val="none"/>
        </w:rPr>
        <w:t>3.7 投标文件的编制</w:t>
      </w:r>
      <w:bookmarkEnd w:id="378"/>
      <w:bookmarkEnd w:id="379"/>
      <w:bookmarkEnd w:id="380"/>
      <w:bookmarkEnd w:id="381"/>
      <w:bookmarkEnd w:id="382"/>
      <w:bookmarkEnd w:id="383"/>
    </w:p>
    <w:p w14:paraId="24DCC3C4">
      <w:pPr>
        <w:spacing w:line="360" w:lineRule="auto"/>
        <w:ind w:firstLine="480" w:firstLineChars="200"/>
        <w:rPr>
          <w:rFonts w:cs="宋体"/>
          <w:color w:val="auto"/>
          <w:highlight w:val="none"/>
        </w:rPr>
      </w:pPr>
      <w:r>
        <w:rPr>
          <w:rFonts w:ascii="宋体" w:hAnsi="宋体" w:cs="宋体"/>
          <w:color w:val="auto"/>
          <w:sz w:val="24"/>
          <w:highlight w:val="none"/>
        </w:rPr>
        <w:t xml:space="preserve">3.7.1 </w:t>
      </w:r>
      <w:r>
        <w:rPr>
          <w:rFonts w:hint="eastAsia" w:ascii="宋体" w:hAnsi="宋体" w:cs="宋体"/>
          <w:color w:val="auto"/>
          <w:sz w:val="24"/>
          <w:highlight w:val="none"/>
        </w:rPr>
        <w:t>投标文件应按第九章</w:t>
      </w:r>
      <w:r>
        <w:rPr>
          <w:rFonts w:ascii="宋体" w:hAnsi="宋体" w:cs="宋体"/>
          <w:color w:val="auto"/>
          <w:sz w:val="24"/>
          <w:highlight w:val="none"/>
        </w:rPr>
        <w:t>“</w:t>
      </w:r>
      <w:r>
        <w:rPr>
          <w:rFonts w:hint="eastAsia" w:ascii="宋体" w:hAnsi="宋体" w:cs="宋体"/>
          <w:color w:val="auto"/>
          <w:sz w:val="24"/>
          <w:highlight w:val="none"/>
        </w:rPr>
        <w:t>投标文件格式</w:t>
      </w:r>
      <w:r>
        <w:rPr>
          <w:rFonts w:ascii="宋体" w:hAnsi="宋体" w:cs="宋体"/>
          <w:color w:val="auto"/>
          <w:sz w:val="24"/>
          <w:highlight w:val="none"/>
        </w:rPr>
        <w:t>”</w:t>
      </w:r>
      <w:r>
        <w:rPr>
          <w:rFonts w:hint="eastAsia" w:ascii="宋体" w:hAnsi="宋体" w:cs="宋体"/>
          <w:color w:val="auto"/>
          <w:sz w:val="24"/>
          <w:highlight w:val="none"/>
        </w:rPr>
        <w:t>进行编写，如有必要，可以增加附页，作为投标文件的组成部分。其中，投标函附录在满足招标文件实质性要求的基础上，可以提出比招标文件要求更有利于招标人的承诺。</w:t>
      </w:r>
    </w:p>
    <w:p w14:paraId="43969159">
      <w:pPr>
        <w:pStyle w:val="22"/>
        <w:kinsoku w:val="0"/>
        <w:overflowPunct w:val="0"/>
        <w:spacing w:line="360" w:lineRule="auto"/>
        <w:ind w:firstLine="480" w:firstLineChars="200"/>
        <w:rPr>
          <w:color w:val="auto"/>
          <w:highlight w:val="none"/>
        </w:rPr>
      </w:pPr>
      <w:r>
        <w:rPr>
          <w:color w:val="auto"/>
          <w:highlight w:val="none"/>
        </w:rPr>
        <w:t xml:space="preserve">3.7.2 </w:t>
      </w:r>
      <w:r>
        <w:rPr>
          <w:rFonts w:hint="eastAsia"/>
          <w:color w:val="auto"/>
          <w:spacing w:val="-4"/>
          <w:highlight w:val="none"/>
        </w:rPr>
        <w:t>投标文件应对招标文件有关工期、投标有效期、质量要求、安全目标、技</w:t>
      </w:r>
      <w:r>
        <w:rPr>
          <w:rFonts w:hint="eastAsia"/>
          <w:color w:val="auto"/>
          <w:highlight w:val="none"/>
        </w:rPr>
        <w:t>术标准和要求、招标范围等实质性内容作出响应。</w:t>
      </w:r>
    </w:p>
    <w:p w14:paraId="0CBD35DE">
      <w:pPr>
        <w:pStyle w:val="22"/>
        <w:kinsoku w:val="0"/>
        <w:overflowPunct w:val="0"/>
        <w:spacing w:line="360" w:lineRule="auto"/>
        <w:ind w:firstLine="480" w:firstLineChars="200"/>
        <w:rPr>
          <w:color w:val="auto"/>
          <w:highlight w:val="none"/>
        </w:rPr>
      </w:pPr>
      <w:r>
        <w:rPr>
          <w:color w:val="auto"/>
          <w:highlight w:val="none"/>
        </w:rPr>
        <w:t xml:space="preserve">3.7.3 </w:t>
      </w:r>
      <w:r>
        <w:rPr>
          <w:rFonts w:hint="eastAsia"/>
          <w:color w:val="auto"/>
          <w:highlight w:val="none"/>
        </w:rPr>
        <w:t>投标文件的制作应满足以下规定：</w:t>
      </w:r>
    </w:p>
    <w:p w14:paraId="4E2F987E">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）投标文件由投标人使用“</w:t>
      </w:r>
      <w:r>
        <w:rPr>
          <w:rFonts w:hint="eastAsia"/>
          <w:color w:val="auto"/>
          <w:highlight w:val="none"/>
          <w:lang w:eastAsia="zh-CN"/>
        </w:rPr>
        <w:t>电子交易系统</w:t>
      </w:r>
      <w:r>
        <w:rPr>
          <w:rFonts w:hint="eastAsia"/>
          <w:color w:val="auto"/>
          <w:highlight w:val="none"/>
        </w:rPr>
        <w:t>”自带的“投标文件制作工具”制作生成。</w:t>
      </w:r>
    </w:p>
    <w:p w14:paraId="0AD39B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投标人在编制投标文件时应建立分级目录，并按照标签提示导入相关内容。</w:t>
      </w:r>
    </w:p>
    <w:p w14:paraId="1413BD11">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）投标文件中证明资料的“原件原色扫描件”均为“原件的扫描件”。</w:t>
      </w:r>
    </w:p>
    <w:p w14:paraId="1C934961">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投标文件中的已标价工程量清单数据文件应与招标人提供的工程量清单数据文件格式一致。</w:t>
      </w:r>
    </w:p>
    <w:p w14:paraId="10FD92D7">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）第九章“投标文件格式”中要求盖单位电子印章</w:t>
      </w:r>
      <w:r>
        <w:rPr>
          <w:rFonts w:hint="eastAsia"/>
          <w:color w:val="auto"/>
          <w:highlight w:val="none"/>
          <w:lang w:eastAsia="zh-CN"/>
        </w:rPr>
        <w:t>之处</w:t>
      </w:r>
      <w:r>
        <w:rPr>
          <w:rFonts w:hint="eastAsia"/>
          <w:color w:val="auto"/>
          <w:highlight w:val="none"/>
        </w:rPr>
        <w:t>，投标人均应使用单位</w:t>
      </w:r>
      <w:r>
        <w:rPr>
          <w:color w:val="auto"/>
          <w:highlight w:val="none"/>
        </w:rPr>
        <w:t>CA</w:t>
      </w:r>
      <w:r>
        <w:rPr>
          <w:rFonts w:hint="eastAsia"/>
          <w:color w:val="auto"/>
          <w:highlight w:val="none"/>
        </w:rPr>
        <w:t>数字证书加盖</w:t>
      </w:r>
      <w:r>
        <w:rPr>
          <w:rFonts w:hint="eastAsia"/>
          <w:color w:val="auto"/>
          <w:highlight w:val="none"/>
          <w:lang w:val="en-US" w:eastAsia="zh-CN"/>
        </w:rPr>
        <w:t>投标人的</w:t>
      </w:r>
      <w:r>
        <w:rPr>
          <w:rFonts w:hint="eastAsia"/>
          <w:color w:val="auto"/>
          <w:highlight w:val="none"/>
        </w:rPr>
        <w:t>单位电子印章。第九章“投标文件格式”中要求签字</w:t>
      </w:r>
      <w:r>
        <w:rPr>
          <w:rFonts w:hint="eastAsia"/>
          <w:color w:val="auto"/>
          <w:highlight w:val="none"/>
          <w:lang w:eastAsia="zh-CN"/>
        </w:rPr>
        <w:t>之处</w:t>
      </w:r>
      <w:r>
        <w:rPr>
          <w:rFonts w:hint="eastAsia"/>
          <w:color w:val="auto"/>
          <w:highlight w:val="none"/>
        </w:rPr>
        <w:t>，投标人均应使用个人</w:t>
      </w:r>
      <w:r>
        <w:rPr>
          <w:color w:val="auto"/>
          <w:highlight w:val="none"/>
        </w:rPr>
        <w:t>CA数字证书加盖投标人的法定代表人或其委托代理人的个人电子签名章或个人电子印章。联合体投标的，投标文件由联合体牵头人按上述规定加盖联合体牵头人单位电子印章、法定代表人或其委托代理人的个人电子签名章或个人电子印章。</w:t>
      </w:r>
    </w:p>
    <w:p w14:paraId="3D2C897A">
      <w:pPr>
        <w:pStyle w:val="22"/>
        <w:keepNext w:val="0"/>
        <w:keepLines w:val="0"/>
        <w:pageBreakBefore w:val="0"/>
        <w:widowControl w:val="0"/>
        <w:kinsoku w:val="0"/>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投标文件制作完成后，投标人应使用单位</w:t>
      </w:r>
      <w:r>
        <w:rPr>
          <w:color w:val="auto"/>
          <w:sz w:val="24"/>
          <w:highlight w:val="none"/>
        </w:rPr>
        <w:t>CA数字证书对投标文件进行加密，形成加密的电子投标文件。</w:t>
      </w:r>
    </w:p>
    <w:p w14:paraId="0D2C6A77">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）投标文件制作的具体方法见“投标文件制作工具”中的帮助文档。</w:t>
      </w:r>
    </w:p>
    <w:p w14:paraId="182DD4C8">
      <w:pPr>
        <w:pStyle w:val="22"/>
        <w:kinsoku w:val="0"/>
        <w:overflowPunct w:val="0"/>
        <w:spacing w:line="360" w:lineRule="auto"/>
        <w:ind w:firstLine="480" w:firstLineChars="200"/>
        <w:rPr>
          <w:color w:val="auto"/>
          <w:spacing w:val="-1"/>
          <w:highlight w:val="none"/>
        </w:rPr>
      </w:pPr>
      <w:r>
        <w:rPr>
          <w:color w:val="auto"/>
          <w:highlight w:val="none"/>
        </w:rPr>
        <w:t>3.7.4</w:t>
      </w:r>
      <w:r>
        <w:rPr>
          <w:rFonts w:hint="eastAsia"/>
          <w:color w:val="auto"/>
          <w:highlight w:val="none"/>
          <w:lang w:val="en-US" w:eastAsia="zh-CN"/>
        </w:rPr>
        <w:t xml:space="preserve"> </w:t>
      </w:r>
      <w:r>
        <w:rPr>
          <w:rFonts w:hint="eastAsia"/>
          <w:color w:val="auto"/>
          <w:highlight w:val="none"/>
        </w:rPr>
        <w:t>投标文件份数及其他要求：见投标人须知前附表。</w:t>
      </w:r>
    </w:p>
    <w:p w14:paraId="73B092D3">
      <w:pPr>
        <w:spacing w:line="360" w:lineRule="auto"/>
        <w:ind w:firstLine="480" w:firstLineChars="200"/>
        <w:rPr>
          <w:rFonts w:ascii="宋体" w:hAnsi="宋体"/>
          <w:color w:val="auto"/>
          <w:sz w:val="24"/>
          <w:highlight w:val="none"/>
        </w:rPr>
      </w:pPr>
      <w:r>
        <w:rPr>
          <w:rFonts w:ascii="宋体" w:hAnsi="宋体"/>
          <w:color w:val="auto"/>
          <w:sz w:val="24"/>
          <w:highlight w:val="none"/>
        </w:rPr>
        <w:t>3.7.5</w:t>
      </w:r>
      <w:r>
        <w:rPr>
          <w:rFonts w:hint="eastAsia" w:ascii="宋体" w:hAnsi="宋体"/>
          <w:color w:val="auto"/>
          <w:sz w:val="24"/>
          <w:highlight w:val="none"/>
          <w:lang w:val="en-US" w:eastAsia="zh-CN"/>
        </w:rPr>
        <w:t xml:space="preserve"> </w:t>
      </w:r>
      <w:r>
        <w:rPr>
          <w:rFonts w:ascii="宋体" w:hAnsi="宋体"/>
          <w:color w:val="auto"/>
          <w:sz w:val="24"/>
          <w:highlight w:val="none"/>
        </w:rPr>
        <w:t>投标文件上传的要求：见投标人须知前附表。</w:t>
      </w:r>
    </w:p>
    <w:p w14:paraId="5A22C3D8">
      <w:pPr>
        <w:pStyle w:val="5"/>
        <w:rPr>
          <w:rFonts w:ascii="Arial" w:hAnsi="Arial"/>
          <w:b/>
          <w:color w:val="auto"/>
          <w:sz w:val="28"/>
          <w:szCs w:val="32"/>
          <w:highlight w:val="none"/>
        </w:rPr>
      </w:pPr>
      <w:bookmarkStart w:id="384" w:name="_Toc27059889"/>
      <w:bookmarkStart w:id="385" w:name="_Toc27060685"/>
      <w:bookmarkStart w:id="386" w:name="_Toc27059697"/>
      <w:bookmarkStart w:id="387" w:name="_Toc53685612"/>
      <w:bookmarkStart w:id="388" w:name="_Toc27059787"/>
      <w:bookmarkStart w:id="389" w:name="_Toc27059516"/>
      <w:bookmarkStart w:id="390" w:name="_Toc501257088"/>
      <w:bookmarkStart w:id="391" w:name="_Toc234832897"/>
      <w:r>
        <w:rPr>
          <w:rFonts w:ascii="Arial" w:hAnsi="Arial"/>
          <w:b/>
          <w:color w:val="auto"/>
          <w:sz w:val="28"/>
          <w:szCs w:val="32"/>
          <w:highlight w:val="none"/>
        </w:rPr>
        <w:t xml:space="preserve">4. </w:t>
      </w:r>
      <w:r>
        <w:rPr>
          <w:rFonts w:hint="default" w:ascii="Arial" w:hAnsi="Arial"/>
          <w:b/>
          <w:color w:val="auto"/>
          <w:sz w:val="28"/>
          <w:szCs w:val="32"/>
          <w:highlight w:val="none"/>
        </w:rPr>
        <w:t>投标</w:t>
      </w:r>
      <w:bookmarkEnd w:id="384"/>
      <w:bookmarkEnd w:id="385"/>
      <w:bookmarkEnd w:id="386"/>
      <w:bookmarkEnd w:id="387"/>
      <w:bookmarkEnd w:id="388"/>
      <w:bookmarkEnd w:id="389"/>
      <w:bookmarkEnd w:id="390"/>
      <w:bookmarkEnd w:id="391"/>
      <w:r>
        <w:rPr>
          <w:rFonts w:ascii="Arial" w:hAnsi="Arial"/>
          <w:b/>
          <w:color w:val="auto"/>
          <w:sz w:val="28"/>
          <w:szCs w:val="32"/>
          <w:highlight w:val="none"/>
        </w:rPr>
        <w:tab/>
      </w:r>
    </w:p>
    <w:p w14:paraId="453E883A">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392" w:name="_Toc27059890"/>
      <w:bookmarkStart w:id="393" w:name="_Toc234832898"/>
      <w:bookmarkStart w:id="394" w:name="_Toc27059698"/>
      <w:bookmarkStart w:id="395" w:name="_Toc53685613"/>
      <w:bookmarkStart w:id="396" w:name="_Toc501257089"/>
      <w:bookmarkStart w:id="397" w:name="_Toc27059788"/>
      <w:bookmarkStart w:id="398" w:name="_Toc27060686"/>
      <w:bookmarkStart w:id="399" w:name="_Toc27059517"/>
      <w:r>
        <w:rPr>
          <w:rFonts w:ascii="Times New Roman" w:hAnsi="Times New Roman"/>
          <w:b w:val="0"/>
          <w:bCs w:val="0"/>
          <w:color w:val="auto"/>
          <w:sz w:val="28"/>
          <w:szCs w:val="32"/>
          <w:highlight w:val="none"/>
        </w:rPr>
        <w:t>4.1 投标文件的</w:t>
      </w:r>
      <w:r>
        <w:rPr>
          <w:rFonts w:hint="default" w:ascii="Times New Roman" w:hAnsi="Times New Roman"/>
          <w:b w:val="0"/>
          <w:bCs w:val="0"/>
          <w:color w:val="auto"/>
          <w:sz w:val="28"/>
          <w:szCs w:val="32"/>
          <w:highlight w:val="none"/>
        </w:rPr>
        <w:t>加密</w:t>
      </w:r>
      <w:bookmarkEnd w:id="392"/>
      <w:bookmarkEnd w:id="393"/>
      <w:bookmarkEnd w:id="394"/>
      <w:bookmarkEnd w:id="395"/>
      <w:bookmarkEnd w:id="396"/>
      <w:bookmarkEnd w:id="397"/>
      <w:bookmarkEnd w:id="398"/>
      <w:bookmarkEnd w:id="399"/>
    </w:p>
    <w:p w14:paraId="4FC52790">
      <w:pPr>
        <w:pStyle w:val="22"/>
        <w:kinsoku w:val="0"/>
        <w:overflowPunct w:val="0"/>
        <w:spacing w:line="360" w:lineRule="auto"/>
        <w:ind w:firstLine="480" w:firstLineChars="200"/>
        <w:rPr>
          <w:rFonts w:hint="default"/>
          <w:color w:val="auto"/>
          <w:sz w:val="24"/>
          <w:highlight w:val="none"/>
        </w:rPr>
      </w:pPr>
      <w:r>
        <w:rPr>
          <w:rFonts w:ascii="宋体" w:hAnsi="宋体"/>
          <w:color w:val="auto"/>
          <w:sz w:val="24"/>
          <w:szCs w:val="24"/>
          <w:highlight w:val="none"/>
        </w:rPr>
        <w:t xml:space="preserve">4.1.1 </w:t>
      </w:r>
      <w:r>
        <w:rPr>
          <w:rFonts w:hint="default"/>
          <w:color w:val="auto"/>
          <w:sz w:val="24"/>
          <w:highlight w:val="none"/>
        </w:rPr>
        <w:t>投标文件应按照本</w:t>
      </w:r>
      <w:r>
        <w:rPr>
          <w:rFonts w:hint="default" w:ascii="宋体" w:hAnsi="宋体"/>
          <w:color w:val="auto"/>
          <w:sz w:val="24"/>
          <w:highlight w:val="none"/>
        </w:rPr>
        <w:t>章第</w:t>
      </w:r>
      <w:r>
        <w:rPr>
          <w:rFonts w:ascii="宋体" w:hAnsi="宋体"/>
          <w:color w:val="auto"/>
          <w:spacing w:val="0"/>
          <w:sz w:val="24"/>
          <w:highlight w:val="none"/>
        </w:rPr>
        <w:t xml:space="preserve"> </w:t>
      </w:r>
      <w:r>
        <w:rPr>
          <w:rFonts w:ascii="宋体" w:hAnsi="宋体"/>
          <w:color w:val="auto"/>
          <w:sz w:val="24"/>
          <w:highlight w:val="none"/>
        </w:rPr>
        <w:t>3.7.3</w:t>
      </w:r>
      <w:r>
        <w:rPr>
          <w:rFonts w:hint="default" w:ascii="宋体" w:hAnsi="宋体"/>
          <w:color w:val="auto"/>
          <w:sz w:val="24"/>
          <w:highlight w:val="none"/>
        </w:rPr>
        <w:t>项要</w:t>
      </w:r>
      <w:r>
        <w:rPr>
          <w:rFonts w:hint="default"/>
          <w:color w:val="auto"/>
          <w:sz w:val="24"/>
          <w:highlight w:val="none"/>
        </w:rPr>
        <w:t>求制作并加密</w:t>
      </w:r>
      <w:r>
        <w:rPr>
          <w:rFonts w:hint="default"/>
          <w:color w:val="auto"/>
          <w:spacing w:val="0"/>
          <w:sz w:val="24"/>
          <w:highlight w:val="none"/>
        </w:rPr>
        <w:t>，</w:t>
      </w:r>
      <w:r>
        <w:rPr>
          <w:rFonts w:hint="default"/>
          <w:color w:val="auto"/>
          <w:sz w:val="24"/>
          <w:highlight w:val="none"/>
        </w:rPr>
        <w:t>未按要求加密的投标文件</w:t>
      </w:r>
      <w:r>
        <w:rPr>
          <w:rFonts w:hint="default"/>
          <w:color w:val="auto"/>
          <w:spacing w:val="0"/>
          <w:sz w:val="24"/>
          <w:highlight w:val="none"/>
        </w:rPr>
        <w:t>，</w:t>
      </w:r>
      <w:r>
        <w:rPr>
          <w:rFonts w:hint="default"/>
          <w:color w:val="auto"/>
          <w:sz w:val="24"/>
          <w:highlight w:val="none"/>
        </w:rPr>
        <w:t>“</w:t>
      </w:r>
      <w:r>
        <w:rPr>
          <w:rFonts w:hint="default"/>
          <w:color w:val="auto"/>
          <w:sz w:val="24"/>
          <w:highlight w:val="none"/>
          <w:lang w:eastAsia="zh-CN"/>
        </w:rPr>
        <w:t>电子交易系统</w:t>
      </w:r>
      <w:r>
        <w:rPr>
          <w:rFonts w:hint="default"/>
          <w:color w:val="auto"/>
          <w:sz w:val="24"/>
          <w:highlight w:val="none"/>
        </w:rPr>
        <w:t>”将拒绝接收。</w:t>
      </w:r>
    </w:p>
    <w:p w14:paraId="1619ED27">
      <w:pPr>
        <w:pStyle w:val="6"/>
        <w:numPr>
          <w:ilvl w:val="0"/>
          <w:numId w:val="0"/>
        </w:numPr>
        <w:spacing w:line="360" w:lineRule="auto"/>
        <w:jc w:val="both"/>
        <w:rPr>
          <w:rFonts w:ascii="Times New Roman" w:hAnsi="Times New Roman"/>
          <w:b w:val="0"/>
          <w:bCs w:val="0"/>
          <w:color w:val="auto"/>
          <w:sz w:val="28"/>
          <w:szCs w:val="32"/>
          <w:highlight w:val="none"/>
        </w:rPr>
      </w:pPr>
      <w:bookmarkStart w:id="400" w:name="_Toc234832899"/>
      <w:bookmarkStart w:id="401" w:name="_Toc501257090"/>
      <w:bookmarkStart w:id="402" w:name="_Toc27059518"/>
      <w:bookmarkStart w:id="403" w:name="_Toc27059699"/>
      <w:bookmarkStart w:id="404" w:name="_Toc27059891"/>
      <w:bookmarkStart w:id="405" w:name="_Toc27059789"/>
      <w:bookmarkStart w:id="406" w:name="_Toc27060687"/>
      <w:bookmarkStart w:id="407" w:name="_Toc53685614"/>
      <w:r>
        <w:rPr>
          <w:rFonts w:ascii="Times New Roman" w:hAnsi="Times New Roman"/>
          <w:b w:val="0"/>
          <w:bCs w:val="0"/>
          <w:color w:val="auto"/>
          <w:sz w:val="28"/>
          <w:szCs w:val="32"/>
          <w:highlight w:val="none"/>
        </w:rPr>
        <w:t>4.</w:t>
      </w:r>
      <w:r>
        <w:rPr>
          <w:rFonts w:hint="eastAsia" w:ascii="Times New Roman" w:hAnsi="Times New Roman"/>
          <w:b w:val="0"/>
          <w:bCs w:val="0"/>
          <w:color w:val="auto"/>
          <w:sz w:val="28"/>
          <w:szCs w:val="32"/>
          <w:highlight w:val="none"/>
          <w:lang w:val="en-US" w:eastAsia="zh-CN"/>
        </w:rPr>
        <w:t xml:space="preserve">2 </w:t>
      </w:r>
      <w:r>
        <w:rPr>
          <w:rFonts w:ascii="Times New Roman" w:hAnsi="Times New Roman"/>
          <w:b w:val="0"/>
          <w:bCs w:val="0"/>
          <w:color w:val="auto"/>
          <w:sz w:val="28"/>
          <w:szCs w:val="32"/>
          <w:highlight w:val="none"/>
        </w:rPr>
        <w:t>投标文件的递交</w:t>
      </w:r>
      <w:bookmarkEnd w:id="400"/>
      <w:bookmarkEnd w:id="401"/>
      <w:bookmarkEnd w:id="402"/>
      <w:bookmarkEnd w:id="403"/>
      <w:bookmarkEnd w:id="404"/>
      <w:bookmarkEnd w:id="405"/>
      <w:bookmarkEnd w:id="406"/>
      <w:bookmarkEnd w:id="407"/>
    </w:p>
    <w:p w14:paraId="0C8A1157">
      <w:pPr>
        <w:pStyle w:val="22"/>
        <w:kinsoku w:val="0"/>
        <w:overflowPunct w:val="0"/>
        <w:spacing w:line="360" w:lineRule="auto"/>
        <w:ind w:firstLine="480" w:firstLineChars="200"/>
        <w:rPr>
          <w:color w:val="auto"/>
          <w:highlight w:val="none"/>
        </w:rPr>
      </w:pPr>
      <w:r>
        <w:rPr>
          <w:color w:val="auto"/>
          <w:highlight w:val="none"/>
        </w:rPr>
        <w:t>4.2.1 投标人应</w:t>
      </w:r>
      <w:r>
        <w:rPr>
          <w:rFonts w:hint="eastAsia"/>
          <w:color w:val="auto"/>
          <w:highlight w:val="none"/>
        </w:rPr>
        <w:t>在</w:t>
      </w:r>
      <w:r>
        <w:rPr>
          <w:color w:val="auto"/>
          <w:highlight w:val="none"/>
        </w:rPr>
        <w:t>第一章“招标公告”规定的</w:t>
      </w:r>
      <w:r>
        <w:rPr>
          <w:rFonts w:hint="eastAsia"/>
          <w:color w:val="auto"/>
          <w:highlight w:val="none"/>
        </w:rPr>
        <w:t>投标截止时间前递交</w:t>
      </w:r>
      <w:r>
        <w:rPr>
          <w:rFonts w:hint="eastAsia"/>
          <w:color w:val="auto"/>
          <w:highlight w:val="none"/>
          <w:lang w:val="en-US" w:eastAsia="zh-CN"/>
        </w:rPr>
        <w:t>投标文件</w:t>
      </w:r>
      <w:r>
        <w:rPr>
          <w:rFonts w:hint="eastAsia"/>
          <w:color w:val="auto"/>
          <w:highlight w:val="none"/>
        </w:rPr>
        <w:t>。</w:t>
      </w:r>
    </w:p>
    <w:p w14:paraId="03F116D7">
      <w:pPr>
        <w:pStyle w:val="22"/>
        <w:kinsoku w:val="0"/>
        <w:overflowPunct w:val="0"/>
        <w:spacing w:line="360" w:lineRule="auto"/>
        <w:ind w:firstLine="480" w:firstLineChars="200"/>
        <w:rPr>
          <w:color w:val="auto"/>
          <w:spacing w:val="-120"/>
          <w:highlight w:val="none"/>
        </w:rPr>
      </w:pPr>
      <w:r>
        <w:rPr>
          <w:rFonts w:hint="eastAsia"/>
          <w:color w:val="auto"/>
          <w:highlight w:val="none"/>
        </w:rPr>
        <w:t>4</w:t>
      </w:r>
      <w:r>
        <w:rPr>
          <w:color w:val="auto"/>
          <w:highlight w:val="none"/>
        </w:rPr>
        <w:t>.2.2</w:t>
      </w:r>
      <w:r>
        <w:rPr>
          <w:rFonts w:hint="eastAsia"/>
          <w:color w:val="auto"/>
          <w:highlight w:val="none"/>
          <w:lang w:val="en-US" w:eastAsia="zh-CN"/>
        </w:rPr>
        <w:t xml:space="preserve"> </w:t>
      </w:r>
      <w:r>
        <w:rPr>
          <w:rFonts w:hint="eastAsia" w:cs="宋体"/>
          <w:color w:val="auto"/>
          <w:highlight w:val="none"/>
        </w:rPr>
        <w:t>投标人递交投标文件的</w:t>
      </w:r>
      <w:r>
        <w:rPr>
          <w:color w:val="auto"/>
          <w:highlight w:val="none"/>
        </w:rPr>
        <w:t>方式</w:t>
      </w:r>
      <w:r>
        <w:rPr>
          <w:rFonts w:hint="eastAsia"/>
          <w:color w:val="auto"/>
          <w:highlight w:val="none"/>
        </w:rPr>
        <w:t>、</w:t>
      </w:r>
      <w:r>
        <w:rPr>
          <w:color w:val="auto"/>
          <w:highlight w:val="none"/>
        </w:rPr>
        <w:t>地点</w:t>
      </w:r>
      <w:r>
        <w:rPr>
          <w:rFonts w:hint="eastAsia"/>
          <w:color w:val="auto"/>
          <w:highlight w:val="none"/>
        </w:rPr>
        <w:t>：</w:t>
      </w:r>
      <w:r>
        <w:rPr>
          <w:color w:val="auto"/>
          <w:highlight w:val="none"/>
        </w:rPr>
        <w:t xml:space="preserve">见第一章“招标公告”。    </w:t>
      </w:r>
    </w:p>
    <w:p w14:paraId="21835DC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4.2.3 </w:t>
      </w:r>
      <w:r>
        <w:rPr>
          <w:rFonts w:hint="eastAsia" w:ascii="宋体" w:hAnsi="宋体"/>
          <w:color w:val="auto"/>
          <w:sz w:val="24"/>
          <w:highlight w:val="none"/>
        </w:rPr>
        <w:t>除投标人须知前附表另有规定外，投标人</w:t>
      </w:r>
      <w:r>
        <w:rPr>
          <w:rFonts w:hint="eastAsia" w:ascii="宋体" w:hAnsi="宋体"/>
          <w:color w:val="auto"/>
          <w:sz w:val="24"/>
          <w:highlight w:val="none"/>
          <w:lang w:val="en-US" w:eastAsia="zh-CN"/>
        </w:rPr>
        <w:t>所递交</w:t>
      </w:r>
      <w:r>
        <w:rPr>
          <w:rFonts w:hint="eastAsia" w:ascii="宋体" w:hAnsi="宋体"/>
          <w:color w:val="auto"/>
          <w:sz w:val="24"/>
          <w:highlight w:val="none"/>
        </w:rPr>
        <w:t>的投标文件不予退还。投标人少于</w:t>
      </w:r>
      <w:r>
        <w:rPr>
          <w:rFonts w:ascii="宋体" w:hAnsi="宋体"/>
          <w:color w:val="auto"/>
          <w:sz w:val="24"/>
          <w:highlight w:val="none"/>
        </w:rPr>
        <w:t>3</w:t>
      </w:r>
      <w:r>
        <w:rPr>
          <w:rFonts w:hint="eastAsia" w:ascii="宋体" w:hAnsi="宋体"/>
          <w:color w:val="auto"/>
          <w:sz w:val="24"/>
          <w:highlight w:val="none"/>
        </w:rPr>
        <w:t>个的，投标文件当场退还给投标人。</w:t>
      </w:r>
      <w:r>
        <w:rPr>
          <w:rFonts w:ascii="宋体" w:hAnsi="宋体"/>
          <w:color w:val="auto"/>
          <w:sz w:val="24"/>
          <w:highlight w:val="none"/>
        </w:rPr>
        <w:t xml:space="preserve"> </w:t>
      </w:r>
    </w:p>
    <w:p w14:paraId="669655D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4.2.4 </w:t>
      </w:r>
      <w:r>
        <w:rPr>
          <w:rFonts w:hint="eastAsia" w:ascii="宋体" w:hAnsi="宋体" w:cs="Times New Roman"/>
          <w:color w:val="auto"/>
          <w:sz w:val="24"/>
          <w:highlight w:val="none"/>
        </w:rPr>
        <w:t>逾期到达或者未到达“</w:t>
      </w:r>
      <w:r>
        <w:rPr>
          <w:rFonts w:hint="default" w:ascii="宋体" w:hAnsi="宋体" w:cs="Times New Roman"/>
          <w:color w:val="auto"/>
          <w:sz w:val="24"/>
          <w:highlight w:val="none"/>
          <w:lang w:eastAsia="zh-CN"/>
        </w:rPr>
        <w:t>电子交易系统</w:t>
      </w:r>
      <w:r>
        <w:rPr>
          <w:rFonts w:hint="eastAsia" w:ascii="宋体" w:hAnsi="宋体" w:cs="Times New Roman"/>
          <w:color w:val="auto"/>
          <w:sz w:val="24"/>
          <w:highlight w:val="none"/>
        </w:rPr>
        <w:t>”的电子投标文件视为放弃本次投标。</w:t>
      </w:r>
      <w:r>
        <w:rPr>
          <w:rFonts w:hint="default" w:ascii="宋体" w:hAnsi="宋体"/>
          <w:color w:val="auto"/>
          <w:sz w:val="24"/>
          <w:szCs w:val="24"/>
          <w:highlight w:val="none"/>
        </w:rPr>
        <w:t>采用</w:t>
      </w:r>
      <w:r>
        <w:rPr>
          <w:rFonts w:hint="eastAsia" w:ascii="宋体" w:hAnsi="宋体"/>
          <w:color w:val="auto"/>
          <w:sz w:val="24"/>
          <w:szCs w:val="24"/>
          <w:highlight w:val="none"/>
        </w:rPr>
        <w:t>银行保函</w:t>
      </w:r>
      <w:r>
        <w:rPr>
          <w:rFonts w:hint="default" w:ascii="宋体" w:hAnsi="宋体"/>
          <w:color w:val="auto"/>
          <w:sz w:val="24"/>
          <w:szCs w:val="24"/>
          <w:highlight w:val="none"/>
        </w:rPr>
        <w:t>形式提交</w:t>
      </w:r>
      <w:r>
        <w:rPr>
          <w:rFonts w:hint="eastAsia" w:ascii="宋体" w:hAnsi="宋体"/>
          <w:color w:val="auto"/>
          <w:sz w:val="24"/>
          <w:szCs w:val="24"/>
          <w:highlight w:val="none"/>
        </w:rPr>
        <w:t>投标保证金的</w:t>
      </w:r>
      <w:r>
        <w:rPr>
          <w:rFonts w:hint="default" w:ascii="宋体" w:hAnsi="宋体"/>
          <w:color w:val="auto"/>
          <w:sz w:val="24"/>
          <w:szCs w:val="24"/>
          <w:highlight w:val="none"/>
        </w:rPr>
        <w:t>，银行保函原件</w:t>
      </w:r>
      <w:r>
        <w:rPr>
          <w:rFonts w:hint="eastAsia" w:ascii="宋体" w:hAnsi="宋体" w:cs="Times New Roman"/>
          <w:color w:val="auto"/>
          <w:sz w:val="24"/>
          <w:highlight w:val="none"/>
        </w:rPr>
        <w:t>逾期送达的或未送达指定地点的，招标人将予以拒收</w:t>
      </w:r>
      <w:r>
        <w:rPr>
          <w:rFonts w:hint="default" w:ascii="宋体" w:hAnsi="宋体" w:cs="Times New Roman"/>
          <w:color w:val="auto"/>
          <w:kern w:val="2"/>
          <w:sz w:val="24"/>
          <w:szCs w:val="24"/>
          <w:highlight w:val="none"/>
        </w:rPr>
        <w:t>。</w:t>
      </w:r>
    </w:p>
    <w:p w14:paraId="78C65F0A">
      <w:pPr>
        <w:pStyle w:val="6"/>
        <w:numPr>
          <w:ilvl w:val="0"/>
          <w:numId w:val="0"/>
        </w:numPr>
        <w:spacing w:line="360" w:lineRule="auto"/>
        <w:jc w:val="both"/>
        <w:rPr>
          <w:rFonts w:ascii="Times New Roman" w:hAnsi="Times New Roman"/>
          <w:b w:val="0"/>
          <w:bCs w:val="0"/>
          <w:color w:val="auto"/>
          <w:sz w:val="28"/>
          <w:szCs w:val="32"/>
          <w:highlight w:val="none"/>
        </w:rPr>
      </w:pPr>
      <w:bookmarkStart w:id="408" w:name="_Toc53685615"/>
      <w:bookmarkStart w:id="409" w:name="_Toc27060688"/>
      <w:bookmarkStart w:id="410" w:name="_Toc27059892"/>
      <w:bookmarkStart w:id="411" w:name="_Toc27059700"/>
      <w:bookmarkStart w:id="412" w:name="_Toc27059790"/>
      <w:bookmarkStart w:id="413" w:name="_Toc27059519"/>
      <w:r>
        <w:rPr>
          <w:rFonts w:ascii="Times New Roman" w:hAnsi="Times New Roman"/>
          <w:b w:val="0"/>
          <w:bCs w:val="0"/>
          <w:color w:val="auto"/>
          <w:sz w:val="28"/>
          <w:szCs w:val="32"/>
          <w:highlight w:val="none"/>
        </w:rPr>
        <w:t xml:space="preserve">4.3 </w:t>
      </w:r>
      <w:r>
        <w:rPr>
          <w:rFonts w:hint="default" w:ascii="Times New Roman" w:hAnsi="Times New Roman"/>
          <w:b w:val="0"/>
          <w:bCs w:val="0"/>
          <w:color w:val="auto"/>
          <w:sz w:val="28"/>
          <w:szCs w:val="32"/>
          <w:highlight w:val="none"/>
        </w:rPr>
        <w:t>投标文件的修改与撤回</w:t>
      </w:r>
      <w:bookmarkEnd w:id="408"/>
      <w:bookmarkEnd w:id="409"/>
      <w:bookmarkEnd w:id="410"/>
      <w:bookmarkEnd w:id="411"/>
      <w:bookmarkEnd w:id="412"/>
      <w:bookmarkEnd w:id="413"/>
    </w:p>
    <w:p w14:paraId="27508DE4">
      <w:pPr>
        <w:pStyle w:val="22"/>
        <w:kinsoku w:val="0"/>
        <w:overflowPunct w:val="0"/>
        <w:spacing w:line="360" w:lineRule="auto"/>
        <w:ind w:firstLine="480" w:firstLineChars="200"/>
        <w:rPr>
          <w:color w:val="auto"/>
          <w:highlight w:val="none"/>
        </w:rPr>
      </w:pPr>
      <w:r>
        <w:rPr>
          <w:color w:val="auto"/>
          <w:highlight w:val="none"/>
        </w:rPr>
        <w:t xml:space="preserve">4.3.1 </w:t>
      </w:r>
      <w:r>
        <w:rPr>
          <w:rFonts w:hint="eastAsia"/>
          <w:color w:val="auto"/>
          <w:highlight w:val="none"/>
        </w:rPr>
        <w:t>在本章第</w:t>
      </w:r>
      <w:r>
        <w:rPr>
          <w:color w:val="auto"/>
          <w:spacing w:val="-44"/>
          <w:highlight w:val="none"/>
        </w:rPr>
        <w:t xml:space="preserve"> </w:t>
      </w:r>
      <w:r>
        <w:rPr>
          <w:color w:val="auto"/>
          <w:highlight w:val="none"/>
        </w:rPr>
        <w:t>4.2.1</w:t>
      </w:r>
      <w:r>
        <w:rPr>
          <w:rFonts w:hint="eastAsia"/>
          <w:color w:val="auto"/>
          <w:highlight w:val="none"/>
        </w:rPr>
        <w:t>项规定的投标截止时间前，投标人可以修改或撤回已递交的投标文件。投标人对加密的投标文件进行撤回的，应在“</w:t>
      </w:r>
      <w:r>
        <w:rPr>
          <w:rFonts w:hint="eastAsia"/>
          <w:color w:val="auto"/>
          <w:highlight w:val="none"/>
          <w:lang w:eastAsia="zh-CN"/>
        </w:rPr>
        <w:t>电子交易系统</w:t>
      </w:r>
      <w:r>
        <w:rPr>
          <w:rFonts w:hint="eastAsia"/>
          <w:color w:val="auto"/>
          <w:highlight w:val="none"/>
        </w:rPr>
        <w:t>”直接进行撤回操</w:t>
      </w:r>
      <w:r>
        <w:rPr>
          <w:rFonts w:hint="eastAsia"/>
          <w:color w:val="auto"/>
          <w:spacing w:val="-1"/>
          <w:highlight w:val="none"/>
        </w:rPr>
        <w:t>作</w:t>
      </w:r>
      <w:r>
        <w:rPr>
          <w:rFonts w:hint="eastAsia"/>
          <w:color w:val="auto"/>
          <w:spacing w:val="-44"/>
          <w:highlight w:val="none"/>
        </w:rPr>
        <w:t>；</w:t>
      </w:r>
      <w:r>
        <w:rPr>
          <w:rFonts w:hint="eastAsia"/>
          <w:color w:val="auto"/>
          <w:highlight w:val="none"/>
        </w:rPr>
        <w:t>投标人对加密的投标文件进行修改的</w:t>
      </w:r>
      <w:r>
        <w:rPr>
          <w:rFonts w:hint="eastAsia"/>
          <w:color w:val="auto"/>
          <w:spacing w:val="-44"/>
          <w:highlight w:val="none"/>
        </w:rPr>
        <w:t>，</w:t>
      </w:r>
      <w:r>
        <w:rPr>
          <w:rFonts w:hint="eastAsia"/>
          <w:color w:val="auto"/>
          <w:highlight w:val="none"/>
        </w:rPr>
        <w:t>应在投标截止时间前完成上传。</w:t>
      </w:r>
    </w:p>
    <w:p w14:paraId="6F6685A0">
      <w:pPr>
        <w:pStyle w:val="22"/>
        <w:kinsoku w:val="0"/>
        <w:overflowPunct/>
        <w:spacing w:line="360" w:lineRule="auto"/>
        <w:ind w:firstLine="480" w:firstLineChars="200"/>
        <w:rPr>
          <w:color w:val="auto"/>
          <w:highlight w:val="none"/>
        </w:rPr>
      </w:pPr>
      <w:r>
        <w:rPr>
          <w:color w:val="auto"/>
          <w:highlight w:val="none"/>
        </w:rPr>
        <w:t xml:space="preserve">4.3.2 </w:t>
      </w:r>
      <w:r>
        <w:rPr>
          <w:rFonts w:hint="eastAsia"/>
          <w:color w:val="auto"/>
          <w:highlight w:val="none"/>
        </w:rPr>
        <w:t>投标人修改投标文件的</w:t>
      </w:r>
      <w:bookmarkStart w:id="414" w:name="_Hlk51054860"/>
      <w:r>
        <w:rPr>
          <w:rFonts w:hint="eastAsia"/>
          <w:color w:val="auto"/>
          <w:highlight w:val="none"/>
        </w:rPr>
        <w:t>，</w:t>
      </w:r>
      <w:bookmarkEnd w:id="414"/>
      <w:r>
        <w:rPr>
          <w:rFonts w:hint="eastAsia"/>
          <w:color w:val="auto"/>
          <w:highlight w:val="none"/>
        </w:rPr>
        <w:t>应使用“投标文件制作工具”制作成完整的投标文件，并按照本章第</w:t>
      </w:r>
      <w:r>
        <w:rPr>
          <w:color w:val="auto"/>
          <w:highlight w:val="none"/>
        </w:rPr>
        <w:t>3</w:t>
      </w:r>
      <w:r>
        <w:rPr>
          <w:rFonts w:hint="eastAsia"/>
          <w:color w:val="auto"/>
          <w:highlight w:val="none"/>
        </w:rPr>
        <w:t>条、第</w:t>
      </w:r>
      <w:r>
        <w:rPr>
          <w:color w:val="auto"/>
          <w:highlight w:val="none"/>
        </w:rPr>
        <w:t>4</w:t>
      </w:r>
      <w:r>
        <w:rPr>
          <w:rFonts w:hint="eastAsia"/>
          <w:color w:val="auto"/>
          <w:highlight w:val="none"/>
        </w:rPr>
        <w:t>条规定进行编制、加密和递交。上传加密的投标文件，以投标截止时间前最后完成上传的文件为准。</w:t>
      </w:r>
    </w:p>
    <w:p w14:paraId="0376288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4.3.3 </w:t>
      </w:r>
      <w:r>
        <w:rPr>
          <w:rFonts w:hint="eastAsia" w:ascii="宋体" w:hAnsi="宋体"/>
          <w:color w:val="auto"/>
          <w:sz w:val="24"/>
          <w:highlight w:val="none"/>
        </w:rPr>
        <w:t>投标人撤回投标文件的</w:t>
      </w:r>
      <w:r>
        <w:rPr>
          <w:rFonts w:hint="eastAsia"/>
          <w:color w:val="auto"/>
          <w:spacing w:val="-29"/>
          <w:highlight w:val="none"/>
        </w:rPr>
        <w:t>，</w:t>
      </w:r>
      <w:r>
        <w:rPr>
          <w:rFonts w:hint="eastAsia" w:ascii="宋体" w:hAnsi="宋体"/>
          <w:color w:val="auto"/>
          <w:sz w:val="24"/>
          <w:highlight w:val="none"/>
        </w:rPr>
        <w:t>招标人自收到投标人书面撤回通知之日起</w:t>
      </w:r>
      <w:r>
        <w:rPr>
          <w:rFonts w:ascii="宋体" w:hAnsi="宋体"/>
          <w:color w:val="auto"/>
          <w:spacing w:val="-59"/>
          <w:sz w:val="24"/>
          <w:highlight w:val="none"/>
        </w:rPr>
        <w:t xml:space="preserve"> </w:t>
      </w:r>
      <w:r>
        <w:rPr>
          <w:rFonts w:ascii="宋体" w:hAnsi="宋体"/>
          <w:color w:val="auto"/>
          <w:sz w:val="24"/>
          <w:highlight w:val="none"/>
        </w:rPr>
        <w:t>5</w:t>
      </w:r>
      <w:r>
        <w:rPr>
          <w:rFonts w:hint="eastAsia" w:ascii="宋体" w:hAnsi="宋体"/>
          <w:color w:val="auto"/>
          <w:sz w:val="24"/>
          <w:highlight w:val="none"/>
        </w:rPr>
        <w:t>日内退还已收取的投标保证金。</w:t>
      </w:r>
    </w:p>
    <w:p w14:paraId="41D0A7FE">
      <w:pPr>
        <w:pStyle w:val="5"/>
        <w:rPr>
          <w:rFonts w:ascii="Arial"/>
          <w:b/>
          <w:color w:val="auto"/>
          <w:sz w:val="28"/>
          <w:szCs w:val="32"/>
          <w:highlight w:val="none"/>
        </w:rPr>
      </w:pPr>
      <w:bookmarkStart w:id="415" w:name="_Toc27060689"/>
      <w:bookmarkStart w:id="416" w:name="_Toc27059520"/>
      <w:bookmarkStart w:id="417" w:name="_Toc27059701"/>
      <w:bookmarkStart w:id="418" w:name="_Toc53685616"/>
      <w:bookmarkStart w:id="419" w:name="_Toc27059791"/>
      <w:bookmarkStart w:id="420" w:name="_Toc27059893"/>
      <w:r>
        <w:rPr>
          <w:rFonts w:hint="default" w:ascii="Arial"/>
          <w:b/>
          <w:color w:val="auto"/>
          <w:sz w:val="28"/>
          <w:szCs w:val="32"/>
          <w:highlight w:val="none"/>
        </w:rPr>
        <w:t>5.</w:t>
      </w:r>
      <w:r>
        <w:rPr>
          <w:rFonts w:hint="eastAsia"/>
          <w:b/>
          <w:color w:val="auto"/>
          <w:sz w:val="28"/>
          <w:szCs w:val="32"/>
          <w:highlight w:val="none"/>
          <w:lang w:val="en-US" w:eastAsia="zh-CN"/>
        </w:rPr>
        <w:t xml:space="preserve"> </w:t>
      </w:r>
      <w:r>
        <w:rPr>
          <w:rFonts w:hint="default" w:ascii="Arial"/>
          <w:b/>
          <w:color w:val="auto"/>
          <w:sz w:val="28"/>
          <w:szCs w:val="32"/>
          <w:highlight w:val="none"/>
        </w:rPr>
        <w:t>开标</w:t>
      </w:r>
      <w:bookmarkEnd w:id="415"/>
      <w:bookmarkEnd w:id="416"/>
      <w:bookmarkEnd w:id="417"/>
      <w:bookmarkEnd w:id="418"/>
      <w:bookmarkEnd w:id="419"/>
      <w:bookmarkEnd w:id="420"/>
    </w:p>
    <w:p w14:paraId="6E3E016F">
      <w:pPr>
        <w:pStyle w:val="6"/>
        <w:numPr>
          <w:ilvl w:val="0"/>
          <w:numId w:val="0"/>
        </w:numPr>
        <w:spacing w:line="360" w:lineRule="auto"/>
        <w:jc w:val="both"/>
        <w:rPr>
          <w:rFonts w:ascii="Times New Roman" w:hAnsi="Times New Roman"/>
          <w:b w:val="0"/>
          <w:bCs w:val="0"/>
          <w:color w:val="auto"/>
          <w:sz w:val="28"/>
          <w:szCs w:val="32"/>
          <w:highlight w:val="none"/>
        </w:rPr>
      </w:pPr>
      <w:bookmarkStart w:id="421" w:name="_Toc27060690"/>
      <w:bookmarkStart w:id="422" w:name="_Toc53685617"/>
      <w:bookmarkStart w:id="423" w:name="_Toc27059521"/>
      <w:bookmarkStart w:id="424" w:name="_Toc27059792"/>
      <w:bookmarkStart w:id="425" w:name="_Toc27059702"/>
      <w:bookmarkStart w:id="426" w:name="_Toc27059894"/>
      <w:r>
        <w:rPr>
          <w:rFonts w:ascii="Times New Roman" w:hAnsi="Times New Roman"/>
          <w:b w:val="0"/>
          <w:bCs w:val="0"/>
          <w:color w:val="auto"/>
          <w:sz w:val="28"/>
          <w:szCs w:val="32"/>
          <w:highlight w:val="none"/>
        </w:rPr>
        <w:t xml:space="preserve">5.1 </w:t>
      </w:r>
      <w:r>
        <w:rPr>
          <w:rFonts w:hint="default" w:ascii="Times New Roman" w:hAnsi="Times New Roman"/>
          <w:b w:val="0"/>
          <w:bCs w:val="0"/>
          <w:color w:val="auto"/>
          <w:sz w:val="28"/>
          <w:szCs w:val="32"/>
          <w:highlight w:val="none"/>
        </w:rPr>
        <w:t>开标时间和地点</w:t>
      </w:r>
      <w:bookmarkEnd w:id="421"/>
      <w:bookmarkEnd w:id="422"/>
      <w:bookmarkEnd w:id="423"/>
      <w:bookmarkEnd w:id="424"/>
      <w:bookmarkEnd w:id="425"/>
      <w:bookmarkEnd w:id="426"/>
    </w:p>
    <w:p w14:paraId="52030FAA">
      <w:pPr>
        <w:pStyle w:val="22"/>
        <w:kinsoku w:val="0"/>
        <w:overflowPunct w:val="0"/>
        <w:spacing w:line="360" w:lineRule="auto"/>
        <w:ind w:firstLine="480" w:firstLineChars="200"/>
        <w:rPr>
          <w:color w:val="auto"/>
          <w:highlight w:val="none"/>
        </w:rPr>
      </w:pPr>
      <w:r>
        <w:rPr>
          <w:rFonts w:hint="eastAsia"/>
          <w:color w:val="auto"/>
          <w:highlight w:val="none"/>
        </w:rPr>
        <w:t>招标人在本章第</w:t>
      </w:r>
      <w:r>
        <w:rPr>
          <w:color w:val="auto"/>
          <w:spacing w:val="-43"/>
          <w:highlight w:val="none"/>
        </w:rPr>
        <w:t xml:space="preserve"> </w:t>
      </w:r>
      <w:r>
        <w:rPr>
          <w:color w:val="auto"/>
          <w:highlight w:val="none"/>
        </w:rPr>
        <w:t>4.2.1</w:t>
      </w:r>
      <w:r>
        <w:rPr>
          <w:rFonts w:hint="eastAsia"/>
          <w:color w:val="auto"/>
          <w:highlight w:val="none"/>
        </w:rPr>
        <w:t>项规定的投标截止时间（开标时间）和投标人须知前附表规定的地点对收到的投标文件第一个信封（商务及技术文件）公开开标，并邀请所有投标人的法定代表人或其委托代理人准时参加。</w:t>
      </w:r>
    </w:p>
    <w:p w14:paraId="2F1954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招标人在投标人须知前附表规定的时间和地点对投标文件第二个信封（报价文件）进行公开开标，并邀请所有投标人的法定代表人或其委托代理人准时参加。</w:t>
      </w:r>
    </w:p>
    <w:p w14:paraId="46229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投标人若未派法定代表人或委托代理人参加开标的</w:t>
      </w:r>
      <w:r>
        <w:rPr>
          <w:rFonts w:ascii="宋体" w:hAnsi="宋体" w:cs="宋体"/>
          <w:color w:val="auto"/>
          <w:sz w:val="24"/>
          <w:highlight w:val="none"/>
        </w:rPr>
        <w:t>，视为该投标人默认开标结果。</w:t>
      </w:r>
    </w:p>
    <w:p w14:paraId="63BB72FF">
      <w:pPr>
        <w:pStyle w:val="6"/>
        <w:numPr>
          <w:ilvl w:val="0"/>
          <w:numId w:val="0"/>
        </w:numPr>
        <w:spacing w:line="360" w:lineRule="auto"/>
        <w:jc w:val="both"/>
        <w:rPr>
          <w:rFonts w:ascii="Times New Roman" w:hAnsi="Times New Roman"/>
          <w:b w:val="0"/>
          <w:bCs w:val="0"/>
          <w:color w:val="auto"/>
          <w:sz w:val="28"/>
          <w:szCs w:val="32"/>
          <w:highlight w:val="none"/>
        </w:rPr>
      </w:pPr>
      <w:bookmarkStart w:id="427" w:name="_Toc27059522"/>
      <w:bookmarkStart w:id="428" w:name="_Toc53685618"/>
      <w:bookmarkStart w:id="429" w:name="_Toc27059793"/>
      <w:bookmarkStart w:id="430" w:name="_Toc27060691"/>
      <w:bookmarkStart w:id="431" w:name="_Toc27059703"/>
      <w:bookmarkStart w:id="432" w:name="_Toc27059895"/>
      <w:r>
        <w:rPr>
          <w:rFonts w:ascii="Times New Roman" w:hAnsi="Times New Roman"/>
          <w:b w:val="0"/>
          <w:bCs w:val="0"/>
          <w:color w:val="auto"/>
          <w:sz w:val="28"/>
          <w:szCs w:val="32"/>
          <w:highlight w:val="none"/>
        </w:rPr>
        <w:t xml:space="preserve">5.2 </w:t>
      </w:r>
      <w:r>
        <w:rPr>
          <w:rFonts w:hint="default" w:ascii="Times New Roman" w:hAnsi="Times New Roman"/>
          <w:b w:val="0"/>
          <w:bCs w:val="0"/>
          <w:color w:val="auto"/>
          <w:sz w:val="28"/>
          <w:szCs w:val="32"/>
          <w:highlight w:val="none"/>
        </w:rPr>
        <w:t>开标程序</w:t>
      </w:r>
      <w:bookmarkEnd w:id="427"/>
      <w:bookmarkEnd w:id="428"/>
      <w:bookmarkEnd w:id="429"/>
      <w:bookmarkEnd w:id="430"/>
      <w:bookmarkEnd w:id="431"/>
      <w:bookmarkEnd w:id="432"/>
    </w:p>
    <w:p w14:paraId="47D3255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5.2.1 </w:t>
      </w:r>
      <w:r>
        <w:rPr>
          <w:rFonts w:hint="eastAsia" w:ascii="宋体" w:hAnsi="宋体" w:cs="宋体"/>
          <w:color w:val="auto"/>
          <w:sz w:val="24"/>
          <w:highlight w:val="none"/>
        </w:rPr>
        <w:t>投标文件第一个信封（商务及技术文件）开标程序：见投标人须知前附表。</w:t>
      </w:r>
    </w:p>
    <w:p w14:paraId="13FD3AF9">
      <w:pPr>
        <w:pStyle w:val="22"/>
        <w:kinsoku w:val="0"/>
        <w:overflowPunct w:val="0"/>
        <w:spacing w:line="360" w:lineRule="auto"/>
        <w:ind w:firstLine="480" w:firstLineChars="200"/>
        <w:rPr>
          <w:color w:val="auto"/>
          <w:highlight w:val="none"/>
        </w:rPr>
      </w:pPr>
      <w:r>
        <w:rPr>
          <w:color w:val="auto"/>
          <w:highlight w:val="none"/>
        </w:rPr>
        <w:t xml:space="preserve">5.2.2 </w:t>
      </w:r>
      <w:r>
        <w:rPr>
          <w:rFonts w:hint="eastAsia"/>
          <w:color w:val="auto"/>
          <w:highlight w:val="none"/>
        </w:rPr>
        <w:t>投标文件第二个信封（报价文件）</w:t>
      </w:r>
      <w:r>
        <w:rPr>
          <w:rFonts w:hint="eastAsia"/>
          <w:color w:val="auto"/>
          <w:highlight w:val="none"/>
          <w:lang w:val="en-US" w:eastAsia="zh-CN"/>
        </w:rPr>
        <w:t>开标前</w:t>
      </w:r>
      <w:r>
        <w:rPr>
          <w:rFonts w:hint="eastAsia"/>
          <w:color w:val="auto"/>
          <w:highlight w:val="none"/>
        </w:rPr>
        <w:t>的处置：见投标人须知前附表。</w:t>
      </w:r>
    </w:p>
    <w:p w14:paraId="78F31872">
      <w:pPr>
        <w:pStyle w:val="22"/>
        <w:kinsoku w:val="0"/>
        <w:overflowPunct w:val="0"/>
        <w:spacing w:line="360" w:lineRule="auto"/>
        <w:ind w:firstLine="480" w:firstLineChars="200"/>
        <w:rPr>
          <w:color w:val="auto"/>
          <w:highlight w:val="none"/>
        </w:rPr>
      </w:pPr>
      <w:r>
        <w:rPr>
          <w:color w:val="auto"/>
          <w:highlight w:val="none"/>
        </w:rPr>
        <w:t xml:space="preserve">5.2.3 </w:t>
      </w:r>
      <w:r>
        <w:rPr>
          <w:rFonts w:hint="eastAsia"/>
          <w:color w:val="auto"/>
          <w:highlight w:val="none"/>
        </w:rPr>
        <w:t>投标文件第二个信封（报价文件）开标程序：见投标人须知前附表。</w:t>
      </w:r>
    </w:p>
    <w:p w14:paraId="516AF9D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5.2.4 </w:t>
      </w:r>
      <w:r>
        <w:rPr>
          <w:rFonts w:hint="eastAsia" w:ascii="宋体" w:hAnsi="宋体"/>
          <w:color w:val="auto"/>
          <w:sz w:val="24"/>
          <w:highlight w:val="none"/>
        </w:rPr>
        <w:t>采用合理低价法或综合评分法时，</w:t>
      </w:r>
      <w:r>
        <w:rPr>
          <w:rFonts w:ascii="宋体" w:hAnsi="宋体"/>
          <w:color w:val="auto"/>
          <w:sz w:val="24"/>
          <w:highlight w:val="none"/>
        </w:rPr>
        <w:t>在投标文件第二个信封（报价文件）开标现场,招标人将按第三章“</w:t>
      </w:r>
      <w:r>
        <w:rPr>
          <w:rFonts w:hint="eastAsia" w:ascii="宋体" w:hAnsi="宋体"/>
          <w:color w:val="auto"/>
          <w:sz w:val="24"/>
          <w:highlight w:val="none"/>
        </w:rPr>
        <w:t>评标</w:t>
      </w:r>
      <w:r>
        <w:rPr>
          <w:rFonts w:ascii="宋体" w:hAnsi="宋体"/>
          <w:color w:val="auto"/>
          <w:sz w:val="24"/>
          <w:highlight w:val="none"/>
        </w:rPr>
        <w:t>办法”</w:t>
      </w:r>
      <w:bookmarkStart w:id="433" w:name="_Hlk94089261"/>
      <w:r>
        <w:rPr>
          <w:rFonts w:hint="eastAsia" w:ascii="宋体" w:hAnsi="宋体"/>
          <w:color w:val="auto"/>
          <w:sz w:val="24"/>
          <w:highlight w:val="none"/>
        </w:rPr>
        <w:t>前附表第</w:t>
      </w:r>
      <w:r>
        <w:rPr>
          <w:rFonts w:ascii="宋体" w:hAnsi="宋体"/>
          <w:color w:val="auto"/>
          <w:sz w:val="24"/>
          <w:highlight w:val="none"/>
        </w:rPr>
        <w:t>2.2.2</w:t>
      </w:r>
      <w:r>
        <w:rPr>
          <w:rFonts w:hint="eastAsia" w:ascii="宋体" w:hAnsi="宋体"/>
          <w:color w:val="auto"/>
          <w:sz w:val="24"/>
          <w:highlight w:val="none"/>
        </w:rPr>
        <w:t>项</w:t>
      </w:r>
      <w:bookmarkEnd w:id="433"/>
      <w:r>
        <w:rPr>
          <w:rFonts w:ascii="宋体" w:hAnsi="宋体"/>
          <w:color w:val="auto"/>
          <w:sz w:val="24"/>
          <w:highlight w:val="none"/>
        </w:rPr>
        <w:t>规定的原则计算并宣布评标基准价。若招标人发现投标文件出现</w:t>
      </w:r>
      <w:r>
        <w:rPr>
          <w:rFonts w:hint="eastAsia" w:ascii="宋体" w:hAnsi="宋体"/>
          <w:color w:val="auto"/>
          <w:sz w:val="24"/>
          <w:highlight w:val="none"/>
        </w:rPr>
        <w:t>第三章“评标办法”前附表第</w:t>
      </w:r>
      <w:r>
        <w:rPr>
          <w:rFonts w:ascii="宋体" w:hAnsi="宋体"/>
          <w:color w:val="auto"/>
          <w:sz w:val="24"/>
          <w:highlight w:val="none"/>
        </w:rPr>
        <w:t>2.2.2</w:t>
      </w:r>
      <w:r>
        <w:rPr>
          <w:rFonts w:hint="eastAsia" w:ascii="宋体" w:hAnsi="宋体"/>
          <w:color w:val="auto"/>
          <w:sz w:val="24"/>
          <w:highlight w:val="none"/>
        </w:rPr>
        <w:t>项中所述</w:t>
      </w:r>
      <w:bookmarkStart w:id="434" w:name="_Hlk94089282"/>
      <w:r>
        <w:rPr>
          <w:rFonts w:ascii="宋体" w:hAnsi="宋体"/>
          <w:color w:val="auto"/>
          <w:sz w:val="24"/>
          <w:highlight w:val="none"/>
        </w:rPr>
        <w:t>不参加评标基准价计算</w:t>
      </w:r>
      <w:r>
        <w:rPr>
          <w:rFonts w:hint="eastAsia" w:ascii="宋体" w:hAnsi="宋体"/>
          <w:color w:val="auto"/>
          <w:sz w:val="24"/>
          <w:highlight w:val="none"/>
        </w:rPr>
        <w:t>的</w:t>
      </w:r>
      <w:r>
        <w:rPr>
          <w:rFonts w:ascii="宋体" w:hAnsi="宋体"/>
          <w:color w:val="auto"/>
          <w:sz w:val="24"/>
          <w:highlight w:val="none"/>
        </w:rPr>
        <w:t>任一</w:t>
      </w:r>
      <w:r>
        <w:rPr>
          <w:rFonts w:hint="eastAsia" w:ascii="宋体" w:hAnsi="宋体"/>
          <w:color w:val="auto"/>
          <w:sz w:val="24"/>
          <w:highlight w:val="none"/>
        </w:rPr>
        <w:t>情形</w:t>
      </w:r>
      <w:bookmarkEnd w:id="434"/>
      <w:r>
        <w:rPr>
          <w:rFonts w:hint="eastAsia" w:ascii="宋体" w:hAnsi="宋体"/>
          <w:color w:val="auto"/>
          <w:sz w:val="24"/>
          <w:highlight w:val="none"/>
        </w:rPr>
        <w:t>，</w:t>
      </w:r>
      <w:r>
        <w:rPr>
          <w:rFonts w:ascii="宋体" w:hAnsi="宋体"/>
          <w:color w:val="auto"/>
          <w:sz w:val="24"/>
          <w:highlight w:val="none"/>
        </w:rPr>
        <w:t>其投标报价将不再参加评标基准价的计算</w:t>
      </w:r>
      <w:r>
        <w:rPr>
          <w:rFonts w:hint="eastAsia" w:ascii="宋体" w:hAnsi="宋体"/>
          <w:color w:val="auto"/>
          <w:sz w:val="24"/>
          <w:highlight w:val="none"/>
        </w:rPr>
        <w:t>。</w:t>
      </w:r>
      <w:r>
        <w:rPr>
          <w:rFonts w:ascii="宋体" w:hAnsi="宋体"/>
          <w:color w:val="auto"/>
          <w:sz w:val="24"/>
          <w:highlight w:val="none"/>
        </w:rPr>
        <w:t xml:space="preserve">   </w:t>
      </w:r>
    </w:p>
    <w:p w14:paraId="52066FB8">
      <w:pPr>
        <w:pStyle w:val="22"/>
        <w:kinsoku w:val="0"/>
        <w:overflowPunct w:val="0"/>
        <w:spacing w:line="360" w:lineRule="auto"/>
        <w:ind w:firstLine="480" w:firstLineChars="200"/>
        <w:rPr>
          <w:color w:val="auto"/>
          <w:highlight w:val="none"/>
        </w:rPr>
      </w:pPr>
      <w:r>
        <w:rPr>
          <w:color w:val="auto"/>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1C8C1A52">
      <w:pPr>
        <w:pStyle w:val="22"/>
        <w:kinsoku w:val="0"/>
        <w:overflowPunct w:val="0"/>
        <w:spacing w:line="360" w:lineRule="auto"/>
        <w:ind w:firstLine="480" w:firstLineChars="200"/>
        <w:rPr>
          <w:color w:val="auto"/>
          <w:spacing w:val="-3"/>
          <w:highlight w:val="none"/>
        </w:rPr>
      </w:pPr>
      <w:r>
        <w:rPr>
          <w:color w:val="auto"/>
          <w:highlight w:val="none"/>
        </w:rPr>
        <w:t xml:space="preserve">5.2.5 </w:t>
      </w:r>
      <w:r>
        <w:rPr>
          <w:rFonts w:hint="eastAsia"/>
          <w:color w:val="auto"/>
          <w:spacing w:val="-3"/>
          <w:highlight w:val="none"/>
        </w:rPr>
        <w:t>在投标文件第一个信封（商务及技术文件）或第二个信封（报价文件）开</w:t>
      </w:r>
      <w:r>
        <w:rPr>
          <w:rFonts w:hint="eastAsia"/>
          <w:color w:val="auto"/>
          <w:highlight w:val="none"/>
        </w:rPr>
        <w:t>标过程中</w:t>
      </w:r>
      <w:r>
        <w:rPr>
          <w:rFonts w:hint="eastAsia"/>
          <w:color w:val="auto"/>
          <w:spacing w:val="-44"/>
          <w:highlight w:val="none"/>
        </w:rPr>
        <w:t>，</w:t>
      </w:r>
      <w:r>
        <w:rPr>
          <w:rFonts w:hint="eastAsia"/>
          <w:color w:val="auto"/>
          <w:highlight w:val="none"/>
        </w:rPr>
        <w:t>若招标人宣读的内容与投标文件不符</w:t>
      </w:r>
      <w:r>
        <w:rPr>
          <w:rFonts w:hint="eastAsia"/>
          <w:color w:val="auto"/>
          <w:spacing w:val="-44"/>
          <w:highlight w:val="none"/>
        </w:rPr>
        <w:t>，</w:t>
      </w:r>
      <w:r>
        <w:rPr>
          <w:rFonts w:hint="eastAsia"/>
          <w:color w:val="auto"/>
          <w:highlight w:val="none"/>
        </w:rPr>
        <w:t>投标人有权在开标现场提出疑问，经招标人当场核查确认之后，可重新宣读其投标文件。若投标人现场未提出疑问，</w:t>
      </w:r>
      <w:r>
        <w:rPr>
          <w:rFonts w:hint="eastAsia"/>
          <w:color w:val="auto"/>
          <w:spacing w:val="-1"/>
          <w:highlight w:val="none"/>
        </w:rPr>
        <w:t>则认为投标人</w:t>
      </w:r>
      <w:r>
        <w:rPr>
          <w:rFonts w:hint="eastAsia"/>
          <w:color w:val="auto"/>
          <w:spacing w:val="-1"/>
          <w:highlight w:val="none"/>
          <w:lang w:val="en-US" w:eastAsia="zh-CN"/>
        </w:rPr>
        <w:t>已</w:t>
      </w:r>
      <w:r>
        <w:rPr>
          <w:rFonts w:hint="eastAsia"/>
          <w:color w:val="auto"/>
          <w:spacing w:val="-1"/>
          <w:highlight w:val="none"/>
        </w:rPr>
        <w:t>确认招标人宣读的内容。</w:t>
      </w:r>
    </w:p>
    <w:p w14:paraId="1BF0B62F">
      <w:pPr>
        <w:pStyle w:val="6"/>
        <w:numPr>
          <w:ilvl w:val="0"/>
          <w:numId w:val="0"/>
        </w:numPr>
        <w:spacing w:line="360" w:lineRule="auto"/>
        <w:jc w:val="both"/>
        <w:rPr>
          <w:rFonts w:ascii="Times New Roman" w:hAnsi="Times New Roman"/>
          <w:b w:val="0"/>
          <w:bCs w:val="0"/>
          <w:color w:val="auto"/>
          <w:sz w:val="28"/>
          <w:szCs w:val="32"/>
          <w:highlight w:val="none"/>
        </w:rPr>
      </w:pPr>
      <w:bookmarkStart w:id="435" w:name="_Toc27059704"/>
      <w:bookmarkStart w:id="436" w:name="_Toc27059794"/>
      <w:bookmarkStart w:id="437" w:name="_Toc27060692"/>
      <w:bookmarkStart w:id="438" w:name="_Toc27059523"/>
      <w:bookmarkStart w:id="439" w:name="_Toc27059896"/>
      <w:bookmarkStart w:id="440" w:name="_Toc53685619"/>
      <w:r>
        <w:rPr>
          <w:rFonts w:ascii="Times New Roman" w:hAnsi="Times New Roman"/>
          <w:b w:val="0"/>
          <w:bCs w:val="0"/>
          <w:color w:val="auto"/>
          <w:sz w:val="28"/>
          <w:szCs w:val="32"/>
          <w:highlight w:val="none"/>
        </w:rPr>
        <w:t xml:space="preserve">5.3 </w:t>
      </w:r>
      <w:r>
        <w:rPr>
          <w:rFonts w:hint="default" w:ascii="Times New Roman" w:hAnsi="Times New Roman"/>
          <w:b w:val="0"/>
          <w:bCs w:val="0"/>
          <w:color w:val="auto"/>
          <w:sz w:val="28"/>
          <w:szCs w:val="32"/>
          <w:highlight w:val="none"/>
        </w:rPr>
        <w:t>开标补救措施</w:t>
      </w:r>
      <w:bookmarkEnd w:id="435"/>
      <w:bookmarkEnd w:id="436"/>
      <w:bookmarkEnd w:id="437"/>
      <w:bookmarkEnd w:id="438"/>
      <w:bookmarkEnd w:id="439"/>
      <w:bookmarkEnd w:id="440"/>
    </w:p>
    <w:p w14:paraId="6A49935B">
      <w:pPr>
        <w:pStyle w:val="22"/>
        <w:kinsoku w:val="0"/>
        <w:overflowPunct w:val="0"/>
        <w:spacing w:line="360" w:lineRule="auto"/>
        <w:ind w:firstLine="480" w:firstLineChars="200"/>
        <w:rPr>
          <w:color w:val="auto"/>
          <w:highlight w:val="none"/>
        </w:rPr>
      </w:pPr>
      <w:r>
        <w:rPr>
          <w:color w:val="auto"/>
          <w:highlight w:val="none"/>
        </w:rPr>
        <w:t xml:space="preserve">5.3.1 </w:t>
      </w:r>
      <w:r>
        <w:rPr>
          <w:rFonts w:hint="eastAsia"/>
          <w:color w:val="auto"/>
          <w:highlight w:val="none"/>
        </w:rPr>
        <w:t>开标过程中因本章第</w:t>
      </w:r>
      <w:r>
        <w:rPr>
          <w:color w:val="auto"/>
          <w:spacing w:val="-60"/>
          <w:highlight w:val="none"/>
        </w:rPr>
        <w:t xml:space="preserve"> </w:t>
      </w:r>
      <w:r>
        <w:rPr>
          <w:color w:val="auto"/>
          <w:highlight w:val="none"/>
        </w:rPr>
        <w:t>5.3.2</w:t>
      </w:r>
      <w:r>
        <w:rPr>
          <w:rFonts w:hint="eastAsia"/>
          <w:color w:val="auto"/>
          <w:highlight w:val="none"/>
        </w:rPr>
        <w:t>项</w:t>
      </w:r>
      <w:r>
        <w:rPr>
          <w:rFonts w:hint="eastAsia"/>
          <w:color w:val="auto"/>
          <w:spacing w:val="-44"/>
          <w:highlight w:val="none"/>
        </w:rPr>
        <w:t>、</w:t>
      </w:r>
      <w:r>
        <w:rPr>
          <w:rFonts w:hint="eastAsia"/>
          <w:color w:val="auto"/>
          <w:highlight w:val="none"/>
        </w:rPr>
        <w:t>第</w:t>
      </w:r>
      <w:r>
        <w:rPr>
          <w:color w:val="auto"/>
          <w:spacing w:val="-60"/>
          <w:highlight w:val="none"/>
        </w:rPr>
        <w:t xml:space="preserve"> </w:t>
      </w:r>
      <w:r>
        <w:rPr>
          <w:color w:val="auto"/>
          <w:highlight w:val="none"/>
        </w:rPr>
        <w:t>5.3.3</w:t>
      </w:r>
      <w:r>
        <w:rPr>
          <w:rFonts w:hint="eastAsia"/>
          <w:color w:val="auto"/>
          <w:highlight w:val="none"/>
        </w:rPr>
        <w:t>项所列原因</w:t>
      </w:r>
      <w:r>
        <w:rPr>
          <w:rFonts w:hint="eastAsia"/>
          <w:color w:val="auto"/>
          <w:spacing w:val="-44"/>
          <w:highlight w:val="none"/>
        </w:rPr>
        <w:t>，</w:t>
      </w:r>
      <w:r>
        <w:rPr>
          <w:rFonts w:hint="eastAsia"/>
          <w:color w:val="auto"/>
          <w:highlight w:val="none"/>
        </w:rPr>
        <w:t>导致系统无法正常运行，将按投标人须知前附表的规定采取补救措施。</w:t>
      </w:r>
    </w:p>
    <w:p w14:paraId="784CA6AF">
      <w:pPr>
        <w:spacing w:line="360" w:lineRule="auto"/>
        <w:ind w:firstLine="480" w:firstLineChars="200"/>
        <w:rPr>
          <w:rFonts w:ascii="宋体" w:hAnsi="宋体"/>
          <w:color w:val="auto"/>
          <w:sz w:val="24"/>
          <w:highlight w:val="none"/>
        </w:rPr>
      </w:pPr>
      <w:r>
        <w:rPr>
          <w:rFonts w:ascii="宋体" w:hAnsi="宋体" w:cs="宋体"/>
          <w:color w:val="auto"/>
          <w:sz w:val="24"/>
          <w:highlight w:val="none"/>
        </w:rPr>
        <w:t xml:space="preserve">5.3.2 </w:t>
      </w:r>
      <w:r>
        <w:rPr>
          <w:rFonts w:hint="eastAsia" w:ascii="宋体" w:hAnsi="宋体"/>
          <w:color w:val="auto"/>
          <w:sz w:val="24"/>
          <w:highlight w:val="none"/>
        </w:rPr>
        <w:t>在投标截止时间止，因“</w:t>
      </w:r>
      <w:r>
        <w:rPr>
          <w:rFonts w:hint="eastAsia" w:ascii="宋体" w:hAnsi="宋体"/>
          <w:color w:val="auto"/>
          <w:sz w:val="24"/>
          <w:highlight w:val="none"/>
          <w:lang w:eastAsia="zh-CN"/>
        </w:rPr>
        <w:t>电子交易系统</w:t>
      </w:r>
      <w:r>
        <w:rPr>
          <w:rFonts w:hint="eastAsia" w:ascii="宋体" w:hAnsi="宋体"/>
          <w:color w:val="auto"/>
          <w:sz w:val="24"/>
          <w:highlight w:val="none"/>
        </w:rPr>
        <w:t>”系统故障导致投标人无法正常上传加密的投标文件的情形，投标人应打印并递交</w:t>
      </w:r>
      <w:r>
        <w:rPr>
          <w:rFonts w:hint="eastAsia" w:ascii="宋体" w:hAnsi="宋体"/>
          <w:color w:val="auto"/>
          <w:sz w:val="24"/>
          <w:highlight w:val="none"/>
          <w:lang w:eastAsia="zh-CN"/>
        </w:rPr>
        <w:t>电子交易系统</w:t>
      </w:r>
      <w:r>
        <w:rPr>
          <w:rFonts w:hint="eastAsia" w:ascii="宋体" w:hAnsi="宋体"/>
          <w:color w:val="auto"/>
          <w:sz w:val="24"/>
          <w:highlight w:val="none"/>
        </w:rPr>
        <w:t>自动生成的上传失败的异常记录单。</w:t>
      </w:r>
    </w:p>
    <w:p w14:paraId="2BC6489A">
      <w:pPr>
        <w:pStyle w:val="22"/>
        <w:kinsoku w:val="0"/>
        <w:overflowPunct w:val="0"/>
        <w:spacing w:line="360" w:lineRule="auto"/>
        <w:ind w:firstLine="480" w:firstLineChars="200"/>
        <w:rPr>
          <w:color w:val="auto"/>
          <w:spacing w:val="-1"/>
          <w:highlight w:val="none"/>
        </w:rPr>
      </w:pPr>
      <w:r>
        <w:rPr>
          <w:color w:val="auto"/>
          <w:highlight w:val="none"/>
        </w:rPr>
        <w:t xml:space="preserve">5.3.3 </w:t>
      </w:r>
      <w:r>
        <w:rPr>
          <w:rFonts w:hint="eastAsia"/>
          <w:color w:val="auto"/>
          <w:highlight w:val="none"/>
        </w:rPr>
        <w:t>当出现以下情况时</w:t>
      </w:r>
      <w:r>
        <w:rPr>
          <w:rFonts w:hint="eastAsia"/>
          <w:color w:val="auto"/>
          <w:spacing w:val="-44"/>
          <w:highlight w:val="none"/>
        </w:rPr>
        <w:t>，</w:t>
      </w:r>
      <w:r>
        <w:rPr>
          <w:rFonts w:hint="eastAsia"/>
          <w:color w:val="auto"/>
          <w:highlight w:val="none"/>
        </w:rPr>
        <w:t>应对未开标的中止电子开标</w:t>
      </w:r>
      <w:r>
        <w:rPr>
          <w:rFonts w:hint="eastAsia"/>
          <w:color w:val="auto"/>
          <w:spacing w:val="-44"/>
          <w:highlight w:val="none"/>
        </w:rPr>
        <w:t>，</w:t>
      </w:r>
      <w:r>
        <w:rPr>
          <w:rFonts w:hint="eastAsia"/>
          <w:color w:val="auto"/>
          <w:highlight w:val="none"/>
        </w:rPr>
        <w:t>并在恢</w:t>
      </w:r>
      <w:r>
        <w:rPr>
          <w:rFonts w:hint="eastAsia"/>
          <w:color w:val="auto"/>
          <w:spacing w:val="1"/>
          <w:highlight w:val="none"/>
        </w:rPr>
        <w:t>复</w:t>
      </w:r>
      <w:r>
        <w:rPr>
          <w:rFonts w:hint="eastAsia"/>
          <w:color w:val="auto"/>
          <w:highlight w:val="none"/>
        </w:rPr>
        <w:t>正常后及时安</w:t>
      </w:r>
      <w:r>
        <w:rPr>
          <w:rFonts w:hint="eastAsia"/>
          <w:color w:val="auto"/>
          <w:spacing w:val="-1"/>
          <w:highlight w:val="none"/>
        </w:rPr>
        <w:t>排时间开标：</w:t>
      </w:r>
    </w:p>
    <w:p w14:paraId="5A65CF6E">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）系统服务器发生故障，无法访问或无法使用系统；</w:t>
      </w:r>
    </w:p>
    <w:p w14:paraId="61896C1A">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）系统的软件或数据库出现错误，不能进行正常操作；</w:t>
      </w:r>
    </w:p>
    <w:p w14:paraId="48EA4A7F">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）系统发现有安全漏洞，有潜在的泄密危险；</w:t>
      </w:r>
    </w:p>
    <w:p w14:paraId="121158B3">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）出现断电事故且短时间内无法恢复供电；</w:t>
      </w:r>
    </w:p>
    <w:p w14:paraId="08E39378">
      <w:pPr>
        <w:pStyle w:val="22"/>
        <w:kinsoku w:val="0"/>
        <w:overflowPunct w:val="0"/>
        <w:spacing w:line="360" w:lineRule="auto"/>
        <w:ind w:firstLine="48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）其他无法保证招投标过程正常进行的情形。</w:t>
      </w:r>
    </w:p>
    <w:p w14:paraId="05EE8727">
      <w:pPr>
        <w:pStyle w:val="22"/>
        <w:kinsoku w:val="0"/>
        <w:overflowPunct w:val="0"/>
        <w:spacing w:line="360" w:lineRule="auto"/>
        <w:ind w:firstLine="480" w:firstLineChars="200"/>
        <w:rPr>
          <w:color w:val="auto"/>
          <w:highlight w:val="none"/>
        </w:rPr>
      </w:pPr>
      <w:r>
        <w:rPr>
          <w:color w:val="auto"/>
          <w:highlight w:val="none"/>
        </w:rPr>
        <w:t xml:space="preserve">5.3.4 </w:t>
      </w:r>
      <w:r>
        <w:rPr>
          <w:rFonts w:hint="eastAsia"/>
          <w:color w:val="auto"/>
          <w:highlight w:val="none"/>
        </w:rPr>
        <w:t>采取补救措施时，必须对原有资料及信息作出妥善保密处理。</w:t>
      </w:r>
    </w:p>
    <w:p w14:paraId="395E9CEB">
      <w:pPr>
        <w:pStyle w:val="6"/>
        <w:numPr>
          <w:ilvl w:val="0"/>
          <w:numId w:val="0"/>
        </w:numPr>
        <w:spacing w:line="360" w:lineRule="auto"/>
        <w:jc w:val="both"/>
        <w:rPr>
          <w:rFonts w:ascii="Times New Roman" w:hAnsi="Times New Roman"/>
          <w:b w:val="0"/>
          <w:bCs w:val="0"/>
          <w:color w:val="auto"/>
          <w:sz w:val="28"/>
          <w:szCs w:val="32"/>
          <w:highlight w:val="none"/>
        </w:rPr>
      </w:pPr>
      <w:bookmarkStart w:id="441" w:name="_Toc53685620"/>
      <w:bookmarkStart w:id="442" w:name="_Toc27059897"/>
      <w:bookmarkStart w:id="443" w:name="_Toc27059795"/>
      <w:bookmarkStart w:id="444" w:name="_Toc27059524"/>
      <w:bookmarkStart w:id="445" w:name="_Toc27059705"/>
      <w:bookmarkStart w:id="446" w:name="_Toc27060693"/>
      <w:r>
        <w:rPr>
          <w:rFonts w:ascii="Times New Roman" w:hAnsi="Times New Roman"/>
          <w:b w:val="0"/>
          <w:bCs w:val="0"/>
          <w:color w:val="auto"/>
          <w:sz w:val="28"/>
          <w:szCs w:val="32"/>
          <w:highlight w:val="none"/>
        </w:rPr>
        <w:t xml:space="preserve">5.4 </w:t>
      </w:r>
      <w:r>
        <w:rPr>
          <w:rFonts w:hint="default" w:ascii="Times New Roman" w:hAnsi="Times New Roman"/>
          <w:b w:val="0"/>
          <w:bCs w:val="0"/>
          <w:color w:val="auto"/>
          <w:sz w:val="28"/>
          <w:szCs w:val="32"/>
          <w:highlight w:val="none"/>
        </w:rPr>
        <w:t>开标异议</w:t>
      </w:r>
      <w:bookmarkEnd w:id="441"/>
      <w:bookmarkEnd w:id="442"/>
      <w:bookmarkEnd w:id="443"/>
      <w:bookmarkEnd w:id="444"/>
      <w:bookmarkEnd w:id="445"/>
      <w:bookmarkEnd w:id="446"/>
    </w:p>
    <w:p w14:paraId="281F52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投标人对开标有异议的，应在开标现场提出，招标人当场作出答复，并</w:t>
      </w:r>
      <w:r>
        <w:rPr>
          <w:rFonts w:hint="eastAsia" w:ascii="宋体" w:hAnsi="宋体" w:cs="宋体"/>
          <w:color w:val="auto"/>
          <w:sz w:val="24"/>
          <w:highlight w:val="none"/>
          <w:lang w:val="en-US" w:eastAsia="zh-CN"/>
        </w:rPr>
        <w:t>予以</w:t>
      </w:r>
      <w:r>
        <w:rPr>
          <w:rFonts w:hint="eastAsia" w:ascii="宋体" w:hAnsi="宋体" w:cs="宋体"/>
          <w:color w:val="auto"/>
          <w:sz w:val="24"/>
          <w:highlight w:val="none"/>
        </w:rPr>
        <w:t>记录。</w:t>
      </w:r>
    </w:p>
    <w:p w14:paraId="7F7A0DE1">
      <w:pPr>
        <w:pStyle w:val="5"/>
        <w:rPr>
          <w:rFonts w:ascii="Arial"/>
          <w:b/>
          <w:color w:val="auto"/>
          <w:sz w:val="28"/>
          <w:szCs w:val="32"/>
          <w:highlight w:val="none"/>
        </w:rPr>
      </w:pPr>
      <w:bookmarkStart w:id="447" w:name="_Toc27059525"/>
      <w:bookmarkStart w:id="448" w:name="_Toc27059706"/>
      <w:bookmarkStart w:id="449" w:name="_Toc27059796"/>
      <w:bookmarkStart w:id="450" w:name="_Toc234832906"/>
      <w:bookmarkStart w:id="451" w:name="_Toc27059898"/>
      <w:bookmarkStart w:id="452" w:name="_Toc501257098"/>
      <w:bookmarkStart w:id="453" w:name="_Toc53685621"/>
      <w:bookmarkStart w:id="454" w:name="_Toc27060694"/>
      <w:r>
        <w:rPr>
          <w:rFonts w:ascii="Arial"/>
          <w:b/>
          <w:color w:val="auto"/>
          <w:sz w:val="28"/>
          <w:szCs w:val="32"/>
          <w:highlight w:val="none"/>
        </w:rPr>
        <w:t xml:space="preserve">6. </w:t>
      </w:r>
      <w:r>
        <w:rPr>
          <w:rFonts w:hint="default" w:ascii="Arial"/>
          <w:b/>
          <w:color w:val="auto"/>
          <w:sz w:val="28"/>
          <w:szCs w:val="32"/>
          <w:highlight w:val="none"/>
        </w:rPr>
        <w:t>评标</w:t>
      </w:r>
      <w:bookmarkEnd w:id="447"/>
      <w:bookmarkEnd w:id="448"/>
      <w:bookmarkEnd w:id="449"/>
      <w:bookmarkEnd w:id="450"/>
      <w:bookmarkEnd w:id="451"/>
      <w:bookmarkEnd w:id="452"/>
      <w:bookmarkEnd w:id="453"/>
      <w:bookmarkEnd w:id="454"/>
    </w:p>
    <w:p w14:paraId="2B1DC03D">
      <w:pPr>
        <w:pStyle w:val="6"/>
        <w:numPr>
          <w:ilvl w:val="0"/>
          <w:numId w:val="0"/>
        </w:numPr>
        <w:spacing w:line="360" w:lineRule="auto"/>
        <w:jc w:val="both"/>
        <w:rPr>
          <w:rFonts w:ascii="Times New Roman" w:hAnsi="Times New Roman"/>
          <w:b w:val="0"/>
          <w:bCs w:val="0"/>
          <w:color w:val="auto"/>
          <w:sz w:val="28"/>
          <w:szCs w:val="32"/>
          <w:highlight w:val="none"/>
        </w:rPr>
      </w:pPr>
      <w:bookmarkStart w:id="455" w:name="_Toc53685622"/>
      <w:bookmarkStart w:id="456" w:name="_Toc27059899"/>
      <w:bookmarkStart w:id="457" w:name="_Toc27060695"/>
      <w:bookmarkStart w:id="458" w:name="_Toc501257099"/>
      <w:bookmarkStart w:id="459" w:name="_Toc234832907"/>
      <w:bookmarkStart w:id="460" w:name="_Toc27059707"/>
      <w:bookmarkStart w:id="461" w:name="_Toc27059797"/>
      <w:bookmarkStart w:id="462" w:name="_Toc27059526"/>
      <w:r>
        <w:rPr>
          <w:rFonts w:ascii="Times New Roman" w:hAnsi="Times New Roman"/>
          <w:b w:val="0"/>
          <w:bCs w:val="0"/>
          <w:color w:val="auto"/>
          <w:sz w:val="28"/>
          <w:szCs w:val="32"/>
          <w:highlight w:val="none"/>
        </w:rPr>
        <w:t>6.</w:t>
      </w:r>
      <w:r>
        <w:rPr>
          <w:rFonts w:hint="eastAsia" w:ascii="Times New Roman" w:hAnsi="Times New Roman"/>
          <w:b w:val="0"/>
          <w:bCs w:val="0"/>
          <w:color w:val="auto"/>
          <w:sz w:val="28"/>
          <w:szCs w:val="32"/>
          <w:highlight w:val="none"/>
          <w:lang w:val="en-US" w:eastAsia="zh-CN"/>
        </w:rPr>
        <w:t xml:space="preserve">1 </w:t>
      </w:r>
      <w:r>
        <w:rPr>
          <w:rFonts w:hint="default" w:ascii="Times New Roman" w:hAnsi="Times New Roman"/>
          <w:b w:val="0"/>
          <w:bCs w:val="0"/>
          <w:color w:val="auto"/>
          <w:sz w:val="28"/>
          <w:szCs w:val="32"/>
          <w:highlight w:val="none"/>
        </w:rPr>
        <w:t>评标委员会</w:t>
      </w:r>
      <w:bookmarkEnd w:id="455"/>
      <w:bookmarkEnd w:id="456"/>
      <w:bookmarkEnd w:id="457"/>
      <w:bookmarkEnd w:id="458"/>
      <w:bookmarkEnd w:id="459"/>
      <w:bookmarkEnd w:id="460"/>
      <w:bookmarkEnd w:id="461"/>
      <w:bookmarkEnd w:id="462"/>
    </w:p>
    <w:p w14:paraId="08066A5F">
      <w:pPr>
        <w:spacing w:line="360" w:lineRule="auto"/>
        <w:ind w:firstLine="480" w:firstLineChars="200"/>
        <w:rPr>
          <w:rFonts w:ascii="宋体" w:hAnsi="宋体"/>
          <w:color w:val="auto"/>
          <w:sz w:val="24"/>
          <w:highlight w:val="none"/>
        </w:rPr>
      </w:pPr>
      <w:r>
        <w:rPr>
          <w:rFonts w:ascii="宋体" w:hAnsi="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8D5C0BC">
      <w:pPr>
        <w:spacing w:line="360" w:lineRule="auto"/>
        <w:ind w:firstLine="480" w:firstLineChars="200"/>
        <w:rPr>
          <w:rFonts w:ascii="宋体" w:hAnsi="宋体"/>
          <w:color w:val="auto"/>
          <w:sz w:val="24"/>
          <w:highlight w:val="none"/>
        </w:rPr>
      </w:pPr>
      <w:r>
        <w:rPr>
          <w:rFonts w:ascii="宋体" w:hAnsi="宋体"/>
          <w:color w:val="auto"/>
          <w:sz w:val="24"/>
          <w:highlight w:val="none"/>
        </w:rPr>
        <w:t>6.1.2 评标委员会成员有下列情形之一的，应</w:t>
      </w:r>
      <w:r>
        <w:rPr>
          <w:rFonts w:hint="eastAsia" w:ascii="宋体" w:hAnsi="宋体"/>
          <w:color w:val="auto"/>
          <w:sz w:val="24"/>
          <w:highlight w:val="none"/>
        </w:rPr>
        <w:t>主动</w:t>
      </w:r>
      <w:r>
        <w:rPr>
          <w:rFonts w:ascii="宋体" w:hAnsi="宋体"/>
          <w:color w:val="auto"/>
          <w:sz w:val="24"/>
          <w:highlight w:val="none"/>
        </w:rPr>
        <w:t>提出回避：</w:t>
      </w:r>
    </w:p>
    <w:p w14:paraId="246115E2">
      <w:pPr>
        <w:spacing w:line="360" w:lineRule="auto"/>
        <w:ind w:firstLine="480" w:firstLineChars="200"/>
        <w:rPr>
          <w:rFonts w:ascii="宋体" w:hAnsi="宋体"/>
          <w:color w:val="auto"/>
          <w:sz w:val="24"/>
          <w:highlight w:val="none"/>
        </w:rPr>
      </w:pPr>
      <w:r>
        <w:rPr>
          <w:rFonts w:ascii="宋体" w:hAnsi="宋体"/>
          <w:color w:val="auto"/>
          <w:sz w:val="24"/>
          <w:highlight w:val="none"/>
        </w:rPr>
        <w:t>（1）为</w:t>
      </w:r>
      <w:r>
        <w:rPr>
          <w:rFonts w:hint="eastAsia" w:ascii="宋体" w:hAnsi="宋体"/>
          <w:color w:val="auto"/>
          <w:sz w:val="24"/>
          <w:highlight w:val="none"/>
        </w:rPr>
        <w:t>负责招标项目监督管理的交通运输主管部门的工作人员；</w:t>
      </w:r>
    </w:p>
    <w:p w14:paraId="5D13384A">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与投标人法定代表人或其委托代理人有近亲属关系；</w:t>
      </w:r>
    </w:p>
    <w:p w14:paraId="42B846A3">
      <w:pPr>
        <w:spacing w:line="360" w:lineRule="auto"/>
        <w:ind w:firstLine="480" w:firstLineChars="200"/>
        <w:rPr>
          <w:rFonts w:ascii="宋体" w:hAnsi="宋体"/>
          <w:color w:val="auto"/>
          <w:sz w:val="24"/>
          <w:highlight w:val="none"/>
        </w:rPr>
      </w:pPr>
      <w:r>
        <w:rPr>
          <w:rFonts w:ascii="宋体" w:hAnsi="宋体"/>
          <w:color w:val="auto"/>
          <w:sz w:val="24"/>
          <w:highlight w:val="none"/>
        </w:rPr>
        <w:t>（3）为</w:t>
      </w:r>
      <w:r>
        <w:rPr>
          <w:rFonts w:hint="eastAsia" w:ascii="宋体" w:hAnsi="宋体"/>
          <w:color w:val="auto"/>
          <w:sz w:val="24"/>
          <w:highlight w:val="none"/>
        </w:rPr>
        <w:t>投标人的工作人员或退休人员；</w:t>
      </w:r>
    </w:p>
    <w:p w14:paraId="6C2B9EDA">
      <w:pPr>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与投标人有其他利害关系，可能影响评标活动公正性；</w:t>
      </w:r>
    </w:p>
    <w:p w14:paraId="0D50135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在与招标投标有关的活动中有过违法违规行为、曾受过行政处罚或刑事处罚。</w:t>
      </w:r>
    </w:p>
    <w:p w14:paraId="6938304F">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招标人及其子公司、</w:t>
      </w:r>
      <w:r>
        <w:rPr>
          <w:rFonts w:hint="eastAsia" w:ascii="宋体" w:hAnsi="宋体" w:cs="宋体"/>
          <w:color w:val="auto"/>
          <w:sz w:val="24"/>
          <w:highlight w:val="none"/>
          <w:lang w:val="en-US" w:eastAsia="zh-CN"/>
        </w:rPr>
        <w:t>招标人下属单位、</w:t>
      </w:r>
      <w:r>
        <w:rPr>
          <w:rFonts w:hint="eastAsia" w:ascii="宋体" w:hAnsi="宋体" w:cs="宋体"/>
          <w:color w:val="auto"/>
          <w:sz w:val="24"/>
          <w:highlight w:val="none"/>
        </w:rPr>
        <w:t>招标人的上级主管部门或者控股公司、招标代理机构的工作人员或者退休人员不得以专家身份参与本单位或者招标代理项目的评标。</w:t>
      </w:r>
    </w:p>
    <w:p w14:paraId="6A50CE40">
      <w:pPr>
        <w:spacing w:line="360" w:lineRule="auto"/>
        <w:ind w:firstLine="480" w:firstLineChars="200"/>
        <w:rPr>
          <w:rFonts w:ascii="宋体" w:hAnsi="宋体"/>
          <w:color w:val="auto"/>
          <w:sz w:val="24"/>
          <w:highlight w:val="none"/>
        </w:rPr>
      </w:pPr>
      <w:r>
        <w:rPr>
          <w:rFonts w:ascii="宋体" w:hAnsi="宋体"/>
          <w:color w:val="auto"/>
          <w:sz w:val="24"/>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14:paraId="5887BAAF">
      <w:pPr>
        <w:pStyle w:val="6"/>
        <w:numPr>
          <w:ilvl w:val="0"/>
          <w:numId w:val="0"/>
        </w:numPr>
        <w:spacing w:line="360" w:lineRule="auto"/>
        <w:jc w:val="both"/>
        <w:rPr>
          <w:rFonts w:ascii="Times New Roman" w:hAnsi="Times New Roman"/>
          <w:b w:val="0"/>
          <w:bCs w:val="0"/>
          <w:color w:val="auto"/>
          <w:sz w:val="28"/>
          <w:szCs w:val="32"/>
          <w:highlight w:val="none"/>
        </w:rPr>
      </w:pPr>
      <w:bookmarkStart w:id="463" w:name="_Toc27059708"/>
      <w:bookmarkStart w:id="464" w:name="_Toc53685623"/>
      <w:bookmarkStart w:id="465" w:name="_Toc234832908"/>
      <w:bookmarkStart w:id="466" w:name="_Toc501257100"/>
      <w:bookmarkStart w:id="467" w:name="_Toc27059900"/>
      <w:bookmarkStart w:id="468" w:name="_Toc27059527"/>
      <w:bookmarkStart w:id="469" w:name="_Toc27059798"/>
      <w:bookmarkStart w:id="470" w:name="_Toc27060696"/>
      <w:r>
        <w:rPr>
          <w:rFonts w:ascii="Times New Roman" w:hAnsi="Times New Roman"/>
          <w:b w:val="0"/>
          <w:bCs w:val="0"/>
          <w:color w:val="auto"/>
          <w:sz w:val="28"/>
          <w:szCs w:val="32"/>
          <w:highlight w:val="none"/>
        </w:rPr>
        <w:t xml:space="preserve">6.2 </w:t>
      </w:r>
      <w:r>
        <w:rPr>
          <w:rFonts w:hint="default" w:ascii="Times New Roman" w:hAnsi="Times New Roman"/>
          <w:b w:val="0"/>
          <w:bCs w:val="0"/>
          <w:color w:val="auto"/>
          <w:sz w:val="28"/>
          <w:szCs w:val="32"/>
          <w:highlight w:val="none"/>
        </w:rPr>
        <w:t>评标原则</w:t>
      </w:r>
      <w:bookmarkEnd w:id="463"/>
      <w:bookmarkEnd w:id="464"/>
      <w:bookmarkEnd w:id="465"/>
      <w:bookmarkEnd w:id="466"/>
      <w:bookmarkEnd w:id="467"/>
      <w:bookmarkEnd w:id="468"/>
      <w:bookmarkEnd w:id="469"/>
      <w:bookmarkEnd w:id="470"/>
    </w:p>
    <w:p w14:paraId="761B31BE">
      <w:pPr>
        <w:spacing w:line="360" w:lineRule="auto"/>
        <w:ind w:firstLine="480" w:firstLineChars="200"/>
        <w:rPr>
          <w:rFonts w:ascii="宋体" w:hAnsi="宋体"/>
          <w:color w:val="auto"/>
          <w:sz w:val="24"/>
          <w:highlight w:val="none"/>
        </w:rPr>
      </w:pPr>
      <w:r>
        <w:rPr>
          <w:rFonts w:hint="default" w:ascii="宋体" w:hAnsi="宋体"/>
          <w:color w:val="auto"/>
          <w:sz w:val="24"/>
          <w:highlight w:val="none"/>
        </w:rPr>
        <w:t>评标活动遵循公平、公正、科学和择优的原则。</w:t>
      </w:r>
    </w:p>
    <w:p w14:paraId="608B5EF0">
      <w:pPr>
        <w:pStyle w:val="6"/>
        <w:numPr>
          <w:ilvl w:val="0"/>
          <w:numId w:val="0"/>
        </w:numPr>
        <w:spacing w:line="360" w:lineRule="auto"/>
        <w:jc w:val="both"/>
        <w:rPr>
          <w:rFonts w:ascii="Times New Roman" w:hAnsi="Times New Roman"/>
          <w:b w:val="0"/>
          <w:bCs w:val="0"/>
          <w:color w:val="auto"/>
          <w:sz w:val="28"/>
          <w:szCs w:val="32"/>
          <w:highlight w:val="none"/>
        </w:rPr>
      </w:pPr>
      <w:bookmarkStart w:id="471" w:name="_Toc27059528"/>
      <w:bookmarkStart w:id="472" w:name="_Toc53685624"/>
      <w:bookmarkStart w:id="473" w:name="_Toc27060697"/>
      <w:bookmarkStart w:id="474" w:name="_Toc27059901"/>
      <w:bookmarkStart w:id="475" w:name="_Toc27059709"/>
      <w:bookmarkStart w:id="476" w:name="_Toc27059799"/>
      <w:bookmarkStart w:id="477" w:name="_Toc234832909"/>
      <w:bookmarkStart w:id="478" w:name="_Toc501257101"/>
      <w:r>
        <w:rPr>
          <w:rFonts w:ascii="Times New Roman" w:hAnsi="Times New Roman"/>
          <w:b w:val="0"/>
          <w:bCs w:val="0"/>
          <w:color w:val="auto"/>
          <w:sz w:val="28"/>
          <w:szCs w:val="32"/>
          <w:highlight w:val="none"/>
        </w:rPr>
        <w:t xml:space="preserve">6.3 </w:t>
      </w:r>
      <w:r>
        <w:rPr>
          <w:rFonts w:hint="default" w:ascii="Times New Roman" w:hAnsi="Times New Roman"/>
          <w:b w:val="0"/>
          <w:bCs w:val="0"/>
          <w:color w:val="auto"/>
          <w:sz w:val="28"/>
          <w:szCs w:val="32"/>
          <w:highlight w:val="none"/>
        </w:rPr>
        <w:t>评标</w:t>
      </w:r>
      <w:bookmarkEnd w:id="471"/>
      <w:bookmarkEnd w:id="472"/>
      <w:bookmarkEnd w:id="473"/>
      <w:bookmarkEnd w:id="474"/>
      <w:bookmarkEnd w:id="475"/>
      <w:bookmarkEnd w:id="476"/>
      <w:bookmarkEnd w:id="477"/>
      <w:bookmarkEnd w:id="478"/>
    </w:p>
    <w:p w14:paraId="554B23FE">
      <w:pPr>
        <w:spacing w:line="360" w:lineRule="auto"/>
        <w:ind w:firstLine="480" w:firstLineChars="200"/>
        <w:rPr>
          <w:color w:val="auto"/>
          <w:sz w:val="24"/>
          <w:highlight w:val="none"/>
        </w:rPr>
      </w:pPr>
      <w:r>
        <w:rPr>
          <w:rFonts w:ascii="宋体" w:hAnsi="宋体"/>
          <w:color w:val="auto"/>
          <w:sz w:val="24"/>
          <w:highlight w:val="none"/>
        </w:rPr>
        <w:t>6.3.1 评标委员会按照第三章“评标办法”规定的方法、评审因素、标准和程序对投标</w:t>
      </w:r>
      <w:r>
        <w:rPr>
          <w:rFonts w:hint="eastAsia"/>
          <w:color w:val="auto"/>
          <w:sz w:val="24"/>
          <w:highlight w:val="none"/>
        </w:rPr>
        <w:t>文件进行评审。第三章</w:t>
      </w:r>
      <w:r>
        <w:rPr>
          <w:color w:val="auto"/>
          <w:sz w:val="24"/>
          <w:highlight w:val="none"/>
        </w:rPr>
        <w:t xml:space="preserve"> “</w:t>
      </w:r>
      <w:r>
        <w:rPr>
          <w:rFonts w:hint="eastAsia"/>
          <w:color w:val="auto"/>
          <w:sz w:val="24"/>
          <w:highlight w:val="none"/>
        </w:rPr>
        <w:t>评标办法</w:t>
      </w:r>
      <w:r>
        <w:rPr>
          <w:color w:val="auto"/>
          <w:sz w:val="24"/>
          <w:highlight w:val="none"/>
        </w:rPr>
        <w:t xml:space="preserve">” </w:t>
      </w:r>
      <w:r>
        <w:rPr>
          <w:rFonts w:hint="eastAsia"/>
          <w:color w:val="auto"/>
          <w:sz w:val="24"/>
          <w:highlight w:val="none"/>
        </w:rPr>
        <w:t>没有规定的方法、评审因素和标准，不作为评标依据。</w:t>
      </w:r>
    </w:p>
    <w:p w14:paraId="422569B0">
      <w:pPr>
        <w:spacing w:line="360" w:lineRule="auto"/>
        <w:ind w:firstLine="480" w:firstLineChars="200"/>
        <w:rPr>
          <w:rFonts w:ascii="宋体" w:hAnsi="宋体"/>
          <w:color w:val="auto"/>
          <w:sz w:val="24"/>
          <w:highlight w:val="none"/>
        </w:rPr>
      </w:pPr>
      <w:r>
        <w:rPr>
          <w:rFonts w:ascii="宋体" w:hAnsi="宋体"/>
          <w:color w:val="auto"/>
          <w:sz w:val="24"/>
          <w:highlight w:val="none"/>
        </w:rPr>
        <w:t>6.3.2</w:t>
      </w:r>
      <w:r>
        <w:rPr>
          <w:rFonts w:hint="eastAsia" w:ascii="宋体" w:hAnsi="宋体"/>
          <w:color w:val="auto"/>
          <w:sz w:val="24"/>
          <w:highlight w:val="none"/>
        </w:rPr>
        <w:t>评标委员会按照本章第</w:t>
      </w:r>
      <w:r>
        <w:rPr>
          <w:rFonts w:ascii="宋体" w:hAnsi="宋体"/>
          <w:color w:val="auto"/>
          <w:sz w:val="24"/>
          <w:highlight w:val="none"/>
        </w:rPr>
        <w:t>6.3.1项的规定在电子评标系统上开展评审工作。如果评标过程中出现异常情况，导致无法继续评审工作的，可暂停评标，对原有资料及信息作出妥善保密处理，待电子评标系统恢复正常之后，应重新组织评审。</w:t>
      </w:r>
    </w:p>
    <w:p w14:paraId="71A169F2">
      <w:pPr>
        <w:spacing w:line="360" w:lineRule="auto"/>
        <w:ind w:firstLine="480" w:firstLineChars="200"/>
        <w:rPr>
          <w:rFonts w:ascii="宋体" w:hAnsi="宋体"/>
          <w:color w:val="auto"/>
          <w:sz w:val="24"/>
          <w:highlight w:val="none"/>
        </w:rPr>
      </w:pPr>
      <w:r>
        <w:rPr>
          <w:rFonts w:hint="eastAsia"/>
          <w:color w:val="auto"/>
          <w:sz w:val="24"/>
          <w:highlight w:val="none"/>
        </w:rPr>
        <w:t>评标完成后，评标委员会应向招标人提交评标报告和中标候选人名单。</w:t>
      </w:r>
      <w:r>
        <w:rPr>
          <w:rFonts w:hint="eastAsia" w:ascii="宋体" w:hAnsi="宋体"/>
          <w:color w:val="auto"/>
          <w:sz w:val="24"/>
          <w:highlight w:val="none"/>
        </w:rPr>
        <w:t>评标委员会推荐中标候选人的数量、提交的评标报告形式要求见投标人须知前附表。</w:t>
      </w:r>
    </w:p>
    <w:p w14:paraId="0A76B6C4">
      <w:pPr>
        <w:pStyle w:val="5"/>
        <w:rPr>
          <w:rFonts w:ascii="Arial"/>
          <w:b/>
          <w:color w:val="auto"/>
          <w:sz w:val="28"/>
          <w:szCs w:val="32"/>
          <w:highlight w:val="none"/>
        </w:rPr>
      </w:pPr>
      <w:bookmarkStart w:id="479" w:name="_Toc27059529"/>
      <w:bookmarkStart w:id="480" w:name="_Toc234832910"/>
      <w:bookmarkStart w:id="481" w:name="_Toc501257102"/>
      <w:bookmarkStart w:id="482" w:name="_Toc27060698"/>
      <w:bookmarkStart w:id="483" w:name="_Toc27059710"/>
      <w:bookmarkStart w:id="484" w:name="_Toc27059800"/>
      <w:bookmarkStart w:id="485" w:name="_Toc53685625"/>
      <w:bookmarkStart w:id="486" w:name="_Toc27059902"/>
      <w:r>
        <w:rPr>
          <w:rFonts w:ascii="Arial"/>
          <w:b/>
          <w:color w:val="auto"/>
          <w:sz w:val="28"/>
          <w:szCs w:val="32"/>
          <w:highlight w:val="none"/>
        </w:rPr>
        <w:t xml:space="preserve">7. </w:t>
      </w:r>
      <w:r>
        <w:rPr>
          <w:rFonts w:hint="default" w:ascii="Arial"/>
          <w:b/>
          <w:color w:val="auto"/>
          <w:sz w:val="28"/>
          <w:szCs w:val="32"/>
          <w:highlight w:val="none"/>
        </w:rPr>
        <w:t>合同授予</w:t>
      </w:r>
      <w:bookmarkEnd w:id="479"/>
      <w:bookmarkEnd w:id="480"/>
      <w:bookmarkEnd w:id="481"/>
      <w:bookmarkEnd w:id="482"/>
      <w:bookmarkEnd w:id="483"/>
      <w:bookmarkEnd w:id="484"/>
      <w:bookmarkEnd w:id="485"/>
      <w:bookmarkEnd w:id="486"/>
    </w:p>
    <w:p w14:paraId="4E44CEE1">
      <w:pPr>
        <w:pStyle w:val="6"/>
        <w:numPr>
          <w:ilvl w:val="0"/>
          <w:numId w:val="0"/>
        </w:numPr>
        <w:spacing w:line="360" w:lineRule="auto"/>
        <w:jc w:val="both"/>
        <w:rPr>
          <w:rFonts w:ascii="Times New Roman" w:hAnsi="Times New Roman"/>
          <w:b w:val="0"/>
          <w:bCs w:val="0"/>
          <w:color w:val="auto"/>
          <w:sz w:val="28"/>
          <w:szCs w:val="32"/>
          <w:highlight w:val="none"/>
        </w:rPr>
      </w:pPr>
      <w:bookmarkStart w:id="487" w:name="_Toc27059530"/>
      <w:bookmarkStart w:id="488" w:name="_Toc27059903"/>
      <w:bookmarkStart w:id="489" w:name="_Toc53685626"/>
      <w:bookmarkStart w:id="490" w:name="_Toc501257103"/>
      <w:bookmarkStart w:id="491" w:name="_Toc27060699"/>
      <w:bookmarkStart w:id="492" w:name="_Toc27059711"/>
      <w:bookmarkStart w:id="493" w:name="_Toc27059801"/>
      <w:bookmarkStart w:id="494" w:name="_Toc234832911"/>
      <w:r>
        <w:rPr>
          <w:rFonts w:ascii="Times New Roman" w:hAnsi="Times New Roman"/>
          <w:b w:val="0"/>
          <w:bCs w:val="0"/>
          <w:color w:val="auto"/>
          <w:sz w:val="28"/>
          <w:szCs w:val="32"/>
          <w:highlight w:val="none"/>
        </w:rPr>
        <w:t xml:space="preserve">7.1 </w:t>
      </w:r>
      <w:r>
        <w:rPr>
          <w:rFonts w:hint="default" w:ascii="Times New Roman" w:hAnsi="Times New Roman"/>
          <w:b w:val="0"/>
          <w:bCs w:val="0"/>
          <w:color w:val="auto"/>
          <w:sz w:val="28"/>
          <w:szCs w:val="32"/>
          <w:highlight w:val="none"/>
        </w:rPr>
        <w:t>中标候选人公示</w:t>
      </w:r>
      <w:bookmarkEnd w:id="487"/>
      <w:bookmarkEnd w:id="488"/>
      <w:bookmarkEnd w:id="489"/>
      <w:bookmarkEnd w:id="490"/>
      <w:bookmarkEnd w:id="491"/>
      <w:bookmarkEnd w:id="492"/>
      <w:bookmarkEnd w:id="493"/>
    </w:p>
    <w:p w14:paraId="7984FAF7">
      <w:pPr>
        <w:spacing w:line="360" w:lineRule="auto"/>
        <w:ind w:firstLine="480" w:firstLineChars="200"/>
        <w:rPr>
          <w:rFonts w:ascii="宋体" w:hAnsi="宋体"/>
          <w:color w:val="auto"/>
          <w:sz w:val="24"/>
          <w:highlight w:val="none"/>
        </w:rPr>
      </w:pPr>
      <w:r>
        <w:rPr>
          <w:rFonts w:ascii="宋体" w:hAnsi="宋体"/>
          <w:color w:val="auto"/>
          <w:sz w:val="24"/>
          <w:highlight w:val="none"/>
        </w:rPr>
        <w:t>招标人在收到评标报告之日起3日内，按照投标人须知前附表规定的公示媒介和期限公示中标候选人，公示期不得少于3个工作日，公示内容包括：</w:t>
      </w:r>
    </w:p>
    <w:p w14:paraId="1423FB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）中标候选人排序、名称、投标报价，对工程质量要求、安全目标和工期的响应情况；</w:t>
      </w:r>
    </w:p>
    <w:p w14:paraId="52FBBD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）中标候选人在投标文件中承诺的项目经理和项目总工姓名、个人业绩、相关证书名称和编号；</w:t>
      </w:r>
    </w:p>
    <w:p w14:paraId="18062E9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3）中标候选人在投标文件中填报的项目业绩；</w:t>
      </w:r>
    </w:p>
    <w:p w14:paraId="3FFF6D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4）被否决投标的投标人名称、否决依据和原因；</w:t>
      </w:r>
    </w:p>
    <w:p w14:paraId="0AFC399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5）提出异议的渠道和方式；</w:t>
      </w:r>
    </w:p>
    <w:p w14:paraId="06511B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6）投标人须知前附表规定公示的其他内容。</w:t>
      </w:r>
      <w:bookmarkStart w:id="495" w:name="_Toc501257104"/>
    </w:p>
    <w:bookmarkEnd w:id="495"/>
    <w:p w14:paraId="10CF7BE6">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496" w:name="_Toc27059904"/>
      <w:bookmarkStart w:id="497" w:name="_Toc27059531"/>
      <w:bookmarkStart w:id="498" w:name="_Toc53685627"/>
      <w:bookmarkStart w:id="499" w:name="_Toc27059712"/>
      <w:bookmarkStart w:id="500" w:name="_Toc27059802"/>
      <w:bookmarkStart w:id="501" w:name="_Toc27060700"/>
      <w:bookmarkStart w:id="502" w:name="_Toc501257105"/>
      <w:r>
        <w:rPr>
          <w:rFonts w:ascii="Times New Roman" w:hAnsi="Times New Roman"/>
          <w:b w:val="0"/>
          <w:bCs w:val="0"/>
          <w:color w:val="auto"/>
          <w:sz w:val="28"/>
          <w:szCs w:val="32"/>
          <w:highlight w:val="none"/>
        </w:rPr>
        <w:t xml:space="preserve">7.2 </w:t>
      </w:r>
      <w:r>
        <w:rPr>
          <w:rFonts w:hint="default" w:ascii="Times New Roman" w:hAnsi="Times New Roman"/>
          <w:b w:val="0"/>
          <w:bCs w:val="0"/>
          <w:color w:val="auto"/>
          <w:sz w:val="28"/>
          <w:szCs w:val="32"/>
          <w:highlight w:val="none"/>
        </w:rPr>
        <w:t>评标结果异议</w:t>
      </w:r>
      <w:bookmarkEnd w:id="496"/>
      <w:bookmarkEnd w:id="497"/>
      <w:bookmarkEnd w:id="498"/>
      <w:bookmarkEnd w:id="499"/>
      <w:bookmarkEnd w:id="500"/>
      <w:bookmarkEnd w:id="501"/>
    </w:p>
    <w:p w14:paraId="7F8E953A">
      <w:pPr>
        <w:pStyle w:val="22"/>
        <w:kinsoku w:val="0"/>
        <w:overflowPunct/>
        <w:spacing w:line="360" w:lineRule="auto"/>
        <w:ind w:firstLine="480" w:firstLineChars="200"/>
        <w:rPr>
          <w:snapToGrid w:val="0"/>
          <w:color w:val="auto"/>
          <w:kern w:val="0"/>
          <w:highlight w:val="none"/>
        </w:rPr>
      </w:pPr>
      <w:r>
        <w:rPr>
          <w:rFonts w:hint="eastAsia"/>
          <w:snapToGrid w:val="0"/>
          <w:color w:val="auto"/>
          <w:kern w:val="0"/>
          <w:highlight w:val="none"/>
        </w:rPr>
        <w:t>投标人或其他利害关系人对依法必须进行招标的项目的评标结果有异议的，应在中标候选人公示期间提出。招标人将在收到异议之日起</w:t>
      </w:r>
      <w:r>
        <w:rPr>
          <w:snapToGrid w:val="0"/>
          <w:color w:val="auto"/>
          <w:kern w:val="0"/>
          <w:highlight w:val="none"/>
        </w:rPr>
        <w:t>3</w:t>
      </w:r>
      <w:r>
        <w:rPr>
          <w:rFonts w:hint="eastAsia"/>
          <w:snapToGrid w:val="0"/>
          <w:color w:val="auto"/>
          <w:kern w:val="0"/>
          <w:highlight w:val="none"/>
        </w:rPr>
        <w:t>日内作出答复；作出答复前，将暂停招标投标活动。</w:t>
      </w:r>
    </w:p>
    <w:p w14:paraId="4E31DFB4">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503" w:name="_Toc27059803"/>
      <w:bookmarkStart w:id="504" w:name="_Toc27059532"/>
      <w:bookmarkStart w:id="505" w:name="_Toc27060701"/>
      <w:bookmarkStart w:id="506" w:name="_Toc27059905"/>
      <w:bookmarkStart w:id="507" w:name="_Toc53685628"/>
      <w:bookmarkStart w:id="508" w:name="_Toc27059713"/>
      <w:r>
        <w:rPr>
          <w:rFonts w:ascii="Times New Roman" w:hAnsi="Times New Roman"/>
          <w:b w:val="0"/>
          <w:bCs w:val="0"/>
          <w:color w:val="auto"/>
          <w:sz w:val="28"/>
          <w:szCs w:val="32"/>
          <w:highlight w:val="none"/>
        </w:rPr>
        <w:t>7.3</w:t>
      </w:r>
      <w:r>
        <w:rPr>
          <w:rFonts w:hint="default" w:ascii="Times New Roman" w:hAnsi="Times New Roman"/>
          <w:b w:val="0"/>
          <w:bCs w:val="0"/>
          <w:color w:val="auto"/>
          <w:sz w:val="28"/>
          <w:szCs w:val="32"/>
          <w:highlight w:val="none"/>
        </w:rPr>
        <w:t xml:space="preserve"> 中标候选人履约能力审查</w:t>
      </w:r>
      <w:bookmarkEnd w:id="502"/>
      <w:bookmarkEnd w:id="503"/>
      <w:bookmarkEnd w:id="504"/>
      <w:bookmarkEnd w:id="505"/>
      <w:bookmarkEnd w:id="506"/>
      <w:bookmarkEnd w:id="507"/>
      <w:bookmarkEnd w:id="508"/>
    </w:p>
    <w:p w14:paraId="6784FB83">
      <w:pPr>
        <w:pStyle w:val="22"/>
        <w:kinsoku w:val="0"/>
        <w:overflowPunct w:val="0"/>
        <w:spacing w:line="360" w:lineRule="auto"/>
        <w:ind w:firstLine="480" w:firstLineChars="200"/>
        <w:rPr>
          <w:color w:val="auto"/>
          <w:highlight w:val="none"/>
        </w:rPr>
      </w:pPr>
      <w:r>
        <w:rPr>
          <w:rFonts w:hint="eastAsia"/>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1B4778C9">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509" w:name="_Toc27060702"/>
      <w:bookmarkStart w:id="510" w:name="_Toc27059906"/>
      <w:bookmarkStart w:id="511" w:name="_Toc27059714"/>
      <w:bookmarkStart w:id="512" w:name="_Toc501257106"/>
      <w:bookmarkStart w:id="513" w:name="_Toc53685629"/>
      <w:bookmarkStart w:id="514" w:name="_Toc27059533"/>
      <w:bookmarkStart w:id="515" w:name="_Toc27059804"/>
      <w:r>
        <w:rPr>
          <w:rFonts w:ascii="Times New Roman" w:hAnsi="Times New Roman"/>
          <w:b w:val="0"/>
          <w:bCs w:val="0"/>
          <w:color w:val="auto"/>
          <w:sz w:val="28"/>
          <w:szCs w:val="32"/>
          <w:highlight w:val="none"/>
        </w:rPr>
        <w:t xml:space="preserve">7.4 </w:t>
      </w:r>
      <w:r>
        <w:rPr>
          <w:rFonts w:hint="default" w:ascii="Times New Roman" w:hAnsi="Times New Roman"/>
          <w:b w:val="0"/>
          <w:bCs w:val="0"/>
          <w:color w:val="auto"/>
          <w:sz w:val="28"/>
          <w:szCs w:val="32"/>
          <w:highlight w:val="none"/>
        </w:rPr>
        <w:t>定标</w:t>
      </w:r>
      <w:bookmarkEnd w:id="494"/>
      <w:bookmarkEnd w:id="509"/>
      <w:bookmarkEnd w:id="510"/>
      <w:bookmarkEnd w:id="511"/>
      <w:bookmarkEnd w:id="512"/>
      <w:bookmarkEnd w:id="513"/>
      <w:bookmarkEnd w:id="514"/>
      <w:bookmarkEnd w:id="515"/>
    </w:p>
    <w:p w14:paraId="4E25934D">
      <w:pPr>
        <w:pStyle w:val="22"/>
        <w:kinsoku w:val="0"/>
        <w:overflowPunct w:val="0"/>
        <w:spacing w:line="360" w:lineRule="auto"/>
        <w:ind w:firstLine="360" w:firstLineChars="150"/>
        <w:jc w:val="left"/>
        <w:rPr>
          <w:color w:val="auto"/>
          <w:highlight w:val="none"/>
        </w:rPr>
      </w:pPr>
      <w:r>
        <w:rPr>
          <w:color w:val="auto"/>
          <w:highlight w:val="none"/>
        </w:rPr>
        <w:t>按照投标人须知前附表的规定，招标人或招标人授权的评标委员会依法确定中标人。</w:t>
      </w:r>
    </w:p>
    <w:p w14:paraId="702D3BF2">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516" w:name="_Toc27059715"/>
      <w:bookmarkStart w:id="517" w:name="_Toc27059534"/>
      <w:bookmarkStart w:id="518" w:name="_Toc27059907"/>
      <w:bookmarkStart w:id="519" w:name="_Toc27060703"/>
      <w:bookmarkStart w:id="520" w:name="_Toc27059805"/>
      <w:bookmarkStart w:id="521" w:name="_Toc501257107"/>
      <w:bookmarkStart w:id="522" w:name="_Toc53685630"/>
      <w:bookmarkStart w:id="523" w:name="_Toc234832912"/>
      <w:r>
        <w:rPr>
          <w:rFonts w:ascii="Times New Roman" w:hAnsi="Times New Roman"/>
          <w:b w:val="0"/>
          <w:bCs w:val="0"/>
          <w:color w:val="auto"/>
          <w:sz w:val="28"/>
          <w:szCs w:val="32"/>
          <w:highlight w:val="none"/>
        </w:rPr>
        <w:t xml:space="preserve">7.5 </w:t>
      </w:r>
      <w:r>
        <w:rPr>
          <w:rFonts w:hint="default" w:ascii="Times New Roman" w:hAnsi="Times New Roman"/>
          <w:b w:val="0"/>
          <w:bCs w:val="0"/>
          <w:color w:val="auto"/>
          <w:sz w:val="28"/>
          <w:szCs w:val="32"/>
          <w:highlight w:val="none"/>
        </w:rPr>
        <w:t>中标通知</w:t>
      </w:r>
      <w:bookmarkEnd w:id="516"/>
      <w:bookmarkEnd w:id="517"/>
      <w:bookmarkEnd w:id="518"/>
      <w:bookmarkEnd w:id="519"/>
      <w:bookmarkEnd w:id="520"/>
      <w:bookmarkEnd w:id="521"/>
      <w:bookmarkEnd w:id="522"/>
      <w:bookmarkEnd w:id="523"/>
    </w:p>
    <w:p w14:paraId="3D1365F9">
      <w:pPr>
        <w:pStyle w:val="22"/>
        <w:kinsoku w:val="0"/>
        <w:overflowPunct w:val="0"/>
        <w:spacing w:line="360" w:lineRule="auto"/>
        <w:ind w:firstLine="480" w:firstLineChars="200"/>
        <w:rPr>
          <w:color w:val="auto"/>
          <w:highlight w:val="none"/>
        </w:rPr>
      </w:pPr>
      <w:bookmarkStart w:id="524" w:name="_Toc501257108"/>
      <w:r>
        <w:rPr>
          <w:rFonts w:hint="eastAsia"/>
          <w:color w:val="auto"/>
          <w:highlight w:val="none"/>
        </w:rPr>
        <w:t>在本章第</w:t>
      </w:r>
      <w:r>
        <w:rPr>
          <w:color w:val="auto"/>
          <w:highlight w:val="none"/>
        </w:rPr>
        <w:t>3.3</w:t>
      </w:r>
      <w:r>
        <w:rPr>
          <w:rFonts w:hint="eastAsia"/>
          <w:color w:val="auto"/>
          <w:highlight w:val="none"/>
        </w:rPr>
        <w:t>款规定的投标有效期内，</w:t>
      </w:r>
      <w:r>
        <w:rPr>
          <w:color w:val="auto"/>
          <w:highlight w:val="none"/>
        </w:rPr>
        <w:t>招标人以</w:t>
      </w:r>
      <w:r>
        <w:rPr>
          <w:rFonts w:hint="eastAsia"/>
          <w:color w:val="auto"/>
          <w:highlight w:val="none"/>
        </w:rPr>
        <w:t>投标人须知前附表规定的</w:t>
      </w:r>
      <w:r>
        <w:rPr>
          <w:color w:val="auto"/>
          <w:highlight w:val="none"/>
        </w:rPr>
        <w:t>形式向中标人发出中标通知书</w:t>
      </w:r>
      <w:r>
        <w:rPr>
          <w:rFonts w:hint="eastAsia"/>
          <w:color w:val="auto"/>
          <w:highlight w:val="none"/>
        </w:rPr>
        <w:t>，同时将中标结果通知未中标的投标人。</w:t>
      </w:r>
    </w:p>
    <w:p w14:paraId="2AE9630B">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525" w:name="_Toc27059535"/>
      <w:bookmarkStart w:id="526" w:name="_Toc27060704"/>
      <w:bookmarkStart w:id="527" w:name="_Toc27059806"/>
      <w:bookmarkStart w:id="528" w:name="_Toc53685631"/>
      <w:bookmarkStart w:id="529" w:name="_Toc27059908"/>
      <w:bookmarkStart w:id="530" w:name="_Toc27059716"/>
      <w:r>
        <w:rPr>
          <w:rFonts w:ascii="Times New Roman" w:hAnsi="Times New Roman"/>
          <w:b w:val="0"/>
          <w:bCs w:val="0"/>
          <w:color w:val="auto"/>
          <w:sz w:val="28"/>
          <w:szCs w:val="32"/>
          <w:highlight w:val="none"/>
        </w:rPr>
        <w:t xml:space="preserve">7.6 </w:t>
      </w:r>
      <w:r>
        <w:rPr>
          <w:rFonts w:hint="default" w:ascii="Times New Roman" w:hAnsi="Times New Roman"/>
          <w:b w:val="0"/>
          <w:bCs w:val="0"/>
          <w:color w:val="auto"/>
          <w:sz w:val="28"/>
          <w:szCs w:val="32"/>
          <w:highlight w:val="none"/>
        </w:rPr>
        <w:t>中标结果公告</w:t>
      </w:r>
      <w:bookmarkEnd w:id="525"/>
      <w:bookmarkEnd w:id="526"/>
      <w:bookmarkEnd w:id="527"/>
      <w:bookmarkEnd w:id="528"/>
      <w:bookmarkEnd w:id="529"/>
      <w:bookmarkEnd w:id="530"/>
    </w:p>
    <w:p w14:paraId="09094389">
      <w:pPr>
        <w:pStyle w:val="22"/>
        <w:kinsoku w:val="0"/>
        <w:overflowPunct w:val="0"/>
        <w:spacing w:line="360" w:lineRule="auto"/>
        <w:ind w:firstLine="480" w:firstLineChars="200"/>
        <w:rPr>
          <w:color w:val="auto"/>
          <w:highlight w:val="none"/>
        </w:rPr>
      </w:pPr>
      <w:r>
        <w:rPr>
          <w:color w:val="auto"/>
          <w:highlight w:val="none"/>
        </w:rPr>
        <w:t>招标人在</w:t>
      </w:r>
      <w:r>
        <w:rPr>
          <w:rFonts w:hint="eastAsia"/>
          <w:color w:val="auto"/>
          <w:highlight w:val="none"/>
        </w:rPr>
        <w:t>确定</w:t>
      </w:r>
      <w:r>
        <w:rPr>
          <w:color w:val="auto"/>
          <w:highlight w:val="none"/>
        </w:rPr>
        <w:t>中标人之日起3日内，按照投标人须知前附表规定的</w:t>
      </w:r>
      <w:r>
        <w:rPr>
          <w:rFonts w:hint="eastAsia"/>
          <w:color w:val="auto"/>
          <w:highlight w:val="none"/>
        </w:rPr>
        <w:t>公告</w:t>
      </w:r>
      <w:r>
        <w:rPr>
          <w:color w:val="auto"/>
          <w:highlight w:val="none"/>
        </w:rPr>
        <w:t>媒介和期限</w:t>
      </w:r>
      <w:r>
        <w:rPr>
          <w:rFonts w:hint="eastAsia"/>
          <w:color w:val="auto"/>
          <w:highlight w:val="none"/>
        </w:rPr>
        <w:t>公告</w:t>
      </w:r>
      <w:r>
        <w:rPr>
          <w:color w:val="auto"/>
          <w:highlight w:val="none"/>
        </w:rPr>
        <w:t>中标结果</w:t>
      </w:r>
      <w:r>
        <w:rPr>
          <w:rFonts w:hint="eastAsia"/>
          <w:color w:val="auto"/>
          <w:highlight w:val="none"/>
        </w:rPr>
        <w:t>，</w:t>
      </w:r>
      <w:r>
        <w:rPr>
          <w:color w:val="auto"/>
          <w:highlight w:val="none"/>
        </w:rPr>
        <w:t>公告期不得少于3日。公告内容包括中标人名称、中标价。</w:t>
      </w:r>
    </w:p>
    <w:p w14:paraId="1BD1DC74">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531" w:name="_Toc234832913"/>
      <w:bookmarkStart w:id="532" w:name="_Toc27059909"/>
      <w:bookmarkStart w:id="533" w:name="_Toc53685632"/>
      <w:bookmarkStart w:id="534" w:name="_Toc501257109"/>
      <w:bookmarkStart w:id="535" w:name="_Toc27059807"/>
      <w:bookmarkStart w:id="536" w:name="_Toc27059717"/>
      <w:bookmarkStart w:id="537" w:name="_Toc27060705"/>
      <w:bookmarkStart w:id="538" w:name="_Toc27059536"/>
      <w:r>
        <w:rPr>
          <w:rFonts w:ascii="Times New Roman" w:hAnsi="Times New Roman"/>
          <w:b w:val="0"/>
          <w:bCs w:val="0"/>
          <w:color w:val="auto"/>
          <w:sz w:val="28"/>
          <w:szCs w:val="32"/>
          <w:highlight w:val="none"/>
        </w:rPr>
        <w:t xml:space="preserve">7.7 </w:t>
      </w:r>
      <w:r>
        <w:rPr>
          <w:rFonts w:hint="default" w:ascii="Times New Roman" w:hAnsi="Times New Roman"/>
          <w:b w:val="0"/>
          <w:bCs w:val="0"/>
          <w:color w:val="auto"/>
          <w:sz w:val="28"/>
          <w:szCs w:val="32"/>
          <w:highlight w:val="none"/>
        </w:rPr>
        <w:t>履约</w:t>
      </w:r>
      <w:bookmarkEnd w:id="531"/>
      <w:r>
        <w:rPr>
          <w:rFonts w:hint="default" w:ascii="Times New Roman" w:hAnsi="Times New Roman"/>
          <w:b w:val="0"/>
          <w:bCs w:val="0"/>
          <w:color w:val="auto"/>
          <w:sz w:val="28"/>
          <w:szCs w:val="32"/>
          <w:highlight w:val="none"/>
        </w:rPr>
        <w:t>保证金</w:t>
      </w:r>
      <w:bookmarkEnd w:id="532"/>
      <w:bookmarkEnd w:id="533"/>
      <w:bookmarkEnd w:id="534"/>
      <w:bookmarkEnd w:id="535"/>
      <w:bookmarkEnd w:id="536"/>
      <w:bookmarkEnd w:id="537"/>
      <w:bookmarkEnd w:id="538"/>
    </w:p>
    <w:p w14:paraId="0A03E47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7.7.1 </w:t>
      </w:r>
      <w:r>
        <w:rPr>
          <w:rFonts w:hint="eastAsia" w:ascii="宋体" w:hAnsi="宋体" w:cs="宋体"/>
          <w:color w:val="auto"/>
          <w:sz w:val="24"/>
          <w:highlight w:val="none"/>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宋体" w:hAnsi="宋体" w:cs="宋体"/>
          <w:color w:val="auto"/>
          <w:sz w:val="24"/>
          <w:highlight w:val="none"/>
        </w:rPr>
        <w:t>10%。联合体中标的，其履约保证金以联合体各方或联合体中牵头人的名义提交。</w:t>
      </w:r>
    </w:p>
    <w:p w14:paraId="17D300A3">
      <w:pPr>
        <w:pStyle w:val="22"/>
        <w:kinsoku w:val="0"/>
        <w:overflowPunct w:val="0"/>
        <w:spacing w:line="360" w:lineRule="auto"/>
        <w:ind w:firstLine="480" w:firstLineChars="200"/>
        <w:rPr>
          <w:color w:val="auto"/>
          <w:highlight w:val="none"/>
        </w:rPr>
      </w:pPr>
      <w:r>
        <w:rPr>
          <w:rFonts w:hint="eastAsia"/>
          <w:color w:val="auto"/>
          <w:highlight w:val="none"/>
        </w:rPr>
        <w:t>采用银行保函时，应由符合投标人须知前附表规定级别的银行开具，所需的费用由中标人承担，中标人应保证银行保函有效。</w:t>
      </w:r>
    </w:p>
    <w:p w14:paraId="11E27CEF">
      <w:pPr>
        <w:pStyle w:val="22"/>
        <w:kinsoku w:val="0"/>
        <w:overflowPunct w:val="0"/>
        <w:spacing w:line="360" w:lineRule="auto"/>
        <w:ind w:firstLine="480" w:firstLineChars="200"/>
        <w:rPr>
          <w:color w:val="auto"/>
          <w:highlight w:val="none"/>
        </w:rPr>
      </w:pPr>
      <w:r>
        <w:rPr>
          <w:color w:val="auto"/>
          <w:highlight w:val="none"/>
        </w:rPr>
        <w:t>7.7.2 中标人不能按本章第7.7.1项要求提交履约保证金的，视为放弃中标，其投标保证金不予退还，给招标人造成的损失超过投标保证金数额的，中标人还应对超过部分予以赔偿。</w:t>
      </w:r>
    </w:p>
    <w:p w14:paraId="6C08D590">
      <w:pPr>
        <w:pStyle w:val="6"/>
        <w:numPr>
          <w:ilvl w:val="0"/>
          <w:numId w:val="0"/>
        </w:numPr>
        <w:spacing w:line="360" w:lineRule="auto"/>
        <w:jc w:val="both"/>
        <w:outlineLvl w:val="2"/>
        <w:rPr>
          <w:rFonts w:ascii="Times New Roman" w:hAnsi="Times New Roman"/>
          <w:b w:val="0"/>
          <w:bCs w:val="0"/>
          <w:color w:val="auto"/>
          <w:sz w:val="28"/>
          <w:szCs w:val="32"/>
          <w:highlight w:val="none"/>
        </w:rPr>
      </w:pPr>
      <w:bookmarkStart w:id="539" w:name="_Toc27059718"/>
      <w:bookmarkStart w:id="540" w:name="_Toc27059808"/>
      <w:bookmarkStart w:id="541" w:name="_Toc27059537"/>
      <w:bookmarkStart w:id="542" w:name="_Toc234832914"/>
      <w:bookmarkStart w:id="543" w:name="_Toc27059910"/>
      <w:bookmarkStart w:id="544" w:name="_Toc27060706"/>
      <w:bookmarkStart w:id="545" w:name="_Toc501257110"/>
      <w:bookmarkStart w:id="546" w:name="_Toc53685633"/>
      <w:r>
        <w:rPr>
          <w:rFonts w:ascii="Times New Roman" w:hAnsi="Times New Roman"/>
          <w:b w:val="0"/>
          <w:bCs w:val="0"/>
          <w:color w:val="auto"/>
          <w:sz w:val="28"/>
          <w:szCs w:val="32"/>
          <w:highlight w:val="none"/>
        </w:rPr>
        <w:t>7.8</w:t>
      </w:r>
      <w:r>
        <w:rPr>
          <w:rFonts w:hint="default" w:ascii="Times New Roman" w:hAnsi="Times New Roman"/>
          <w:b w:val="0"/>
          <w:bCs w:val="0"/>
          <w:color w:val="auto"/>
          <w:sz w:val="28"/>
          <w:szCs w:val="32"/>
          <w:highlight w:val="none"/>
        </w:rPr>
        <w:t xml:space="preserve"> 签订合同</w:t>
      </w:r>
      <w:bookmarkEnd w:id="539"/>
      <w:bookmarkEnd w:id="540"/>
      <w:bookmarkEnd w:id="541"/>
      <w:bookmarkEnd w:id="542"/>
      <w:bookmarkEnd w:id="543"/>
      <w:bookmarkEnd w:id="544"/>
      <w:bookmarkEnd w:id="545"/>
      <w:bookmarkEnd w:id="546"/>
    </w:p>
    <w:p w14:paraId="4191F685">
      <w:pPr>
        <w:pStyle w:val="22"/>
        <w:kinsoku w:val="0"/>
        <w:overflowPunct/>
        <w:spacing w:line="360" w:lineRule="auto"/>
        <w:ind w:firstLine="480" w:firstLineChars="200"/>
        <w:rPr>
          <w:color w:val="auto"/>
          <w:highlight w:val="none"/>
        </w:rPr>
      </w:pPr>
      <w:r>
        <w:rPr>
          <w:color w:val="auto"/>
          <w:highlight w:val="none"/>
        </w:rPr>
        <w:t>7.8.1 招标人和中标人应在中标通知书发出之日起30日内，根据招标文件和中标人的投标文件订立</w:t>
      </w:r>
      <w:r>
        <w:rPr>
          <w:rFonts w:hint="eastAsia"/>
          <w:color w:val="auto"/>
          <w:highlight w:val="none"/>
          <w:lang w:val="en-US" w:eastAsia="zh-CN"/>
        </w:rPr>
        <w:t>书面</w:t>
      </w:r>
      <w:r>
        <w:rPr>
          <w:color w:val="auto"/>
          <w:highlight w:val="none"/>
        </w:rPr>
        <w:t>合同</w:t>
      </w:r>
      <w:r>
        <w:rPr>
          <w:rFonts w:hint="eastAsia" w:ascii="宋体" w:hAnsi="宋体" w:cs="宋体"/>
          <w:color w:val="auto"/>
          <w:sz w:val="24"/>
          <w:highlight w:val="none"/>
        </w:rPr>
        <w:t>，合同形式见投标人须知前附表</w:t>
      </w:r>
      <w:r>
        <w:rPr>
          <w:color w:val="auto"/>
          <w:highlight w:val="none"/>
        </w:rPr>
        <w:t>。中标人无正当理由</w:t>
      </w:r>
      <w:r>
        <w:rPr>
          <w:rFonts w:hint="eastAsia"/>
          <w:color w:val="auto"/>
          <w:highlight w:val="none"/>
        </w:rPr>
        <w:t>拒签</w:t>
      </w:r>
      <w:r>
        <w:rPr>
          <w:color w:val="auto"/>
          <w:highlight w:val="none"/>
        </w:rPr>
        <w:t xml:space="preserve">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00B6779B">
      <w:pPr>
        <w:pStyle w:val="22"/>
        <w:kinsoku w:val="0"/>
        <w:overflowPunct w:val="0"/>
        <w:spacing w:line="360" w:lineRule="auto"/>
        <w:ind w:firstLine="480" w:firstLineChars="200"/>
        <w:rPr>
          <w:color w:val="auto"/>
          <w:highlight w:val="none"/>
        </w:rPr>
      </w:pPr>
      <w:r>
        <w:rPr>
          <w:color w:val="auto"/>
          <w:highlight w:val="none"/>
        </w:rPr>
        <w:t>7.8.2 发出中标通知书后，招标人无正当理由拒签合同，或在签订合同时</w:t>
      </w:r>
      <w:r>
        <w:rPr>
          <w:rFonts w:hint="eastAsia"/>
          <w:color w:val="auto"/>
          <w:highlight w:val="none"/>
        </w:rPr>
        <w:t>向中标人</w:t>
      </w:r>
      <w:r>
        <w:rPr>
          <w:color w:val="auto"/>
          <w:highlight w:val="none"/>
        </w:rPr>
        <w:t>提出附加条件的，招标人向中标人退还投标保证金；给中标人造成损失的，还应赔偿损失。</w:t>
      </w:r>
    </w:p>
    <w:p w14:paraId="6570C40E">
      <w:pPr>
        <w:pStyle w:val="22"/>
        <w:kinsoku w:val="0"/>
        <w:overflowPunct w:val="0"/>
        <w:spacing w:line="360" w:lineRule="auto"/>
        <w:ind w:firstLine="480" w:firstLineChars="200"/>
        <w:rPr>
          <w:color w:val="auto"/>
          <w:highlight w:val="none"/>
        </w:rPr>
      </w:pPr>
      <w:r>
        <w:rPr>
          <w:color w:val="auto"/>
          <w:highlight w:val="none"/>
        </w:rPr>
        <w:t xml:space="preserve">7.8.3 </w:t>
      </w:r>
      <w:r>
        <w:rPr>
          <w:rFonts w:hint="eastAsia"/>
          <w:color w:val="auto"/>
          <w:highlight w:val="none"/>
        </w:rPr>
        <w:t>签约合同价的确定原则：见投标人须知前附表。</w:t>
      </w:r>
    </w:p>
    <w:p w14:paraId="1D3420A4">
      <w:pPr>
        <w:pStyle w:val="22"/>
        <w:kinsoku w:val="0"/>
        <w:overflowPunct w:val="0"/>
        <w:spacing w:line="360" w:lineRule="auto"/>
        <w:ind w:firstLine="480" w:firstLineChars="200"/>
        <w:rPr>
          <w:color w:val="auto"/>
          <w:highlight w:val="none"/>
        </w:rPr>
      </w:pPr>
      <w:r>
        <w:rPr>
          <w:color w:val="auto"/>
          <w:highlight w:val="none"/>
        </w:rPr>
        <w:t>7.8.4 联合体中标的，联合体各方应共同与招标人签订合同，就中标项目向招标人承担连带责任。</w:t>
      </w:r>
    </w:p>
    <w:p w14:paraId="05314F48">
      <w:pPr>
        <w:pStyle w:val="22"/>
        <w:kinsoku w:val="0"/>
        <w:overflowPunct/>
        <w:spacing w:line="360" w:lineRule="auto"/>
        <w:ind w:firstLine="480" w:firstLineChars="200"/>
        <w:rPr>
          <w:rFonts w:hint="eastAsia"/>
          <w:color w:val="auto"/>
          <w:highlight w:val="none"/>
        </w:rPr>
      </w:pPr>
      <w:r>
        <w:rPr>
          <w:color w:val="auto"/>
          <w:highlight w:val="none"/>
        </w:rPr>
        <w:t xml:space="preserve">7.8.5 </w:t>
      </w:r>
      <w:r>
        <w:rPr>
          <w:rFonts w:hint="eastAsia"/>
          <w:color w:val="auto"/>
          <w:highlight w:val="none"/>
        </w:rPr>
        <w:t>招标人和中标人在签订合同协议书的同时，须按照本招标文件规定的格式和要求签订廉政合同及安全生产合同，明确双方在廉政建设和安全生产方面的权利和义务以及应承担的违约责任。</w:t>
      </w:r>
      <w:r>
        <w:rPr>
          <w:rFonts w:hint="eastAsia" w:cs="宋体"/>
          <w:color w:val="auto"/>
          <w:highlight w:val="none"/>
        </w:rPr>
        <w:t>制作合同文件及费用、份数要求：见投标人须知前附表。</w:t>
      </w:r>
    </w:p>
    <w:p w14:paraId="70A81948">
      <w:pPr>
        <w:pStyle w:val="6"/>
        <w:numPr>
          <w:ilvl w:val="0"/>
          <w:numId w:val="0"/>
        </w:numPr>
        <w:spacing w:line="360" w:lineRule="auto"/>
        <w:jc w:val="both"/>
        <w:outlineLvl w:val="2"/>
        <w:rPr>
          <w:rFonts w:hint="default" w:ascii="Times New Roman" w:hAnsi="Times New Roman" w:eastAsia="黑体"/>
          <w:b w:val="0"/>
          <w:bCs w:val="0"/>
          <w:color w:val="auto"/>
          <w:sz w:val="28"/>
          <w:szCs w:val="32"/>
          <w:highlight w:val="none"/>
          <w:lang w:val="en-US" w:eastAsia="zh-CN"/>
        </w:rPr>
      </w:pPr>
      <w:r>
        <w:rPr>
          <w:rFonts w:ascii="Times New Roman" w:hAnsi="Times New Roman"/>
          <w:b w:val="0"/>
          <w:bCs w:val="0"/>
          <w:color w:val="auto"/>
          <w:sz w:val="28"/>
          <w:szCs w:val="32"/>
          <w:highlight w:val="none"/>
        </w:rPr>
        <w:t>7.</w:t>
      </w:r>
      <w:r>
        <w:rPr>
          <w:rFonts w:hint="default" w:ascii="Times New Roman" w:hAnsi="Times New Roman"/>
          <w:b w:val="0"/>
          <w:bCs w:val="0"/>
          <w:color w:val="auto"/>
          <w:sz w:val="28"/>
          <w:szCs w:val="32"/>
          <w:highlight w:val="none"/>
          <w:lang w:val="en-US" w:eastAsia="zh-CN"/>
        </w:rPr>
        <w:t>9</w:t>
      </w:r>
      <w:r>
        <w:rPr>
          <w:rFonts w:hint="default" w:ascii="Times New Roman" w:hAnsi="Times New Roman"/>
          <w:b w:val="0"/>
          <w:bCs w:val="0"/>
          <w:color w:val="auto"/>
          <w:sz w:val="28"/>
          <w:szCs w:val="32"/>
          <w:highlight w:val="none"/>
        </w:rPr>
        <w:t xml:space="preserve"> </w:t>
      </w:r>
      <w:r>
        <w:rPr>
          <w:rFonts w:hint="default" w:ascii="Times New Roman" w:hAnsi="Times New Roman"/>
          <w:b w:val="0"/>
          <w:bCs w:val="0"/>
          <w:color w:val="auto"/>
          <w:sz w:val="28"/>
          <w:szCs w:val="32"/>
          <w:highlight w:val="none"/>
          <w:lang w:val="en-US" w:eastAsia="zh-CN"/>
        </w:rPr>
        <w:t>合同内容公告</w:t>
      </w:r>
    </w:p>
    <w:p w14:paraId="0B3E8073">
      <w:pPr>
        <w:pStyle w:val="22"/>
        <w:kinsoku w:val="0"/>
        <w:overflowPunct/>
        <w:spacing w:line="360" w:lineRule="auto"/>
        <w:ind w:firstLine="480" w:firstLineChars="200"/>
        <w:rPr>
          <w:rFonts w:hint="eastAsia"/>
          <w:color w:val="auto"/>
          <w:highlight w:val="none"/>
          <w:lang w:eastAsia="zh-CN"/>
        </w:rPr>
      </w:pPr>
      <w:r>
        <w:rPr>
          <w:rFonts w:hint="eastAsia"/>
          <w:color w:val="auto"/>
          <w:highlight w:val="none"/>
          <w:lang w:val="en-US" w:eastAsia="zh-CN"/>
        </w:rPr>
        <w:t>合同签订后，</w:t>
      </w:r>
      <w:r>
        <w:rPr>
          <w:color w:val="auto"/>
          <w:highlight w:val="none"/>
        </w:rPr>
        <w:t>招标人</w:t>
      </w:r>
      <w:r>
        <w:rPr>
          <w:rFonts w:hint="eastAsia"/>
          <w:color w:val="auto"/>
          <w:highlight w:val="none"/>
          <w:lang w:val="en-US" w:eastAsia="zh-CN"/>
        </w:rPr>
        <w:t>应当将合同签订情况在</w:t>
      </w:r>
      <w:r>
        <w:rPr>
          <w:color w:val="auto"/>
          <w:highlight w:val="none"/>
        </w:rPr>
        <w:t>投标人须知前附表规定的</w:t>
      </w:r>
      <w:r>
        <w:rPr>
          <w:rFonts w:hint="eastAsia"/>
          <w:color w:val="auto"/>
          <w:highlight w:val="none"/>
        </w:rPr>
        <w:t>公告</w:t>
      </w:r>
      <w:r>
        <w:rPr>
          <w:color w:val="auto"/>
          <w:highlight w:val="none"/>
        </w:rPr>
        <w:t>媒介</w:t>
      </w:r>
      <w:r>
        <w:rPr>
          <w:rFonts w:hint="eastAsia"/>
          <w:color w:val="auto"/>
          <w:highlight w:val="none"/>
        </w:rPr>
        <w:t>公告</w:t>
      </w:r>
      <w:r>
        <w:rPr>
          <w:rFonts w:hint="eastAsia"/>
          <w:color w:val="auto"/>
          <w:highlight w:val="none"/>
          <w:lang w:val="en-US" w:eastAsia="zh-CN"/>
        </w:rPr>
        <w:t>合同主要内容</w:t>
      </w:r>
      <w:r>
        <w:rPr>
          <w:color w:val="auto"/>
          <w:highlight w:val="none"/>
        </w:rPr>
        <w:t>。公告内容包括</w:t>
      </w:r>
      <w:r>
        <w:rPr>
          <w:rFonts w:hint="eastAsia"/>
          <w:color w:val="auto"/>
          <w:highlight w:val="none"/>
          <w:lang w:eastAsia="zh-CN"/>
        </w:rPr>
        <w:t>：</w:t>
      </w:r>
    </w:p>
    <w:p w14:paraId="74F1329A">
      <w:pPr>
        <w:pStyle w:val="22"/>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（1）项目名称、项目所在地；</w:t>
      </w:r>
    </w:p>
    <w:p w14:paraId="10AB6C89">
      <w:pPr>
        <w:pStyle w:val="22"/>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（2）发包人名称、地址和电话；</w:t>
      </w:r>
    </w:p>
    <w:p w14:paraId="17FDC5CB">
      <w:pPr>
        <w:pStyle w:val="22"/>
        <w:numPr>
          <w:ilvl w:val="-1"/>
          <w:numId w:val="0"/>
        </w:numPr>
        <w:kinsoku w:val="0"/>
        <w:overflowPunct/>
        <w:spacing w:line="360" w:lineRule="auto"/>
        <w:ind w:firstLine="480" w:firstLineChars="200"/>
        <w:rPr>
          <w:rFonts w:hint="eastAsia"/>
          <w:color w:val="auto"/>
          <w:highlight w:val="none"/>
          <w:lang w:eastAsia="zh-CN"/>
        </w:rPr>
      </w:pPr>
      <w:r>
        <w:rPr>
          <w:rFonts w:hint="eastAsia"/>
          <w:color w:val="auto"/>
          <w:highlight w:val="none"/>
          <w:lang w:val="en-US" w:eastAsia="zh-CN"/>
        </w:rPr>
        <w:t>（3）签订合同标段号、承包</w:t>
      </w:r>
      <w:r>
        <w:rPr>
          <w:color w:val="auto"/>
          <w:highlight w:val="none"/>
        </w:rPr>
        <w:t>人名称</w:t>
      </w:r>
      <w:r>
        <w:rPr>
          <w:rFonts w:hint="eastAsia"/>
          <w:color w:val="auto"/>
          <w:highlight w:val="none"/>
          <w:lang w:val="en-US" w:eastAsia="zh-CN"/>
        </w:rPr>
        <w:t>、地址和电话</w:t>
      </w:r>
      <w:r>
        <w:rPr>
          <w:rFonts w:hint="eastAsia"/>
          <w:color w:val="auto"/>
          <w:highlight w:val="none"/>
          <w:lang w:eastAsia="zh-CN"/>
        </w:rPr>
        <w:t>；</w:t>
      </w:r>
    </w:p>
    <w:p w14:paraId="347E575C">
      <w:pPr>
        <w:pStyle w:val="22"/>
        <w:numPr>
          <w:ilvl w:val="-1"/>
          <w:numId w:val="0"/>
        </w:numPr>
        <w:kinsoku w:val="0"/>
        <w:overflowPunct/>
        <w:spacing w:line="360" w:lineRule="auto"/>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签订合同日期、合同</w:t>
      </w:r>
      <w:r>
        <w:rPr>
          <w:color w:val="auto"/>
          <w:highlight w:val="none"/>
        </w:rPr>
        <w:t>价</w:t>
      </w:r>
      <w:r>
        <w:rPr>
          <w:rFonts w:hint="eastAsia"/>
          <w:color w:val="auto"/>
          <w:highlight w:val="none"/>
          <w:lang w:eastAsia="zh-CN"/>
        </w:rPr>
        <w:t>、</w:t>
      </w:r>
      <w:r>
        <w:rPr>
          <w:rFonts w:hint="eastAsia"/>
          <w:color w:val="auto"/>
          <w:highlight w:val="none"/>
          <w:lang w:val="en-US" w:eastAsia="zh-CN"/>
        </w:rPr>
        <w:t>合同工期；</w:t>
      </w:r>
    </w:p>
    <w:p w14:paraId="6DA28ABC">
      <w:pPr>
        <w:pStyle w:val="22"/>
        <w:numPr>
          <w:ilvl w:val="-1"/>
          <w:numId w:val="0"/>
        </w:numPr>
        <w:kinsoku w:val="0"/>
        <w:overflowPunct/>
        <w:spacing w:line="360" w:lineRule="auto"/>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lang w:val="en-US" w:eastAsia="zh-CN"/>
        </w:rPr>
        <w:t>履约担保形式、金额及提交情况；</w:t>
      </w:r>
    </w:p>
    <w:p w14:paraId="203B5BD5">
      <w:pPr>
        <w:pStyle w:val="22"/>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（6）项目经理和项目总工的姓名、证件及证号；</w:t>
      </w:r>
    </w:p>
    <w:p w14:paraId="1E8955E6">
      <w:pPr>
        <w:pStyle w:val="22"/>
        <w:numPr>
          <w:ilvl w:val="-1"/>
          <w:numId w:val="0"/>
        </w:numPr>
        <w:kinsoku w:val="0"/>
        <w:overflowPunct/>
        <w:spacing w:line="360" w:lineRule="auto"/>
        <w:ind w:firstLine="480" w:firstLineChars="200"/>
        <w:rPr>
          <w:color w:val="auto"/>
          <w:highlight w:val="none"/>
        </w:rPr>
      </w:pPr>
      <w:r>
        <w:rPr>
          <w:rFonts w:hint="eastAsia"/>
          <w:color w:val="auto"/>
          <w:highlight w:val="none"/>
          <w:lang w:val="en-US" w:eastAsia="zh-CN"/>
        </w:rPr>
        <w:t>（7）主要合同工作内容：填写承建合同段的施工范围、建设规模及主要技术指标；</w:t>
      </w:r>
    </w:p>
    <w:p w14:paraId="59A017FA">
      <w:pPr>
        <w:pStyle w:val="22"/>
        <w:numPr>
          <w:ilvl w:val="-1"/>
          <w:numId w:val="0"/>
        </w:numPr>
        <w:kinsoku w:val="0"/>
        <w:overflowPunct/>
        <w:spacing w:line="360" w:lineRule="auto"/>
        <w:ind w:firstLine="480" w:firstLineChars="20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color w:val="auto"/>
          <w:highlight w:val="none"/>
          <w:lang w:val="en-US" w:eastAsia="zh-CN"/>
        </w:rPr>
        <w:t>应注明是否为第一中标候选人及不选择第一中标候选人的理由。</w:t>
      </w:r>
    </w:p>
    <w:p w14:paraId="53B31D90">
      <w:pPr>
        <w:pStyle w:val="5"/>
        <w:rPr>
          <w:rFonts w:ascii="Arial"/>
          <w:b/>
          <w:color w:val="auto"/>
          <w:sz w:val="28"/>
          <w:szCs w:val="32"/>
          <w:highlight w:val="none"/>
        </w:rPr>
      </w:pPr>
      <w:bookmarkStart w:id="547" w:name="_Toc27059719"/>
      <w:bookmarkStart w:id="548" w:name="_Toc501257111"/>
      <w:bookmarkStart w:id="549" w:name="_Toc27059809"/>
      <w:bookmarkStart w:id="550" w:name="_Toc27060707"/>
      <w:bookmarkStart w:id="551" w:name="_Toc53685634"/>
      <w:bookmarkStart w:id="552" w:name="_Toc27059538"/>
      <w:bookmarkStart w:id="553" w:name="_Toc27059911"/>
      <w:bookmarkStart w:id="554" w:name="_Toc234832918"/>
      <w:r>
        <w:rPr>
          <w:rFonts w:ascii="Arial"/>
          <w:b/>
          <w:color w:val="auto"/>
          <w:sz w:val="28"/>
          <w:szCs w:val="32"/>
          <w:highlight w:val="none"/>
        </w:rPr>
        <w:t xml:space="preserve">8. </w:t>
      </w:r>
      <w:r>
        <w:rPr>
          <w:rFonts w:hint="default" w:ascii="Arial"/>
          <w:b/>
          <w:color w:val="auto"/>
          <w:sz w:val="28"/>
          <w:szCs w:val="32"/>
          <w:highlight w:val="none"/>
        </w:rPr>
        <w:t>纪律和监督</w:t>
      </w:r>
      <w:bookmarkEnd w:id="547"/>
      <w:bookmarkEnd w:id="548"/>
      <w:bookmarkEnd w:id="549"/>
      <w:bookmarkEnd w:id="550"/>
      <w:bookmarkEnd w:id="551"/>
      <w:bookmarkEnd w:id="552"/>
      <w:bookmarkEnd w:id="553"/>
      <w:bookmarkEnd w:id="554"/>
    </w:p>
    <w:p w14:paraId="4E718A7F">
      <w:pPr>
        <w:pStyle w:val="6"/>
        <w:numPr>
          <w:ilvl w:val="0"/>
          <w:numId w:val="0"/>
        </w:numPr>
        <w:spacing w:line="360" w:lineRule="auto"/>
        <w:jc w:val="both"/>
        <w:rPr>
          <w:rFonts w:ascii="Times New Roman" w:hAnsi="Times New Roman"/>
          <w:b w:val="0"/>
          <w:bCs w:val="0"/>
          <w:color w:val="auto"/>
          <w:sz w:val="28"/>
          <w:szCs w:val="32"/>
          <w:highlight w:val="none"/>
        </w:rPr>
      </w:pPr>
      <w:bookmarkStart w:id="555" w:name="_Toc27059720"/>
      <w:bookmarkStart w:id="556" w:name="_Toc501257112"/>
      <w:bookmarkStart w:id="557" w:name="_Toc27059539"/>
      <w:bookmarkStart w:id="558" w:name="_Toc53685635"/>
      <w:bookmarkStart w:id="559" w:name="_Toc27059912"/>
      <w:bookmarkStart w:id="560" w:name="_Toc234832919"/>
      <w:bookmarkStart w:id="561" w:name="_Toc27059810"/>
      <w:bookmarkStart w:id="562" w:name="_Toc27060708"/>
      <w:r>
        <w:rPr>
          <w:rFonts w:ascii="Times New Roman" w:hAnsi="Times New Roman"/>
          <w:b w:val="0"/>
          <w:bCs w:val="0"/>
          <w:color w:val="auto"/>
          <w:sz w:val="28"/>
          <w:szCs w:val="32"/>
          <w:highlight w:val="none"/>
        </w:rPr>
        <w:t xml:space="preserve">8.1 </w:t>
      </w:r>
      <w:r>
        <w:rPr>
          <w:rFonts w:hint="default" w:ascii="Times New Roman" w:hAnsi="Times New Roman"/>
          <w:b w:val="0"/>
          <w:bCs w:val="0"/>
          <w:color w:val="auto"/>
          <w:sz w:val="28"/>
          <w:szCs w:val="32"/>
          <w:highlight w:val="none"/>
        </w:rPr>
        <w:t>对招标人的纪律要求</w:t>
      </w:r>
      <w:bookmarkEnd w:id="555"/>
      <w:bookmarkEnd w:id="556"/>
      <w:bookmarkEnd w:id="557"/>
      <w:bookmarkEnd w:id="558"/>
      <w:bookmarkEnd w:id="559"/>
      <w:bookmarkEnd w:id="560"/>
      <w:bookmarkEnd w:id="561"/>
      <w:bookmarkEnd w:id="562"/>
    </w:p>
    <w:p w14:paraId="3D930B74">
      <w:pPr>
        <w:pStyle w:val="22"/>
        <w:kinsoku w:val="0"/>
        <w:overflowPunct w:val="0"/>
        <w:spacing w:line="360" w:lineRule="auto"/>
        <w:ind w:firstLine="480" w:firstLineChars="200"/>
        <w:rPr>
          <w:color w:val="auto"/>
          <w:highlight w:val="none"/>
        </w:rPr>
      </w:pPr>
      <w:r>
        <w:rPr>
          <w:color w:val="auto"/>
          <w:highlight w:val="none"/>
        </w:rPr>
        <w:t>招标人不得泄</w:t>
      </w:r>
      <w:r>
        <w:rPr>
          <w:rFonts w:hint="eastAsia"/>
          <w:color w:val="auto"/>
          <w:highlight w:val="none"/>
        </w:rPr>
        <w:t>露</w:t>
      </w:r>
      <w:r>
        <w:rPr>
          <w:color w:val="auto"/>
          <w:highlight w:val="none"/>
        </w:rPr>
        <w:t>招标投标活动中应保密的情况和资料，不得与投标人串通损害国家利益、社会公共利益或他人合法权益。</w:t>
      </w:r>
    </w:p>
    <w:p w14:paraId="1E57A6E2">
      <w:pPr>
        <w:pStyle w:val="6"/>
        <w:numPr>
          <w:ilvl w:val="0"/>
          <w:numId w:val="0"/>
        </w:numPr>
        <w:spacing w:line="360" w:lineRule="auto"/>
        <w:jc w:val="both"/>
        <w:rPr>
          <w:rFonts w:ascii="Times New Roman" w:hAnsi="Times New Roman"/>
          <w:b w:val="0"/>
          <w:bCs w:val="0"/>
          <w:color w:val="auto"/>
          <w:sz w:val="28"/>
          <w:szCs w:val="32"/>
          <w:highlight w:val="none"/>
        </w:rPr>
      </w:pPr>
      <w:bookmarkStart w:id="563" w:name="_Toc27059913"/>
      <w:bookmarkStart w:id="564" w:name="_Toc53685636"/>
      <w:bookmarkStart w:id="565" w:name="_Toc234832920"/>
      <w:bookmarkStart w:id="566" w:name="_Toc27059721"/>
      <w:bookmarkStart w:id="567" w:name="_Toc27059540"/>
      <w:bookmarkStart w:id="568" w:name="_Toc501257113"/>
      <w:bookmarkStart w:id="569" w:name="_Toc27060709"/>
      <w:bookmarkStart w:id="570" w:name="_Toc27059811"/>
      <w:r>
        <w:rPr>
          <w:rFonts w:ascii="Times New Roman" w:hAnsi="Times New Roman"/>
          <w:b w:val="0"/>
          <w:bCs w:val="0"/>
          <w:color w:val="auto"/>
          <w:sz w:val="28"/>
          <w:szCs w:val="32"/>
          <w:highlight w:val="none"/>
        </w:rPr>
        <w:t xml:space="preserve">8.2 </w:t>
      </w:r>
      <w:r>
        <w:rPr>
          <w:rFonts w:hint="default" w:ascii="Times New Roman" w:hAnsi="Times New Roman"/>
          <w:b w:val="0"/>
          <w:bCs w:val="0"/>
          <w:color w:val="auto"/>
          <w:sz w:val="28"/>
          <w:szCs w:val="32"/>
          <w:highlight w:val="none"/>
        </w:rPr>
        <w:t>对投标人的纪律要求</w:t>
      </w:r>
      <w:bookmarkEnd w:id="563"/>
      <w:bookmarkEnd w:id="564"/>
      <w:bookmarkEnd w:id="565"/>
      <w:bookmarkEnd w:id="566"/>
      <w:bookmarkEnd w:id="567"/>
      <w:bookmarkEnd w:id="568"/>
      <w:bookmarkEnd w:id="569"/>
      <w:bookmarkEnd w:id="570"/>
    </w:p>
    <w:p w14:paraId="03C27BC5">
      <w:pPr>
        <w:pStyle w:val="22"/>
        <w:kinsoku w:val="0"/>
        <w:overflowPunct w:val="0"/>
        <w:spacing w:line="360" w:lineRule="auto"/>
        <w:ind w:firstLine="480" w:firstLineChars="200"/>
        <w:rPr>
          <w:color w:val="auto"/>
          <w:highlight w:val="none"/>
        </w:rPr>
      </w:pPr>
      <w:r>
        <w:rPr>
          <w:color w:val="auto"/>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14:paraId="33930EDB">
      <w:pPr>
        <w:pStyle w:val="6"/>
        <w:numPr>
          <w:ilvl w:val="0"/>
          <w:numId w:val="0"/>
        </w:numPr>
        <w:spacing w:line="360" w:lineRule="auto"/>
        <w:jc w:val="both"/>
        <w:rPr>
          <w:rFonts w:ascii="Times New Roman" w:hAnsi="Times New Roman"/>
          <w:b w:val="0"/>
          <w:bCs w:val="0"/>
          <w:color w:val="auto"/>
          <w:sz w:val="28"/>
          <w:szCs w:val="32"/>
          <w:highlight w:val="none"/>
        </w:rPr>
      </w:pPr>
      <w:bookmarkStart w:id="571" w:name="_Toc27059812"/>
      <w:bookmarkStart w:id="572" w:name="_Toc53685637"/>
      <w:bookmarkStart w:id="573" w:name="_Toc234832921"/>
      <w:bookmarkStart w:id="574" w:name="_Toc27059914"/>
      <w:bookmarkStart w:id="575" w:name="_Toc501257114"/>
      <w:bookmarkStart w:id="576" w:name="_Toc27060710"/>
      <w:bookmarkStart w:id="577" w:name="_Toc27059722"/>
      <w:bookmarkStart w:id="578" w:name="_Toc27059541"/>
      <w:r>
        <w:rPr>
          <w:rFonts w:ascii="Times New Roman" w:hAnsi="Times New Roman"/>
          <w:b w:val="0"/>
          <w:bCs w:val="0"/>
          <w:color w:val="auto"/>
          <w:sz w:val="28"/>
          <w:szCs w:val="32"/>
          <w:highlight w:val="none"/>
        </w:rPr>
        <w:t xml:space="preserve">8.3 </w:t>
      </w:r>
      <w:r>
        <w:rPr>
          <w:rFonts w:hint="default" w:ascii="Times New Roman" w:hAnsi="Times New Roman"/>
          <w:b w:val="0"/>
          <w:bCs w:val="0"/>
          <w:color w:val="auto"/>
          <w:sz w:val="28"/>
          <w:szCs w:val="32"/>
          <w:highlight w:val="none"/>
        </w:rPr>
        <w:t>对评标委员会成员的纪律要求</w:t>
      </w:r>
      <w:bookmarkEnd w:id="571"/>
      <w:bookmarkEnd w:id="572"/>
      <w:bookmarkEnd w:id="573"/>
      <w:bookmarkEnd w:id="574"/>
      <w:bookmarkEnd w:id="575"/>
      <w:bookmarkEnd w:id="576"/>
      <w:bookmarkEnd w:id="577"/>
      <w:bookmarkEnd w:id="578"/>
    </w:p>
    <w:p w14:paraId="438BDDFB">
      <w:pPr>
        <w:pStyle w:val="22"/>
        <w:kinsoku w:val="0"/>
        <w:overflowPunct w:val="0"/>
        <w:spacing w:line="360" w:lineRule="auto"/>
        <w:ind w:firstLine="480" w:firstLineChars="200"/>
        <w:rPr>
          <w:color w:val="auto"/>
          <w:highlight w:val="none"/>
        </w:rPr>
      </w:pPr>
      <w:r>
        <w:rPr>
          <w:color w:val="auto"/>
          <w:highlight w:val="none"/>
        </w:rPr>
        <w:t>评标委员会成员不得收受他人的财物或其他好处，不得向他人</w:t>
      </w:r>
      <w:r>
        <w:rPr>
          <w:rFonts w:hint="eastAsia"/>
          <w:color w:val="auto"/>
          <w:highlight w:val="none"/>
        </w:rPr>
        <w:t>透露</w:t>
      </w:r>
      <w:r>
        <w:rPr>
          <w:color w:val="auto"/>
          <w:highlight w:val="none"/>
        </w:rPr>
        <w:t>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07C2CAE0">
      <w:pPr>
        <w:pStyle w:val="6"/>
        <w:numPr>
          <w:ilvl w:val="0"/>
          <w:numId w:val="0"/>
        </w:numPr>
        <w:spacing w:line="360" w:lineRule="auto"/>
        <w:jc w:val="both"/>
        <w:rPr>
          <w:rFonts w:ascii="Times New Roman" w:hAnsi="Times New Roman"/>
          <w:b w:val="0"/>
          <w:bCs w:val="0"/>
          <w:color w:val="auto"/>
          <w:sz w:val="28"/>
          <w:szCs w:val="32"/>
          <w:highlight w:val="none"/>
        </w:rPr>
      </w:pPr>
      <w:bookmarkStart w:id="579" w:name="_Toc27059723"/>
      <w:bookmarkStart w:id="580" w:name="_Toc27059813"/>
      <w:bookmarkStart w:id="581" w:name="_Toc234832922"/>
      <w:bookmarkStart w:id="582" w:name="_Toc27060711"/>
      <w:bookmarkStart w:id="583" w:name="_Toc501257115"/>
      <w:bookmarkStart w:id="584" w:name="_Toc53685638"/>
      <w:bookmarkStart w:id="585" w:name="_Toc27059915"/>
      <w:bookmarkStart w:id="586" w:name="_Toc27059542"/>
      <w:r>
        <w:rPr>
          <w:rFonts w:ascii="Times New Roman" w:hAnsi="Times New Roman"/>
          <w:b w:val="0"/>
          <w:bCs w:val="0"/>
          <w:color w:val="auto"/>
          <w:sz w:val="28"/>
          <w:szCs w:val="32"/>
          <w:highlight w:val="none"/>
        </w:rPr>
        <w:t xml:space="preserve">8.4 </w:t>
      </w:r>
      <w:r>
        <w:rPr>
          <w:rFonts w:hint="default" w:ascii="Times New Roman" w:hAnsi="Times New Roman"/>
          <w:b w:val="0"/>
          <w:bCs w:val="0"/>
          <w:color w:val="auto"/>
          <w:sz w:val="28"/>
          <w:szCs w:val="32"/>
          <w:highlight w:val="none"/>
        </w:rPr>
        <w:t>对与评标活动有关的工作人员的纪律要求</w:t>
      </w:r>
      <w:bookmarkEnd w:id="579"/>
      <w:bookmarkEnd w:id="580"/>
      <w:bookmarkEnd w:id="581"/>
      <w:bookmarkEnd w:id="582"/>
      <w:bookmarkEnd w:id="583"/>
      <w:bookmarkEnd w:id="584"/>
      <w:bookmarkEnd w:id="585"/>
      <w:bookmarkEnd w:id="586"/>
    </w:p>
    <w:p w14:paraId="0EDD5CFB">
      <w:pPr>
        <w:pStyle w:val="22"/>
        <w:kinsoku w:val="0"/>
        <w:overflowPunct w:val="0"/>
        <w:spacing w:line="360" w:lineRule="auto"/>
        <w:ind w:firstLine="480" w:firstLineChars="200"/>
        <w:rPr>
          <w:color w:val="auto"/>
          <w:highlight w:val="none"/>
        </w:rPr>
      </w:pPr>
      <w:r>
        <w:rPr>
          <w:color w:val="auto"/>
          <w:highlight w:val="none"/>
        </w:rPr>
        <w:t>与评标活动有关的工作人员不得收受他人的财物或其他好处，不得向他人</w:t>
      </w:r>
      <w:r>
        <w:rPr>
          <w:rFonts w:hint="eastAsia"/>
          <w:color w:val="auto"/>
          <w:highlight w:val="none"/>
        </w:rPr>
        <w:t>透露</w:t>
      </w:r>
      <w:r>
        <w:rPr>
          <w:color w:val="auto"/>
          <w:highlight w:val="none"/>
        </w:rPr>
        <w:t>对投标文件的评审和比较、中标候选人的推荐情况以及评标有关的其他情况。在评标活动中，与评标活动有关的工作人员不得擅离职守，影响评标程序正常进行。</w:t>
      </w:r>
    </w:p>
    <w:p w14:paraId="188BBF47">
      <w:pPr>
        <w:pStyle w:val="6"/>
        <w:numPr>
          <w:ilvl w:val="0"/>
          <w:numId w:val="0"/>
        </w:numPr>
        <w:spacing w:line="360" w:lineRule="auto"/>
        <w:jc w:val="both"/>
        <w:rPr>
          <w:rFonts w:ascii="Times New Roman" w:hAnsi="Times New Roman"/>
          <w:b w:val="0"/>
          <w:bCs w:val="0"/>
          <w:color w:val="auto"/>
          <w:sz w:val="28"/>
          <w:szCs w:val="32"/>
          <w:highlight w:val="none"/>
        </w:rPr>
      </w:pPr>
      <w:bookmarkStart w:id="587" w:name="_Toc27059814"/>
      <w:bookmarkStart w:id="588" w:name="_Toc53685639"/>
      <w:bookmarkStart w:id="589" w:name="_Toc27059724"/>
      <w:bookmarkStart w:id="590" w:name="_Toc501257116"/>
      <w:bookmarkStart w:id="591" w:name="_Toc27060712"/>
      <w:bookmarkStart w:id="592" w:name="_Toc234832923"/>
      <w:bookmarkStart w:id="593" w:name="_Toc27059916"/>
      <w:bookmarkStart w:id="594" w:name="_Toc27059543"/>
      <w:r>
        <w:rPr>
          <w:rFonts w:ascii="Times New Roman" w:hAnsi="Times New Roman"/>
          <w:b w:val="0"/>
          <w:bCs w:val="0"/>
          <w:color w:val="auto"/>
          <w:sz w:val="28"/>
          <w:szCs w:val="32"/>
          <w:highlight w:val="none"/>
        </w:rPr>
        <w:t xml:space="preserve">8.5 </w:t>
      </w:r>
      <w:r>
        <w:rPr>
          <w:rFonts w:hint="default" w:ascii="Times New Roman" w:hAnsi="Times New Roman"/>
          <w:b w:val="0"/>
          <w:bCs w:val="0"/>
          <w:color w:val="auto"/>
          <w:sz w:val="28"/>
          <w:szCs w:val="32"/>
          <w:highlight w:val="none"/>
        </w:rPr>
        <w:t>投诉</w:t>
      </w:r>
      <w:bookmarkEnd w:id="587"/>
      <w:bookmarkEnd w:id="588"/>
      <w:bookmarkEnd w:id="589"/>
      <w:bookmarkEnd w:id="590"/>
      <w:bookmarkEnd w:id="591"/>
      <w:bookmarkEnd w:id="592"/>
      <w:bookmarkEnd w:id="593"/>
      <w:bookmarkEnd w:id="594"/>
    </w:p>
    <w:p w14:paraId="21D62A9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8.5.1 投标人或其他利害关系人认为招标投标活动不符合法律、行政法规规定的，可以自知道或应当知道之日起10日内向有关行政监督部门投诉。投诉应有明确的请求和必要的证明材料。</w:t>
      </w:r>
    </w:p>
    <w:p w14:paraId="527FE9F0">
      <w:pPr>
        <w:pStyle w:val="22"/>
        <w:kinsoku w:val="0"/>
        <w:overflowPunct w:val="0"/>
        <w:spacing w:line="360" w:lineRule="auto"/>
        <w:ind w:firstLine="480" w:firstLineChars="200"/>
        <w:rPr>
          <w:color w:val="auto"/>
          <w:highlight w:val="none"/>
        </w:rPr>
      </w:pPr>
      <w:r>
        <w:rPr>
          <w:color w:val="auto"/>
          <w:highlight w:val="none"/>
        </w:rPr>
        <w:t>行政</w:t>
      </w:r>
      <w:r>
        <w:rPr>
          <w:rFonts w:hint="eastAsia"/>
          <w:color w:val="auto"/>
          <w:highlight w:val="none"/>
        </w:rPr>
        <w:t>监督部门的联系方式见投标人须知前附表。</w:t>
      </w:r>
    </w:p>
    <w:p w14:paraId="0846E2E4">
      <w:pPr>
        <w:pStyle w:val="22"/>
        <w:kinsoku w:val="0"/>
        <w:overflowPunct w:val="0"/>
        <w:spacing w:line="360" w:lineRule="auto"/>
        <w:ind w:firstLine="480" w:firstLineChars="200"/>
        <w:rPr>
          <w:color w:val="auto"/>
          <w:highlight w:val="none"/>
        </w:rPr>
      </w:pPr>
      <w:r>
        <w:rPr>
          <w:color w:val="auto"/>
          <w:highlight w:val="none"/>
        </w:rPr>
        <w:t>8.5.2 投标人或其他利害关系人对招标文件、开标和评标结果提出投诉的，应按照</w:t>
      </w:r>
      <w:r>
        <w:rPr>
          <w:rFonts w:hint="eastAsia"/>
          <w:color w:val="auto"/>
          <w:highlight w:val="none"/>
        </w:rPr>
        <w:t>本章</w:t>
      </w:r>
      <w:r>
        <w:rPr>
          <w:color w:val="auto"/>
          <w:highlight w:val="none"/>
        </w:rPr>
        <w:t>第2.4款、第5.4款和第7.2款的规定先向招标人提出异议。异议答复期间</w:t>
      </w:r>
      <w:bookmarkStart w:id="595" w:name="_Toc384308255"/>
      <w:bookmarkStart w:id="596" w:name="_Toc361508630"/>
      <w:bookmarkStart w:id="597" w:name="_Toc300834993"/>
      <w:bookmarkStart w:id="598" w:name="_Toc144974538"/>
      <w:bookmarkStart w:id="599" w:name="_Toc152045570"/>
      <w:bookmarkStart w:id="600" w:name="_Toc152042346"/>
      <w:bookmarkStart w:id="601" w:name="_Toc352691517"/>
      <w:bookmarkStart w:id="602" w:name="_Toc247513994"/>
      <w:bookmarkStart w:id="603" w:name="_Toc369531561"/>
      <w:bookmarkStart w:id="604" w:name="_Toc247527595"/>
      <w:bookmarkStart w:id="605" w:name="_Toc12776"/>
      <w:r>
        <w:rPr>
          <w:color w:val="auto"/>
          <w:highlight w:val="none"/>
        </w:rPr>
        <w:t>不计算在第8.5.</w:t>
      </w:r>
      <w:bookmarkEnd w:id="595"/>
      <w:bookmarkEnd w:id="596"/>
      <w:bookmarkEnd w:id="597"/>
      <w:bookmarkEnd w:id="598"/>
      <w:bookmarkEnd w:id="599"/>
      <w:bookmarkEnd w:id="600"/>
      <w:bookmarkEnd w:id="601"/>
      <w:bookmarkEnd w:id="602"/>
      <w:bookmarkEnd w:id="603"/>
      <w:bookmarkEnd w:id="604"/>
      <w:bookmarkEnd w:id="605"/>
      <w:r>
        <w:rPr>
          <w:color w:val="auto"/>
          <w:highlight w:val="none"/>
        </w:rPr>
        <w:t>1项规定的期限内。</w:t>
      </w:r>
      <w:bookmarkStart w:id="606" w:name="_Toc501257118"/>
      <w:bookmarkStart w:id="607" w:name="_Toc234832924"/>
    </w:p>
    <w:p w14:paraId="407F7596">
      <w:pPr>
        <w:pStyle w:val="5"/>
        <w:rPr>
          <w:rFonts w:hint="default" w:ascii="Arial" w:eastAsia="黑体"/>
          <w:b/>
          <w:bCs w:val="0"/>
          <w:color w:val="auto"/>
          <w:sz w:val="28"/>
          <w:szCs w:val="32"/>
          <w:highlight w:val="none"/>
          <w:lang w:val="en-US" w:eastAsia="zh-CN"/>
        </w:rPr>
      </w:pPr>
      <w:bookmarkStart w:id="608" w:name="_Toc27059815"/>
      <w:bookmarkStart w:id="609" w:name="_Toc27059544"/>
      <w:bookmarkStart w:id="610" w:name="_Toc27059725"/>
      <w:bookmarkStart w:id="611" w:name="_Toc53685640"/>
      <w:bookmarkStart w:id="612" w:name="_Toc27059917"/>
      <w:bookmarkStart w:id="613" w:name="_Toc27060713"/>
      <w:r>
        <w:rPr>
          <w:rFonts w:ascii="Arial"/>
          <w:b/>
          <w:bCs w:val="0"/>
          <w:color w:val="auto"/>
          <w:sz w:val="28"/>
          <w:szCs w:val="32"/>
          <w:highlight w:val="none"/>
        </w:rPr>
        <w:t>9.</w:t>
      </w:r>
      <w:r>
        <w:rPr>
          <w:rFonts w:hint="default" w:ascii="Arial"/>
          <w:b/>
          <w:bCs w:val="0"/>
          <w:color w:val="auto"/>
          <w:sz w:val="28"/>
          <w:szCs w:val="32"/>
          <w:highlight w:val="none"/>
          <w:lang w:val="en-US" w:eastAsia="zh-CN"/>
        </w:rPr>
        <w:t xml:space="preserve"> </w:t>
      </w:r>
      <w:bookmarkEnd w:id="606"/>
      <w:bookmarkEnd w:id="607"/>
      <w:bookmarkEnd w:id="608"/>
      <w:bookmarkEnd w:id="609"/>
      <w:bookmarkEnd w:id="610"/>
      <w:bookmarkEnd w:id="611"/>
      <w:bookmarkEnd w:id="612"/>
      <w:bookmarkEnd w:id="613"/>
      <w:r>
        <w:rPr>
          <w:rFonts w:hint="default" w:ascii="Arial"/>
          <w:b/>
          <w:bCs w:val="0"/>
          <w:color w:val="auto"/>
          <w:sz w:val="28"/>
          <w:szCs w:val="32"/>
          <w:highlight w:val="none"/>
          <w:lang w:val="en-US" w:eastAsia="zh-CN"/>
        </w:rPr>
        <w:t>是否采用电子招标投标</w:t>
      </w:r>
    </w:p>
    <w:p w14:paraId="0CFA9B6B">
      <w:pPr>
        <w:pStyle w:val="22"/>
        <w:kinsoku w:val="0"/>
        <w:overflowPunct w:val="0"/>
        <w:spacing w:line="360" w:lineRule="auto"/>
        <w:ind w:firstLine="480" w:firstLineChars="200"/>
        <w:rPr>
          <w:color w:val="auto"/>
          <w:highlight w:val="none"/>
        </w:rPr>
      </w:pPr>
      <w:r>
        <w:rPr>
          <w:rFonts w:hint="eastAsia"/>
          <w:color w:val="auto"/>
          <w:highlight w:val="none"/>
          <w:lang w:val="en-US" w:eastAsia="zh-CN"/>
        </w:rPr>
        <w:t>本招标项目是否采用电子招标投标方式</w:t>
      </w:r>
      <w:r>
        <w:rPr>
          <w:color w:val="auto"/>
          <w:highlight w:val="none"/>
        </w:rPr>
        <w:t>：</w:t>
      </w:r>
      <w:r>
        <w:rPr>
          <w:rFonts w:hint="eastAsia"/>
          <w:color w:val="auto"/>
          <w:highlight w:val="none"/>
          <w:lang w:val="en-US" w:eastAsia="zh-CN"/>
        </w:rPr>
        <w:t>是</w:t>
      </w:r>
      <w:r>
        <w:rPr>
          <w:color w:val="auto"/>
          <w:highlight w:val="none"/>
        </w:rPr>
        <w:t>。</w:t>
      </w:r>
    </w:p>
    <w:p w14:paraId="2F107BA6">
      <w:pPr>
        <w:pStyle w:val="5"/>
        <w:numPr>
          <w:ilvl w:val="-1"/>
          <w:numId w:val="0"/>
        </w:numPr>
        <w:rPr>
          <w:color w:val="auto"/>
          <w:highlight w:val="none"/>
        </w:rPr>
      </w:pPr>
      <w:r>
        <w:rPr>
          <w:rFonts w:hint="eastAsia"/>
          <w:color w:val="auto"/>
          <w:highlight w:val="none"/>
          <w:lang w:val="en-US" w:eastAsia="zh-CN"/>
        </w:rPr>
        <w:t xml:space="preserve">10. </w:t>
      </w:r>
      <w:r>
        <w:rPr>
          <w:rFonts w:hint="default"/>
          <w:color w:val="auto"/>
          <w:highlight w:val="none"/>
        </w:rPr>
        <w:t>需要补充的其他内容</w:t>
      </w:r>
    </w:p>
    <w:p w14:paraId="752D9CC3">
      <w:pPr>
        <w:pStyle w:val="22"/>
        <w:kinsoku w:val="0"/>
        <w:overflowPunct w:val="0"/>
        <w:spacing w:line="360" w:lineRule="auto"/>
        <w:ind w:firstLine="480" w:firstLineChars="200"/>
        <w:rPr>
          <w:color w:val="auto"/>
          <w:highlight w:val="none"/>
        </w:rPr>
      </w:pPr>
      <w:r>
        <w:rPr>
          <w:color w:val="auto"/>
          <w:highlight w:val="none"/>
        </w:rPr>
        <w:t>需要补充的其他内容：见投标人须知前附表。</w:t>
      </w:r>
    </w:p>
    <w:bookmarkEnd w:id="524"/>
    <w:p w14:paraId="2F3C3ACF">
      <w:pPr>
        <w:spacing w:before="0" w:beforeLines="0" w:after="0" w:afterLines="0" w:line="360" w:lineRule="auto"/>
        <w:rPr>
          <w:rFonts w:hint="eastAsia"/>
          <w:b w:val="0"/>
          <w:color w:val="auto"/>
          <w:sz w:val="24"/>
          <w:szCs w:val="24"/>
          <w:highlight w:val="none"/>
        </w:rPr>
      </w:pPr>
      <w:bookmarkStart w:id="614" w:name="_Toc234382644"/>
      <w:bookmarkStart w:id="615" w:name="_Toc53685641"/>
      <w:r>
        <w:rPr>
          <w:rFonts w:hint="eastAsia"/>
          <w:b w:val="0"/>
          <w:color w:val="auto"/>
          <w:sz w:val="24"/>
          <w:szCs w:val="24"/>
          <w:highlight w:val="none"/>
        </w:rPr>
        <w:br w:type="page"/>
      </w:r>
    </w:p>
    <w:p w14:paraId="12A9AA10">
      <w:pPr>
        <w:pStyle w:val="5"/>
        <w:spacing w:before="0" w:beforeLines="-2147483648" w:after="0" w:afterLines="-2147483648" w:line="360" w:lineRule="auto"/>
        <w:rPr>
          <w:b w:val="0"/>
          <w:bCs w:val="0"/>
          <w:color w:val="auto"/>
          <w:highlight w:val="none"/>
        </w:rPr>
      </w:pPr>
      <w:r>
        <w:rPr>
          <w:rFonts w:hint="eastAsia"/>
          <w:b w:val="0"/>
          <w:bCs w:val="0"/>
          <w:color w:val="auto"/>
          <w:highlight w:val="none"/>
        </w:rPr>
        <w:t>附件一</w:t>
      </w:r>
      <w:r>
        <w:rPr>
          <w:b w:val="0"/>
          <w:bCs w:val="0"/>
          <w:color w:val="auto"/>
          <w:highlight w:val="none"/>
        </w:rPr>
        <w:t xml:space="preserve">  </w:t>
      </w:r>
      <w:r>
        <w:rPr>
          <w:rFonts w:hint="eastAsia"/>
          <w:b w:val="0"/>
          <w:bCs w:val="0"/>
          <w:color w:val="auto"/>
          <w:highlight w:val="none"/>
        </w:rPr>
        <w:t>开标记录表</w:t>
      </w:r>
      <w:bookmarkEnd w:id="614"/>
      <w:bookmarkEnd w:id="615"/>
    </w:p>
    <w:p w14:paraId="19F6BC22">
      <w:pPr>
        <w:spacing w:line="360" w:lineRule="auto"/>
        <w:ind w:firstLine="0" w:firstLineChars="0"/>
        <w:rPr>
          <w:rFonts w:hint="eastAsia" w:ascii="黑体" w:hAnsi="黑体" w:eastAsia="黑体" w:cs="黑体"/>
          <w:color w:val="auto"/>
          <w:highlight w:val="none"/>
        </w:rPr>
      </w:pPr>
      <w:r>
        <w:rPr>
          <w:rFonts w:hint="eastAsia" w:ascii="黑体" w:hAnsi="黑体" w:eastAsia="黑体" w:cs="黑体"/>
          <w:color w:val="auto"/>
          <w:sz w:val="28"/>
          <w:szCs w:val="28"/>
          <w:highlight w:val="none"/>
          <w:u w:val="single"/>
        </w:rPr>
        <w:t xml:space="preserve"> </w:t>
      </w:r>
      <w:bookmarkStart w:id="616" w:name="_Toc513555813"/>
      <w:bookmarkStart w:id="617" w:name="_Toc519601470"/>
      <w:bookmarkStart w:id="618" w:name="_Toc513555569"/>
      <w:bookmarkStart w:id="619" w:name="_Toc513556646"/>
      <w:bookmarkStart w:id="620" w:name="_Toc509828634"/>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rPr>
        <w:t>（招标项目名称）招标第</w:t>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rPr>
        <w:t>标段第一个信封（商务及技术文件）</w:t>
      </w:r>
      <w:bookmarkEnd w:id="616"/>
      <w:bookmarkEnd w:id="617"/>
      <w:bookmarkEnd w:id="618"/>
      <w:bookmarkEnd w:id="619"/>
    </w:p>
    <w:p w14:paraId="7113CAB6">
      <w:pPr>
        <w:spacing w:line="360" w:lineRule="auto"/>
        <w:jc w:val="center"/>
        <w:rPr>
          <w:rFonts w:ascii="黑体" w:hAnsi="黑体" w:eastAsia="黑体"/>
          <w:color w:val="auto"/>
          <w:sz w:val="30"/>
          <w:szCs w:val="30"/>
          <w:highlight w:val="none"/>
          <w:vertAlign w:val="superscript"/>
        </w:rPr>
      </w:pPr>
      <w:bookmarkStart w:id="621" w:name="_Toc519601471"/>
      <w:bookmarkStart w:id="622" w:name="_Toc513555814"/>
      <w:bookmarkStart w:id="623" w:name="_Toc513556647"/>
      <w:bookmarkStart w:id="624" w:name="_Toc513555570"/>
      <w:r>
        <w:rPr>
          <w:rFonts w:hint="eastAsia" w:ascii="黑体" w:hAnsi="黑体" w:eastAsia="黑体" w:cs="宋体"/>
          <w:color w:val="auto"/>
          <w:sz w:val="28"/>
          <w:szCs w:val="28"/>
          <w:highlight w:val="none"/>
        </w:rPr>
        <w:t>开标记录表</w:t>
      </w:r>
      <w:bookmarkEnd w:id="620"/>
      <w:bookmarkEnd w:id="621"/>
      <w:bookmarkEnd w:id="622"/>
      <w:bookmarkEnd w:id="623"/>
      <w:bookmarkEnd w:id="624"/>
    </w:p>
    <w:p w14:paraId="12CA97E0">
      <w:pPr>
        <w:pStyle w:val="27"/>
        <w:rPr>
          <w:rFonts w:hAnsi="宋体"/>
          <w:color w:val="auto"/>
          <w:highlight w:val="none"/>
        </w:rPr>
      </w:pPr>
      <w:r>
        <w:rPr>
          <w:rFonts w:hAnsi="宋体"/>
          <w:color w:val="auto"/>
          <w:highlight w:val="none"/>
        </w:rPr>
        <w:t xml:space="preserve">   </w:t>
      </w:r>
    </w:p>
    <w:p w14:paraId="644FEAC4">
      <w:pPr>
        <w:spacing w:line="360" w:lineRule="auto"/>
        <w:rPr>
          <w:color w:val="auto"/>
          <w:sz w:val="24"/>
          <w:highlight w:val="none"/>
        </w:rPr>
      </w:pPr>
      <w:bookmarkStart w:id="625" w:name="_Toc27059547"/>
      <w:bookmarkStart w:id="626" w:name="_Toc27059728"/>
      <w:bookmarkStart w:id="627" w:name="_Toc27060716"/>
      <w:bookmarkStart w:id="628" w:name="_Toc27059920"/>
      <w:bookmarkStart w:id="629" w:name="_Toc27059818"/>
      <w:bookmarkStart w:id="630" w:name="_Toc53685642"/>
      <w:r>
        <w:rPr>
          <w:color w:val="auto"/>
          <w:sz w:val="24"/>
          <w:highlight w:val="none"/>
        </w:rPr>
        <w:t>开标时间：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r>
        <w:rPr>
          <w:color w:val="auto"/>
          <w:sz w:val="24"/>
          <w:highlight w:val="none"/>
          <w:u w:val="single"/>
        </w:rPr>
        <w:t xml:space="preserve">    </w:t>
      </w:r>
      <w:r>
        <w:rPr>
          <w:color w:val="auto"/>
          <w:sz w:val="24"/>
          <w:highlight w:val="none"/>
        </w:rPr>
        <w:t>时</w:t>
      </w:r>
      <w:r>
        <w:rPr>
          <w:color w:val="auto"/>
          <w:sz w:val="24"/>
          <w:highlight w:val="none"/>
          <w:u w:val="single"/>
        </w:rPr>
        <w:t xml:space="preserve">    </w:t>
      </w:r>
      <w:r>
        <w:rPr>
          <w:color w:val="auto"/>
          <w:sz w:val="24"/>
          <w:highlight w:val="none"/>
        </w:rPr>
        <w:t>分</w:t>
      </w:r>
      <w:bookmarkEnd w:id="625"/>
      <w:bookmarkEnd w:id="626"/>
      <w:bookmarkEnd w:id="627"/>
      <w:bookmarkEnd w:id="628"/>
      <w:bookmarkEnd w:id="629"/>
      <w:bookmarkEnd w:id="630"/>
    </w:p>
    <w:tbl>
      <w:tblPr>
        <w:tblStyle w:val="49"/>
        <w:tblW w:w="8498" w:type="dxa"/>
        <w:tblInd w:w="0" w:type="dxa"/>
        <w:tblLayout w:type="fixed"/>
        <w:tblCellMar>
          <w:top w:w="0" w:type="dxa"/>
          <w:left w:w="0" w:type="dxa"/>
          <w:bottom w:w="0" w:type="dxa"/>
          <w:right w:w="0" w:type="dxa"/>
        </w:tblCellMar>
      </w:tblPr>
      <w:tblGrid>
        <w:gridCol w:w="824"/>
        <w:gridCol w:w="3502"/>
        <w:gridCol w:w="2115"/>
        <w:gridCol w:w="1101"/>
        <w:gridCol w:w="956"/>
      </w:tblGrid>
      <w:tr w14:paraId="38F79A57">
        <w:tblPrEx>
          <w:tblCellMar>
            <w:top w:w="0" w:type="dxa"/>
            <w:left w:w="0" w:type="dxa"/>
            <w:bottom w:w="0" w:type="dxa"/>
            <w:right w:w="0" w:type="dxa"/>
          </w:tblCellMar>
        </w:tblPrEx>
        <w:trPr>
          <w:trHeight w:val="826"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1E456780">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502" w:type="dxa"/>
            <w:tcBorders>
              <w:top w:val="single" w:color="000000" w:sz="4" w:space="0"/>
              <w:left w:val="single" w:color="000000" w:sz="4" w:space="0"/>
              <w:bottom w:val="single" w:color="000000" w:sz="4" w:space="0"/>
              <w:right w:val="single" w:color="000000" w:sz="4" w:space="0"/>
            </w:tcBorders>
            <w:vAlign w:val="center"/>
          </w:tcPr>
          <w:p w14:paraId="2FDE4A7B">
            <w:pPr>
              <w:spacing w:line="400" w:lineRule="exact"/>
              <w:jc w:val="center"/>
              <w:rPr>
                <w:rFonts w:ascii="宋体" w:hAnsi="宋体"/>
                <w:color w:val="auto"/>
                <w:szCs w:val="21"/>
                <w:highlight w:val="none"/>
              </w:rPr>
            </w:pPr>
            <w:r>
              <w:rPr>
                <w:rFonts w:hint="eastAsia" w:ascii="宋体" w:hAnsi="宋体"/>
                <w:color w:val="auto"/>
                <w:szCs w:val="21"/>
                <w:highlight w:val="none"/>
              </w:rPr>
              <w:t>投标人名称</w:t>
            </w:r>
          </w:p>
        </w:tc>
        <w:tc>
          <w:tcPr>
            <w:tcW w:w="2115" w:type="dxa"/>
            <w:tcBorders>
              <w:top w:val="single" w:color="000000" w:sz="4" w:space="0"/>
              <w:left w:val="single" w:color="000000" w:sz="4" w:space="0"/>
              <w:bottom w:val="single" w:color="000000" w:sz="4" w:space="0"/>
              <w:right w:val="single" w:color="000000" w:sz="4" w:space="0"/>
            </w:tcBorders>
            <w:vAlign w:val="center"/>
          </w:tcPr>
          <w:p w14:paraId="155E18CD">
            <w:pPr>
              <w:spacing w:line="400" w:lineRule="exact"/>
              <w:jc w:val="center"/>
              <w:rPr>
                <w:rFonts w:ascii="宋体" w:hAnsi="宋体"/>
                <w:color w:val="auto"/>
                <w:szCs w:val="21"/>
                <w:highlight w:val="none"/>
              </w:rPr>
            </w:pPr>
            <w:r>
              <w:rPr>
                <w:rFonts w:hint="eastAsia" w:ascii="宋体" w:hAnsi="宋体"/>
                <w:color w:val="auto"/>
                <w:szCs w:val="21"/>
                <w:highlight w:val="none"/>
              </w:rPr>
              <w:t>投标保证金提交情况</w:t>
            </w:r>
          </w:p>
        </w:tc>
        <w:tc>
          <w:tcPr>
            <w:tcW w:w="1101" w:type="dxa"/>
            <w:tcBorders>
              <w:top w:val="single" w:color="000000" w:sz="4" w:space="0"/>
              <w:left w:val="single" w:color="auto" w:sz="4" w:space="0"/>
              <w:bottom w:val="single" w:color="000000" w:sz="4" w:space="0"/>
              <w:right w:val="single" w:color="auto" w:sz="4" w:space="0"/>
            </w:tcBorders>
            <w:vAlign w:val="center"/>
          </w:tcPr>
          <w:p w14:paraId="1074F43F">
            <w:pPr>
              <w:spacing w:line="400" w:lineRule="exact"/>
              <w:jc w:val="center"/>
              <w:rPr>
                <w:rFonts w:ascii="宋体" w:hAnsi="宋体"/>
                <w:color w:val="auto"/>
                <w:szCs w:val="21"/>
                <w:highlight w:val="none"/>
              </w:rPr>
            </w:pPr>
            <w:r>
              <w:rPr>
                <w:rFonts w:hint="eastAsia" w:ascii="宋体" w:hAnsi="宋体"/>
                <w:color w:val="auto"/>
                <w:szCs w:val="21"/>
                <w:highlight w:val="none"/>
              </w:rPr>
              <w:t>工期</w:t>
            </w:r>
          </w:p>
        </w:tc>
        <w:tc>
          <w:tcPr>
            <w:tcW w:w="956" w:type="dxa"/>
            <w:tcBorders>
              <w:top w:val="single" w:color="000000" w:sz="4" w:space="0"/>
              <w:left w:val="single" w:color="auto" w:sz="4" w:space="0"/>
              <w:bottom w:val="single" w:color="000000" w:sz="4" w:space="0"/>
              <w:right w:val="single" w:color="000000" w:sz="4" w:space="0"/>
            </w:tcBorders>
            <w:vAlign w:val="center"/>
          </w:tcPr>
          <w:p w14:paraId="54B90B1D">
            <w:pPr>
              <w:spacing w:line="400" w:lineRule="exact"/>
              <w:jc w:val="center"/>
              <w:rPr>
                <w:rFonts w:ascii="宋体" w:hAnsi="宋体"/>
                <w:color w:val="auto"/>
                <w:szCs w:val="21"/>
                <w:highlight w:val="none"/>
              </w:rPr>
            </w:pPr>
            <w:r>
              <w:rPr>
                <w:rFonts w:hint="eastAsia" w:ascii="宋体" w:hAnsi="宋体"/>
                <w:color w:val="auto"/>
                <w:szCs w:val="21"/>
                <w:highlight w:val="none"/>
              </w:rPr>
              <w:t>备注</w:t>
            </w:r>
          </w:p>
        </w:tc>
      </w:tr>
      <w:tr w14:paraId="2DD6C4F7">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5C67AD58">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20BE1926">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08C3F323">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6B606878">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0F840416">
            <w:pPr>
              <w:spacing w:line="400" w:lineRule="exact"/>
              <w:jc w:val="center"/>
              <w:rPr>
                <w:rFonts w:ascii="宋体" w:hAnsi="宋体"/>
                <w:color w:val="auto"/>
                <w:szCs w:val="21"/>
                <w:highlight w:val="none"/>
              </w:rPr>
            </w:pPr>
          </w:p>
        </w:tc>
      </w:tr>
      <w:tr w14:paraId="372549AA">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6C808483">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4EB82232">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6A78EAEA">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6EF829E5">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7377CAC7">
            <w:pPr>
              <w:spacing w:line="400" w:lineRule="exact"/>
              <w:jc w:val="center"/>
              <w:rPr>
                <w:rFonts w:ascii="宋体" w:hAnsi="宋体"/>
                <w:color w:val="auto"/>
                <w:szCs w:val="21"/>
                <w:highlight w:val="none"/>
              </w:rPr>
            </w:pPr>
          </w:p>
        </w:tc>
      </w:tr>
      <w:tr w14:paraId="18E6B4AF">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661BE2A2">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2F3074CC">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4E06F3CF">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598CCDE6">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3E7DDAFB">
            <w:pPr>
              <w:spacing w:line="400" w:lineRule="exact"/>
              <w:jc w:val="center"/>
              <w:rPr>
                <w:rFonts w:ascii="宋体" w:hAnsi="宋体"/>
                <w:color w:val="auto"/>
                <w:szCs w:val="21"/>
                <w:highlight w:val="none"/>
              </w:rPr>
            </w:pPr>
          </w:p>
        </w:tc>
      </w:tr>
      <w:tr w14:paraId="17DD654F">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68D9439A">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00D939BF">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1ECB2ECB">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00403D6E">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3477BC8C">
            <w:pPr>
              <w:spacing w:line="400" w:lineRule="exact"/>
              <w:jc w:val="center"/>
              <w:rPr>
                <w:rFonts w:ascii="宋体" w:hAnsi="宋体"/>
                <w:color w:val="auto"/>
                <w:szCs w:val="21"/>
                <w:highlight w:val="none"/>
              </w:rPr>
            </w:pPr>
          </w:p>
        </w:tc>
      </w:tr>
      <w:tr w14:paraId="1371E432">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5E28A4EC">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4C04DE4E">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7D4CEFFF">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2D5E088C">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5279F3A7">
            <w:pPr>
              <w:spacing w:line="400" w:lineRule="exact"/>
              <w:jc w:val="center"/>
              <w:rPr>
                <w:rFonts w:ascii="宋体" w:hAnsi="宋体"/>
                <w:color w:val="auto"/>
                <w:szCs w:val="21"/>
                <w:highlight w:val="none"/>
              </w:rPr>
            </w:pPr>
          </w:p>
        </w:tc>
      </w:tr>
      <w:tr w14:paraId="7BC90F04">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3588B205">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522AFF11">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184EBF9D">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59BAD317">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38C18E76">
            <w:pPr>
              <w:spacing w:line="400" w:lineRule="exact"/>
              <w:jc w:val="center"/>
              <w:rPr>
                <w:rFonts w:ascii="宋体" w:hAnsi="宋体"/>
                <w:color w:val="auto"/>
                <w:szCs w:val="21"/>
                <w:highlight w:val="none"/>
              </w:rPr>
            </w:pPr>
          </w:p>
        </w:tc>
      </w:tr>
      <w:tr w14:paraId="11B85A4D">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3DFA86F6">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77BD7D14">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25BCEAC2">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6E6A9DB5">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18BFF083">
            <w:pPr>
              <w:spacing w:line="400" w:lineRule="exact"/>
              <w:jc w:val="center"/>
              <w:rPr>
                <w:rFonts w:ascii="宋体" w:hAnsi="宋体"/>
                <w:color w:val="auto"/>
                <w:szCs w:val="21"/>
                <w:highlight w:val="none"/>
              </w:rPr>
            </w:pPr>
          </w:p>
        </w:tc>
      </w:tr>
      <w:tr w14:paraId="2CF13354">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2EFFE575">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13EA0472">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78425418">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7783CF97">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492521F8">
            <w:pPr>
              <w:spacing w:line="400" w:lineRule="exact"/>
              <w:jc w:val="center"/>
              <w:rPr>
                <w:rFonts w:ascii="宋体" w:hAnsi="宋体"/>
                <w:color w:val="auto"/>
                <w:szCs w:val="21"/>
                <w:highlight w:val="none"/>
              </w:rPr>
            </w:pPr>
          </w:p>
        </w:tc>
      </w:tr>
      <w:tr w14:paraId="6815DC0D">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49370294">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146373CD">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50564E4D">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27015799">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4DD81487">
            <w:pPr>
              <w:spacing w:line="400" w:lineRule="exact"/>
              <w:jc w:val="center"/>
              <w:rPr>
                <w:rFonts w:ascii="宋体" w:hAnsi="宋体"/>
                <w:color w:val="auto"/>
                <w:szCs w:val="21"/>
                <w:highlight w:val="none"/>
              </w:rPr>
            </w:pPr>
          </w:p>
        </w:tc>
      </w:tr>
      <w:tr w14:paraId="3B086D8F">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3D1874A6">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27A22D2F">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4E827B85">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19129577">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50FBB06F">
            <w:pPr>
              <w:spacing w:line="400" w:lineRule="exact"/>
              <w:jc w:val="center"/>
              <w:rPr>
                <w:rFonts w:ascii="宋体" w:hAnsi="宋体"/>
                <w:color w:val="auto"/>
                <w:szCs w:val="21"/>
                <w:highlight w:val="none"/>
              </w:rPr>
            </w:pPr>
          </w:p>
        </w:tc>
      </w:tr>
      <w:tr w14:paraId="713ACDBC">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303ADBD8">
            <w:pPr>
              <w:spacing w:line="400" w:lineRule="exact"/>
              <w:jc w:val="center"/>
              <w:rPr>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4B496CB5">
            <w:pPr>
              <w:spacing w:line="400" w:lineRule="exact"/>
              <w:jc w:val="center"/>
              <w:rPr>
                <w:rFonts w:ascii="宋体" w:hAnsi="宋体"/>
                <w:color w:val="auto"/>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055E8B3A">
            <w:pPr>
              <w:spacing w:line="400" w:lineRule="exact"/>
              <w:jc w:val="center"/>
              <w:rPr>
                <w:rFonts w:ascii="宋体" w:hAnsi="宋体"/>
                <w:color w:val="auto"/>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14:paraId="352FEB4B">
            <w:pPr>
              <w:spacing w:line="400" w:lineRule="exact"/>
              <w:jc w:val="center"/>
              <w:rPr>
                <w:rFonts w:ascii="宋体" w:hAnsi="宋体"/>
                <w:color w:val="auto"/>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1C2514EB">
            <w:pPr>
              <w:spacing w:line="400" w:lineRule="exact"/>
              <w:jc w:val="center"/>
              <w:rPr>
                <w:rFonts w:ascii="宋体" w:hAnsi="宋体"/>
                <w:color w:val="auto"/>
                <w:szCs w:val="21"/>
                <w:highlight w:val="none"/>
              </w:rPr>
            </w:pPr>
          </w:p>
        </w:tc>
      </w:tr>
    </w:tbl>
    <w:p w14:paraId="77E5CBE1">
      <w:pPr>
        <w:rPr>
          <w:rFonts w:ascii="宋体" w:hAnsi="宋体" w:eastAsia="宋体"/>
          <w:b w:val="0"/>
          <w:color w:val="auto"/>
          <w:sz w:val="24"/>
          <w:highlight w:val="none"/>
        </w:rPr>
      </w:pPr>
    </w:p>
    <w:p w14:paraId="1866569E">
      <w:pPr>
        <w:spacing w:line="360" w:lineRule="auto"/>
        <w:jc w:val="right"/>
        <w:rPr>
          <w:rFonts w:ascii="宋体" w:hAnsi="宋体"/>
          <w:color w:val="auto"/>
          <w:sz w:val="24"/>
          <w:highlight w:val="none"/>
        </w:rPr>
      </w:pPr>
    </w:p>
    <w:p w14:paraId="28623043">
      <w:pPr>
        <w:spacing w:line="360" w:lineRule="auto"/>
        <w:rPr>
          <w:rFonts w:ascii="黑体" w:hAnsi="黑体" w:eastAsia="黑体"/>
          <w:color w:val="auto"/>
          <w:sz w:val="28"/>
          <w:szCs w:val="28"/>
          <w:highlight w:val="none"/>
        </w:rPr>
      </w:pPr>
      <w:r>
        <w:rPr>
          <w:rFonts w:hint="eastAsia" w:ascii="宋体" w:hAnsi="宋体" w:cs="宋体"/>
          <w:color w:val="auto"/>
          <w:sz w:val="24"/>
          <w:highlight w:val="none"/>
        </w:rPr>
        <w:t>招标人</w:t>
      </w:r>
      <w:bookmarkStart w:id="631" w:name="_Hlk94089335"/>
      <w:r>
        <w:rPr>
          <w:rFonts w:hint="eastAsia" w:ascii="宋体" w:hAnsi="宋体" w:cs="宋体"/>
          <w:color w:val="auto"/>
          <w:sz w:val="24"/>
          <w:highlight w:val="none"/>
        </w:rPr>
        <w:t>或招标代理机构</w:t>
      </w:r>
      <w:bookmarkEnd w:id="631"/>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s="宋体"/>
          <w:color w:val="auto"/>
          <w:sz w:val="24"/>
          <w:highlight w:val="none"/>
        </w:rPr>
        <w:t>（盖单位电子印章</w:t>
      </w:r>
      <w:r>
        <w:rPr>
          <w:rFonts w:hint="eastAsia" w:ascii="宋体" w:hAnsi="宋体" w:cs="宋体"/>
          <w:color w:val="auto"/>
          <w:sz w:val="24"/>
          <w:highlight w:val="none"/>
          <w:lang w:eastAsia="zh-CN"/>
        </w:rPr>
        <w:t>）</w:t>
      </w:r>
      <w:r>
        <w:rPr>
          <w:rFonts w:ascii="宋体" w:hAnsi="宋体"/>
          <w:color w:val="auto"/>
          <w:sz w:val="24"/>
          <w:highlight w:val="none"/>
        </w:rPr>
        <w:t xml:space="preserve">                 </w:t>
      </w:r>
      <w:r>
        <w:rPr>
          <w:rFonts w:ascii="宋体" w:hAnsi="宋体"/>
          <w:color w:val="auto"/>
          <w:sz w:val="30"/>
          <w:szCs w:val="30"/>
          <w:highlight w:val="none"/>
        </w:rPr>
        <w:br w:type="page"/>
      </w:r>
      <w:r>
        <w:rPr>
          <w:rFonts w:ascii="宋体" w:hAnsi="宋体"/>
          <w:b/>
          <w:color w:val="auto"/>
          <w:highlight w:val="none"/>
        </w:rPr>
        <w:t xml:space="preserve"> </w:t>
      </w:r>
      <w:bookmarkStart w:id="632" w:name="_Toc27059921"/>
      <w:bookmarkStart w:id="633" w:name="_Toc27060717"/>
      <w:bookmarkStart w:id="634" w:name="_Toc27059729"/>
      <w:bookmarkStart w:id="635" w:name="_Toc27059548"/>
      <w:bookmarkStart w:id="636" w:name="_Toc27059819"/>
      <w:r>
        <w:rPr>
          <w:rFonts w:ascii="宋体" w:hAnsi="宋体"/>
          <w:b/>
          <w:color w:val="auto"/>
          <w:sz w:val="30"/>
          <w:szCs w:val="30"/>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（招标项目名称）</w:t>
      </w:r>
      <w:bookmarkEnd w:id="632"/>
      <w:bookmarkEnd w:id="633"/>
      <w:bookmarkEnd w:id="634"/>
      <w:bookmarkEnd w:id="635"/>
      <w:bookmarkEnd w:id="636"/>
      <w:r>
        <w:rPr>
          <w:rFonts w:hint="eastAsia" w:ascii="黑体" w:hAnsi="黑体" w:eastAsia="黑体" w:cs="宋体"/>
          <w:color w:val="auto"/>
          <w:sz w:val="28"/>
          <w:szCs w:val="28"/>
          <w:highlight w:val="none"/>
        </w:rPr>
        <w:t>招标</w:t>
      </w:r>
      <w:r>
        <w:rPr>
          <w:rFonts w:hint="eastAsia" w:ascii="黑体" w:hAnsi="黑体" w:eastAsia="黑体"/>
          <w:color w:val="auto"/>
          <w:sz w:val="28"/>
          <w:szCs w:val="28"/>
          <w:highlight w:val="none"/>
        </w:rPr>
        <w:t>第</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w:t>
      </w:r>
      <w:r>
        <w:rPr>
          <w:rFonts w:hint="eastAsia" w:ascii="黑体" w:hAnsi="黑体" w:eastAsia="黑体"/>
          <w:color w:val="auto"/>
          <w:sz w:val="28"/>
          <w:szCs w:val="28"/>
          <w:highlight w:val="none"/>
        </w:rPr>
        <w:t>第二个信封（报价文件）</w:t>
      </w:r>
    </w:p>
    <w:p w14:paraId="2C8746D9">
      <w:pPr>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rPr>
        <w:t>开标记录表</w:t>
      </w:r>
    </w:p>
    <w:p w14:paraId="0141DB0B">
      <w:pPr>
        <w:spacing w:line="360" w:lineRule="auto"/>
        <w:jc w:val="left"/>
        <w:rPr>
          <w:rFonts w:ascii="宋体" w:hAnsi="宋体"/>
          <w:color w:val="auto"/>
          <w:sz w:val="24"/>
          <w:highlight w:val="none"/>
        </w:rPr>
      </w:pPr>
    </w:p>
    <w:p w14:paraId="00C5519E">
      <w:pPr>
        <w:spacing w:line="360" w:lineRule="auto"/>
        <w:jc w:val="left"/>
        <w:rPr>
          <w:rFonts w:ascii="宋体" w:hAnsi="宋体"/>
          <w:color w:val="auto"/>
          <w:sz w:val="24"/>
          <w:highlight w:val="none"/>
        </w:rPr>
      </w:pPr>
      <w:r>
        <w:rPr>
          <w:rFonts w:ascii="宋体" w:hAnsi="宋体"/>
          <w:color w:val="auto"/>
          <w:sz w:val="24"/>
          <w:highlight w:val="none"/>
        </w:rPr>
        <w:t>开标时间：</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r>
        <w:rPr>
          <w:rFonts w:ascii="宋体" w:hAnsi="宋体"/>
          <w:color w:val="auto"/>
          <w:sz w:val="24"/>
          <w:highlight w:val="none"/>
          <w:u w:val="single"/>
        </w:rPr>
        <w:t xml:space="preserve">    </w:t>
      </w:r>
      <w:r>
        <w:rPr>
          <w:rFonts w:ascii="宋体" w:hAnsi="宋体"/>
          <w:color w:val="auto"/>
          <w:sz w:val="24"/>
          <w:highlight w:val="none"/>
        </w:rPr>
        <w:t>时</w:t>
      </w:r>
      <w:r>
        <w:rPr>
          <w:rFonts w:ascii="宋体" w:hAnsi="宋体"/>
          <w:color w:val="auto"/>
          <w:sz w:val="24"/>
          <w:highlight w:val="none"/>
          <w:u w:val="single"/>
        </w:rPr>
        <w:t xml:space="preserve">    </w:t>
      </w:r>
      <w:r>
        <w:rPr>
          <w:rFonts w:ascii="宋体" w:hAnsi="宋体"/>
          <w:color w:val="auto"/>
          <w:sz w:val="24"/>
          <w:highlight w:val="none"/>
        </w:rPr>
        <w:t>分</w:t>
      </w:r>
    </w:p>
    <w:tbl>
      <w:tblPr>
        <w:tblStyle w:val="49"/>
        <w:tblW w:w="8697" w:type="dxa"/>
        <w:tblInd w:w="0" w:type="dxa"/>
        <w:tblLayout w:type="fixed"/>
        <w:tblCellMar>
          <w:top w:w="0" w:type="dxa"/>
          <w:left w:w="0" w:type="dxa"/>
          <w:bottom w:w="0" w:type="dxa"/>
          <w:right w:w="0" w:type="dxa"/>
        </w:tblCellMar>
      </w:tblPr>
      <w:tblGrid>
        <w:gridCol w:w="958"/>
        <w:gridCol w:w="2763"/>
        <w:gridCol w:w="1888"/>
        <w:gridCol w:w="2266"/>
        <w:gridCol w:w="822"/>
      </w:tblGrid>
      <w:tr w14:paraId="6E22E4C6">
        <w:tblPrEx>
          <w:tblCellMar>
            <w:top w:w="0" w:type="dxa"/>
            <w:left w:w="0" w:type="dxa"/>
            <w:bottom w:w="0" w:type="dxa"/>
            <w:right w:w="0" w:type="dxa"/>
          </w:tblCellMar>
        </w:tblPrEx>
        <w:trPr>
          <w:trHeight w:val="782"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03FC3842">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763" w:type="dxa"/>
            <w:tcBorders>
              <w:top w:val="single" w:color="000000" w:sz="4" w:space="0"/>
              <w:left w:val="single" w:color="000000" w:sz="4" w:space="0"/>
              <w:bottom w:val="single" w:color="000000" w:sz="4" w:space="0"/>
              <w:right w:val="single" w:color="000000" w:sz="4" w:space="0"/>
            </w:tcBorders>
            <w:vAlign w:val="center"/>
          </w:tcPr>
          <w:p w14:paraId="40338CF1">
            <w:pPr>
              <w:spacing w:line="400" w:lineRule="exact"/>
              <w:jc w:val="center"/>
              <w:rPr>
                <w:rFonts w:ascii="宋体" w:hAnsi="宋体"/>
                <w:color w:val="auto"/>
                <w:szCs w:val="21"/>
                <w:highlight w:val="none"/>
              </w:rPr>
            </w:pPr>
            <w:r>
              <w:rPr>
                <w:rFonts w:hint="eastAsia" w:ascii="宋体" w:hAnsi="宋体"/>
                <w:color w:val="auto"/>
                <w:szCs w:val="21"/>
                <w:highlight w:val="none"/>
              </w:rPr>
              <w:t>投标人名称</w:t>
            </w:r>
          </w:p>
        </w:tc>
        <w:tc>
          <w:tcPr>
            <w:tcW w:w="1888" w:type="dxa"/>
            <w:tcBorders>
              <w:top w:val="single" w:color="000000" w:sz="4" w:space="0"/>
              <w:left w:val="single" w:color="auto" w:sz="4" w:space="0"/>
              <w:bottom w:val="single" w:color="000000" w:sz="4" w:space="0"/>
              <w:right w:val="single" w:color="000000" w:sz="4" w:space="0"/>
            </w:tcBorders>
            <w:vAlign w:val="center"/>
          </w:tcPr>
          <w:p w14:paraId="6BB619D5">
            <w:pPr>
              <w:spacing w:line="400" w:lineRule="exact"/>
              <w:jc w:val="center"/>
              <w:rPr>
                <w:rFonts w:ascii="宋体" w:hAnsi="宋体"/>
                <w:color w:val="auto"/>
                <w:szCs w:val="21"/>
                <w:highlight w:val="none"/>
              </w:rPr>
            </w:pPr>
            <w:r>
              <w:rPr>
                <w:rFonts w:hint="eastAsia" w:ascii="宋体" w:hAnsi="宋体"/>
                <w:color w:val="auto"/>
                <w:szCs w:val="21"/>
                <w:highlight w:val="none"/>
              </w:rPr>
              <w:t>投标报价（元）</w:t>
            </w:r>
            <w:r>
              <w:rPr>
                <w:rStyle w:val="59"/>
                <w:rFonts w:hint="eastAsia" w:ascii="宋体" w:hAnsi="宋体"/>
                <w:color w:val="auto"/>
                <w:szCs w:val="21"/>
                <w:highlight w:val="none"/>
              </w:rPr>
              <w:footnoteReference w:id="111"/>
            </w:r>
          </w:p>
        </w:tc>
        <w:tc>
          <w:tcPr>
            <w:tcW w:w="2266" w:type="dxa"/>
            <w:tcBorders>
              <w:top w:val="single" w:color="000000" w:sz="4" w:space="0"/>
              <w:left w:val="single" w:color="000000" w:sz="4" w:space="0"/>
              <w:bottom w:val="single" w:color="000000" w:sz="4" w:space="0"/>
              <w:right w:val="single" w:color="000000" w:sz="4" w:space="0"/>
            </w:tcBorders>
            <w:vAlign w:val="center"/>
          </w:tcPr>
          <w:p w14:paraId="2C4D2F25">
            <w:pPr>
              <w:spacing w:line="400" w:lineRule="exact"/>
              <w:jc w:val="center"/>
              <w:rPr>
                <w:rFonts w:ascii="宋体" w:hAnsi="宋体"/>
                <w:color w:val="auto"/>
                <w:szCs w:val="21"/>
                <w:highlight w:val="none"/>
              </w:rPr>
            </w:pPr>
            <w:r>
              <w:rPr>
                <w:rFonts w:hint="eastAsia" w:ascii="宋体" w:hAnsi="宋体"/>
                <w:color w:val="auto"/>
                <w:szCs w:val="21"/>
                <w:highlight w:val="none"/>
              </w:rPr>
              <w:t>是否超过最高投标限价</w:t>
            </w:r>
          </w:p>
        </w:tc>
        <w:tc>
          <w:tcPr>
            <w:tcW w:w="822" w:type="dxa"/>
            <w:tcBorders>
              <w:top w:val="single" w:color="000000" w:sz="4" w:space="0"/>
              <w:left w:val="single" w:color="000000" w:sz="4" w:space="0"/>
              <w:bottom w:val="single" w:color="000000" w:sz="4" w:space="0"/>
              <w:right w:val="single" w:color="000000" w:sz="4" w:space="0"/>
            </w:tcBorders>
            <w:vAlign w:val="center"/>
          </w:tcPr>
          <w:p w14:paraId="54281C00">
            <w:pPr>
              <w:spacing w:line="400" w:lineRule="exact"/>
              <w:jc w:val="center"/>
              <w:rPr>
                <w:rFonts w:ascii="宋体" w:hAnsi="宋体"/>
                <w:color w:val="auto"/>
                <w:szCs w:val="21"/>
                <w:highlight w:val="none"/>
              </w:rPr>
            </w:pPr>
            <w:r>
              <w:rPr>
                <w:rFonts w:hint="eastAsia" w:ascii="宋体" w:hAnsi="宋体"/>
                <w:color w:val="auto"/>
                <w:szCs w:val="21"/>
                <w:highlight w:val="none"/>
              </w:rPr>
              <w:t>备注</w:t>
            </w:r>
          </w:p>
        </w:tc>
      </w:tr>
      <w:tr w14:paraId="60124257">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2E6CDAF4">
            <w:pPr>
              <w:spacing w:line="400" w:lineRule="exact"/>
              <w:jc w:val="center"/>
              <w:rPr>
                <w:rFonts w:ascii="宋体" w:hAnsi="宋体"/>
                <w:color w:val="auto"/>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0AB00337">
            <w:pPr>
              <w:spacing w:line="400" w:lineRule="exact"/>
              <w:jc w:val="center"/>
              <w:rPr>
                <w:rFonts w:ascii="宋体" w:hAnsi="宋体"/>
                <w:color w:val="auto"/>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74CEB2A9">
            <w:pPr>
              <w:spacing w:line="400" w:lineRule="exact"/>
              <w:jc w:val="center"/>
              <w:rPr>
                <w:rFonts w:ascii="宋体" w:hAnsi="宋体"/>
                <w:color w:val="auto"/>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35E11EF0">
            <w:pPr>
              <w:spacing w:line="400" w:lineRule="exact"/>
              <w:jc w:val="center"/>
              <w:rPr>
                <w:rFonts w:ascii="宋体" w:hAnsi="宋体"/>
                <w:color w:val="auto"/>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3D7C844">
            <w:pPr>
              <w:spacing w:line="400" w:lineRule="exact"/>
              <w:jc w:val="center"/>
              <w:rPr>
                <w:rFonts w:ascii="宋体" w:hAnsi="宋体"/>
                <w:color w:val="auto"/>
                <w:szCs w:val="21"/>
                <w:highlight w:val="none"/>
              </w:rPr>
            </w:pPr>
          </w:p>
        </w:tc>
      </w:tr>
      <w:tr w14:paraId="1E619F3A">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22714EB8">
            <w:pPr>
              <w:spacing w:line="400" w:lineRule="exact"/>
              <w:jc w:val="center"/>
              <w:rPr>
                <w:rFonts w:ascii="宋体" w:hAnsi="宋体"/>
                <w:color w:val="auto"/>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28F6259F">
            <w:pPr>
              <w:spacing w:line="400" w:lineRule="exact"/>
              <w:jc w:val="center"/>
              <w:rPr>
                <w:rFonts w:ascii="宋体" w:hAnsi="宋体"/>
                <w:color w:val="auto"/>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165CED44">
            <w:pPr>
              <w:spacing w:line="400" w:lineRule="exact"/>
              <w:jc w:val="center"/>
              <w:rPr>
                <w:rFonts w:ascii="宋体" w:hAnsi="宋体"/>
                <w:color w:val="auto"/>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39646AA8">
            <w:pPr>
              <w:spacing w:line="400" w:lineRule="exact"/>
              <w:jc w:val="center"/>
              <w:rPr>
                <w:rFonts w:ascii="宋体" w:hAnsi="宋体"/>
                <w:color w:val="auto"/>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33F4588D">
            <w:pPr>
              <w:spacing w:line="400" w:lineRule="exact"/>
              <w:jc w:val="center"/>
              <w:rPr>
                <w:rFonts w:ascii="宋体" w:hAnsi="宋体"/>
                <w:color w:val="auto"/>
                <w:szCs w:val="21"/>
                <w:highlight w:val="none"/>
              </w:rPr>
            </w:pPr>
          </w:p>
        </w:tc>
      </w:tr>
      <w:tr w14:paraId="3765F506">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1D521495">
            <w:pPr>
              <w:spacing w:line="400" w:lineRule="exact"/>
              <w:jc w:val="center"/>
              <w:rPr>
                <w:rFonts w:ascii="宋体" w:hAnsi="宋体"/>
                <w:color w:val="auto"/>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2BD931CE">
            <w:pPr>
              <w:spacing w:line="400" w:lineRule="exact"/>
              <w:jc w:val="center"/>
              <w:rPr>
                <w:rFonts w:ascii="宋体" w:hAnsi="宋体"/>
                <w:color w:val="auto"/>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0D952959">
            <w:pPr>
              <w:spacing w:line="400" w:lineRule="exact"/>
              <w:jc w:val="center"/>
              <w:rPr>
                <w:rFonts w:ascii="宋体" w:hAnsi="宋体"/>
                <w:color w:val="auto"/>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7B064EBB">
            <w:pPr>
              <w:spacing w:line="400" w:lineRule="exact"/>
              <w:jc w:val="center"/>
              <w:rPr>
                <w:rFonts w:ascii="宋体" w:hAnsi="宋体"/>
                <w:color w:val="auto"/>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30B868D6">
            <w:pPr>
              <w:spacing w:line="400" w:lineRule="exact"/>
              <w:jc w:val="center"/>
              <w:rPr>
                <w:rFonts w:ascii="宋体" w:hAnsi="宋体"/>
                <w:color w:val="auto"/>
                <w:szCs w:val="21"/>
                <w:highlight w:val="none"/>
              </w:rPr>
            </w:pPr>
          </w:p>
        </w:tc>
      </w:tr>
      <w:tr w14:paraId="6C2F3FB9">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754C405B">
            <w:pPr>
              <w:spacing w:line="400" w:lineRule="exact"/>
              <w:jc w:val="center"/>
              <w:rPr>
                <w:rFonts w:ascii="宋体" w:hAnsi="宋体"/>
                <w:color w:val="auto"/>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4B983622">
            <w:pPr>
              <w:spacing w:line="400" w:lineRule="exact"/>
              <w:jc w:val="center"/>
              <w:rPr>
                <w:rFonts w:ascii="宋体" w:hAnsi="宋体"/>
                <w:color w:val="auto"/>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0541D5D3">
            <w:pPr>
              <w:spacing w:line="400" w:lineRule="exact"/>
              <w:jc w:val="center"/>
              <w:rPr>
                <w:rFonts w:ascii="宋体" w:hAnsi="宋体"/>
                <w:color w:val="auto"/>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07C3085A">
            <w:pPr>
              <w:spacing w:line="400" w:lineRule="exact"/>
              <w:jc w:val="center"/>
              <w:rPr>
                <w:rFonts w:ascii="宋体" w:hAnsi="宋体"/>
                <w:color w:val="auto"/>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260B3715">
            <w:pPr>
              <w:spacing w:line="400" w:lineRule="exact"/>
              <w:jc w:val="center"/>
              <w:rPr>
                <w:rFonts w:ascii="宋体" w:hAnsi="宋体"/>
                <w:color w:val="auto"/>
                <w:szCs w:val="21"/>
                <w:highlight w:val="none"/>
              </w:rPr>
            </w:pPr>
          </w:p>
        </w:tc>
      </w:tr>
      <w:tr w14:paraId="07BCB9F5">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1DE90EFB">
            <w:pPr>
              <w:spacing w:line="400" w:lineRule="exact"/>
              <w:jc w:val="center"/>
              <w:rPr>
                <w:rFonts w:ascii="宋体" w:hAnsi="宋体"/>
                <w:color w:val="auto"/>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0B64F3D1">
            <w:pPr>
              <w:spacing w:line="400" w:lineRule="exact"/>
              <w:jc w:val="center"/>
              <w:rPr>
                <w:rFonts w:ascii="宋体" w:hAnsi="宋体"/>
                <w:color w:val="auto"/>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16387AD1">
            <w:pPr>
              <w:spacing w:line="400" w:lineRule="exact"/>
              <w:jc w:val="center"/>
              <w:rPr>
                <w:rFonts w:ascii="宋体" w:hAnsi="宋体"/>
                <w:color w:val="auto"/>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697FEC4D">
            <w:pPr>
              <w:spacing w:line="400" w:lineRule="exact"/>
              <w:jc w:val="center"/>
              <w:rPr>
                <w:rFonts w:ascii="宋体" w:hAnsi="宋体"/>
                <w:color w:val="auto"/>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7710CF82">
            <w:pPr>
              <w:spacing w:line="400" w:lineRule="exact"/>
              <w:jc w:val="center"/>
              <w:rPr>
                <w:rFonts w:ascii="宋体" w:hAnsi="宋体"/>
                <w:color w:val="auto"/>
                <w:szCs w:val="21"/>
                <w:highlight w:val="none"/>
              </w:rPr>
            </w:pPr>
          </w:p>
        </w:tc>
      </w:tr>
      <w:tr w14:paraId="3DDFE86A">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05E52EFC">
            <w:pPr>
              <w:spacing w:line="400" w:lineRule="exact"/>
              <w:jc w:val="center"/>
              <w:rPr>
                <w:rFonts w:ascii="宋体" w:hAnsi="宋体"/>
                <w:color w:val="auto"/>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3FC3AF49">
            <w:pPr>
              <w:spacing w:line="400" w:lineRule="exact"/>
              <w:jc w:val="center"/>
              <w:rPr>
                <w:rFonts w:ascii="宋体" w:hAnsi="宋体"/>
                <w:color w:val="auto"/>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67F6AE77">
            <w:pPr>
              <w:spacing w:line="400" w:lineRule="exact"/>
              <w:jc w:val="center"/>
              <w:rPr>
                <w:rFonts w:ascii="宋体" w:hAnsi="宋体"/>
                <w:color w:val="auto"/>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74411D04">
            <w:pPr>
              <w:spacing w:line="400" w:lineRule="exact"/>
              <w:jc w:val="center"/>
              <w:rPr>
                <w:rFonts w:ascii="宋体" w:hAnsi="宋体"/>
                <w:color w:val="auto"/>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35109E57">
            <w:pPr>
              <w:spacing w:line="400" w:lineRule="exact"/>
              <w:jc w:val="center"/>
              <w:rPr>
                <w:rFonts w:ascii="宋体" w:hAnsi="宋体"/>
                <w:color w:val="auto"/>
                <w:szCs w:val="21"/>
                <w:highlight w:val="none"/>
              </w:rPr>
            </w:pPr>
          </w:p>
        </w:tc>
      </w:tr>
      <w:tr w14:paraId="42D74D1F">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5CAF9A7E">
            <w:pPr>
              <w:spacing w:line="400" w:lineRule="exact"/>
              <w:jc w:val="center"/>
              <w:rPr>
                <w:rFonts w:ascii="宋体" w:hAnsi="宋体"/>
                <w:color w:val="auto"/>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351558D8">
            <w:pPr>
              <w:spacing w:line="400" w:lineRule="exact"/>
              <w:jc w:val="center"/>
              <w:rPr>
                <w:rFonts w:ascii="宋体" w:hAnsi="宋体"/>
                <w:color w:val="auto"/>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3529816F">
            <w:pPr>
              <w:spacing w:line="400" w:lineRule="exact"/>
              <w:jc w:val="center"/>
              <w:rPr>
                <w:rFonts w:ascii="宋体" w:hAnsi="宋体"/>
                <w:color w:val="auto"/>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1236C787">
            <w:pPr>
              <w:spacing w:line="400" w:lineRule="exact"/>
              <w:jc w:val="center"/>
              <w:rPr>
                <w:rFonts w:ascii="宋体" w:hAnsi="宋体"/>
                <w:color w:val="auto"/>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7387C899">
            <w:pPr>
              <w:spacing w:line="400" w:lineRule="exact"/>
              <w:jc w:val="center"/>
              <w:rPr>
                <w:rFonts w:ascii="宋体" w:hAnsi="宋体"/>
                <w:color w:val="auto"/>
                <w:szCs w:val="21"/>
                <w:highlight w:val="none"/>
              </w:rPr>
            </w:pPr>
          </w:p>
        </w:tc>
      </w:tr>
    </w:tbl>
    <w:p w14:paraId="2816241F">
      <w:pPr>
        <w:spacing w:line="360" w:lineRule="auto"/>
        <w:jc w:val="left"/>
        <w:rPr>
          <w:rFonts w:ascii="宋体" w:hAnsi="宋体"/>
          <w:color w:val="auto"/>
          <w:sz w:val="24"/>
          <w:highlight w:val="none"/>
        </w:rPr>
      </w:pPr>
    </w:p>
    <w:p w14:paraId="482E2DA4">
      <w:pPr>
        <w:spacing w:line="360" w:lineRule="auto"/>
        <w:rPr>
          <w:color w:val="auto"/>
          <w:szCs w:val="21"/>
          <w:highlight w:val="none"/>
        </w:rPr>
      </w:pPr>
    </w:p>
    <w:p w14:paraId="257D1E26">
      <w:pPr>
        <w:spacing w:line="360" w:lineRule="auto"/>
        <w:rPr>
          <w:rFonts w:ascii="宋体" w:hAnsi="宋体"/>
          <w:color w:val="auto"/>
          <w:sz w:val="24"/>
          <w:highlight w:val="none"/>
        </w:rPr>
      </w:pPr>
      <w:r>
        <w:rPr>
          <w:rFonts w:hint="eastAsia" w:ascii="宋体" w:hAnsi="宋体" w:cs="宋体"/>
          <w:color w:val="auto"/>
          <w:sz w:val="24"/>
          <w:highlight w:val="none"/>
        </w:rPr>
        <w:t>招标人或招标代理机构：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（盖单位电子印章</w:t>
      </w:r>
      <w:r>
        <w:rPr>
          <w:rFonts w:hint="eastAsia" w:ascii="宋体" w:hAnsi="宋体" w:cs="宋体"/>
          <w:color w:val="auto"/>
          <w:sz w:val="24"/>
          <w:highlight w:val="none"/>
          <w:lang w:eastAsia="zh-CN"/>
        </w:rPr>
        <w:t>）</w:t>
      </w:r>
      <w:r>
        <w:rPr>
          <w:rFonts w:ascii="宋体" w:hAnsi="宋体" w:cs="宋体"/>
          <w:color w:val="auto"/>
          <w:sz w:val="24"/>
          <w:highlight w:val="none"/>
        </w:rPr>
        <w:t xml:space="preserve">     </w:t>
      </w:r>
      <w:r>
        <w:rPr>
          <w:rFonts w:ascii="宋体" w:hAnsi="宋体"/>
          <w:color w:val="auto"/>
          <w:sz w:val="24"/>
          <w:highlight w:val="none"/>
        </w:rPr>
        <w:t xml:space="preserve">  </w:t>
      </w:r>
    </w:p>
    <w:p w14:paraId="0C886EA2">
      <w:pPr>
        <w:tabs>
          <w:tab w:val="left" w:pos="6276"/>
        </w:tabs>
        <w:rPr>
          <w:rFonts w:ascii="宋体" w:hAnsi="宋体"/>
          <w:color w:val="auto"/>
          <w:szCs w:val="21"/>
          <w:highlight w:val="none"/>
        </w:rPr>
      </w:pPr>
    </w:p>
    <w:p w14:paraId="75B928FB">
      <w:pPr>
        <w:tabs>
          <w:tab w:val="left" w:pos="6276"/>
        </w:tabs>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注：第二个信封（报价文件）开标过程中，若投标文件出现以下任一情况，</w:t>
      </w:r>
      <w:r>
        <w:rPr>
          <w:rFonts w:hint="eastAsia" w:ascii="宋体" w:hAnsi="宋体" w:cs="宋体"/>
          <w:color w:val="auto"/>
          <w:szCs w:val="21"/>
          <w:highlight w:val="none"/>
        </w:rPr>
        <w:t>经监督人确认后</w:t>
      </w:r>
      <w:r>
        <w:rPr>
          <w:rFonts w:hint="eastAsia" w:ascii="宋体" w:hAnsi="宋体"/>
          <w:color w:val="auto"/>
          <w:szCs w:val="21"/>
          <w:highlight w:val="none"/>
        </w:rPr>
        <w:t>当场在开标记录表备注栏中予以记录：</w:t>
      </w:r>
    </w:p>
    <w:p w14:paraId="7B25A9E8">
      <w:pPr>
        <w:tabs>
          <w:tab w:val="left" w:pos="6276"/>
        </w:tabs>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①投标函（第二个信封）未填写投标报价；</w:t>
      </w:r>
    </w:p>
    <w:p w14:paraId="4DE2D8AD">
      <w:pPr>
        <w:tabs>
          <w:tab w:val="left" w:pos="6276"/>
        </w:tabs>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②投标报价超过招标人公布的限价；</w:t>
      </w:r>
    </w:p>
    <w:p w14:paraId="05320BA5">
      <w:pPr>
        <w:tabs>
          <w:tab w:val="left" w:pos="6276"/>
        </w:tabs>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③投标报价的大写金额无法确定具体数值；</w:t>
      </w:r>
    </w:p>
    <w:p w14:paraId="0C168735">
      <w:pPr>
        <w:pStyle w:val="299"/>
        <w:spacing w:line="480" w:lineRule="exact"/>
        <w:ind w:firstLine="420" w:firstLineChars="200"/>
        <w:rPr>
          <w:rFonts w:ascii="宋体" w:hAnsi="宋体"/>
          <w:color w:val="auto"/>
          <w:szCs w:val="30"/>
          <w:highlight w:val="none"/>
        </w:rPr>
      </w:pPr>
      <w:r>
        <w:rPr>
          <w:rFonts w:hint="default" w:ascii="Times New Roman" w:hAnsi="Times New Roman"/>
          <w:color w:val="auto"/>
          <w:szCs w:val="24"/>
          <w:highlight w:val="none"/>
        </w:rPr>
        <w:t>④</w:t>
      </w:r>
      <w:r>
        <w:rPr>
          <w:rFonts w:hint="eastAsia" w:ascii="Times New Roman" w:hAnsi="Times New Roman"/>
          <w:color w:val="auto"/>
          <w:szCs w:val="24"/>
          <w:highlight w:val="none"/>
        </w:rPr>
        <w:t>第二个信封</w:t>
      </w:r>
      <w:r>
        <w:rPr>
          <w:rFonts w:hint="default" w:ascii="Times New Roman" w:hAnsi="Times New Roman"/>
          <w:color w:val="auto"/>
          <w:szCs w:val="24"/>
          <w:highlight w:val="none"/>
          <w:lang w:eastAsia="zh-CN"/>
        </w:rPr>
        <w:t>（</w:t>
      </w:r>
      <w:r>
        <w:rPr>
          <w:rFonts w:hint="default" w:ascii="Times New Roman" w:hAnsi="Times New Roman"/>
          <w:color w:val="auto"/>
          <w:szCs w:val="24"/>
          <w:highlight w:val="none"/>
          <w:lang w:val="en-US" w:eastAsia="zh-CN"/>
        </w:rPr>
        <w:t>报价文件</w:t>
      </w:r>
      <w:r>
        <w:rPr>
          <w:rFonts w:hint="default" w:ascii="Times New Roman" w:hAnsi="Times New Roman"/>
          <w:color w:val="auto"/>
          <w:szCs w:val="24"/>
          <w:highlight w:val="none"/>
          <w:lang w:eastAsia="zh-CN"/>
        </w:rPr>
        <w:t>）</w:t>
      </w:r>
      <w:r>
        <w:rPr>
          <w:rFonts w:hint="eastAsia" w:ascii="Times New Roman" w:hAnsi="Times New Roman"/>
          <w:color w:val="auto"/>
          <w:szCs w:val="24"/>
          <w:highlight w:val="none"/>
        </w:rPr>
        <w:t>电子文档（因投标文件错误或内容缺失等源文件原因）不能成功导入。</w:t>
      </w:r>
      <w:r>
        <w:rPr>
          <w:rFonts w:ascii="宋体" w:hAnsi="宋体"/>
          <w:color w:val="auto"/>
          <w:szCs w:val="30"/>
          <w:highlight w:val="none"/>
        </w:rPr>
        <w:br w:type="page"/>
      </w:r>
      <w:bookmarkStart w:id="637" w:name="_Toc53685643"/>
      <w:bookmarkStart w:id="638" w:name="_Toc234382646"/>
    </w:p>
    <w:p w14:paraId="6D6705B0">
      <w:pPr>
        <w:pStyle w:val="5"/>
        <w:spacing w:before="0" w:after="0"/>
        <w:jc w:val="both"/>
        <w:rPr>
          <w:b w:val="0"/>
          <w:bCs w:val="0"/>
          <w:color w:val="auto"/>
          <w:highlight w:val="none"/>
        </w:rPr>
      </w:pPr>
      <w:r>
        <w:rPr>
          <w:rFonts w:hint="eastAsia"/>
          <w:b w:val="0"/>
          <w:bCs w:val="0"/>
          <w:color w:val="auto"/>
          <w:highlight w:val="none"/>
        </w:rPr>
        <w:t>附件二</w:t>
      </w:r>
      <w:r>
        <w:rPr>
          <w:b w:val="0"/>
          <w:bCs w:val="0"/>
          <w:color w:val="auto"/>
          <w:highlight w:val="none"/>
        </w:rPr>
        <w:t xml:space="preserve">  </w:t>
      </w:r>
      <w:r>
        <w:rPr>
          <w:rFonts w:hint="eastAsia"/>
          <w:b w:val="0"/>
          <w:bCs w:val="0"/>
          <w:color w:val="auto"/>
          <w:highlight w:val="none"/>
        </w:rPr>
        <w:t>问题澄清通知</w:t>
      </w:r>
      <w:bookmarkEnd w:id="637"/>
      <w:bookmarkEnd w:id="638"/>
    </w:p>
    <w:p w14:paraId="71FC4000">
      <w:pPr>
        <w:spacing w:line="360" w:lineRule="auto"/>
        <w:jc w:val="center"/>
        <w:rPr>
          <w:rFonts w:ascii="黑体" w:hAnsi="黑体" w:eastAsia="黑体"/>
          <w:bCs/>
          <w:color w:val="auto"/>
          <w:kern w:val="44"/>
          <w:sz w:val="28"/>
          <w:szCs w:val="28"/>
          <w:highlight w:val="none"/>
        </w:rPr>
      </w:pPr>
      <w:r>
        <w:rPr>
          <w:rFonts w:hint="eastAsia" w:ascii="黑体" w:hAnsi="黑体" w:eastAsia="黑体"/>
          <w:bCs/>
          <w:color w:val="auto"/>
          <w:kern w:val="44"/>
          <w:sz w:val="28"/>
          <w:szCs w:val="28"/>
          <w:highlight w:val="none"/>
        </w:rPr>
        <w:t>问题澄清通知</w:t>
      </w:r>
    </w:p>
    <w:p w14:paraId="309743CD">
      <w:pPr>
        <w:spacing w:line="360" w:lineRule="auto"/>
        <w:jc w:val="center"/>
        <w:rPr>
          <w:rFonts w:ascii="宋体" w:hAnsi="宋体"/>
          <w:color w:val="auto"/>
          <w:szCs w:val="21"/>
          <w:highlight w:val="none"/>
        </w:rPr>
      </w:pPr>
      <w:r>
        <w:rPr>
          <w:rFonts w:hint="eastAsia"/>
          <w:color w:val="auto"/>
          <w:szCs w:val="21"/>
          <w:highlight w:val="none"/>
        </w:rPr>
        <w:t>（编号：</w:t>
      </w:r>
      <w:r>
        <w:rPr>
          <w:color w:val="auto"/>
          <w:szCs w:val="21"/>
          <w:highlight w:val="none"/>
          <w:u w:val="single"/>
        </w:rPr>
        <w:t xml:space="preserve">            </w:t>
      </w:r>
      <w:r>
        <w:rPr>
          <w:rFonts w:hint="eastAsia"/>
          <w:color w:val="auto"/>
          <w:szCs w:val="21"/>
          <w:highlight w:val="none"/>
        </w:rPr>
        <w:t>）</w:t>
      </w:r>
    </w:p>
    <w:p w14:paraId="5322A3BE">
      <w:pPr>
        <w:spacing w:line="360" w:lineRule="auto"/>
        <w:rPr>
          <w:rFonts w:ascii="宋体" w:hAnsi="宋体"/>
          <w:color w:val="auto"/>
          <w:sz w:val="24"/>
          <w:highlight w:val="none"/>
        </w:rPr>
      </w:pPr>
    </w:p>
    <w:p w14:paraId="6C748973">
      <w:pPr>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 xml:space="preserve">     </w:t>
      </w:r>
      <w:r>
        <w:rPr>
          <w:rFonts w:ascii="宋体" w:hAnsi="宋体"/>
          <w:color w:val="auto"/>
          <w:sz w:val="24"/>
          <w:highlight w:val="none"/>
        </w:rPr>
        <w:t>（投标人名称）：</w:t>
      </w:r>
    </w:p>
    <w:p w14:paraId="0BD9A839">
      <w:pPr>
        <w:spacing w:line="360" w:lineRule="auto"/>
        <w:rPr>
          <w:rFonts w:ascii="宋体" w:hAnsi="宋体"/>
          <w:color w:val="auto"/>
          <w:sz w:val="24"/>
          <w:highlight w:val="none"/>
        </w:rPr>
      </w:pPr>
    </w:p>
    <w:p w14:paraId="38A36CF2">
      <w:pPr>
        <w:spacing w:line="360" w:lineRule="auto"/>
        <w:ind w:firstLine="480" w:firstLineChars="200"/>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w:t>
      </w:r>
      <w:r>
        <w:rPr>
          <w:rFonts w:hint="eastAsia" w:ascii="宋体" w:hAnsi="宋体"/>
          <w:color w:val="auto"/>
          <w:sz w:val="24"/>
          <w:highlight w:val="none"/>
        </w:rPr>
        <w:t>招标第</w:t>
      </w:r>
      <w:r>
        <w:rPr>
          <w:rFonts w:ascii="宋体" w:hAnsi="宋体"/>
          <w:color w:val="auto"/>
          <w:sz w:val="24"/>
          <w:highlight w:val="none"/>
          <w:u w:val="single"/>
        </w:rPr>
        <w:t xml:space="preserve">    </w:t>
      </w:r>
      <w:r>
        <w:rPr>
          <w:rFonts w:hint="eastAsia" w:ascii="宋体" w:hAnsi="宋体"/>
          <w:color w:val="auto"/>
          <w:sz w:val="24"/>
          <w:highlight w:val="none"/>
        </w:rPr>
        <w:t>标段</w:t>
      </w:r>
      <w:r>
        <w:rPr>
          <w:rFonts w:ascii="宋体" w:hAnsi="宋体"/>
          <w:color w:val="auto"/>
          <w:sz w:val="24"/>
          <w:highlight w:val="none"/>
        </w:rPr>
        <w:t>的评标委员会，对你方的投标文件进行了仔细的审查，现需你方对下列问题予以澄清</w:t>
      </w:r>
      <w:r>
        <w:rPr>
          <w:rFonts w:hint="eastAsia" w:ascii="宋体" w:hAnsi="宋体"/>
          <w:color w:val="auto"/>
          <w:sz w:val="24"/>
          <w:highlight w:val="none"/>
          <w:lang w:val="en-US" w:eastAsia="zh-CN"/>
        </w:rPr>
        <w:t>或说明</w:t>
      </w:r>
      <w:r>
        <w:rPr>
          <w:rFonts w:ascii="宋体" w:hAnsi="宋体"/>
          <w:color w:val="auto"/>
          <w:sz w:val="24"/>
          <w:highlight w:val="none"/>
        </w:rPr>
        <w:t>：</w:t>
      </w:r>
    </w:p>
    <w:p w14:paraId="54B0CD0C">
      <w:pPr>
        <w:spacing w:line="360" w:lineRule="auto"/>
        <w:rPr>
          <w:rFonts w:ascii="宋体" w:hAnsi="宋体"/>
          <w:color w:val="auto"/>
          <w:sz w:val="24"/>
          <w:highlight w:val="none"/>
        </w:rPr>
      </w:pPr>
    </w:p>
    <w:p w14:paraId="2748C4A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 </w:t>
      </w:r>
    </w:p>
    <w:p w14:paraId="7CC909EE">
      <w:pPr>
        <w:spacing w:line="360" w:lineRule="auto"/>
        <w:ind w:firstLine="480" w:firstLineChars="200"/>
        <w:rPr>
          <w:rFonts w:ascii="宋体" w:hAnsi="宋体"/>
          <w:color w:val="auto"/>
          <w:sz w:val="24"/>
          <w:highlight w:val="none"/>
        </w:rPr>
      </w:pPr>
    </w:p>
    <w:p w14:paraId="0873004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 </w:t>
      </w:r>
    </w:p>
    <w:p w14:paraId="31A6280C">
      <w:pPr>
        <w:spacing w:line="360" w:lineRule="auto"/>
        <w:rPr>
          <w:rFonts w:ascii="宋体" w:hAnsi="宋体"/>
          <w:color w:val="auto"/>
          <w:sz w:val="24"/>
          <w:highlight w:val="none"/>
        </w:rPr>
      </w:pPr>
    </w:p>
    <w:p w14:paraId="3646F30B">
      <w:pPr>
        <w:spacing w:line="360" w:lineRule="auto"/>
        <w:ind w:firstLine="420" w:firstLineChars="200"/>
        <w:rPr>
          <w:rFonts w:ascii="宋体" w:hAnsi="宋体"/>
          <w:color w:val="auto"/>
          <w:sz w:val="24"/>
          <w:highlight w:val="none"/>
        </w:rPr>
      </w:pPr>
      <w:r>
        <w:rPr>
          <w:rFonts w:hint="eastAsia" w:ascii="宋体" w:hAnsi="宋体" w:eastAsia="宋体" w:cs="宋体"/>
          <w:color w:val="auto"/>
          <w:highlight w:val="none"/>
          <w:lang w:val="en-US" w:eastAsia="zh-CN"/>
        </w:rPr>
        <w:t>……</w:t>
      </w:r>
    </w:p>
    <w:p w14:paraId="550D41FD">
      <w:pPr>
        <w:pStyle w:val="199"/>
        <w:rPr>
          <w:rFonts w:hAnsi="宋体"/>
          <w:color w:val="auto"/>
          <w:highlight w:val="none"/>
        </w:rPr>
      </w:pPr>
    </w:p>
    <w:p w14:paraId="20D121A9">
      <w:pPr>
        <w:spacing w:line="360" w:lineRule="auto"/>
        <w:ind w:firstLine="480" w:firstLineChars="200"/>
        <w:rPr>
          <w:rFonts w:hint="eastAsia"/>
          <w:color w:val="auto"/>
          <w:sz w:val="24"/>
          <w:highlight w:val="none"/>
        </w:rPr>
      </w:pPr>
    </w:p>
    <w:p w14:paraId="7D90DE99">
      <w:pPr>
        <w:spacing w:line="360" w:lineRule="auto"/>
        <w:ind w:firstLine="480" w:firstLineChars="200"/>
        <w:rPr>
          <w:rFonts w:ascii="宋体" w:hAnsi="宋体"/>
          <w:color w:val="auto"/>
          <w:sz w:val="24"/>
          <w:highlight w:val="none"/>
        </w:rPr>
      </w:pPr>
      <w:r>
        <w:rPr>
          <w:rFonts w:hint="eastAsia"/>
          <w:color w:val="auto"/>
          <w:sz w:val="24"/>
          <w:highlight w:val="none"/>
        </w:rPr>
        <w:t>请将上述问题的澄清</w:t>
      </w:r>
      <w:r>
        <w:rPr>
          <w:rFonts w:hint="eastAsia"/>
          <w:color w:val="auto"/>
          <w:sz w:val="24"/>
          <w:highlight w:val="none"/>
          <w:lang w:val="en-US" w:eastAsia="zh-CN"/>
        </w:rPr>
        <w:t>或说明</w:t>
      </w:r>
      <w:r>
        <w:rPr>
          <w:rFonts w:hint="eastAsia"/>
          <w:color w:val="auto"/>
          <w:sz w:val="24"/>
          <w:highlight w:val="none"/>
        </w:rPr>
        <w:t>于</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r>
        <w:rPr>
          <w:color w:val="auto"/>
          <w:sz w:val="24"/>
          <w:highlight w:val="none"/>
          <w:u w:val="single"/>
        </w:rPr>
        <w:t xml:space="preserve">    </w:t>
      </w:r>
      <w:r>
        <w:rPr>
          <w:rFonts w:hint="eastAsia"/>
          <w:color w:val="auto"/>
          <w:sz w:val="24"/>
          <w:highlight w:val="none"/>
        </w:rPr>
        <w:t>时通过</w:t>
      </w:r>
      <w:r>
        <w:rPr>
          <w:color w:val="auto"/>
          <w:sz w:val="24"/>
          <w:highlight w:val="none"/>
        </w:rPr>
        <w:t xml:space="preserve"> </w:t>
      </w:r>
      <w:r>
        <w:rPr>
          <w:rFonts w:hint="eastAsia"/>
          <w:color w:val="auto"/>
          <w:sz w:val="24"/>
          <w:highlight w:val="none"/>
        </w:rPr>
        <w:t>“</w:t>
      </w:r>
      <w:r>
        <w:rPr>
          <w:rFonts w:hint="eastAsia"/>
          <w:color w:val="auto"/>
          <w:sz w:val="24"/>
          <w:highlight w:val="none"/>
          <w:lang w:eastAsia="zh-CN"/>
        </w:rPr>
        <w:t>电子交易系统</w:t>
      </w:r>
      <w:r>
        <w:rPr>
          <w:rFonts w:hint="eastAsia"/>
          <w:color w:val="auto"/>
          <w:sz w:val="24"/>
          <w:highlight w:val="none"/>
        </w:rPr>
        <w:t>”</w:t>
      </w:r>
      <w:r>
        <w:rPr>
          <w:rFonts w:hint="eastAsia"/>
          <w:color w:val="auto"/>
          <w:sz w:val="24"/>
          <w:highlight w:val="none"/>
          <w:lang w:val="en-US" w:eastAsia="zh-CN"/>
        </w:rPr>
        <w:t>提交</w:t>
      </w:r>
      <w:r>
        <w:rPr>
          <w:rFonts w:hint="eastAsia"/>
          <w:color w:val="auto"/>
          <w:sz w:val="24"/>
          <w:highlight w:val="none"/>
        </w:rPr>
        <w:t>。</w:t>
      </w:r>
    </w:p>
    <w:p w14:paraId="2D200FE8">
      <w:pPr>
        <w:spacing w:line="360" w:lineRule="auto"/>
        <w:ind w:left="359" w:leftChars="171" w:firstLine="120" w:firstLineChars="50"/>
        <w:rPr>
          <w:rFonts w:ascii="宋体" w:hAnsi="宋体"/>
          <w:color w:val="auto"/>
          <w:sz w:val="24"/>
          <w:highlight w:val="none"/>
        </w:rPr>
      </w:pPr>
    </w:p>
    <w:p w14:paraId="15AF1DB4">
      <w:pPr>
        <w:spacing w:line="360" w:lineRule="auto"/>
        <w:ind w:left="359" w:leftChars="171" w:firstLine="120" w:firstLineChars="50"/>
        <w:rPr>
          <w:rFonts w:ascii="宋体" w:hAnsi="宋体"/>
          <w:color w:val="auto"/>
          <w:sz w:val="24"/>
          <w:highlight w:val="none"/>
        </w:rPr>
      </w:pPr>
    </w:p>
    <w:p w14:paraId="4516FFE6">
      <w:pPr>
        <w:spacing w:line="360" w:lineRule="auto"/>
        <w:ind w:firstLine="960" w:firstLineChars="400"/>
        <w:rPr>
          <w:rFonts w:hint="eastAsia" w:ascii="宋体" w:hAnsi="宋体" w:cs="宋体"/>
          <w:color w:val="auto"/>
          <w:sz w:val="24"/>
          <w:highlight w:val="none"/>
          <w:u w:val="single"/>
        </w:rPr>
      </w:pPr>
      <w:r>
        <w:rPr>
          <w:rFonts w:hint="eastAsia"/>
          <w:color w:val="auto"/>
          <w:sz w:val="24"/>
          <w:highlight w:val="none"/>
        </w:rPr>
        <w:t>评标委员会</w:t>
      </w:r>
      <w:bookmarkStart w:id="639" w:name="_Hlk94003484"/>
      <w:bookmarkStart w:id="640" w:name="_Hlk94089360"/>
      <w:r>
        <w:rPr>
          <w:rFonts w:hint="eastAsia"/>
          <w:color w:val="auto"/>
          <w:sz w:val="24"/>
          <w:highlight w:val="none"/>
        </w:rPr>
        <w:t>授权的招标人或招标代理机构</w:t>
      </w:r>
      <w:bookmarkEnd w:id="639"/>
      <w:r>
        <w:rPr>
          <w:rFonts w:hint="eastAsia"/>
          <w:color w:val="auto"/>
          <w:sz w:val="24"/>
          <w:highlight w:val="none"/>
        </w:rPr>
        <w:t>：</w:t>
      </w:r>
      <w:r>
        <w:rPr>
          <w:color w:val="auto"/>
          <w:sz w:val="24"/>
          <w:highlight w:val="none"/>
          <w:u w:val="single"/>
        </w:rPr>
        <w:t xml:space="preserve"> </w:t>
      </w:r>
      <w:bookmarkStart w:id="641" w:name="_Hlk94003497"/>
      <w:r>
        <w:rPr>
          <w:rFonts w:hint="eastAsia" w:ascii="宋体" w:hAnsi="宋体" w:cs="宋体"/>
          <w:color w:val="auto"/>
          <w:sz w:val="24"/>
          <w:highlight w:val="none"/>
          <w:u w:val="single"/>
        </w:rPr>
        <w:t>（盖单位电子印章／盖单位章）</w:t>
      </w:r>
      <w:bookmarkEnd w:id="641"/>
    </w:p>
    <w:p w14:paraId="7E5C2CB6">
      <w:pPr>
        <w:spacing w:line="360" w:lineRule="auto"/>
        <w:ind w:firstLine="6480" w:firstLineChars="2700"/>
        <w:rPr>
          <w:rFonts w:hint="eastAsia" w:eastAsia="宋体"/>
          <w:color w:val="auto"/>
          <w:sz w:val="24"/>
          <w:highlight w:val="none"/>
          <w:lang w:val="en-US" w:eastAsia="zh-CN"/>
        </w:rPr>
      </w:pPr>
      <w:r>
        <w:rPr>
          <w:rFonts w:hint="eastAsia" w:ascii="宋体" w:hAnsi="宋体" w:cs="宋体"/>
          <w:color w:val="auto"/>
          <w:sz w:val="24"/>
          <w:highlight w:val="none"/>
          <w:u w:val="none"/>
          <w:lang w:val="en-US" w:eastAsia="zh-CN"/>
        </w:rPr>
        <w:t xml:space="preserve"> </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p>
    <w:bookmarkEnd w:id="640"/>
    <w:p w14:paraId="0D241319">
      <w:pPr>
        <w:rPr>
          <w:b w:val="0"/>
          <w:color w:val="auto"/>
          <w:szCs w:val="24"/>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w:t>
      </w:r>
      <w:bookmarkStart w:id="642" w:name="_Toc27059922"/>
      <w:bookmarkStart w:id="643" w:name="_Toc53685644"/>
      <w:bookmarkStart w:id="644" w:name="_Toc27059549"/>
      <w:bookmarkStart w:id="645" w:name="_Toc27059730"/>
      <w:bookmarkStart w:id="646" w:name="_Toc234382647"/>
      <w:bookmarkStart w:id="647" w:name="_Toc27059820"/>
      <w:bookmarkStart w:id="648" w:name="_Toc27060718"/>
      <w:r>
        <w:rPr>
          <w:b w:val="0"/>
          <w:color w:val="auto"/>
          <w:szCs w:val="24"/>
          <w:highlight w:val="none"/>
        </w:rPr>
        <w:br w:type="page"/>
      </w:r>
    </w:p>
    <w:p w14:paraId="0760603D">
      <w:pPr>
        <w:pStyle w:val="5"/>
        <w:spacing w:before="0" w:after="0"/>
        <w:jc w:val="both"/>
        <w:rPr>
          <w:b w:val="0"/>
          <w:bCs w:val="0"/>
          <w:color w:val="auto"/>
          <w:highlight w:val="none"/>
        </w:rPr>
      </w:pPr>
      <w:r>
        <w:rPr>
          <w:rFonts w:hint="eastAsia"/>
          <w:b w:val="0"/>
          <w:bCs w:val="0"/>
          <w:color w:val="auto"/>
          <w:highlight w:val="none"/>
        </w:rPr>
        <w:t>附件三</w:t>
      </w:r>
      <w:r>
        <w:rPr>
          <w:b w:val="0"/>
          <w:bCs w:val="0"/>
          <w:color w:val="auto"/>
          <w:highlight w:val="none"/>
        </w:rPr>
        <w:t xml:space="preserve">  </w:t>
      </w:r>
      <w:r>
        <w:rPr>
          <w:rFonts w:hint="eastAsia"/>
          <w:b w:val="0"/>
          <w:bCs w:val="0"/>
          <w:color w:val="auto"/>
          <w:highlight w:val="none"/>
        </w:rPr>
        <w:t>问题的澄清</w:t>
      </w:r>
      <w:bookmarkEnd w:id="642"/>
      <w:bookmarkEnd w:id="643"/>
      <w:bookmarkEnd w:id="644"/>
      <w:bookmarkEnd w:id="645"/>
      <w:bookmarkEnd w:id="646"/>
      <w:bookmarkEnd w:id="647"/>
      <w:bookmarkEnd w:id="648"/>
    </w:p>
    <w:p w14:paraId="520E82C7">
      <w:pPr>
        <w:spacing w:line="360" w:lineRule="auto"/>
        <w:jc w:val="center"/>
        <w:rPr>
          <w:rFonts w:ascii="黑体" w:hAnsi="黑体" w:eastAsia="黑体"/>
          <w:bCs/>
          <w:color w:val="auto"/>
          <w:kern w:val="44"/>
          <w:sz w:val="28"/>
          <w:szCs w:val="28"/>
          <w:highlight w:val="none"/>
        </w:rPr>
      </w:pPr>
      <w:r>
        <w:rPr>
          <w:rFonts w:ascii="黑体" w:hAnsi="黑体" w:eastAsia="黑体"/>
          <w:bCs/>
          <w:color w:val="auto"/>
          <w:kern w:val="44"/>
          <w:sz w:val="28"/>
          <w:szCs w:val="28"/>
          <w:highlight w:val="none"/>
        </w:rPr>
        <w:t>问题的澄清</w:t>
      </w:r>
    </w:p>
    <w:p w14:paraId="78D74817">
      <w:pPr>
        <w:spacing w:line="360" w:lineRule="auto"/>
        <w:ind w:firstLine="420" w:firstLineChars="200"/>
        <w:jc w:val="center"/>
        <w:rPr>
          <w:rFonts w:ascii="宋体" w:hAnsi="宋体"/>
          <w:color w:val="auto"/>
          <w:sz w:val="24"/>
          <w:highlight w:val="none"/>
          <w:u w:val="single"/>
        </w:rPr>
      </w:pPr>
      <w:r>
        <w:rPr>
          <w:rFonts w:hint="eastAsia"/>
          <w:color w:val="auto"/>
          <w:highlight w:val="none"/>
        </w:rPr>
        <w:t>（编号：</w:t>
      </w:r>
      <w:r>
        <w:rPr>
          <w:rFonts w:eastAsia="黑体"/>
          <w:color w:val="auto"/>
          <w:sz w:val="28"/>
          <w:highlight w:val="none"/>
          <w:u w:val="single"/>
        </w:rPr>
        <w:t xml:space="preserve">           </w:t>
      </w:r>
      <w:r>
        <w:rPr>
          <w:rFonts w:hint="eastAsia"/>
          <w:color w:val="auto"/>
          <w:highlight w:val="none"/>
        </w:rPr>
        <w:t>）</w:t>
      </w:r>
    </w:p>
    <w:p w14:paraId="1CCA4019">
      <w:pPr>
        <w:spacing w:line="360" w:lineRule="auto"/>
        <w:ind w:firstLine="480" w:firstLineChars="200"/>
        <w:jc w:val="left"/>
        <w:rPr>
          <w:rFonts w:ascii="宋体" w:hAnsi="宋体"/>
          <w:color w:val="auto"/>
          <w:sz w:val="24"/>
          <w:highlight w:val="none"/>
          <w:u w:val="single"/>
        </w:rPr>
      </w:pPr>
    </w:p>
    <w:p w14:paraId="7074343E">
      <w:pPr>
        <w:spacing w:line="360" w:lineRule="auto"/>
        <w:ind w:firstLine="0" w:firstLineChars="0"/>
        <w:jc w:val="left"/>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项目名称）招标</w:t>
      </w:r>
      <w:r>
        <w:rPr>
          <w:rFonts w:hint="eastAsia" w:ascii="宋体" w:hAnsi="宋体"/>
          <w:color w:val="auto"/>
          <w:sz w:val="24"/>
          <w:highlight w:val="none"/>
        </w:rPr>
        <w:t>第</w:t>
      </w:r>
      <w:r>
        <w:rPr>
          <w:rFonts w:ascii="宋体" w:hAnsi="宋体"/>
          <w:color w:val="auto"/>
          <w:sz w:val="24"/>
          <w:highlight w:val="none"/>
          <w:u w:val="single"/>
        </w:rPr>
        <w:t xml:space="preserve">    </w:t>
      </w:r>
      <w:r>
        <w:rPr>
          <w:rFonts w:hint="eastAsia" w:ascii="宋体" w:hAnsi="宋体"/>
          <w:color w:val="auto"/>
          <w:sz w:val="24"/>
          <w:highlight w:val="none"/>
        </w:rPr>
        <w:t>标段</w:t>
      </w:r>
      <w:r>
        <w:rPr>
          <w:rFonts w:ascii="宋体" w:hAnsi="宋体"/>
          <w:color w:val="auto"/>
          <w:sz w:val="24"/>
          <w:highlight w:val="none"/>
        </w:rPr>
        <w:t xml:space="preserve">评标委员会： </w:t>
      </w:r>
    </w:p>
    <w:p w14:paraId="4DE17D4E">
      <w:pPr>
        <w:spacing w:line="360" w:lineRule="auto"/>
        <w:ind w:firstLine="480" w:firstLineChars="200"/>
        <w:rPr>
          <w:rFonts w:ascii="宋体" w:hAnsi="宋体"/>
          <w:color w:val="auto"/>
          <w:sz w:val="24"/>
          <w:highlight w:val="none"/>
        </w:rPr>
      </w:pPr>
    </w:p>
    <w:p w14:paraId="20E02540">
      <w:pPr>
        <w:spacing w:line="360" w:lineRule="auto"/>
        <w:ind w:firstLine="480" w:firstLineChars="200"/>
        <w:rPr>
          <w:rFonts w:ascii="宋体" w:hAnsi="宋体"/>
          <w:color w:val="auto"/>
          <w:sz w:val="24"/>
          <w:highlight w:val="none"/>
        </w:rPr>
      </w:pPr>
    </w:p>
    <w:p w14:paraId="2F2EA58E">
      <w:pPr>
        <w:spacing w:line="360" w:lineRule="auto"/>
        <w:ind w:firstLine="960" w:firstLineChars="400"/>
        <w:rPr>
          <w:rFonts w:ascii="宋体" w:hAnsi="宋体"/>
          <w:color w:val="auto"/>
          <w:sz w:val="24"/>
          <w:highlight w:val="none"/>
        </w:rPr>
      </w:pPr>
      <w:r>
        <w:rPr>
          <w:rFonts w:ascii="宋体" w:hAnsi="宋体"/>
          <w:color w:val="auto"/>
          <w:sz w:val="24"/>
          <w:highlight w:val="none"/>
        </w:rPr>
        <w:t>问题澄清通知（编号：</w:t>
      </w:r>
      <w:r>
        <w:rPr>
          <w:rFonts w:ascii="宋体" w:hAnsi="宋体"/>
          <w:color w:val="auto"/>
          <w:sz w:val="24"/>
          <w:highlight w:val="none"/>
          <w:u w:val="single"/>
        </w:rPr>
        <w:t xml:space="preserve">      </w:t>
      </w:r>
      <w:r>
        <w:rPr>
          <w:rFonts w:ascii="宋体" w:hAnsi="宋体"/>
          <w:color w:val="auto"/>
          <w:sz w:val="24"/>
          <w:highlight w:val="none"/>
        </w:rPr>
        <w:t>）已收悉，现澄清</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说明</w:t>
      </w:r>
      <w:r>
        <w:rPr>
          <w:rFonts w:ascii="宋体" w:hAnsi="宋体"/>
          <w:color w:val="auto"/>
          <w:sz w:val="24"/>
          <w:highlight w:val="none"/>
        </w:rPr>
        <w:t>如下：</w:t>
      </w:r>
    </w:p>
    <w:p w14:paraId="62770313">
      <w:pPr>
        <w:spacing w:line="360" w:lineRule="auto"/>
        <w:ind w:firstLine="480" w:firstLineChars="200"/>
        <w:rPr>
          <w:rFonts w:ascii="宋体" w:hAnsi="宋体"/>
          <w:color w:val="auto"/>
          <w:sz w:val="24"/>
          <w:highlight w:val="none"/>
        </w:rPr>
      </w:pPr>
    </w:p>
    <w:p w14:paraId="401DA00F">
      <w:pPr>
        <w:spacing w:line="360" w:lineRule="auto"/>
        <w:ind w:firstLine="960" w:firstLineChars="400"/>
        <w:rPr>
          <w:rFonts w:ascii="宋体" w:hAnsi="宋体"/>
          <w:color w:val="auto"/>
          <w:sz w:val="24"/>
          <w:highlight w:val="none"/>
        </w:rPr>
      </w:pPr>
      <w:r>
        <w:rPr>
          <w:rFonts w:ascii="宋体" w:hAnsi="宋体"/>
          <w:color w:val="auto"/>
          <w:sz w:val="24"/>
          <w:highlight w:val="none"/>
        </w:rPr>
        <w:t xml:space="preserve">1. </w:t>
      </w:r>
    </w:p>
    <w:p w14:paraId="0D9F0E88">
      <w:pPr>
        <w:spacing w:line="360" w:lineRule="auto"/>
        <w:ind w:firstLine="480" w:firstLineChars="200"/>
        <w:rPr>
          <w:rFonts w:ascii="宋体" w:hAnsi="宋体"/>
          <w:color w:val="auto"/>
          <w:sz w:val="24"/>
          <w:highlight w:val="none"/>
        </w:rPr>
      </w:pPr>
    </w:p>
    <w:p w14:paraId="37362903">
      <w:pPr>
        <w:spacing w:line="360" w:lineRule="auto"/>
        <w:ind w:firstLine="960" w:firstLineChars="400"/>
        <w:rPr>
          <w:rFonts w:ascii="宋体" w:hAnsi="宋体"/>
          <w:color w:val="auto"/>
          <w:sz w:val="24"/>
          <w:highlight w:val="none"/>
        </w:rPr>
      </w:pPr>
      <w:r>
        <w:rPr>
          <w:rFonts w:ascii="宋体" w:hAnsi="宋体"/>
          <w:color w:val="auto"/>
          <w:sz w:val="24"/>
          <w:highlight w:val="none"/>
        </w:rPr>
        <w:t xml:space="preserve">2. </w:t>
      </w:r>
    </w:p>
    <w:p w14:paraId="2E1BE828">
      <w:pPr>
        <w:spacing w:line="360" w:lineRule="auto"/>
        <w:rPr>
          <w:rFonts w:ascii="宋体" w:hAnsi="宋体"/>
          <w:color w:val="auto"/>
          <w:sz w:val="24"/>
          <w:highlight w:val="none"/>
        </w:rPr>
      </w:pPr>
    </w:p>
    <w:p w14:paraId="060E7F99">
      <w:pPr>
        <w:spacing w:line="360" w:lineRule="auto"/>
        <w:ind w:firstLine="735" w:firstLineChars="350"/>
        <w:rPr>
          <w:rFonts w:hint="eastAsia" w:hAnsi="宋体"/>
          <w:color w:val="auto"/>
          <w:sz w:val="24"/>
          <w:highlight w:val="none"/>
        </w:rPr>
      </w:pPr>
      <w:r>
        <w:rPr>
          <w:rFonts w:hint="eastAsia" w:ascii="宋体" w:hAnsi="宋体" w:eastAsia="宋体" w:cs="宋体"/>
          <w:color w:val="auto"/>
          <w:highlight w:val="none"/>
          <w:lang w:val="en-US" w:eastAsia="zh-CN"/>
        </w:rPr>
        <w:t>……</w:t>
      </w:r>
    </w:p>
    <w:p w14:paraId="787B7C42">
      <w:pPr>
        <w:spacing w:line="360" w:lineRule="auto"/>
        <w:ind w:firstLine="360" w:firstLineChars="150"/>
        <w:rPr>
          <w:rFonts w:hint="eastAsia" w:hAnsi="宋体"/>
          <w:color w:val="auto"/>
          <w:sz w:val="24"/>
          <w:highlight w:val="none"/>
        </w:rPr>
      </w:pPr>
    </w:p>
    <w:p w14:paraId="291721B1">
      <w:pPr>
        <w:spacing w:line="360" w:lineRule="auto"/>
        <w:ind w:firstLine="360" w:firstLineChars="150"/>
        <w:rPr>
          <w:rFonts w:ascii="宋体" w:hAnsi="宋体"/>
          <w:color w:val="auto"/>
          <w:sz w:val="24"/>
          <w:highlight w:val="none"/>
        </w:rPr>
      </w:pPr>
      <w:r>
        <w:rPr>
          <w:rFonts w:hint="eastAsia" w:hAnsi="宋体"/>
          <w:color w:val="auto"/>
          <w:sz w:val="24"/>
          <w:highlight w:val="none"/>
        </w:rPr>
        <w:t>上述问题澄清或说明，不改变我方投标文件的实质性内容，构成我方投标文件的组成部分。</w:t>
      </w:r>
    </w:p>
    <w:p w14:paraId="798FCF2E">
      <w:pPr>
        <w:pStyle w:val="199"/>
        <w:rPr>
          <w:rFonts w:hAnsi="宋体"/>
          <w:color w:val="auto"/>
          <w:highlight w:val="none"/>
        </w:rPr>
      </w:pPr>
      <w:r>
        <w:rPr>
          <w:rFonts w:hAnsi="宋体"/>
          <w:color w:val="auto"/>
          <w:highlight w:val="none"/>
        </w:rPr>
        <w:t xml:space="preserve">              </w:t>
      </w:r>
    </w:p>
    <w:p w14:paraId="4142A2A1">
      <w:pPr>
        <w:pStyle w:val="199"/>
        <w:rPr>
          <w:rFonts w:hAnsi="宋体"/>
          <w:color w:val="auto"/>
          <w:highlight w:val="none"/>
        </w:rPr>
      </w:pPr>
    </w:p>
    <w:p w14:paraId="53845D82">
      <w:pPr>
        <w:pStyle w:val="199"/>
        <w:rPr>
          <w:rFonts w:hAnsi="宋体"/>
          <w:color w:val="auto"/>
          <w:highlight w:val="none"/>
        </w:rPr>
      </w:pPr>
    </w:p>
    <w:p w14:paraId="3BFE9D48">
      <w:pPr>
        <w:pStyle w:val="199"/>
        <w:spacing w:line="360" w:lineRule="auto"/>
        <w:ind w:left="5175" w:leftChars="750" w:hanging="3600" w:hangingChars="1500"/>
        <w:rPr>
          <w:rFonts w:hAnsi="宋体"/>
          <w:color w:val="auto"/>
          <w:highlight w:val="none"/>
        </w:rPr>
      </w:pPr>
      <w:r>
        <w:rPr>
          <w:rFonts w:hAnsi="宋体"/>
          <w:color w:val="auto"/>
          <w:highlight w:val="none"/>
        </w:rPr>
        <w:t xml:space="preserve">  </w:t>
      </w:r>
      <w:r>
        <w:rPr>
          <w:rFonts w:hint="eastAsia"/>
          <w:color w:val="auto"/>
          <w:highlight w:val="none"/>
        </w:rPr>
        <w:t>投标人：</w:t>
      </w:r>
      <w:r>
        <w:rPr>
          <w:color w:val="auto"/>
          <w:highlight w:val="none"/>
          <w:u w:val="single"/>
        </w:rPr>
        <w:t xml:space="preserve">         </w:t>
      </w:r>
      <w:r>
        <w:rPr>
          <w:rFonts w:hint="eastAsia"/>
          <w:color w:val="auto"/>
          <w:highlight w:val="none"/>
        </w:rPr>
        <w:t>（盖单位电子印章或法定代表人或其委托代理人个人电子签名章或个人电子印章）</w:t>
      </w:r>
    </w:p>
    <w:p w14:paraId="12BC2818">
      <w:pPr>
        <w:spacing w:line="360" w:lineRule="auto"/>
        <w:jc w:val="center"/>
        <w:rPr>
          <w:rFonts w:ascii="宋体" w:hAnsi="宋体"/>
          <w:color w:val="auto"/>
          <w:sz w:val="24"/>
          <w:highlight w:val="none"/>
        </w:rPr>
      </w:pPr>
      <w:r>
        <w:rPr>
          <w:rFonts w:hint="eastAsia" w:hAnsi="宋体"/>
          <w:color w:val="auto"/>
          <w:highlight w:val="none"/>
          <w:lang w:val="en-US" w:eastAsia="zh-CN"/>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68554CE2">
      <w:pPr>
        <w:spacing w:line="360" w:lineRule="auto"/>
        <w:rPr>
          <w:rFonts w:ascii="宋体" w:hAnsi="宋体"/>
          <w:color w:val="auto"/>
          <w:sz w:val="30"/>
          <w:szCs w:val="30"/>
          <w:highlight w:val="none"/>
        </w:rPr>
      </w:pPr>
    </w:p>
    <w:p w14:paraId="6216C6BE">
      <w:pPr>
        <w:pStyle w:val="5"/>
        <w:spacing w:before="0" w:beforeLines="-2147483648" w:after="0" w:afterLines="-2147483648" w:line="360" w:lineRule="auto"/>
        <w:jc w:val="both"/>
        <w:rPr>
          <w:b w:val="0"/>
          <w:color w:val="auto"/>
          <w:sz w:val="28"/>
          <w:szCs w:val="28"/>
          <w:highlight w:val="none"/>
        </w:rPr>
      </w:pPr>
      <w:r>
        <w:rPr>
          <w:rFonts w:ascii="宋体" w:hAnsi="宋体"/>
          <w:color w:val="auto"/>
          <w:sz w:val="30"/>
          <w:szCs w:val="30"/>
          <w:highlight w:val="none"/>
        </w:rPr>
        <w:br w:type="page"/>
      </w:r>
      <w:bookmarkStart w:id="649" w:name="_Toc234382648"/>
      <w:bookmarkStart w:id="650" w:name="_Toc53685645"/>
      <w:r>
        <w:rPr>
          <w:rFonts w:hint="eastAsia"/>
          <w:b w:val="0"/>
          <w:color w:val="auto"/>
          <w:sz w:val="28"/>
          <w:szCs w:val="28"/>
          <w:highlight w:val="none"/>
        </w:rPr>
        <w:t>附件四</w:t>
      </w:r>
      <w:r>
        <w:rPr>
          <w:b w:val="0"/>
          <w:color w:val="auto"/>
          <w:sz w:val="28"/>
          <w:szCs w:val="28"/>
          <w:highlight w:val="none"/>
        </w:rPr>
        <w:t xml:space="preserve">  </w:t>
      </w:r>
      <w:r>
        <w:rPr>
          <w:rFonts w:hint="eastAsia"/>
          <w:b w:val="0"/>
          <w:color w:val="auto"/>
          <w:sz w:val="28"/>
          <w:szCs w:val="28"/>
          <w:highlight w:val="none"/>
        </w:rPr>
        <w:t>中标通知书</w:t>
      </w:r>
      <w:bookmarkEnd w:id="649"/>
      <w:bookmarkEnd w:id="650"/>
    </w:p>
    <w:p w14:paraId="7B214267">
      <w:pPr>
        <w:spacing w:line="360" w:lineRule="auto"/>
        <w:jc w:val="center"/>
        <w:rPr>
          <w:rFonts w:ascii="黑体" w:hAnsi="黑体" w:eastAsia="黑体"/>
          <w:bCs/>
          <w:color w:val="auto"/>
          <w:kern w:val="44"/>
          <w:sz w:val="28"/>
          <w:szCs w:val="28"/>
          <w:highlight w:val="none"/>
        </w:rPr>
      </w:pPr>
      <w:r>
        <w:rPr>
          <w:rFonts w:ascii="黑体" w:hAnsi="黑体" w:eastAsia="黑体"/>
          <w:bCs/>
          <w:color w:val="auto"/>
          <w:kern w:val="44"/>
          <w:sz w:val="28"/>
          <w:szCs w:val="28"/>
          <w:highlight w:val="none"/>
        </w:rPr>
        <w:t>中标通知书</w:t>
      </w:r>
    </w:p>
    <w:p w14:paraId="2E1C5C10">
      <w:pPr>
        <w:spacing w:line="360" w:lineRule="auto"/>
        <w:rPr>
          <w:rFonts w:ascii="宋体" w:hAnsi="宋体"/>
          <w:color w:val="auto"/>
          <w:sz w:val="24"/>
          <w:highlight w:val="none"/>
          <w:u w:val="single"/>
        </w:rPr>
      </w:pPr>
    </w:p>
    <w:p w14:paraId="2188108E">
      <w:pPr>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（中标人名称）：</w:t>
      </w:r>
    </w:p>
    <w:p w14:paraId="2CF7F3D7">
      <w:pPr>
        <w:spacing w:line="360" w:lineRule="auto"/>
        <w:rPr>
          <w:rFonts w:ascii="宋体" w:hAnsi="宋体"/>
          <w:color w:val="auto"/>
          <w:sz w:val="24"/>
          <w:highlight w:val="none"/>
        </w:rPr>
      </w:pPr>
    </w:p>
    <w:p w14:paraId="341A3049">
      <w:pPr>
        <w:wordWrap w:val="0"/>
        <w:spacing w:line="360" w:lineRule="auto"/>
        <w:ind w:firstLine="480" w:firstLineChars="200"/>
        <w:rPr>
          <w:rFonts w:ascii="宋体" w:hAnsi="宋体"/>
          <w:color w:val="auto"/>
          <w:sz w:val="24"/>
          <w:highlight w:val="none"/>
        </w:rPr>
      </w:pPr>
      <w:r>
        <w:rPr>
          <w:rFonts w:ascii="宋体" w:hAnsi="宋体"/>
          <w:color w:val="auto"/>
          <w:sz w:val="24"/>
          <w:highlight w:val="none"/>
        </w:rPr>
        <w:t>你方于</w:t>
      </w:r>
      <w:r>
        <w:rPr>
          <w:rFonts w:ascii="宋体" w:hAnsi="宋体"/>
          <w:color w:val="auto"/>
          <w:sz w:val="24"/>
          <w:highlight w:val="none"/>
          <w:u w:val="single"/>
        </w:rPr>
        <w:t xml:space="preserve">        </w:t>
      </w:r>
      <w:r>
        <w:rPr>
          <w:rFonts w:ascii="宋体" w:hAnsi="宋体"/>
          <w:color w:val="auto"/>
          <w:sz w:val="24"/>
          <w:highlight w:val="none"/>
        </w:rPr>
        <w:t>（投标日期）所递交的</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w:t>
      </w:r>
      <w:r>
        <w:rPr>
          <w:rFonts w:hint="eastAsia" w:ascii="宋体" w:hAnsi="宋体"/>
          <w:color w:val="auto"/>
          <w:sz w:val="24"/>
          <w:highlight w:val="none"/>
        </w:rPr>
        <w:t>）</w:t>
      </w:r>
      <w:r>
        <w:rPr>
          <w:rFonts w:ascii="宋体" w:hAnsi="宋体"/>
          <w:color w:val="auto"/>
          <w:sz w:val="24"/>
          <w:highlight w:val="none"/>
        </w:rPr>
        <w:t>招标</w:t>
      </w:r>
      <w:r>
        <w:rPr>
          <w:rFonts w:hint="eastAsia" w:ascii="宋体" w:hAnsi="宋体"/>
          <w:color w:val="auto"/>
          <w:sz w:val="24"/>
          <w:highlight w:val="none"/>
        </w:rPr>
        <w:t>第</w:t>
      </w:r>
      <w:r>
        <w:rPr>
          <w:rFonts w:ascii="宋体" w:hAnsi="宋体"/>
          <w:color w:val="auto"/>
          <w:sz w:val="24"/>
          <w:highlight w:val="none"/>
          <w:u w:val="single"/>
        </w:rPr>
        <w:t xml:space="preserve">   </w:t>
      </w:r>
      <w:r>
        <w:rPr>
          <w:rFonts w:hint="eastAsia" w:ascii="宋体" w:hAnsi="宋体"/>
          <w:color w:val="auto"/>
          <w:sz w:val="24"/>
          <w:highlight w:val="none"/>
        </w:rPr>
        <w:t>标段</w:t>
      </w:r>
      <w:r>
        <w:rPr>
          <w:rFonts w:ascii="宋体" w:hAnsi="宋体"/>
          <w:color w:val="auto"/>
          <w:sz w:val="24"/>
          <w:highlight w:val="none"/>
        </w:rPr>
        <w:t>投标文件已被我方接受，被确定为中标人。</w:t>
      </w:r>
    </w:p>
    <w:p w14:paraId="62CD40DD">
      <w:pPr>
        <w:spacing w:line="360" w:lineRule="auto"/>
        <w:ind w:firstLine="480" w:firstLineChars="200"/>
        <w:rPr>
          <w:rFonts w:ascii="宋体" w:hAnsi="宋体"/>
          <w:color w:val="auto"/>
          <w:sz w:val="24"/>
          <w:highlight w:val="none"/>
        </w:rPr>
      </w:pPr>
      <w:r>
        <w:rPr>
          <w:rFonts w:ascii="宋体" w:hAnsi="宋体"/>
          <w:color w:val="auto"/>
          <w:sz w:val="24"/>
          <w:highlight w:val="none"/>
        </w:rPr>
        <w:t>中</w:t>
      </w:r>
      <w:r>
        <w:rPr>
          <w:rFonts w:hint="eastAsia" w:ascii="宋体" w:hAnsi="宋体"/>
          <w:color w:val="auto"/>
          <w:sz w:val="24"/>
          <w:highlight w:val="none"/>
          <w:lang w:val="en-US" w:eastAsia="zh-CN"/>
        </w:rPr>
        <w:t xml:space="preserve"> </w:t>
      </w:r>
      <w:r>
        <w:rPr>
          <w:rFonts w:ascii="宋体" w:hAnsi="宋体"/>
          <w:color w:val="auto"/>
          <w:sz w:val="24"/>
          <w:highlight w:val="none"/>
        </w:rPr>
        <w:t>标</w:t>
      </w:r>
      <w:r>
        <w:rPr>
          <w:rFonts w:hint="eastAsia" w:ascii="宋体" w:hAnsi="宋体"/>
          <w:color w:val="auto"/>
          <w:sz w:val="24"/>
          <w:highlight w:val="none"/>
          <w:lang w:val="en-US" w:eastAsia="zh-CN"/>
        </w:rPr>
        <w:t xml:space="preserve"> </w:t>
      </w:r>
      <w:r>
        <w:rPr>
          <w:rFonts w:ascii="宋体" w:hAnsi="宋体"/>
          <w:color w:val="auto"/>
          <w:sz w:val="24"/>
          <w:highlight w:val="none"/>
        </w:rPr>
        <w:t>价：</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元。</w:t>
      </w:r>
      <w:r>
        <w:rPr>
          <w:rStyle w:val="59"/>
          <w:rFonts w:hint="eastAsia" w:ascii="宋体" w:hAnsi="宋体"/>
          <w:color w:val="auto"/>
          <w:szCs w:val="21"/>
          <w:highlight w:val="none"/>
        </w:rPr>
        <w:footnoteReference w:id="112"/>
      </w:r>
    </w:p>
    <w:p w14:paraId="5B1FC19F">
      <w:pPr>
        <w:spacing w:line="360" w:lineRule="auto"/>
        <w:ind w:firstLine="480" w:firstLineChars="200"/>
        <w:rPr>
          <w:rFonts w:ascii="宋体" w:hAnsi="宋体"/>
          <w:color w:val="auto"/>
          <w:sz w:val="24"/>
          <w:highlight w:val="none"/>
        </w:rPr>
      </w:pPr>
      <w:r>
        <w:rPr>
          <w:rFonts w:ascii="宋体" w:hAnsi="宋体"/>
          <w:color w:val="auto"/>
          <w:sz w:val="24"/>
          <w:highlight w:val="none"/>
        </w:rPr>
        <w:t>工</w:t>
      </w:r>
      <w:r>
        <w:rPr>
          <w:rFonts w:hint="eastAsia" w:ascii="宋体" w:hAnsi="宋体"/>
          <w:color w:val="auto"/>
          <w:sz w:val="24"/>
          <w:highlight w:val="none"/>
          <w:lang w:val="en-US" w:eastAsia="zh-CN"/>
        </w:rPr>
        <w:t xml:space="preserve">    </w:t>
      </w:r>
      <w:r>
        <w:rPr>
          <w:rFonts w:ascii="宋体" w:hAnsi="宋体"/>
          <w:color w:val="auto"/>
          <w:sz w:val="24"/>
          <w:highlight w:val="none"/>
        </w:rPr>
        <w:t>期：</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lang w:val="en-US" w:eastAsia="zh-CN"/>
        </w:rPr>
        <w:t>个月</w:t>
      </w:r>
      <w:r>
        <w:rPr>
          <w:rFonts w:ascii="宋体" w:hAnsi="宋体"/>
          <w:color w:val="auto"/>
          <w:sz w:val="24"/>
          <w:highlight w:val="none"/>
        </w:rPr>
        <w:t>。</w:t>
      </w:r>
    </w:p>
    <w:p w14:paraId="75CCA8D1">
      <w:pPr>
        <w:spacing w:line="360" w:lineRule="auto"/>
        <w:ind w:firstLine="480" w:firstLineChars="200"/>
        <w:rPr>
          <w:rFonts w:ascii="宋体" w:hAnsi="宋体"/>
          <w:color w:val="auto"/>
          <w:sz w:val="24"/>
          <w:highlight w:val="none"/>
        </w:rPr>
      </w:pPr>
      <w:r>
        <w:rPr>
          <w:rFonts w:ascii="宋体" w:hAnsi="宋体"/>
          <w:color w:val="auto"/>
          <w:sz w:val="24"/>
          <w:highlight w:val="none"/>
        </w:rPr>
        <w:t>工程质量：符合</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 xml:space="preserve">标准。 </w:t>
      </w:r>
    </w:p>
    <w:p w14:paraId="00896E7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工程安全目标：</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 xml:space="preserve"> </w:t>
      </w:r>
    </w:p>
    <w:p w14:paraId="2B4B5AA1">
      <w:pPr>
        <w:spacing w:line="360" w:lineRule="auto"/>
        <w:ind w:firstLine="482" w:firstLineChars="200"/>
        <w:rPr>
          <w:rFonts w:ascii="宋体" w:hAnsi="宋体"/>
          <w:color w:val="auto"/>
          <w:sz w:val="24"/>
          <w:highlight w:val="none"/>
        </w:rPr>
      </w:pPr>
      <w:r>
        <w:rPr>
          <w:rFonts w:hint="eastAsia"/>
          <w:b/>
          <w:bCs/>
          <w:color w:val="auto"/>
          <w:sz w:val="24"/>
          <w:highlight w:val="none"/>
        </w:rPr>
        <w:t>□</w:t>
      </w:r>
      <w:r>
        <w:rPr>
          <w:b/>
          <w:bCs/>
          <w:color w:val="auto"/>
          <w:sz w:val="24"/>
          <w:highlight w:val="none"/>
        </w:rPr>
        <w:t xml:space="preserve"> </w:t>
      </w:r>
      <w:r>
        <w:rPr>
          <w:rFonts w:hint="eastAsia" w:ascii="宋体" w:hAnsi="宋体"/>
          <w:color w:val="auto"/>
          <w:sz w:val="24"/>
          <w:highlight w:val="none"/>
        </w:rPr>
        <w:t>项目经理：</w:t>
      </w:r>
      <w:r>
        <w:rPr>
          <w:rFonts w:ascii="宋体" w:hAnsi="宋体"/>
          <w:color w:val="auto"/>
          <w:sz w:val="24"/>
          <w:highlight w:val="none"/>
          <w:u w:val="single"/>
        </w:rPr>
        <w:t xml:space="preserve">              </w:t>
      </w:r>
      <w:r>
        <w:rPr>
          <w:rFonts w:hint="eastAsia" w:ascii="宋体" w:hAnsi="宋体" w:cs="宋体"/>
          <w:color w:val="auto"/>
          <w:sz w:val="24"/>
          <w:highlight w:val="none"/>
        </w:rPr>
        <w:t>（姓名）</w:t>
      </w:r>
      <w:r>
        <w:rPr>
          <w:rFonts w:hint="eastAsia" w:ascii="宋体" w:hAnsi="宋体"/>
          <w:color w:val="auto"/>
          <w:sz w:val="24"/>
          <w:highlight w:val="none"/>
        </w:rPr>
        <w:t>。</w:t>
      </w:r>
    </w:p>
    <w:p w14:paraId="68323CBC">
      <w:pPr>
        <w:spacing w:line="360" w:lineRule="auto"/>
        <w:ind w:firstLine="482" w:firstLineChars="200"/>
        <w:rPr>
          <w:rFonts w:ascii="宋体" w:hAnsi="宋体"/>
          <w:color w:val="auto"/>
          <w:sz w:val="24"/>
          <w:highlight w:val="none"/>
        </w:rPr>
      </w:pPr>
      <w:r>
        <w:rPr>
          <w:rFonts w:hint="eastAsia"/>
          <w:b/>
          <w:bCs/>
          <w:color w:val="auto"/>
          <w:sz w:val="24"/>
          <w:highlight w:val="none"/>
        </w:rPr>
        <w:t>□</w:t>
      </w:r>
      <w:r>
        <w:rPr>
          <w:b/>
          <w:bCs/>
          <w:color w:val="auto"/>
          <w:sz w:val="24"/>
          <w:highlight w:val="none"/>
        </w:rPr>
        <w:t xml:space="preserve"> </w:t>
      </w:r>
      <w:r>
        <w:rPr>
          <w:rFonts w:hint="eastAsia" w:ascii="宋体" w:hAnsi="宋体"/>
          <w:color w:val="auto"/>
          <w:sz w:val="24"/>
          <w:highlight w:val="none"/>
        </w:rPr>
        <w:t>项目总工：</w:t>
      </w:r>
      <w:r>
        <w:rPr>
          <w:rFonts w:ascii="宋体" w:hAnsi="宋体"/>
          <w:color w:val="auto"/>
          <w:sz w:val="24"/>
          <w:highlight w:val="none"/>
          <w:u w:val="single"/>
        </w:rPr>
        <w:t xml:space="preserve">              </w:t>
      </w:r>
      <w:r>
        <w:rPr>
          <w:rFonts w:hint="eastAsia" w:ascii="宋体" w:hAnsi="宋体" w:cs="宋体"/>
          <w:color w:val="auto"/>
          <w:sz w:val="24"/>
          <w:highlight w:val="none"/>
        </w:rPr>
        <w:t>（姓名）</w:t>
      </w:r>
      <w:r>
        <w:rPr>
          <w:rFonts w:hint="eastAsia" w:ascii="宋体" w:hAnsi="宋体"/>
          <w:color w:val="auto"/>
          <w:sz w:val="24"/>
          <w:highlight w:val="none"/>
        </w:rPr>
        <w:t>。</w:t>
      </w:r>
    </w:p>
    <w:p w14:paraId="44A79D8A">
      <w:pPr>
        <w:spacing w:line="360" w:lineRule="auto"/>
        <w:ind w:firstLine="480" w:firstLineChars="200"/>
        <w:rPr>
          <w:rFonts w:ascii="宋体" w:hAnsi="宋体"/>
          <w:color w:val="auto"/>
          <w:sz w:val="24"/>
          <w:highlight w:val="none"/>
        </w:rPr>
      </w:pPr>
      <w:r>
        <w:rPr>
          <w:rFonts w:ascii="宋体" w:hAnsi="宋体"/>
          <w:color w:val="auto"/>
          <w:sz w:val="24"/>
          <w:highlight w:val="none"/>
        </w:rPr>
        <w:t>请你方在本通知书发出后的</w:t>
      </w:r>
      <w:r>
        <w:rPr>
          <w:rFonts w:ascii="宋体" w:hAnsi="宋体"/>
          <w:color w:val="auto"/>
          <w:sz w:val="24"/>
          <w:highlight w:val="none"/>
          <w:u w:val="single"/>
        </w:rPr>
        <w:t xml:space="preserve">     </w:t>
      </w:r>
      <w:r>
        <w:rPr>
          <w:rFonts w:hint="eastAsia" w:ascii="宋体" w:hAnsi="宋体"/>
          <w:color w:val="auto"/>
          <w:sz w:val="24"/>
          <w:highlight w:val="none"/>
        </w:rPr>
        <w:t>日内与我方以招标文件第二章</w:t>
      </w:r>
      <w:r>
        <w:rPr>
          <w:rFonts w:ascii="宋体" w:hAnsi="宋体"/>
          <w:color w:val="auto"/>
          <w:sz w:val="24"/>
          <w:highlight w:val="none"/>
        </w:rPr>
        <w:t>“</w:t>
      </w:r>
      <w:r>
        <w:rPr>
          <w:rFonts w:hint="eastAsia" w:ascii="宋体" w:hAnsi="宋体"/>
          <w:color w:val="auto"/>
          <w:sz w:val="24"/>
          <w:highlight w:val="none"/>
        </w:rPr>
        <w:t>投标人须知</w:t>
      </w:r>
      <w:r>
        <w:rPr>
          <w:rFonts w:ascii="宋体" w:hAnsi="宋体"/>
          <w:color w:val="auto"/>
          <w:sz w:val="24"/>
          <w:highlight w:val="none"/>
        </w:rPr>
        <w:t>”前附表</w:t>
      </w:r>
      <w:r>
        <w:rPr>
          <w:rFonts w:hint="eastAsia" w:ascii="宋体" w:hAnsi="宋体"/>
          <w:color w:val="auto"/>
          <w:sz w:val="24"/>
          <w:highlight w:val="none"/>
        </w:rPr>
        <w:t>第</w:t>
      </w:r>
      <w:r>
        <w:rPr>
          <w:rFonts w:ascii="宋体" w:hAnsi="宋体"/>
          <w:color w:val="auto"/>
          <w:sz w:val="24"/>
          <w:highlight w:val="none"/>
        </w:rPr>
        <w:t>7.8.1</w:t>
      </w:r>
      <w:r>
        <w:rPr>
          <w:rFonts w:hint="eastAsia" w:ascii="宋体" w:hAnsi="宋体"/>
          <w:color w:val="auto"/>
          <w:sz w:val="24"/>
          <w:highlight w:val="none"/>
        </w:rPr>
        <w:t>项</w:t>
      </w:r>
      <w:r>
        <w:rPr>
          <w:rFonts w:ascii="宋体" w:hAnsi="宋体"/>
          <w:color w:val="auto"/>
          <w:sz w:val="24"/>
          <w:highlight w:val="none"/>
        </w:rPr>
        <w:t>约定的方式</w:t>
      </w:r>
      <w:r>
        <w:rPr>
          <w:rFonts w:hint="eastAsia" w:ascii="宋体" w:hAnsi="宋体"/>
          <w:color w:val="auto"/>
          <w:sz w:val="24"/>
          <w:highlight w:val="none"/>
        </w:rPr>
        <w:t>签订施工承包合同，在此之前按招标文件第二章</w:t>
      </w:r>
      <w:r>
        <w:rPr>
          <w:rFonts w:ascii="宋体" w:hAnsi="宋体"/>
          <w:color w:val="auto"/>
          <w:sz w:val="24"/>
          <w:highlight w:val="none"/>
        </w:rPr>
        <w:t>“</w:t>
      </w:r>
      <w:r>
        <w:rPr>
          <w:rFonts w:hint="eastAsia" w:ascii="宋体" w:hAnsi="宋体"/>
          <w:color w:val="auto"/>
          <w:sz w:val="24"/>
          <w:highlight w:val="none"/>
        </w:rPr>
        <w:t>投标人须知</w:t>
      </w:r>
      <w:r>
        <w:rPr>
          <w:rFonts w:ascii="宋体" w:hAnsi="宋体"/>
          <w:color w:val="auto"/>
          <w:sz w:val="24"/>
          <w:highlight w:val="none"/>
        </w:rPr>
        <w:t>”前附表</w:t>
      </w:r>
      <w:r>
        <w:rPr>
          <w:rFonts w:hint="eastAsia" w:ascii="宋体" w:hAnsi="宋体"/>
          <w:color w:val="auto"/>
          <w:sz w:val="24"/>
          <w:highlight w:val="none"/>
        </w:rPr>
        <w:t>第</w:t>
      </w:r>
      <w:r>
        <w:rPr>
          <w:rFonts w:ascii="宋体" w:hAnsi="宋体"/>
          <w:color w:val="auto"/>
          <w:sz w:val="24"/>
          <w:highlight w:val="none"/>
        </w:rPr>
        <w:t>7.7.1</w:t>
      </w:r>
      <w:r>
        <w:rPr>
          <w:rFonts w:hint="eastAsia" w:ascii="宋体" w:hAnsi="宋体"/>
          <w:color w:val="auto"/>
          <w:sz w:val="24"/>
          <w:highlight w:val="none"/>
        </w:rPr>
        <w:t>项</w:t>
      </w:r>
      <w:r>
        <w:rPr>
          <w:rFonts w:ascii="宋体" w:hAnsi="宋体"/>
          <w:color w:val="auto"/>
          <w:sz w:val="24"/>
          <w:highlight w:val="none"/>
        </w:rPr>
        <w:t>规定向我方提交履约保证金。</w:t>
      </w:r>
    </w:p>
    <w:p w14:paraId="62D79D67">
      <w:pPr>
        <w:spacing w:line="360" w:lineRule="auto"/>
        <w:ind w:firstLine="480" w:firstLineChars="200"/>
        <w:rPr>
          <w:rFonts w:ascii="宋体" w:hAnsi="宋体"/>
          <w:color w:val="auto"/>
          <w:sz w:val="24"/>
          <w:highlight w:val="none"/>
        </w:rPr>
      </w:pPr>
      <w:r>
        <w:rPr>
          <w:rFonts w:ascii="宋体" w:hAnsi="宋体"/>
          <w:color w:val="auto"/>
          <w:sz w:val="24"/>
          <w:highlight w:val="none"/>
        </w:rPr>
        <w:t>特此通知。</w:t>
      </w:r>
    </w:p>
    <w:p w14:paraId="5A5B5DAF">
      <w:pPr>
        <w:pStyle w:val="299"/>
        <w:spacing w:line="360" w:lineRule="auto"/>
        <w:ind w:firstLine="420" w:firstLineChars="200"/>
        <w:rPr>
          <w:color w:val="auto"/>
          <w:highlight w:val="none"/>
        </w:rPr>
      </w:pPr>
      <w:r>
        <w:rPr>
          <w:color w:val="auto"/>
          <w:highlight w:val="none"/>
        </w:rPr>
        <w:t xml:space="preserve">                </w:t>
      </w:r>
    </w:p>
    <w:p w14:paraId="08E2339A">
      <w:pPr>
        <w:pStyle w:val="299"/>
        <w:spacing w:line="360" w:lineRule="auto"/>
        <w:ind w:firstLine="2520" w:firstLineChars="1050"/>
        <w:rPr>
          <w:rFonts w:ascii="宋体" w:hAnsi="宋体" w:cs="宋体"/>
          <w:color w:val="auto"/>
          <w:sz w:val="24"/>
          <w:highlight w:val="none"/>
        </w:rPr>
      </w:pPr>
      <w:r>
        <w:rPr>
          <w:rFonts w:ascii="宋体" w:hAnsi="宋体" w:cs="宋体"/>
          <w:color w:val="auto"/>
          <w:sz w:val="24"/>
          <w:highlight w:val="none"/>
        </w:rPr>
        <w:t xml:space="preserve"> 招标人：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（盖单位电子印章／盖单位章）</w:t>
      </w:r>
      <w:r>
        <w:rPr>
          <w:rFonts w:ascii="宋体" w:hAnsi="宋体" w:cs="宋体"/>
          <w:color w:val="auto"/>
          <w:sz w:val="24"/>
          <w:highlight w:val="none"/>
        </w:rPr>
        <w:t xml:space="preserve"> </w:t>
      </w:r>
    </w:p>
    <w:p w14:paraId="1542C51F">
      <w:pPr>
        <w:pStyle w:val="22"/>
        <w:tabs>
          <w:tab w:val="left" w:pos="6863"/>
        </w:tabs>
        <w:spacing w:line="360" w:lineRule="auto"/>
        <w:ind w:right="103"/>
        <w:rPr>
          <w:color w:val="auto"/>
          <w:highlight w:val="none"/>
        </w:rPr>
      </w:pPr>
      <w:r>
        <w:rPr>
          <w:rFonts w:cs="宋体"/>
          <w:color w:val="auto"/>
          <w:highlight w:val="none"/>
        </w:rPr>
        <w:t xml:space="preserve">                      □ 招标代理机构：</w:t>
      </w:r>
      <w:r>
        <w:rPr>
          <w:rFonts w:cs="宋体"/>
          <w:color w:val="auto"/>
          <w:highlight w:val="none"/>
          <w:u w:val="single"/>
        </w:rPr>
        <w:t xml:space="preserve">       </w:t>
      </w:r>
      <w:r>
        <w:rPr>
          <w:rFonts w:hint="eastAsia" w:cs="宋体"/>
          <w:color w:val="auto"/>
          <w:highlight w:val="none"/>
        </w:rPr>
        <w:t>（盖单位电子印章／盖单位章）</w:t>
      </w:r>
    </w:p>
    <w:p w14:paraId="053AFD78">
      <w:pPr>
        <w:spacing w:line="360" w:lineRule="auto"/>
        <w:jc w:val="right"/>
        <w:rPr>
          <w:rFonts w:ascii="宋体" w:hAnsi="宋体"/>
          <w:color w:val="auto"/>
          <w:sz w:val="30"/>
          <w:szCs w:val="30"/>
          <w:highlight w:val="none"/>
        </w:rPr>
      </w:pP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 xml:space="preserve">日 </w:t>
      </w:r>
      <w:r>
        <w:rPr>
          <w:rFonts w:ascii="宋体" w:hAnsi="宋体"/>
          <w:color w:val="auto"/>
          <w:sz w:val="30"/>
          <w:szCs w:val="30"/>
          <w:highlight w:val="none"/>
        </w:rPr>
        <w:t xml:space="preserve">  </w:t>
      </w:r>
    </w:p>
    <w:p w14:paraId="652CF102">
      <w:pPr>
        <w:spacing w:line="360" w:lineRule="auto"/>
        <w:rPr>
          <w:rFonts w:ascii="宋体" w:hAnsi="宋体"/>
          <w:color w:val="auto"/>
          <w:sz w:val="30"/>
          <w:szCs w:val="30"/>
          <w:highlight w:val="none"/>
        </w:rPr>
      </w:pPr>
    </w:p>
    <w:p w14:paraId="314D8BE9">
      <w:pPr>
        <w:spacing w:line="360" w:lineRule="auto"/>
        <w:rPr>
          <w:rFonts w:ascii="宋体" w:hAnsi="宋体"/>
          <w:color w:val="auto"/>
          <w:sz w:val="30"/>
          <w:szCs w:val="30"/>
          <w:highlight w:val="none"/>
        </w:rPr>
      </w:pPr>
    </w:p>
    <w:p w14:paraId="168E594E">
      <w:pPr>
        <w:spacing w:line="360" w:lineRule="auto"/>
        <w:rPr>
          <w:rFonts w:ascii="宋体" w:hAnsi="宋体"/>
          <w:color w:val="auto"/>
          <w:sz w:val="30"/>
          <w:szCs w:val="30"/>
          <w:highlight w:val="none"/>
        </w:rPr>
      </w:pPr>
    </w:p>
    <w:p w14:paraId="557F7115">
      <w:pPr>
        <w:jc w:val="left"/>
        <w:rPr>
          <w:rFonts w:ascii="宋体" w:hAnsi="宋体"/>
          <w:color w:val="auto"/>
          <w:sz w:val="36"/>
          <w:szCs w:val="44"/>
          <w:highlight w:val="none"/>
        </w:rPr>
      </w:pPr>
    </w:p>
    <w:p w14:paraId="59A6CCC3">
      <w:pPr>
        <w:pStyle w:val="5"/>
        <w:spacing w:before="0" w:beforeLines="-2147483648" w:after="0" w:afterLines="-2147483648" w:line="240" w:lineRule="auto"/>
        <w:jc w:val="both"/>
        <w:rPr>
          <w:b w:val="0"/>
          <w:color w:val="auto"/>
          <w:sz w:val="28"/>
          <w:szCs w:val="28"/>
          <w:highlight w:val="none"/>
        </w:rPr>
      </w:pPr>
      <w:r>
        <w:rPr>
          <w:rFonts w:ascii="宋体" w:hAnsi="宋体"/>
          <w:b w:val="0"/>
          <w:color w:val="auto"/>
          <w:sz w:val="36"/>
          <w:szCs w:val="44"/>
          <w:highlight w:val="none"/>
        </w:rPr>
        <w:br w:type="page"/>
      </w:r>
      <w:bookmarkStart w:id="651" w:name="_Toc53685646"/>
      <w:r>
        <w:rPr>
          <w:rFonts w:hint="eastAsia"/>
          <w:b w:val="0"/>
          <w:color w:val="auto"/>
          <w:sz w:val="28"/>
          <w:szCs w:val="28"/>
          <w:highlight w:val="none"/>
        </w:rPr>
        <w:t>附件五</w:t>
      </w:r>
      <w:r>
        <w:rPr>
          <w:b w:val="0"/>
          <w:color w:val="auto"/>
          <w:sz w:val="28"/>
          <w:szCs w:val="28"/>
          <w:highlight w:val="none"/>
        </w:rPr>
        <w:t xml:space="preserve">  </w:t>
      </w:r>
      <w:r>
        <w:rPr>
          <w:rFonts w:hint="eastAsia"/>
          <w:b w:val="0"/>
          <w:color w:val="auto"/>
          <w:sz w:val="28"/>
          <w:szCs w:val="28"/>
          <w:highlight w:val="none"/>
        </w:rPr>
        <w:t>中标结果通知书</w:t>
      </w:r>
      <w:bookmarkEnd w:id="651"/>
    </w:p>
    <w:p w14:paraId="42283B87">
      <w:pPr>
        <w:ind w:firstLine="212"/>
        <w:jc w:val="left"/>
        <w:rPr>
          <w:rFonts w:ascii="宋体" w:hAnsi="宋体"/>
          <w:color w:val="auto"/>
          <w:sz w:val="36"/>
          <w:szCs w:val="44"/>
          <w:highlight w:val="none"/>
        </w:rPr>
      </w:pPr>
    </w:p>
    <w:p w14:paraId="22D331F7">
      <w:pPr>
        <w:ind w:firstLine="212"/>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中标结果通知书</w:t>
      </w:r>
    </w:p>
    <w:p w14:paraId="29EAA6FD">
      <w:pPr>
        <w:ind w:firstLine="212"/>
        <w:jc w:val="center"/>
        <w:rPr>
          <w:rFonts w:ascii="宋体" w:hAnsi="宋体"/>
          <w:color w:val="auto"/>
          <w:sz w:val="24"/>
          <w:szCs w:val="24"/>
          <w:highlight w:val="none"/>
        </w:rPr>
      </w:pPr>
    </w:p>
    <w:p w14:paraId="3318104F">
      <w:pPr>
        <w:ind w:firstLine="212"/>
        <w:jc w:val="center"/>
        <w:rPr>
          <w:rFonts w:ascii="宋体" w:hAnsi="宋体"/>
          <w:color w:val="auto"/>
          <w:sz w:val="24"/>
          <w:highlight w:val="none"/>
        </w:rPr>
      </w:pPr>
    </w:p>
    <w:p w14:paraId="4336F927">
      <w:pPr>
        <w:pStyle w:val="22"/>
        <w:tabs>
          <w:tab w:val="left" w:pos="2423"/>
        </w:tabs>
        <w:adjustRightInd w:val="0"/>
        <w:snapToGrid w:val="0"/>
        <w:spacing w:line="360" w:lineRule="auto"/>
        <w:ind w:left="264" w:right="103"/>
        <w:rPr>
          <w:color w:val="auto"/>
          <w:highlight w:val="none"/>
        </w:rPr>
      </w:pPr>
      <w:r>
        <w:rPr>
          <w:color w:val="auto"/>
          <w:highlight w:val="none"/>
          <w:u w:val="single"/>
        </w:rPr>
        <w:t xml:space="preserve"> </w:t>
      </w:r>
      <w:r>
        <w:rPr>
          <w:color w:val="auto"/>
          <w:highlight w:val="none"/>
          <w:u w:val="single"/>
        </w:rPr>
        <w:tab/>
      </w:r>
      <w:r>
        <w:rPr>
          <w:color w:val="auto"/>
          <w:highlight w:val="none"/>
        </w:rPr>
        <w:t>（未中标人名称）：</w:t>
      </w:r>
    </w:p>
    <w:p w14:paraId="7060A468">
      <w:pPr>
        <w:pStyle w:val="22"/>
        <w:tabs>
          <w:tab w:val="left" w:pos="1463"/>
          <w:tab w:val="left" w:pos="3424"/>
          <w:tab w:val="left" w:pos="4019"/>
          <w:tab w:val="left" w:pos="7200"/>
          <w:tab w:val="left" w:pos="8025"/>
        </w:tabs>
        <w:adjustRightInd w:val="0"/>
        <w:snapToGrid w:val="0"/>
        <w:spacing w:line="360" w:lineRule="auto"/>
        <w:ind w:left="144" w:right="101" w:firstLine="482"/>
        <w:jc w:val="left"/>
        <w:rPr>
          <w:color w:val="auto"/>
          <w:highlight w:val="none"/>
        </w:rPr>
      </w:pPr>
    </w:p>
    <w:p w14:paraId="59530CC8">
      <w:pPr>
        <w:pStyle w:val="22"/>
        <w:tabs>
          <w:tab w:val="left" w:pos="1463"/>
          <w:tab w:val="left" w:pos="3424"/>
          <w:tab w:val="left" w:pos="4019"/>
          <w:tab w:val="left" w:pos="7200"/>
          <w:tab w:val="left" w:pos="8025"/>
        </w:tabs>
        <w:adjustRightInd w:val="0"/>
        <w:snapToGrid w:val="0"/>
        <w:spacing w:line="360" w:lineRule="auto"/>
        <w:ind w:left="144" w:right="101" w:firstLine="482"/>
        <w:jc w:val="left"/>
        <w:rPr>
          <w:color w:val="auto"/>
          <w:highlight w:val="none"/>
        </w:rPr>
      </w:pPr>
      <w:r>
        <w:rPr>
          <w:color w:val="auto"/>
          <w:highlight w:val="none"/>
        </w:rPr>
        <w:t>我方已接受</w:t>
      </w:r>
      <w:r>
        <w:rPr>
          <w:color w:val="auto"/>
          <w:highlight w:val="none"/>
          <w:u w:val="single"/>
        </w:rPr>
        <w:tab/>
      </w:r>
      <w:r>
        <w:rPr>
          <w:color w:val="auto"/>
          <w:highlight w:val="none"/>
          <w:u w:val="single"/>
        </w:rPr>
        <w:tab/>
      </w:r>
      <w:r>
        <w:rPr>
          <w:color w:val="auto"/>
          <w:highlight w:val="none"/>
        </w:rPr>
        <w:t>（中标人名称）于</w:t>
      </w:r>
      <w:r>
        <w:rPr>
          <w:color w:val="auto"/>
          <w:highlight w:val="none"/>
          <w:u w:val="single"/>
        </w:rPr>
        <w:t xml:space="preserve"> </w:t>
      </w:r>
      <w:r>
        <w:rPr>
          <w:color w:val="auto"/>
          <w:highlight w:val="none"/>
          <w:u w:val="single"/>
        </w:rPr>
        <w:tab/>
      </w:r>
      <w:r>
        <w:rPr>
          <w:color w:val="auto"/>
          <w:highlight w:val="none"/>
        </w:rPr>
        <w:t>（投标日期）所递交的</w:t>
      </w:r>
      <w:r>
        <w:rPr>
          <w:color w:val="auto"/>
          <w:highlight w:val="none"/>
          <w:u w:val="single"/>
        </w:rPr>
        <w:t xml:space="preserve">         </w:t>
      </w:r>
      <w:r>
        <w:rPr>
          <w:color w:val="auto"/>
          <w:highlight w:val="none"/>
        </w:rPr>
        <w:t>（</w:t>
      </w:r>
      <w:r>
        <w:rPr>
          <w:rFonts w:hint="eastAsia"/>
          <w:color w:val="auto"/>
          <w:highlight w:val="none"/>
        </w:rPr>
        <w:t>招标</w:t>
      </w:r>
      <w:r>
        <w:rPr>
          <w:color w:val="auto"/>
          <w:highlight w:val="none"/>
        </w:rPr>
        <w:t>项目名称）招标</w:t>
      </w:r>
      <w:r>
        <w:rPr>
          <w:rFonts w:hint="eastAsia"/>
          <w:color w:val="auto"/>
          <w:spacing w:val="-8"/>
          <w:highlight w:val="none"/>
        </w:rPr>
        <w:t>第</w:t>
      </w:r>
      <w:r>
        <w:rPr>
          <w:color w:val="auto"/>
          <w:highlight w:val="none"/>
          <w:u w:val="single"/>
        </w:rPr>
        <w:t xml:space="preserve">     </w:t>
      </w:r>
      <w:r>
        <w:rPr>
          <w:rFonts w:hint="eastAsia"/>
          <w:color w:val="auto"/>
          <w:highlight w:val="none"/>
        </w:rPr>
        <w:t>标段</w:t>
      </w:r>
      <w:r>
        <w:rPr>
          <w:color w:val="auto"/>
          <w:spacing w:val="-8"/>
          <w:highlight w:val="none"/>
        </w:rPr>
        <w:t>投标文件，确定</w:t>
      </w:r>
      <w:r>
        <w:rPr>
          <w:color w:val="auto"/>
          <w:spacing w:val="-8"/>
          <w:highlight w:val="none"/>
          <w:u w:val="single"/>
        </w:rPr>
        <w:t xml:space="preserve">          </w:t>
      </w:r>
      <w:r>
        <w:rPr>
          <w:color w:val="auto"/>
          <w:highlight w:val="none"/>
        </w:rPr>
        <w:t>（中标人名称）为中标人。</w:t>
      </w:r>
    </w:p>
    <w:p w14:paraId="1C803E25">
      <w:pPr>
        <w:pStyle w:val="22"/>
        <w:adjustRightInd w:val="0"/>
        <w:snapToGrid w:val="0"/>
        <w:spacing w:line="360" w:lineRule="auto"/>
        <w:rPr>
          <w:color w:val="auto"/>
          <w:highlight w:val="none"/>
        </w:rPr>
      </w:pPr>
    </w:p>
    <w:p w14:paraId="0EB7D078">
      <w:pPr>
        <w:pStyle w:val="22"/>
        <w:adjustRightInd w:val="0"/>
        <w:snapToGrid w:val="0"/>
        <w:spacing w:line="360" w:lineRule="auto"/>
        <w:ind w:left="624" w:right="103"/>
        <w:rPr>
          <w:color w:val="auto"/>
          <w:highlight w:val="none"/>
        </w:rPr>
      </w:pPr>
      <w:r>
        <w:rPr>
          <w:color w:val="auto"/>
          <w:highlight w:val="none"/>
        </w:rPr>
        <w:t>感谢你单位对我们工作的大力支持！</w:t>
      </w:r>
    </w:p>
    <w:p w14:paraId="1E9694C7">
      <w:pPr>
        <w:pStyle w:val="22"/>
        <w:rPr>
          <w:color w:val="auto"/>
          <w:highlight w:val="none"/>
        </w:rPr>
      </w:pPr>
    </w:p>
    <w:p w14:paraId="4D76FEA6">
      <w:pPr>
        <w:pStyle w:val="22"/>
        <w:rPr>
          <w:color w:val="auto"/>
          <w:highlight w:val="none"/>
        </w:rPr>
      </w:pPr>
    </w:p>
    <w:p w14:paraId="279011A1">
      <w:pPr>
        <w:pStyle w:val="22"/>
        <w:rPr>
          <w:color w:val="auto"/>
          <w:highlight w:val="none"/>
        </w:rPr>
      </w:pPr>
    </w:p>
    <w:p w14:paraId="78FB2F0D">
      <w:pPr>
        <w:pStyle w:val="22"/>
        <w:tabs>
          <w:tab w:val="left" w:pos="6743"/>
        </w:tabs>
        <w:spacing w:before="0" w:line="360" w:lineRule="auto"/>
        <w:ind w:right="102"/>
        <w:rPr>
          <w:color w:val="auto"/>
          <w:highlight w:val="none"/>
        </w:rPr>
      </w:pPr>
      <w:r>
        <w:rPr>
          <w:color w:val="auto"/>
          <w:highlight w:val="none"/>
        </w:rPr>
        <w:t xml:space="preserve">             招标人：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（盖单位</w:t>
      </w:r>
      <w:r>
        <w:rPr>
          <w:rFonts w:hint="eastAsia"/>
          <w:color w:val="auto"/>
          <w:highlight w:val="none"/>
        </w:rPr>
        <w:t>电子印</w:t>
      </w:r>
      <w:r>
        <w:rPr>
          <w:color w:val="auto"/>
          <w:highlight w:val="none"/>
        </w:rPr>
        <w:t>章</w:t>
      </w:r>
      <w:r>
        <w:rPr>
          <w:rFonts w:hint="eastAsia"/>
          <w:color w:val="auto"/>
          <w:highlight w:val="none"/>
        </w:rPr>
        <w:t>／盖单位章</w:t>
      </w:r>
      <w:r>
        <w:rPr>
          <w:color w:val="auto"/>
          <w:highlight w:val="none"/>
        </w:rPr>
        <w:t>）</w:t>
      </w:r>
    </w:p>
    <w:p w14:paraId="775A5DD4">
      <w:pPr>
        <w:pStyle w:val="22"/>
        <w:tabs>
          <w:tab w:val="left" w:pos="6863"/>
        </w:tabs>
        <w:spacing w:before="0" w:line="360" w:lineRule="auto"/>
        <w:ind w:right="102"/>
        <w:rPr>
          <w:color w:val="auto"/>
          <w:highlight w:val="none"/>
        </w:rPr>
      </w:pPr>
      <w:r>
        <w:rPr>
          <w:color w:val="auto"/>
          <w:highlight w:val="none"/>
        </w:rPr>
        <w:t xml:space="preserve">             □招标代理</w:t>
      </w:r>
      <w:r>
        <w:rPr>
          <w:rFonts w:hint="eastAsia"/>
          <w:color w:val="auto"/>
          <w:highlight w:val="none"/>
        </w:rPr>
        <w:t>机构</w:t>
      </w:r>
      <w:r>
        <w:rPr>
          <w:color w:val="auto"/>
          <w:highlight w:val="none"/>
        </w:rPr>
        <w:t>：</w:t>
      </w:r>
      <w:r>
        <w:rPr>
          <w:color w:val="auto"/>
          <w:highlight w:val="none"/>
          <w:u w:val="single"/>
        </w:rPr>
        <w:t xml:space="preserve">              </w:t>
      </w:r>
      <w:r>
        <w:rPr>
          <w:color w:val="auto"/>
          <w:highlight w:val="none"/>
        </w:rPr>
        <w:t>（盖单位</w:t>
      </w:r>
      <w:r>
        <w:rPr>
          <w:rFonts w:hint="eastAsia"/>
          <w:color w:val="auto"/>
          <w:highlight w:val="none"/>
        </w:rPr>
        <w:t>电子印</w:t>
      </w:r>
      <w:r>
        <w:rPr>
          <w:color w:val="auto"/>
          <w:highlight w:val="none"/>
        </w:rPr>
        <w:t>章</w:t>
      </w:r>
      <w:r>
        <w:rPr>
          <w:rFonts w:hint="eastAsia"/>
          <w:color w:val="auto"/>
          <w:highlight w:val="none"/>
        </w:rPr>
        <w:t>／盖单位章</w:t>
      </w:r>
      <w:r>
        <w:rPr>
          <w:color w:val="auto"/>
          <w:highlight w:val="none"/>
        </w:rPr>
        <w:t>）</w:t>
      </w:r>
    </w:p>
    <w:p w14:paraId="6B4A0520">
      <w:pPr>
        <w:pStyle w:val="22"/>
        <w:tabs>
          <w:tab w:val="left" w:pos="6863"/>
        </w:tabs>
        <w:spacing w:before="0" w:line="360" w:lineRule="auto"/>
        <w:ind w:right="102" w:firstLine="5760" w:firstLineChars="2400"/>
        <w:rPr>
          <w:color w:val="auto"/>
          <w:highlight w:val="none"/>
        </w:rPr>
      </w:pP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bookmarkStart w:id="652" w:name="_Toc27059731"/>
      <w:bookmarkStart w:id="653" w:name="_Toc27059821"/>
      <w:bookmarkStart w:id="654" w:name="_Toc27059923"/>
      <w:bookmarkStart w:id="655" w:name="_Toc53685647"/>
      <w:bookmarkStart w:id="656" w:name="_Toc27059550"/>
      <w:bookmarkStart w:id="657" w:name="_Toc27060719"/>
    </w:p>
    <w:p w14:paraId="673C29C3">
      <w:pPr>
        <w:rPr>
          <w:rFonts w:hint="eastAsia"/>
          <w:b w:val="0"/>
          <w:bCs w:val="0"/>
          <w:color w:val="auto"/>
          <w:highlight w:val="none"/>
        </w:rPr>
      </w:pPr>
      <w:r>
        <w:rPr>
          <w:rFonts w:hint="eastAsia"/>
          <w:b w:val="0"/>
          <w:bCs w:val="0"/>
          <w:color w:val="auto"/>
          <w:highlight w:val="none"/>
        </w:rPr>
        <w:br w:type="page"/>
      </w:r>
    </w:p>
    <w:p w14:paraId="1D3BFF10">
      <w:pPr>
        <w:pStyle w:val="5"/>
        <w:spacing w:before="0" w:after="0"/>
        <w:jc w:val="both"/>
        <w:rPr>
          <w:b w:val="0"/>
          <w:bCs w:val="0"/>
          <w:color w:val="auto"/>
          <w:highlight w:val="none"/>
        </w:rPr>
      </w:pPr>
      <w:r>
        <w:rPr>
          <w:rFonts w:hint="eastAsia"/>
          <w:b w:val="0"/>
          <w:bCs w:val="0"/>
          <w:color w:val="auto"/>
          <w:highlight w:val="none"/>
        </w:rPr>
        <w:t>附件六</w:t>
      </w:r>
      <w:r>
        <w:rPr>
          <w:b w:val="0"/>
          <w:bCs w:val="0"/>
          <w:color w:val="auto"/>
          <w:highlight w:val="none"/>
        </w:rPr>
        <w:t xml:space="preserve">  </w:t>
      </w:r>
      <w:r>
        <w:rPr>
          <w:rFonts w:hint="eastAsia"/>
          <w:b w:val="0"/>
          <w:bCs w:val="0"/>
          <w:color w:val="auto"/>
          <w:highlight w:val="none"/>
        </w:rPr>
        <w:t>确认通知</w:t>
      </w:r>
      <w:bookmarkEnd w:id="652"/>
      <w:bookmarkEnd w:id="653"/>
      <w:bookmarkEnd w:id="654"/>
      <w:bookmarkEnd w:id="655"/>
      <w:bookmarkEnd w:id="656"/>
      <w:bookmarkEnd w:id="657"/>
    </w:p>
    <w:p w14:paraId="1AFB67D3">
      <w:pPr>
        <w:pStyle w:val="299"/>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确</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认</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通</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知</w:t>
      </w:r>
    </w:p>
    <w:p w14:paraId="7A00C758">
      <w:pPr>
        <w:pStyle w:val="299"/>
        <w:rPr>
          <w:color w:val="auto"/>
          <w:highlight w:val="none"/>
        </w:rPr>
      </w:pPr>
    </w:p>
    <w:p w14:paraId="48AA2AA1">
      <w:pPr>
        <w:pStyle w:val="299"/>
        <w:spacing w:line="360" w:lineRule="auto"/>
        <w:rPr>
          <w:color w:val="auto"/>
          <w:sz w:val="24"/>
          <w:highlight w:val="none"/>
        </w:rPr>
      </w:pPr>
      <w:r>
        <w:rPr>
          <w:color w:val="auto"/>
          <w:sz w:val="24"/>
          <w:highlight w:val="none"/>
        </w:rPr>
        <w:t xml:space="preserve"> </w:t>
      </w:r>
      <w:r>
        <w:rPr>
          <w:color w:val="auto"/>
          <w:sz w:val="24"/>
          <w:highlight w:val="none"/>
          <w:u w:val="single"/>
        </w:rPr>
        <w:tab/>
      </w:r>
      <w:r>
        <w:rPr>
          <w:color w:val="auto"/>
          <w:sz w:val="24"/>
          <w:highlight w:val="none"/>
          <w:u w:val="single"/>
        </w:rPr>
        <w:t xml:space="preserve">             </w:t>
      </w:r>
      <w:r>
        <w:rPr>
          <w:rFonts w:hint="eastAsia"/>
          <w:color w:val="auto"/>
          <w:sz w:val="24"/>
          <w:highlight w:val="none"/>
        </w:rPr>
        <w:t>（招标人名称）：</w:t>
      </w:r>
    </w:p>
    <w:p w14:paraId="22239B49">
      <w:pPr>
        <w:pStyle w:val="299"/>
        <w:spacing w:line="360" w:lineRule="auto"/>
        <w:rPr>
          <w:color w:val="auto"/>
          <w:sz w:val="24"/>
          <w:highlight w:val="none"/>
        </w:rPr>
      </w:pPr>
    </w:p>
    <w:p w14:paraId="7765DBBD">
      <w:pPr>
        <w:pStyle w:val="299"/>
        <w:spacing w:line="360" w:lineRule="auto"/>
        <w:ind w:firstLine="480" w:firstLineChars="200"/>
        <w:rPr>
          <w:color w:val="auto"/>
          <w:sz w:val="24"/>
          <w:highlight w:val="none"/>
        </w:rPr>
      </w:pPr>
      <w:r>
        <w:rPr>
          <w:rFonts w:hint="eastAsia"/>
          <w:color w:val="auto"/>
          <w:sz w:val="24"/>
          <w:highlight w:val="none"/>
        </w:rPr>
        <w:t>你方</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日发出的</w:t>
      </w:r>
      <w:r>
        <w:rPr>
          <w:color w:val="auto"/>
          <w:sz w:val="24"/>
          <w:highlight w:val="none"/>
        </w:rPr>
        <w:t xml:space="preserve"> </w:t>
      </w:r>
      <w:r>
        <w:rPr>
          <w:color w:val="auto"/>
          <w:sz w:val="24"/>
          <w:highlight w:val="none"/>
          <w:u w:val="single"/>
        </w:rPr>
        <w:t xml:space="preserve">          </w:t>
      </w:r>
      <w:r>
        <w:rPr>
          <w:rFonts w:hint="eastAsia"/>
          <w:color w:val="auto"/>
          <w:sz w:val="24"/>
          <w:highlight w:val="none"/>
        </w:rPr>
        <w:t>（招标项目名称）</w:t>
      </w:r>
      <w:r>
        <w:rPr>
          <w:rFonts w:ascii="宋体" w:hAnsi="宋体"/>
          <w:color w:val="auto"/>
          <w:sz w:val="24"/>
          <w:highlight w:val="none"/>
        </w:rPr>
        <w:t>招标</w:t>
      </w:r>
      <w:r>
        <w:rPr>
          <w:rFonts w:hint="eastAsia"/>
          <w:color w:val="auto"/>
          <w:sz w:val="24"/>
          <w:highlight w:val="none"/>
        </w:rPr>
        <w:t>第</w:t>
      </w:r>
      <w:r>
        <w:rPr>
          <w:color w:val="auto"/>
          <w:sz w:val="24"/>
          <w:highlight w:val="none"/>
          <w:u w:val="single"/>
        </w:rPr>
        <w:t xml:space="preserve">   </w:t>
      </w:r>
      <w:r>
        <w:rPr>
          <w:rFonts w:hint="eastAsia"/>
          <w:color w:val="auto"/>
          <w:sz w:val="24"/>
          <w:highlight w:val="none"/>
        </w:rPr>
        <w:t>标段招标关于</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w:t>
      </w:r>
      <w:r>
        <w:rPr>
          <w:color w:val="auto"/>
          <w:sz w:val="24"/>
          <w:highlight w:val="none"/>
          <w:u w:val="single"/>
        </w:rPr>
        <w:tab/>
      </w:r>
      <w:r>
        <w:rPr>
          <w:rFonts w:hint="eastAsia"/>
          <w:color w:val="auto"/>
          <w:sz w:val="24"/>
          <w:highlight w:val="none"/>
        </w:rPr>
        <w:t>的通知，我方已于</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日收到。</w:t>
      </w:r>
    </w:p>
    <w:p w14:paraId="1D641458">
      <w:pPr>
        <w:pStyle w:val="299"/>
        <w:spacing w:line="360" w:lineRule="auto"/>
        <w:ind w:firstLine="480" w:firstLineChars="200"/>
        <w:rPr>
          <w:color w:val="auto"/>
          <w:sz w:val="24"/>
          <w:highlight w:val="none"/>
        </w:rPr>
      </w:pPr>
      <w:r>
        <w:rPr>
          <w:rFonts w:hint="eastAsia"/>
          <w:color w:val="auto"/>
          <w:sz w:val="24"/>
          <w:highlight w:val="none"/>
        </w:rPr>
        <w:t>特此确认。</w:t>
      </w:r>
    </w:p>
    <w:p w14:paraId="66755F83">
      <w:pPr>
        <w:pStyle w:val="299"/>
        <w:spacing w:line="360" w:lineRule="auto"/>
        <w:rPr>
          <w:color w:val="auto"/>
          <w:sz w:val="24"/>
          <w:highlight w:val="none"/>
        </w:rPr>
      </w:pPr>
    </w:p>
    <w:p w14:paraId="57148782">
      <w:pPr>
        <w:pStyle w:val="299"/>
        <w:spacing w:line="360" w:lineRule="auto"/>
        <w:rPr>
          <w:color w:val="auto"/>
          <w:sz w:val="24"/>
          <w:highlight w:val="none"/>
        </w:rPr>
      </w:pPr>
    </w:p>
    <w:p w14:paraId="342782CA">
      <w:pPr>
        <w:pStyle w:val="299"/>
        <w:spacing w:line="360" w:lineRule="auto"/>
        <w:ind w:firstLine="3600" w:firstLineChars="1500"/>
        <w:rPr>
          <w:color w:val="auto"/>
          <w:sz w:val="24"/>
          <w:highlight w:val="none"/>
        </w:rPr>
      </w:pPr>
      <w:r>
        <w:rPr>
          <w:rFonts w:hint="eastAsia"/>
          <w:color w:val="auto"/>
          <w:sz w:val="24"/>
          <w:highlight w:val="none"/>
        </w:rPr>
        <w:t>投标人：</w:t>
      </w:r>
      <w:r>
        <w:rPr>
          <w:color w:val="auto"/>
          <w:sz w:val="24"/>
          <w:highlight w:val="none"/>
          <w:u w:val="single"/>
        </w:rPr>
        <w:t xml:space="preserve">     </w:t>
      </w:r>
      <w:r>
        <w:rPr>
          <w:color w:val="auto"/>
          <w:sz w:val="24"/>
          <w:highlight w:val="none"/>
          <w:u w:val="single"/>
        </w:rPr>
        <w:tab/>
      </w:r>
      <w:r>
        <w:rPr>
          <w:rFonts w:hint="eastAsia"/>
          <w:color w:val="auto"/>
          <w:sz w:val="24"/>
          <w:highlight w:val="none"/>
        </w:rPr>
        <w:t>（盖单位电子印章／盖单位章）</w:t>
      </w:r>
    </w:p>
    <w:p w14:paraId="6706DA7B">
      <w:pPr>
        <w:pStyle w:val="299"/>
        <w:spacing w:line="360" w:lineRule="auto"/>
        <w:rPr>
          <w:color w:val="auto"/>
          <w:sz w:val="24"/>
          <w:highlight w:val="none"/>
        </w:rPr>
      </w:pP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color w:val="auto"/>
          <w:sz w:val="24"/>
          <w:highlight w:val="none"/>
          <w:u w:val="single"/>
        </w:rPr>
        <w:tab/>
      </w:r>
      <w:r>
        <w:rPr>
          <w:rFonts w:hint="eastAsia"/>
          <w:color w:val="auto"/>
          <w:sz w:val="24"/>
          <w:highlight w:val="none"/>
        </w:rPr>
        <w:t>日</w:t>
      </w:r>
    </w:p>
    <w:p w14:paraId="4E96C5F1">
      <w:pPr>
        <w:pStyle w:val="299"/>
        <w:rPr>
          <w:color w:val="auto"/>
          <w:highlight w:val="none"/>
        </w:rPr>
      </w:pPr>
    </w:p>
    <w:p w14:paraId="242378CD">
      <w:pPr>
        <w:pStyle w:val="299"/>
        <w:rPr>
          <w:color w:val="auto"/>
          <w:highlight w:val="none"/>
        </w:rPr>
      </w:pPr>
    </w:p>
    <w:p w14:paraId="36BFFAD8">
      <w:pPr>
        <w:pStyle w:val="299"/>
        <w:rPr>
          <w:color w:val="auto"/>
          <w:highlight w:val="none"/>
        </w:rPr>
      </w:pPr>
    </w:p>
    <w:p w14:paraId="1C5DCCFA">
      <w:pPr>
        <w:pStyle w:val="299"/>
        <w:rPr>
          <w:color w:val="auto"/>
          <w:highlight w:val="none"/>
        </w:rPr>
      </w:pPr>
    </w:p>
    <w:p w14:paraId="2C11485C">
      <w:pPr>
        <w:pStyle w:val="299"/>
        <w:rPr>
          <w:color w:val="auto"/>
          <w:highlight w:val="none"/>
        </w:rPr>
      </w:pPr>
    </w:p>
    <w:p w14:paraId="0DFB6948">
      <w:pPr>
        <w:pStyle w:val="299"/>
        <w:rPr>
          <w:color w:val="auto"/>
          <w:highlight w:val="none"/>
        </w:rPr>
      </w:pPr>
    </w:p>
    <w:p w14:paraId="0A9C92EF">
      <w:pPr>
        <w:pStyle w:val="5"/>
        <w:spacing w:before="0" w:beforeLines="0" w:after="0" w:afterLines="0" w:line="360" w:lineRule="auto"/>
        <w:jc w:val="both"/>
        <w:rPr>
          <w:rFonts w:ascii="宋体" w:hAnsi="宋体"/>
          <w:b w:val="0"/>
          <w:color w:val="auto"/>
          <w:sz w:val="24"/>
          <w:szCs w:val="24"/>
          <w:highlight w:val="none"/>
        </w:rPr>
      </w:pPr>
      <w:r>
        <w:rPr>
          <w:rFonts w:ascii="宋体" w:hAnsi="宋体"/>
          <w:b w:val="0"/>
          <w:color w:val="auto"/>
          <w:szCs w:val="28"/>
          <w:highlight w:val="none"/>
        </w:rPr>
        <w:br w:type="page"/>
      </w:r>
      <w:bookmarkStart w:id="658" w:name="_Toc53685648"/>
      <w:r>
        <w:rPr>
          <w:rFonts w:hint="eastAsia"/>
          <w:b w:val="0"/>
          <w:color w:val="auto"/>
          <w:sz w:val="28"/>
          <w:szCs w:val="28"/>
          <w:highlight w:val="none"/>
        </w:rPr>
        <w:t>附件七</w:t>
      </w:r>
      <w:r>
        <w:rPr>
          <w:b w:val="0"/>
          <w:color w:val="auto"/>
          <w:sz w:val="28"/>
          <w:szCs w:val="28"/>
          <w:highlight w:val="none"/>
        </w:rPr>
        <w:t xml:space="preserve">  </w:t>
      </w:r>
      <w:r>
        <w:rPr>
          <w:rFonts w:hint="eastAsia"/>
          <w:b w:val="0"/>
          <w:color w:val="auto"/>
          <w:sz w:val="28"/>
          <w:szCs w:val="28"/>
          <w:highlight w:val="none"/>
        </w:rPr>
        <w:t>异议书</w:t>
      </w:r>
      <w:bookmarkEnd w:id="658"/>
    </w:p>
    <w:p w14:paraId="61391BEB">
      <w:pPr>
        <w:widowControl/>
        <w:spacing w:line="360" w:lineRule="auto"/>
        <w:jc w:val="center"/>
        <w:rPr>
          <w:rFonts w:ascii="黑体" w:hAnsi="黑体" w:eastAsia="黑体"/>
          <w:color w:val="auto"/>
          <w:sz w:val="28"/>
          <w:szCs w:val="28"/>
          <w:highlight w:val="none"/>
        </w:rPr>
      </w:pPr>
      <w:r>
        <w:rPr>
          <w:rFonts w:ascii="Times New Roman" w:hAnsi="Times New Roman"/>
          <w:b w:val="0"/>
          <w:color w:val="auto"/>
          <w:sz w:val="21"/>
          <w:szCs w:val="24"/>
          <w:highlight w:val="none"/>
          <w:u w:val="single"/>
        </w:rPr>
        <w:t> </w:t>
      </w:r>
      <w:r>
        <w:rPr>
          <w:rFonts w:ascii="Times New Roman" w:hAnsi="Times New Roman" w:eastAsia="宋体" w:cs="Times New Roman"/>
          <w:bCs w:val="0"/>
          <w:color w:val="auto"/>
          <w:kern w:val="2"/>
          <w:sz w:val="21"/>
          <w:szCs w:val="24"/>
          <w:highlight w:val="none"/>
          <w:u w:val="single"/>
        </w:rPr>
        <w:t> </w:t>
      </w:r>
      <w:r>
        <w:rPr>
          <w:rFonts w:ascii="Times New Roman" w:hAnsi="Times New Roman" w:eastAsia="宋体"/>
          <w:color w:val="auto"/>
          <w:sz w:val="21"/>
          <w:szCs w:val="24"/>
          <w:highlight w:val="none"/>
          <w:u w:val="single"/>
        </w:rPr>
        <w:t xml:space="preserve">          </w:t>
      </w:r>
      <w:r>
        <w:rPr>
          <w:rFonts w:ascii="Times New Roman" w:hAnsi="Times New Roman" w:eastAsia="宋体"/>
          <w:color w:val="auto"/>
          <w:sz w:val="21"/>
          <w:highlight w:val="none"/>
          <w:u w:val="single"/>
        </w:rPr>
        <w:t xml:space="preserve">     </w:t>
      </w:r>
      <w:r>
        <w:rPr>
          <w:rFonts w:hint="eastAsia" w:ascii="黑体" w:hAnsi="黑体" w:eastAsia="黑体"/>
          <w:color w:val="auto"/>
          <w:sz w:val="28"/>
          <w:szCs w:val="28"/>
          <w:highlight w:val="none"/>
        </w:rPr>
        <w:t>（招标项目名称）</w:t>
      </w:r>
      <w:r>
        <w:rPr>
          <w:rFonts w:ascii="黑体" w:hAnsi="黑体" w:eastAsia="黑体"/>
          <w:color w:val="auto"/>
          <w:sz w:val="28"/>
          <w:szCs w:val="28"/>
          <w:highlight w:val="none"/>
        </w:rPr>
        <w:t>招标</w:t>
      </w:r>
      <w:r>
        <w:rPr>
          <w:rFonts w:hint="eastAsia" w:ascii="黑体" w:hAnsi="黑体" w:eastAsia="黑体"/>
          <w:color w:val="auto"/>
          <w:sz w:val="28"/>
          <w:szCs w:val="28"/>
          <w:highlight w:val="none"/>
        </w:rPr>
        <w:t>第</w:t>
      </w:r>
      <w:r>
        <w:rPr>
          <w:rFonts w:ascii="黑体" w:hAnsi="黑体" w:eastAsia="黑体"/>
          <w:color w:val="auto"/>
          <w:sz w:val="24"/>
          <w:highlight w:val="none"/>
          <w:u w:val="single"/>
        </w:rPr>
        <w:t xml:space="preserve">     </w:t>
      </w:r>
      <w:r>
        <w:rPr>
          <w:rFonts w:hint="eastAsia" w:ascii="黑体" w:hAnsi="黑体" w:eastAsia="黑体"/>
          <w:color w:val="auto"/>
          <w:sz w:val="28"/>
          <w:szCs w:val="28"/>
          <w:highlight w:val="none"/>
        </w:rPr>
        <w:t>标段</w:t>
      </w:r>
    </w:p>
    <w:p w14:paraId="5F10CF22">
      <w:pPr>
        <w:spacing w:line="360" w:lineRule="auto"/>
        <w:ind w:firstLine="274" w:firstLineChars="98"/>
        <w:jc w:val="center"/>
        <w:rPr>
          <w:color w:val="auto"/>
          <w:sz w:val="24"/>
          <w:highlight w:val="none"/>
        </w:rPr>
      </w:pPr>
      <w:r>
        <w:rPr>
          <w:rFonts w:ascii="黑体" w:hAnsi="黑体" w:eastAsia="黑体"/>
          <w:color w:val="auto"/>
          <w:sz w:val="28"/>
          <w:szCs w:val="28"/>
          <w:highlight w:val="none"/>
        </w:rPr>
        <w:t>异 议 书</w:t>
      </w:r>
    </w:p>
    <w:p w14:paraId="34976687">
      <w:pPr>
        <w:spacing w:line="360" w:lineRule="auto"/>
        <w:jc w:val="left"/>
        <w:rPr>
          <w:rFonts w:hint="eastAsia"/>
          <w:color w:val="auto"/>
          <w:sz w:val="24"/>
          <w:highlight w:val="none"/>
        </w:rPr>
      </w:pPr>
    </w:p>
    <w:p w14:paraId="3321E590">
      <w:pPr>
        <w:spacing w:line="360" w:lineRule="auto"/>
        <w:jc w:val="left"/>
        <w:rPr>
          <w:color w:val="auto"/>
          <w:sz w:val="24"/>
          <w:highlight w:val="none"/>
        </w:rPr>
      </w:pPr>
      <w:r>
        <w:rPr>
          <w:rFonts w:hint="eastAsia"/>
          <w:color w:val="auto"/>
          <w:sz w:val="24"/>
          <w:highlight w:val="none"/>
        </w:rPr>
        <w:t>异 议 人：</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　　　　　　　　</w:t>
      </w:r>
      <w:r>
        <w:rPr>
          <w:color w:val="auto"/>
          <w:sz w:val="24"/>
          <w:highlight w:val="none"/>
        </w:rPr>
        <w:t xml:space="preserve">                  </w:t>
      </w:r>
    </w:p>
    <w:p w14:paraId="23ADC6D1">
      <w:pPr>
        <w:spacing w:line="360" w:lineRule="auto"/>
        <w:jc w:val="left"/>
        <w:rPr>
          <w:color w:val="auto"/>
          <w:sz w:val="24"/>
          <w:highlight w:val="none"/>
        </w:rPr>
      </w:pPr>
      <w:r>
        <w:rPr>
          <w:rFonts w:hint="eastAsia"/>
          <w:color w:val="auto"/>
          <w:sz w:val="24"/>
          <w:highlight w:val="none"/>
        </w:rPr>
        <w:t>住 所 地：</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w:t>
      </w:r>
      <w:r>
        <w:rPr>
          <w:color w:val="auto"/>
          <w:sz w:val="24"/>
          <w:highlight w:val="none"/>
        </w:rPr>
        <w:t xml:space="preserve">              </w:t>
      </w:r>
    </w:p>
    <w:p w14:paraId="4191AACB">
      <w:pPr>
        <w:spacing w:line="360" w:lineRule="auto"/>
        <w:jc w:val="left"/>
        <w:rPr>
          <w:color w:val="auto"/>
          <w:sz w:val="24"/>
          <w:highlight w:val="none"/>
        </w:rPr>
      </w:pPr>
      <w:r>
        <w:rPr>
          <w:rFonts w:hint="eastAsia"/>
          <w:color w:val="auto"/>
          <w:sz w:val="24"/>
          <w:highlight w:val="none"/>
        </w:rPr>
        <w:t>邮    编：</w:t>
      </w:r>
      <w:r>
        <w:rPr>
          <w:color w:val="auto"/>
          <w:sz w:val="24"/>
          <w:highlight w:val="none"/>
        </w:rPr>
        <w:t xml:space="preserve"> </w:t>
      </w:r>
      <w:r>
        <w:rPr>
          <w:color w:val="auto"/>
          <w:sz w:val="24"/>
          <w:highlight w:val="none"/>
          <w:u w:val="single"/>
        </w:rPr>
        <w:t>          </w:t>
      </w:r>
      <w:r>
        <w:rPr>
          <w:rFonts w:hint="eastAsia"/>
          <w:color w:val="auto"/>
          <w:sz w:val="24"/>
          <w:highlight w:val="none"/>
          <w:u w:val="single"/>
        </w:rPr>
        <w:t>　　　　　　　　　　　　</w:t>
      </w:r>
      <w:r>
        <w:rPr>
          <w:rFonts w:hint="eastAsia"/>
          <w:color w:val="auto"/>
          <w:sz w:val="24"/>
          <w:highlight w:val="none"/>
        </w:rPr>
        <w:t>　　　　　　　　</w:t>
      </w:r>
      <w:r>
        <w:rPr>
          <w:color w:val="auto"/>
          <w:sz w:val="24"/>
          <w:highlight w:val="none"/>
        </w:rPr>
        <w:t xml:space="preserve">                  </w:t>
      </w:r>
    </w:p>
    <w:p w14:paraId="7CA0A73A">
      <w:pPr>
        <w:spacing w:line="360" w:lineRule="auto"/>
        <w:jc w:val="left"/>
        <w:rPr>
          <w:color w:val="auto"/>
          <w:sz w:val="24"/>
          <w:highlight w:val="none"/>
        </w:rPr>
      </w:pPr>
      <w:r>
        <w:rPr>
          <w:rFonts w:hint="eastAsia"/>
          <w:color w:val="auto"/>
          <w:sz w:val="24"/>
          <w:highlight w:val="none"/>
        </w:rPr>
        <w:t>法定代表人：</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w:t>
      </w:r>
      <w:r>
        <w:rPr>
          <w:color w:val="auto"/>
          <w:sz w:val="24"/>
          <w:highlight w:val="none"/>
        </w:rPr>
        <w:t xml:space="preserve">               </w:t>
      </w:r>
    </w:p>
    <w:p w14:paraId="43975BCE">
      <w:pPr>
        <w:spacing w:line="360" w:lineRule="auto"/>
        <w:jc w:val="left"/>
        <w:rPr>
          <w:color w:val="auto"/>
          <w:sz w:val="24"/>
          <w:highlight w:val="none"/>
        </w:rPr>
      </w:pPr>
      <w:r>
        <w:rPr>
          <w:rFonts w:hint="eastAsia"/>
          <w:color w:val="auto"/>
          <w:sz w:val="24"/>
          <w:highlight w:val="none"/>
        </w:rPr>
        <w:t>联系电话：</w:t>
      </w:r>
      <w:r>
        <w:rPr>
          <w:color w:val="auto"/>
          <w:sz w:val="24"/>
          <w:highlight w:val="none"/>
          <w:u w:val="single"/>
        </w:rPr>
        <w:t>         </w:t>
      </w:r>
      <w:r>
        <w:rPr>
          <w:rFonts w:hint="eastAsia"/>
          <w:color w:val="auto"/>
          <w:sz w:val="24"/>
          <w:highlight w:val="none"/>
          <w:u w:val="single"/>
        </w:rPr>
        <w:t>　　　　　　　　　　　　　</w:t>
      </w:r>
      <w:r>
        <w:rPr>
          <w:rFonts w:hint="eastAsia"/>
          <w:color w:val="auto"/>
          <w:sz w:val="24"/>
          <w:highlight w:val="none"/>
        </w:rPr>
        <w:t>　　　　　　　</w:t>
      </w:r>
      <w:r>
        <w:rPr>
          <w:color w:val="auto"/>
          <w:sz w:val="24"/>
          <w:highlight w:val="none"/>
        </w:rPr>
        <w:t xml:space="preserve">                  </w:t>
      </w:r>
    </w:p>
    <w:p w14:paraId="53D27069">
      <w:pPr>
        <w:spacing w:line="360" w:lineRule="auto"/>
        <w:jc w:val="left"/>
        <w:rPr>
          <w:color w:val="auto"/>
          <w:sz w:val="24"/>
          <w:highlight w:val="none"/>
        </w:rPr>
      </w:pPr>
      <w:r>
        <w:rPr>
          <w:rFonts w:hint="eastAsia"/>
          <w:color w:val="auto"/>
          <w:sz w:val="24"/>
          <w:highlight w:val="none"/>
        </w:rPr>
        <w:t>异议人授权代表：</w:t>
      </w:r>
      <w:r>
        <w:rPr>
          <w:color w:val="auto"/>
          <w:sz w:val="24"/>
          <w:highlight w:val="none"/>
          <w:u w:val="single"/>
        </w:rPr>
        <w:t>               </w:t>
      </w:r>
      <w:r>
        <w:rPr>
          <w:rFonts w:hint="eastAsia"/>
          <w:color w:val="auto"/>
          <w:sz w:val="24"/>
          <w:highlight w:val="none"/>
          <w:u w:val="single"/>
        </w:rPr>
        <w:t>　　　　　　　　</w:t>
      </w:r>
      <w:r>
        <w:rPr>
          <w:color w:val="auto"/>
          <w:sz w:val="24"/>
          <w:highlight w:val="none"/>
        </w:rPr>
        <w:t>   </w:t>
      </w:r>
    </w:p>
    <w:p w14:paraId="5E7111DF">
      <w:pPr>
        <w:spacing w:line="360" w:lineRule="auto"/>
        <w:jc w:val="left"/>
        <w:rPr>
          <w:color w:val="auto"/>
          <w:sz w:val="24"/>
          <w:highlight w:val="none"/>
        </w:rPr>
      </w:pPr>
      <w:r>
        <w:rPr>
          <w:rFonts w:hint="eastAsia"/>
          <w:color w:val="auto"/>
          <w:sz w:val="24"/>
          <w:highlight w:val="none"/>
        </w:rPr>
        <w:t>性    别：</w:t>
      </w:r>
      <w:r>
        <w:rPr>
          <w:color w:val="auto"/>
          <w:sz w:val="24"/>
          <w:highlight w:val="none"/>
          <w:u w:val="single"/>
        </w:rPr>
        <w:t xml:space="preserve">      </w:t>
      </w:r>
      <w:r>
        <w:rPr>
          <w:rFonts w:hint="eastAsia"/>
          <w:color w:val="auto"/>
          <w:sz w:val="24"/>
          <w:highlight w:val="none"/>
          <w:u w:val="single"/>
        </w:rPr>
        <w:t>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w:t>
      </w:r>
      <w:r>
        <w:rPr>
          <w:color w:val="auto"/>
          <w:sz w:val="24"/>
          <w:highlight w:val="none"/>
        </w:rPr>
        <w:t xml:space="preserve">     </w:t>
      </w:r>
    </w:p>
    <w:p w14:paraId="0BAAD1A9">
      <w:pPr>
        <w:spacing w:line="360" w:lineRule="auto"/>
        <w:jc w:val="left"/>
        <w:rPr>
          <w:color w:val="auto"/>
          <w:sz w:val="24"/>
          <w:highlight w:val="none"/>
        </w:rPr>
      </w:pPr>
      <w:r>
        <w:rPr>
          <w:rFonts w:hint="eastAsia"/>
          <w:color w:val="auto"/>
          <w:sz w:val="24"/>
          <w:highlight w:val="none"/>
        </w:rPr>
        <w:t>年    龄：</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w:t>
      </w:r>
      <w:r>
        <w:rPr>
          <w:color w:val="auto"/>
          <w:sz w:val="24"/>
          <w:highlight w:val="none"/>
        </w:rPr>
        <w:t xml:space="preserve">      </w:t>
      </w:r>
    </w:p>
    <w:p w14:paraId="73E28587">
      <w:pPr>
        <w:spacing w:line="360" w:lineRule="auto"/>
        <w:jc w:val="left"/>
        <w:rPr>
          <w:color w:val="auto"/>
          <w:sz w:val="24"/>
          <w:highlight w:val="none"/>
        </w:rPr>
      </w:pPr>
      <w:r>
        <w:rPr>
          <w:rFonts w:hint="eastAsia"/>
          <w:color w:val="auto"/>
          <w:sz w:val="24"/>
          <w:highlight w:val="none"/>
        </w:rPr>
        <w:t>住    址：</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w:t>
      </w:r>
      <w:r>
        <w:rPr>
          <w:color w:val="auto"/>
          <w:sz w:val="24"/>
          <w:highlight w:val="none"/>
        </w:rPr>
        <w:t xml:space="preserve">           </w:t>
      </w:r>
    </w:p>
    <w:p w14:paraId="75EADC58">
      <w:pPr>
        <w:spacing w:line="360" w:lineRule="auto"/>
        <w:jc w:val="left"/>
        <w:rPr>
          <w:color w:val="auto"/>
          <w:sz w:val="24"/>
          <w:highlight w:val="none"/>
        </w:rPr>
      </w:pPr>
      <w:r>
        <w:rPr>
          <w:rFonts w:hint="eastAsia"/>
          <w:color w:val="auto"/>
          <w:sz w:val="24"/>
          <w:highlight w:val="none"/>
        </w:rPr>
        <w:t>联系电话：</w:t>
      </w:r>
      <w:r>
        <w:rPr>
          <w:color w:val="auto"/>
          <w:sz w:val="24"/>
          <w:highlight w:val="none"/>
          <w:u w:val="single"/>
        </w:rPr>
        <w:t>           </w:t>
      </w:r>
      <w:r>
        <w:rPr>
          <w:rFonts w:hint="eastAsia"/>
          <w:color w:val="auto"/>
          <w:sz w:val="24"/>
          <w:highlight w:val="none"/>
          <w:u w:val="single"/>
        </w:rPr>
        <w:t>　　　　　　　　　　　　</w:t>
      </w:r>
      <w:r>
        <w:rPr>
          <w:rFonts w:hint="eastAsia"/>
          <w:color w:val="auto"/>
          <w:sz w:val="24"/>
          <w:highlight w:val="none"/>
        </w:rPr>
        <w:t>　　</w:t>
      </w:r>
      <w:r>
        <w:rPr>
          <w:color w:val="auto"/>
          <w:sz w:val="24"/>
          <w:highlight w:val="none"/>
        </w:rPr>
        <w:t xml:space="preserve">     </w:t>
      </w:r>
      <w:r>
        <w:rPr>
          <w:rFonts w:hint="eastAsia"/>
          <w:color w:val="auto"/>
          <w:sz w:val="24"/>
          <w:highlight w:val="none"/>
        </w:rPr>
        <w:t>　　　　　</w:t>
      </w:r>
      <w:r>
        <w:rPr>
          <w:color w:val="auto"/>
          <w:sz w:val="24"/>
          <w:highlight w:val="none"/>
        </w:rPr>
        <w:t xml:space="preserve">             </w:t>
      </w:r>
    </w:p>
    <w:p w14:paraId="4F2B89B5">
      <w:pPr>
        <w:spacing w:line="360" w:lineRule="auto"/>
        <w:jc w:val="left"/>
        <w:rPr>
          <w:color w:val="auto"/>
          <w:sz w:val="24"/>
          <w:highlight w:val="none"/>
          <w:u w:val="single"/>
        </w:rPr>
      </w:pPr>
      <w:r>
        <w:rPr>
          <w:rFonts w:hint="eastAsia"/>
          <w:color w:val="auto"/>
          <w:sz w:val="24"/>
          <w:highlight w:val="none"/>
        </w:rPr>
        <w:t>提起异议事项的基本事实：</w:t>
      </w:r>
      <w:r>
        <w:rPr>
          <w:color w:val="auto"/>
          <w:sz w:val="24"/>
          <w:highlight w:val="none"/>
          <w:u w:val="single"/>
        </w:rPr>
        <w:t xml:space="preserve">       </w:t>
      </w:r>
      <w:r>
        <w:rPr>
          <w:rFonts w:hint="eastAsia"/>
          <w:color w:val="auto"/>
          <w:sz w:val="24"/>
          <w:highlight w:val="none"/>
          <w:u w:val="single"/>
        </w:rPr>
        <w:t>　　　　　　　　　　　　　　　　</w:t>
      </w:r>
      <w:r>
        <w:rPr>
          <w:color w:val="auto"/>
          <w:sz w:val="24"/>
          <w:highlight w:val="none"/>
          <w:u w:val="single"/>
        </w:rPr>
        <w:t xml:space="preserve">             </w:t>
      </w:r>
    </w:p>
    <w:p w14:paraId="51D8F39B">
      <w:pPr>
        <w:spacing w:line="360" w:lineRule="auto"/>
        <w:jc w:val="left"/>
        <w:rPr>
          <w:color w:val="auto"/>
          <w:sz w:val="24"/>
          <w:highlight w:val="none"/>
        </w:rPr>
      </w:pPr>
      <w:r>
        <w:rPr>
          <w:color w:val="auto"/>
          <w:sz w:val="24"/>
          <w:highlight w:val="none"/>
          <w:u w:val="single"/>
        </w:rPr>
        <w:t>                                                                                          </w:t>
      </w:r>
      <w:r>
        <w:rPr>
          <w:rFonts w:hint="eastAsia"/>
          <w:color w:val="auto"/>
          <w:sz w:val="24"/>
          <w:highlight w:val="none"/>
        </w:rPr>
        <w:t>。</w:t>
      </w:r>
    </w:p>
    <w:p w14:paraId="3AD37C0A">
      <w:pPr>
        <w:spacing w:line="360" w:lineRule="auto"/>
        <w:jc w:val="left"/>
        <w:rPr>
          <w:color w:val="auto"/>
          <w:sz w:val="24"/>
          <w:highlight w:val="none"/>
          <w:u w:val="single"/>
        </w:rPr>
      </w:pPr>
      <w:r>
        <w:rPr>
          <w:rFonts w:hint="eastAsia"/>
          <w:color w:val="auto"/>
          <w:sz w:val="24"/>
          <w:highlight w:val="none"/>
        </w:rPr>
        <w:t>相关请求及主张：</w:t>
      </w:r>
      <w:r>
        <w:rPr>
          <w:color w:val="auto"/>
          <w:sz w:val="24"/>
          <w:highlight w:val="none"/>
          <w:u w:val="single"/>
        </w:rPr>
        <w:t xml:space="preserve">             </w:t>
      </w:r>
      <w:r>
        <w:rPr>
          <w:rFonts w:hint="eastAsia"/>
          <w:color w:val="auto"/>
          <w:sz w:val="24"/>
          <w:highlight w:val="none"/>
          <w:u w:val="single"/>
        </w:rPr>
        <w:t>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4C8E0E15">
      <w:pPr>
        <w:spacing w:line="360" w:lineRule="auto"/>
        <w:jc w:val="left"/>
        <w:rPr>
          <w:color w:val="auto"/>
          <w:sz w:val="24"/>
          <w:highlight w:val="none"/>
          <w:u w:val="single"/>
        </w:rPr>
      </w:pP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14:paraId="2B4FA9DD">
      <w:pPr>
        <w:spacing w:line="360" w:lineRule="auto"/>
        <w:jc w:val="left"/>
        <w:rPr>
          <w:color w:val="auto"/>
          <w:sz w:val="24"/>
          <w:highlight w:val="none"/>
        </w:rPr>
      </w:pPr>
      <w:r>
        <w:rPr>
          <w:rFonts w:hint="eastAsia"/>
          <w:color w:val="auto"/>
          <w:sz w:val="24"/>
          <w:highlight w:val="none"/>
        </w:rPr>
        <w:t>有效线索和相关证明材料</w:t>
      </w:r>
      <w:r>
        <w:rPr>
          <w:rFonts w:hint="eastAsia"/>
          <w:color w:val="auto"/>
          <w:sz w:val="24"/>
          <w:highlight w:val="none"/>
          <w:u w:val="single"/>
        </w:rPr>
        <w:t>：</w:t>
      </w:r>
      <w:r>
        <w:rPr>
          <w:color w:val="auto"/>
          <w:sz w:val="24"/>
          <w:highlight w:val="none"/>
          <w:u w:val="single"/>
        </w:rPr>
        <w:t xml:space="preserve">         </w:t>
      </w:r>
      <w:r>
        <w:rPr>
          <w:rFonts w:hint="eastAsia"/>
          <w:color w:val="auto"/>
          <w:sz w:val="24"/>
          <w:highlight w:val="none"/>
          <w:u w:val="single"/>
        </w:rPr>
        <w:t>　　　　　　　　　　　　　　　</w:t>
      </w:r>
      <w:r>
        <w:rPr>
          <w:color w:val="auto"/>
          <w:sz w:val="24"/>
          <w:highlight w:val="none"/>
          <w:u w:val="single"/>
        </w:rPr>
        <w:t xml:space="preserve">        </w:t>
      </w:r>
      <w:r>
        <w:rPr>
          <w:rFonts w:hint="eastAsia"/>
          <w:color w:val="auto"/>
          <w:sz w:val="24"/>
          <w:highlight w:val="none"/>
        </w:rPr>
        <w:t>。</w:t>
      </w:r>
    </w:p>
    <w:p w14:paraId="0CEF31DD">
      <w:pPr>
        <w:spacing w:line="360" w:lineRule="auto"/>
        <w:jc w:val="left"/>
        <w:rPr>
          <w:color w:val="auto"/>
          <w:sz w:val="24"/>
          <w:highlight w:val="none"/>
        </w:rPr>
      </w:pPr>
      <w:r>
        <w:rPr>
          <w:rFonts w:hint="eastAsia"/>
          <w:color w:val="auto"/>
          <w:sz w:val="24"/>
          <w:highlight w:val="none"/>
        </w:rPr>
        <w:t>异议人与提起项目有利害关系的证明材料</w:t>
      </w:r>
      <w:r>
        <w:rPr>
          <w:rFonts w:hint="eastAsia"/>
          <w:color w:val="auto"/>
          <w:sz w:val="24"/>
          <w:highlight w:val="none"/>
          <w:u w:val="single"/>
        </w:rPr>
        <w:t>：</w:t>
      </w:r>
      <w:r>
        <w:rPr>
          <w:color w:val="auto"/>
          <w:sz w:val="24"/>
          <w:highlight w:val="none"/>
          <w:u w:val="single"/>
        </w:rPr>
        <w:t xml:space="preserve">        </w:t>
      </w:r>
      <w:r>
        <w:rPr>
          <w:rFonts w:hint="eastAsia"/>
          <w:color w:val="auto"/>
          <w:sz w:val="24"/>
          <w:highlight w:val="none"/>
          <w:u w:val="single"/>
        </w:rPr>
        <w:t>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14:paraId="680A87C2">
      <w:pPr>
        <w:pStyle w:val="19"/>
        <w:spacing w:line="360" w:lineRule="auto"/>
        <w:jc w:val="left"/>
        <w:rPr>
          <w:color w:val="auto"/>
          <w:sz w:val="24"/>
          <w:highlight w:val="none"/>
        </w:rPr>
      </w:pPr>
    </w:p>
    <w:p w14:paraId="0C80DE7E">
      <w:pPr>
        <w:pStyle w:val="19"/>
        <w:adjustRightInd w:val="0"/>
        <w:snapToGrid w:val="0"/>
        <w:spacing w:line="360" w:lineRule="auto"/>
        <w:jc w:val="left"/>
        <w:rPr>
          <w:color w:val="auto"/>
          <w:sz w:val="24"/>
          <w:highlight w:val="none"/>
        </w:rPr>
      </w:pPr>
      <w:r>
        <w:rPr>
          <w:rFonts w:hint="eastAsia"/>
          <w:color w:val="auto"/>
          <w:sz w:val="24"/>
          <w:highlight w:val="none"/>
        </w:rPr>
        <w:t>此致</w:t>
      </w:r>
    </w:p>
    <w:p w14:paraId="3DC5D859">
      <w:pPr>
        <w:adjustRightInd w:val="0"/>
        <w:snapToGrid w:val="0"/>
        <w:spacing w:line="360" w:lineRule="auto"/>
        <w:jc w:val="left"/>
        <w:rPr>
          <w:color w:val="auto"/>
          <w:sz w:val="24"/>
          <w:highlight w:val="none"/>
          <w:u w:val="single"/>
        </w:rPr>
      </w:pPr>
      <w:r>
        <w:rPr>
          <w:color w:val="auto"/>
          <w:sz w:val="24"/>
          <w:highlight w:val="none"/>
        </w:rPr>
        <w:t xml:space="preserve">  </w:t>
      </w:r>
      <w:r>
        <w:rPr>
          <w:rFonts w:hint="eastAsia"/>
          <w:color w:val="auto"/>
          <w:sz w:val="24"/>
          <w:highlight w:val="none"/>
          <w:u w:val="single"/>
        </w:rPr>
        <w:t xml:space="preserve">    （招标人）</w:t>
      </w:r>
      <w:r>
        <w:rPr>
          <w:color w:val="auto"/>
          <w:sz w:val="24"/>
          <w:highlight w:val="none"/>
          <w:u w:val="single"/>
        </w:rPr>
        <w:t xml:space="preserve">     </w:t>
      </w:r>
    </w:p>
    <w:p w14:paraId="43092350">
      <w:pPr>
        <w:pStyle w:val="22"/>
        <w:tabs>
          <w:tab w:val="left" w:pos="6270"/>
        </w:tabs>
        <w:spacing w:line="360" w:lineRule="auto"/>
        <w:ind w:right="103"/>
        <w:rPr>
          <w:color w:val="auto"/>
          <w:highlight w:val="none"/>
        </w:rPr>
      </w:pPr>
      <w:r>
        <w:rPr>
          <w:color w:val="auto"/>
          <w:highlight w:val="none"/>
        </w:rPr>
        <w:t xml:space="preserve">                          </w:t>
      </w:r>
    </w:p>
    <w:p w14:paraId="6CFBCDA6">
      <w:pPr>
        <w:pStyle w:val="22"/>
        <w:tabs>
          <w:tab w:val="left" w:pos="6270"/>
        </w:tabs>
        <w:spacing w:line="360" w:lineRule="auto"/>
        <w:ind w:right="103" w:firstLine="3840" w:firstLineChars="1600"/>
        <w:rPr>
          <w:color w:val="auto"/>
          <w:highlight w:val="none"/>
        </w:rPr>
      </w:pPr>
      <w:r>
        <w:rPr>
          <w:rFonts w:cs="Tahoma"/>
          <w:color w:val="auto"/>
          <w:kern w:val="0"/>
          <w:highlight w:val="none"/>
        </w:rPr>
        <w:t>异议人（盖单位</w:t>
      </w:r>
      <w:r>
        <w:rPr>
          <w:rFonts w:hint="eastAsia" w:cs="Tahoma"/>
          <w:color w:val="auto"/>
          <w:kern w:val="0"/>
          <w:highlight w:val="none"/>
        </w:rPr>
        <w:t>章</w:t>
      </w:r>
      <w:r>
        <w:rPr>
          <w:rFonts w:cs="Tahoma"/>
          <w:color w:val="auto"/>
          <w:kern w:val="0"/>
          <w:highlight w:val="none"/>
        </w:rPr>
        <w:t>）</w:t>
      </w:r>
      <w:r>
        <w:rPr>
          <w:rFonts w:hint="eastAsia"/>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E09B1CD">
      <w:pPr>
        <w:widowControl/>
        <w:spacing w:line="360" w:lineRule="auto"/>
        <w:jc w:val="right"/>
        <w:rPr>
          <w:rFonts w:ascii="宋体" w:hAnsi="宋体" w:cs="Tahoma"/>
          <w:color w:val="auto"/>
          <w:kern w:val="0"/>
          <w:sz w:val="24"/>
          <w:highlight w:val="none"/>
        </w:rPr>
      </w:pPr>
      <w:r>
        <w:rPr>
          <w:rFonts w:ascii="宋体" w:hAnsi="宋体" w:cs="Tahoma"/>
          <w:color w:val="auto"/>
          <w:kern w:val="0"/>
          <w:sz w:val="24"/>
          <w:highlight w:val="none"/>
        </w:rPr>
        <w:t>法定代表人或授权代表</w:t>
      </w:r>
      <w:r>
        <w:rPr>
          <w:rFonts w:hint="eastAsia" w:hAnsi="宋体"/>
          <w:color w:val="auto"/>
          <w:sz w:val="24"/>
          <w:highlight w:val="none"/>
        </w:rPr>
        <w:t>（</w:t>
      </w:r>
      <w:r>
        <w:rPr>
          <w:rFonts w:hint="eastAsia"/>
          <w:color w:val="auto"/>
          <w:sz w:val="24"/>
          <w:highlight w:val="none"/>
        </w:rPr>
        <w:t>签字</w:t>
      </w:r>
      <w:r>
        <w:rPr>
          <w:rFonts w:hint="eastAsia" w:hAnsi="宋体"/>
          <w:color w:val="auto"/>
          <w:sz w:val="24"/>
          <w:highlight w:val="none"/>
        </w:rPr>
        <w:t>）</w:t>
      </w:r>
      <w:r>
        <w:rPr>
          <w:rFonts w:ascii="宋体" w:hAnsi="宋体" w:cs="Tahoma"/>
          <w:color w:val="auto"/>
          <w:kern w:val="0"/>
          <w:sz w:val="24"/>
          <w:highlight w:val="none"/>
        </w:rPr>
        <w:t>：</w:t>
      </w:r>
      <w:r>
        <w:rPr>
          <w:rFonts w:ascii="宋体" w:hAnsi="宋体" w:cs="Tahoma"/>
          <w:color w:val="auto"/>
          <w:kern w:val="0"/>
          <w:sz w:val="24"/>
          <w:highlight w:val="none"/>
          <w:u w:val="single"/>
        </w:rPr>
        <w:t> 　　　　　　　   </w:t>
      </w:r>
    </w:p>
    <w:p w14:paraId="42BE730B">
      <w:pPr>
        <w:widowControl/>
        <w:spacing w:line="360" w:lineRule="auto"/>
        <w:jc w:val="right"/>
        <w:rPr>
          <w:rFonts w:ascii="宋体" w:hAnsi="宋体" w:cs="Tahoma"/>
          <w:color w:val="auto"/>
          <w:kern w:val="0"/>
          <w:sz w:val="24"/>
          <w:highlight w:val="none"/>
        </w:rPr>
      </w:pPr>
      <w:r>
        <w:rPr>
          <w:rFonts w:ascii="宋体" w:hAnsi="宋体" w:cs="Tahoma"/>
          <w:color w:val="auto"/>
          <w:kern w:val="0"/>
          <w:sz w:val="24"/>
          <w:highlight w:val="none"/>
          <w:u w:val="single"/>
        </w:rPr>
        <w:t xml:space="preserve">       </w:t>
      </w:r>
      <w:r>
        <w:rPr>
          <w:rFonts w:ascii="宋体" w:hAnsi="宋体" w:cs="Tahoma"/>
          <w:color w:val="auto"/>
          <w:kern w:val="0"/>
          <w:sz w:val="24"/>
          <w:highlight w:val="none"/>
        </w:rPr>
        <w:t>年</w:t>
      </w:r>
      <w:r>
        <w:rPr>
          <w:rFonts w:ascii="宋体" w:hAnsi="宋体" w:cs="Tahoma"/>
          <w:color w:val="auto"/>
          <w:kern w:val="0"/>
          <w:sz w:val="24"/>
          <w:highlight w:val="none"/>
          <w:u w:val="single"/>
        </w:rPr>
        <w:t xml:space="preserve">　　 </w:t>
      </w:r>
      <w:r>
        <w:rPr>
          <w:rFonts w:ascii="宋体" w:hAnsi="宋体" w:cs="Tahoma"/>
          <w:color w:val="auto"/>
          <w:kern w:val="0"/>
          <w:sz w:val="24"/>
          <w:highlight w:val="none"/>
        </w:rPr>
        <w:t>月</w:t>
      </w:r>
      <w:r>
        <w:rPr>
          <w:rFonts w:ascii="宋体" w:hAnsi="宋体" w:cs="Tahoma"/>
          <w:color w:val="auto"/>
          <w:kern w:val="0"/>
          <w:sz w:val="24"/>
          <w:highlight w:val="none"/>
          <w:u w:val="single"/>
        </w:rPr>
        <w:t xml:space="preserve"> 　</w:t>
      </w:r>
      <w:r>
        <w:rPr>
          <w:rFonts w:hint="eastAsia" w:ascii="宋体" w:hAnsi="宋体" w:cs="Tahoma"/>
          <w:color w:val="auto"/>
          <w:kern w:val="0"/>
          <w:sz w:val="24"/>
          <w:highlight w:val="none"/>
          <w:u w:val="single"/>
          <w:lang w:val="en-US" w:eastAsia="zh-CN"/>
        </w:rPr>
        <w:t xml:space="preserve"> </w:t>
      </w:r>
      <w:r>
        <w:rPr>
          <w:rFonts w:ascii="宋体" w:hAnsi="宋体" w:cs="Tahoma"/>
          <w:color w:val="auto"/>
          <w:kern w:val="0"/>
          <w:sz w:val="24"/>
          <w:highlight w:val="none"/>
        </w:rPr>
        <w:t>日</w:t>
      </w:r>
    </w:p>
    <w:p w14:paraId="6200E81B">
      <w:pPr>
        <w:spacing w:before="240" w:after="240"/>
        <w:rPr>
          <w:b w:val="0"/>
          <w:color w:val="auto"/>
          <w:sz w:val="24"/>
          <w:szCs w:val="24"/>
          <w:highlight w:val="none"/>
        </w:rPr>
      </w:pPr>
      <w:bookmarkStart w:id="659" w:name="_Toc53685649"/>
      <w:r>
        <w:rPr>
          <w:b w:val="0"/>
          <w:color w:val="auto"/>
          <w:sz w:val="24"/>
          <w:szCs w:val="24"/>
          <w:highlight w:val="none"/>
        </w:rPr>
        <w:br w:type="page"/>
      </w:r>
    </w:p>
    <w:p w14:paraId="6AC490E3">
      <w:pPr>
        <w:pStyle w:val="5"/>
        <w:spacing w:before="0" w:beforeLines="0" w:after="0" w:afterLines="0"/>
        <w:jc w:val="both"/>
        <w:rPr>
          <w:b w:val="0"/>
          <w:bCs w:val="0"/>
          <w:color w:val="auto"/>
          <w:highlight w:val="none"/>
        </w:rPr>
      </w:pPr>
      <w:r>
        <w:rPr>
          <w:b w:val="0"/>
          <w:bCs w:val="0"/>
          <w:color w:val="auto"/>
          <w:highlight w:val="none"/>
        </w:rPr>
        <w:t>附件</w:t>
      </w:r>
      <w:r>
        <w:rPr>
          <w:rFonts w:hint="eastAsia"/>
          <w:b w:val="0"/>
          <w:bCs w:val="0"/>
          <w:color w:val="auto"/>
          <w:highlight w:val="none"/>
        </w:rPr>
        <w:t>八</w:t>
      </w:r>
      <w:r>
        <w:rPr>
          <w:b w:val="0"/>
          <w:bCs w:val="0"/>
          <w:color w:val="auto"/>
          <w:highlight w:val="none"/>
        </w:rPr>
        <w:t xml:space="preserve">  </w:t>
      </w:r>
      <w:r>
        <w:rPr>
          <w:rFonts w:hint="eastAsia"/>
          <w:b w:val="0"/>
          <w:bCs w:val="0"/>
          <w:color w:val="auto"/>
          <w:highlight w:val="none"/>
        </w:rPr>
        <w:t>投诉书</w:t>
      </w:r>
      <w:bookmarkEnd w:id="659"/>
    </w:p>
    <w:p w14:paraId="7FF1DD92">
      <w:pPr>
        <w:pStyle w:val="299"/>
        <w:ind w:firstLine="4200" w:firstLineChars="1500"/>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投 诉 书</w:t>
      </w:r>
    </w:p>
    <w:p w14:paraId="14A127D6">
      <w:pPr>
        <w:spacing w:line="360" w:lineRule="auto"/>
        <w:ind w:firstLine="480" w:firstLineChars="200"/>
        <w:jc w:val="left"/>
        <w:rPr>
          <w:rFonts w:hint="eastAsia" w:ascii="宋体" w:hAnsi="宋体" w:cs="宋体"/>
          <w:color w:val="auto"/>
          <w:sz w:val="24"/>
          <w:highlight w:val="none"/>
        </w:rPr>
      </w:pPr>
    </w:p>
    <w:p w14:paraId="1164D20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就所投诉事项，投诉人已于</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日向招标人提出异议，并于</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年</w:t>
      </w:r>
    </w:p>
    <w:p w14:paraId="47265B22">
      <w:pPr>
        <w:spacing w:line="360" w:lineRule="auto"/>
        <w:ind w:firstLine="0" w:firstLineChars="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日收到招标人书面答复（后附异议及答复材料）。</w:t>
      </w:r>
    </w:p>
    <w:p w14:paraId="7D0FE76A">
      <w:pPr>
        <w:pStyle w:val="299"/>
        <w:spacing w:line="360" w:lineRule="auto"/>
        <w:ind w:firstLine="480" w:firstLineChars="200"/>
        <w:jc w:val="left"/>
        <w:rPr>
          <w:rFonts w:hint="eastAsia" w:ascii="宋体" w:hAnsi="宋体" w:cs="宋体"/>
          <w:color w:val="auto"/>
          <w:sz w:val="24"/>
          <w:highlight w:val="none"/>
        </w:rPr>
      </w:pPr>
    </w:p>
    <w:p w14:paraId="359F0F12">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 诉 人：</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w:t>
      </w:r>
    </w:p>
    <w:p w14:paraId="41EECFA0">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住 所 地：</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p>
    <w:p w14:paraId="3995BBCE">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邮</w:t>
      </w:r>
      <w:r>
        <w:rPr>
          <w:rFonts w:ascii="宋体" w:hAnsi="宋体" w:cs="宋体"/>
          <w:color w:val="auto"/>
          <w:sz w:val="24"/>
          <w:highlight w:val="none"/>
        </w:rPr>
        <w:t xml:space="preserve"> </w:t>
      </w:r>
      <w:r>
        <w:rPr>
          <w:rFonts w:hint="eastAsia" w:ascii="宋体" w:hAnsi="宋体" w:cs="宋体"/>
          <w:color w:val="auto"/>
          <w:sz w:val="24"/>
          <w:highlight w:val="none"/>
        </w:rPr>
        <w:t>  编：</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58C7BB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p>
    <w:p w14:paraId="1E2F47B6">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single"/>
        </w:rPr>
        <w:t xml:space="preserve">                                    </w:t>
      </w:r>
    </w:p>
    <w:p w14:paraId="38F7495F">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投诉人授权代表：</w:t>
      </w:r>
      <w:r>
        <w:rPr>
          <w:rFonts w:ascii="宋体" w:hAnsi="宋体" w:cs="宋体"/>
          <w:color w:val="auto"/>
          <w:sz w:val="24"/>
          <w:highlight w:val="none"/>
          <w:u w:val="single"/>
        </w:rPr>
        <w:t xml:space="preserve">                              </w:t>
      </w:r>
    </w:p>
    <w:p w14:paraId="4446F3DF">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性    别：</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w:t>
      </w:r>
    </w:p>
    <w:p w14:paraId="6A0568DB">
      <w:pPr>
        <w:pStyle w:val="299"/>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年    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08215DD7">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住    址：</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 </w:t>
      </w:r>
    </w:p>
    <w:p w14:paraId="54FB4C96">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single"/>
        </w:rPr>
        <w:t xml:space="preserve">                                             </w:t>
      </w:r>
    </w:p>
    <w:p w14:paraId="1BF4834D">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38CBC3D1">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住 所 地：</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p>
    <w:p w14:paraId="29802DBA">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邮    编：</w:t>
      </w:r>
      <w:r>
        <w:rPr>
          <w:rFonts w:ascii="宋体" w:hAnsi="宋体" w:cs="宋体"/>
          <w:color w:val="auto"/>
          <w:sz w:val="24"/>
          <w:highlight w:val="none"/>
          <w:u w:val="single"/>
        </w:rPr>
        <w:t xml:space="preserve">                                           </w:t>
      </w:r>
      <w:r>
        <w:rPr>
          <w:rFonts w:hint="eastAsia" w:ascii="宋体" w:hAnsi="宋体" w:cs="宋体"/>
          <w:color w:val="auto"/>
          <w:sz w:val="24"/>
          <w:highlight w:val="none"/>
        </w:rPr>
        <w:t> </w:t>
      </w:r>
    </w:p>
    <w:p w14:paraId="1D737E4D">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p>
    <w:p w14:paraId="767091CF">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single"/>
        </w:rPr>
        <w:t xml:space="preserve">                                      </w:t>
      </w:r>
    </w:p>
    <w:p w14:paraId="3D5EA017">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投诉事项的基本事实：</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41222A4E">
      <w:pPr>
        <w:pStyle w:val="299"/>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相关请求及主张：</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174FACE0">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有效线索和相关证明材料：</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0863221A">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投诉人与投诉项目有利害关系的证明材料：</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37B0869">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此致</w:t>
      </w:r>
    </w:p>
    <w:p w14:paraId="2186D55A">
      <w:pPr>
        <w:pStyle w:val="299"/>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u w:val="single"/>
        </w:rPr>
        <w:t>　（投诉受理机关）　</w:t>
      </w:r>
    </w:p>
    <w:p w14:paraId="666D6057">
      <w:pPr>
        <w:pStyle w:val="299"/>
        <w:spacing w:line="360" w:lineRule="auto"/>
        <w:ind w:firstLine="4080" w:firstLineChars="1700"/>
        <w:jc w:val="left"/>
        <w:rPr>
          <w:rFonts w:ascii="宋体" w:hAnsi="宋体" w:cs="宋体"/>
          <w:color w:val="auto"/>
          <w:sz w:val="24"/>
          <w:highlight w:val="none"/>
          <w:u w:val="single"/>
        </w:rPr>
      </w:pPr>
      <w:r>
        <w:rPr>
          <w:rFonts w:hint="eastAsia" w:ascii="宋体" w:hAnsi="宋体" w:cs="宋体"/>
          <w:color w:val="auto"/>
          <w:sz w:val="24"/>
          <w:highlight w:val="none"/>
        </w:rPr>
        <w:t>投诉人（盖单位章）：</w:t>
      </w:r>
      <w:r>
        <w:rPr>
          <w:rFonts w:ascii="宋体" w:hAnsi="宋体" w:cs="宋体"/>
          <w:color w:val="auto"/>
          <w:sz w:val="24"/>
          <w:highlight w:val="none"/>
          <w:u w:val="single"/>
        </w:rPr>
        <w:t xml:space="preserve">      　　    </w:t>
      </w:r>
    </w:p>
    <w:p w14:paraId="18FFFA05">
      <w:pPr>
        <w:pStyle w:val="299"/>
        <w:spacing w:line="360" w:lineRule="auto"/>
        <w:ind w:firstLine="2880" w:firstLineChars="1200"/>
        <w:jc w:val="left"/>
        <w:rPr>
          <w:rFonts w:ascii="宋体" w:hAnsi="宋体" w:cs="宋体"/>
          <w:color w:val="auto"/>
          <w:sz w:val="24"/>
          <w:highlight w:val="none"/>
          <w:u w:val="single"/>
        </w:rPr>
      </w:pPr>
      <w:r>
        <w:rPr>
          <w:rFonts w:hint="eastAsia" w:ascii="宋体" w:hAnsi="宋体" w:cs="宋体"/>
          <w:color w:val="auto"/>
          <w:sz w:val="24"/>
          <w:highlight w:val="none"/>
        </w:rPr>
        <w:t>法定代表人或授权代表（签字）：</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p>
    <w:p w14:paraId="3F1792E4">
      <w:pPr>
        <w:pStyle w:val="299"/>
        <w:wordWrap w:val="0"/>
        <w:ind w:firstLine="6240" w:firstLineChars="2600"/>
        <w:jc w:val="left"/>
        <w:rPr>
          <w:color w:val="auto"/>
          <w:highlight w:val="none"/>
        </w:rPr>
      </w:pPr>
      <w:bookmarkStart w:id="979" w:name="_GoBack"/>
      <w:bookmarkEnd w:id="979"/>
      <w:r>
        <w:rPr>
          <w:rFonts w:hint="eastAsia" w:ascii="宋体" w:hAnsi="宋体" w:cs="宋体"/>
          <w:color w:val="auto"/>
          <w:sz w:val="24"/>
          <w:highlight w:val="none"/>
          <w:u w:val="single"/>
        </w:rPr>
        <w:t>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bookmarkEnd w:id="136"/>
    <w:p w14:paraId="46B92C8C">
      <w:pPr>
        <w:widowControl/>
        <w:spacing w:line="360" w:lineRule="auto"/>
        <w:rPr>
          <w:rFonts w:ascii="宋体" w:hAnsi="宋体"/>
          <w:b/>
          <w:bCs/>
          <w:color w:val="auto"/>
          <w:kern w:val="0"/>
          <w:sz w:val="48"/>
          <w:szCs w:val="48"/>
          <w:highlight w:val="none"/>
        </w:rPr>
      </w:pPr>
    </w:p>
    <w:p w14:paraId="47AAD700">
      <w:pPr>
        <w:pStyle w:val="2"/>
        <w:rPr>
          <w:rFonts w:ascii="宋体" w:hAnsi="宋体"/>
          <w:b/>
          <w:bCs/>
          <w:color w:val="auto"/>
          <w:kern w:val="0"/>
          <w:sz w:val="48"/>
          <w:szCs w:val="48"/>
          <w:highlight w:val="none"/>
        </w:rPr>
      </w:pPr>
    </w:p>
    <w:p w14:paraId="16A25F37">
      <w:pPr>
        <w:pStyle w:val="2"/>
        <w:rPr>
          <w:rFonts w:ascii="宋体" w:hAnsi="宋体"/>
          <w:b/>
          <w:bCs/>
          <w:color w:val="auto"/>
          <w:kern w:val="0"/>
          <w:sz w:val="48"/>
          <w:szCs w:val="48"/>
          <w:highlight w:val="none"/>
        </w:rPr>
      </w:pPr>
    </w:p>
    <w:p w14:paraId="25C121E4">
      <w:pPr>
        <w:pStyle w:val="2"/>
        <w:rPr>
          <w:rFonts w:ascii="宋体" w:hAnsi="宋体"/>
          <w:b/>
          <w:bCs/>
          <w:color w:val="auto"/>
          <w:kern w:val="0"/>
          <w:sz w:val="48"/>
          <w:szCs w:val="48"/>
          <w:highlight w:val="none"/>
        </w:rPr>
      </w:pPr>
    </w:p>
    <w:p w14:paraId="6E955608">
      <w:pPr>
        <w:pStyle w:val="2"/>
        <w:rPr>
          <w:rFonts w:ascii="宋体" w:hAnsi="宋体"/>
          <w:b/>
          <w:bCs/>
          <w:color w:val="auto"/>
          <w:kern w:val="0"/>
          <w:sz w:val="48"/>
          <w:szCs w:val="48"/>
          <w:highlight w:val="none"/>
        </w:rPr>
      </w:pPr>
    </w:p>
    <w:p w14:paraId="078BFC07">
      <w:pPr>
        <w:widowControl/>
        <w:spacing w:line="360" w:lineRule="auto"/>
        <w:rPr>
          <w:rFonts w:ascii="宋体" w:hAnsi="宋体"/>
          <w:b/>
          <w:bCs/>
          <w:color w:val="auto"/>
          <w:kern w:val="0"/>
          <w:sz w:val="48"/>
          <w:szCs w:val="48"/>
          <w:highlight w:val="none"/>
        </w:rPr>
      </w:pPr>
    </w:p>
    <w:p w14:paraId="5FB2DAAE">
      <w:pPr>
        <w:pStyle w:val="20"/>
        <w:rPr>
          <w:rStyle w:val="175"/>
          <w:b w:val="0"/>
          <w:bCs w:val="0"/>
          <w:color w:val="auto"/>
          <w:szCs w:val="52"/>
          <w:highlight w:val="none"/>
        </w:rPr>
      </w:pPr>
      <w:bookmarkStart w:id="660" w:name="_Toc53685650"/>
      <w:r>
        <w:rPr>
          <w:rFonts w:hint="default"/>
          <w:b w:val="0"/>
          <w:bCs w:val="0"/>
          <w:color w:val="auto"/>
          <w:szCs w:val="44"/>
          <w:highlight w:val="none"/>
        </w:rPr>
        <w:t>第三章</w:t>
      </w:r>
      <w:r>
        <w:rPr>
          <w:rFonts w:hint="eastAsia"/>
          <w:b w:val="0"/>
          <w:bCs w:val="0"/>
          <w:color w:val="auto"/>
          <w:szCs w:val="44"/>
          <w:highlight w:val="none"/>
        </w:rPr>
        <w:t xml:space="preserve">  </w:t>
      </w:r>
      <w:r>
        <w:rPr>
          <w:rFonts w:hint="default"/>
          <w:b w:val="0"/>
          <w:bCs w:val="0"/>
          <w:color w:val="auto"/>
          <w:szCs w:val="44"/>
          <w:highlight w:val="none"/>
        </w:rPr>
        <w:t>评标办法</w:t>
      </w:r>
      <w:bookmarkEnd w:id="660"/>
    </w:p>
    <w:p w14:paraId="5BD89137">
      <w:pPr>
        <w:widowControl/>
        <w:spacing w:line="360" w:lineRule="auto"/>
        <w:ind w:firstLine="3092" w:firstLineChars="1100"/>
        <w:rPr>
          <w:rFonts w:ascii="宋体" w:hAnsi="宋体" w:cs="宋体"/>
          <w:b/>
          <w:bCs w:val="0"/>
          <w:color w:val="auto"/>
          <w:kern w:val="0"/>
          <w:sz w:val="28"/>
          <w:szCs w:val="28"/>
          <w:highlight w:val="none"/>
        </w:rPr>
      </w:pPr>
      <w:r>
        <w:rPr>
          <w:rFonts w:hint="eastAsia" w:ascii="宋体" w:hAnsi="宋体" w:cs="宋体"/>
          <w:b/>
          <w:bCs w:val="0"/>
          <w:color w:val="auto"/>
          <w:kern w:val="0"/>
          <w:sz w:val="28"/>
          <w:szCs w:val="28"/>
          <w:highlight w:val="none"/>
        </w:rPr>
        <w:t>□</w:t>
      </w:r>
      <w:r>
        <w:rPr>
          <w:rFonts w:ascii="宋体" w:hAnsi="宋体" w:cs="宋体"/>
          <w:b/>
          <w:bCs w:val="0"/>
          <w:color w:val="auto"/>
          <w:kern w:val="0"/>
          <w:sz w:val="28"/>
          <w:szCs w:val="28"/>
          <w:highlight w:val="none"/>
        </w:rPr>
        <w:t xml:space="preserve"> </w:t>
      </w:r>
      <w:r>
        <w:rPr>
          <w:rFonts w:hint="eastAsia" w:ascii="宋体" w:hAnsi="宋体" w:cs="宋体"/>
          <w:b/>
          <w:bCs w:val="0"/>
          <w:color w:val="auto"/>
          <w:kern w:val="0"/>
          <w:sz w:val="28"/>
          <w:szCs w:val="28"/>
          <w:highlight w:val="none"/>
        </w:rPr>
        <w:t>合理低价法</w:t>
      </w:r>
    </w:p>
    <w:p w14:paraId="0158568A">
      <w:pPr>
        <w:widowControl/>
        <w:spacing w:line="360" w:lineRule="auto"/>
        <w:ind w:firstLine="3092" w:firstLineChars="1100"/>
        <w:rPr>
          <w:rFonts w:ascii="宋体" w:hAnsi="宋体" w:cs="宋体"/>
          <w:b/>
          <w:bCs w:val="0"/>
          <w:color w:val="auto"/>
          <w:kern w:val="0"/>
          <w:sz w:val="28"/>
          <w:szCs w:val="28"/>
          <w:highlight w:val="none"/>
        </w:rPr>
      </w:pPr>
      <w:r>
        <w:rPr>
          <w:rFonts w:hint="eastAsia" w:ascii="宋体" w:hAnsi="宋体" w:cs="宋体"/>
          <w:b/>
          <w:bCs w:val="0"/>
          <w:color w:val="auto"/>
          <w:kern w:val="0"/>
          <w:sz w:val="28"/>
          <w:szCs w:val="28"/>
          <w:highlight w:val="none"/>
        </w:rPr>
        <w:t>□</w:t>
      </w:r>
      <w:r>
        <w:rPr>
          <w:rFonts w:ascii="宋体" w:hAnsi="宋体" w:cs="宋体"/>
          <w:b/>
          <w:bCs w:val="0"/>
          <w:color w:val="auto"/>
          <w:kern w:val="0"/>
          <w:sz w:val="28"/>
          <w:szCs w:val="28"/>
          <w:highlight w:val="none"/>
        </w:rPr>
        <w:t xml:space="preserve"> </w:t>
      </w:r>
      <w:r>
        <w:rPr>
          <w:rFonts w:hint="eastAsia" w:ascii="宋体" w:hAnsi="宋体" w:cs="宋体"/>
          <w:b/>
          <w:bCs w:val="0"/>
          <w:color w:val="auto"/>
          <w:kern w:val="0"/>
          <w:sz w:val="28"/>
          <w:szCs w:val="28"/>
          <w:highlight w:val="none"/>
        </w:rPr>
        <w:t>技术评分最低标价法</w:t>
      </w:r>
    </w:p>
    <w:p w14:paraId="38D93020">
      <w:pPr>
        <w:widowControl/>
        <w:spacing w:line="360" w:lineRule="auto"/>
        <w:ind w:firstLine="3092" w:firstLineChars="1100"/>
        <w:rPr>
          <w:rFonts w:hint="eastAsia" w:ascii="宋体" w:hAnsi="宋体" w:cs="宋体"/>
          <w:b/>
          <w:bCs w:val="0"/>
          <w:color w:val="auto"/>
          <w:kern w:val="0"/>
          <w:sz w:val="28"/>
          <w:szCs w:val="28"/>
          <w:highlight w:val="none"/>
        </w:rPr>
      </w:pPr>
      <w:r>
        <w:rPr>
          <w:rFonts w:hint="eastAsia" w:ascii="宋体" w:hAnsi="宋体" w:cs="宋体"/>
          <w:b/>
          <w:bCs w:val="0"/>
          <w:color w:val="auto"/>
          <w:kern w:val="0"/>
          <w:sz w:val="28"/>
          <w:szCs w:val="28"/>
          <w:highlight w:val="none"/>
        </w:rPr>
        <w:t>□ 综合评分法</w:t>
      </w:r>
    </w:p>
    <w:p w14:paraId="61B7D831">
      <w:pPr>
        <w:widowControl/>
        <w:spacing w:line="360" w:lineRule="auto"/>
        <w:ind w:firstLine="3092" w:firstLineChars="1100"/>
        <w:rPr>
          <w:rFonts w:hint="eastAsia" w:ascii="宋体" w:hAnsi="宋体" w:cs="宋体"/>
          <w:b/>
          <w:bCs w:val="0"/>
          <w:color w:val="auto"/>
          <w:kern w:val="0"/>
          <w:szCs w:val="28"/>
          <w:highlight w:val="none"/>
        </w:rPr>
      </w:pPr>
      <w:r>
        <w:rPr>
          <w:rFonts w:hint="eastAsia" w:ascii="宋体" w:hAnsi="宋体" w:cs="宋体"/>
          <w:b/>
          <w:bCs w:val="0"/>
          <w:color w:val="auto"/>
          <w:kern w:val="0"/>
          <w:sz w:val="28"/>
          <w:szCs w:val="28"/>
          <w:highlight w:val="none"/>
        </w:rPr>
        <w:t>□ 经评审的最低投标价法</w:t>
      </w:r>
    </w:p>
    <w:p w14:paraId="7B856245">
      <w:pPr>
        <w:widowControl/>
        <w:ind w:firstLine="7800" w:firstLineChars="1500"/>
        <w:rPr>
          <w:rFonts w:hint="eastAsia"/>
          <w:color w:val="auto"/>
          <w:highlight w:val="none"/>
        </w:rPr>
        <w:sectPr>
          <w:headerReference r:id="rId8" w:type="default"/>
          <w:footnotePr>
            <w:numFmt w:val="decimalEnclosedCircleChinese"/>
            <w:numRestart w:val="eachPage"/>
          </w:footnotePr>
          <w:pgSz w:w="11900" w:h="16838"/>
          <w:pgMar w:top="1417" w:right="1417" w:bottom="1417" w:left="1701" w:header="850" w:footer="624" w:gutter="0"/>
          <w:cols w:space="0" w:num="1"/>
          <w:rtlGutter w:val="0"/>
          <w:docGrid w:linePitch="312" w:charSpace="0"/>
        </w:sectPr>
      </w:pPr>
      <w:bookmarkStart w:id="661" w:name="_Toc53685651"/>
      <w:bookmarkStart w:id="662" w:name="_Hlk51061639"/>
      <w:r>
        <w:rPr>
          <w:rStyle w:val="175"/>
          <w:rFonts w:hint="eastAsia" w:eastAsia="黑体"/>
          <w:b w:val="0"/>
          <w:bCs w:val="0"/>
          <w:color w:val="auto"/>
          <w:szCs w:val="52"/>
          <w:highlight w:val="none"/>
          <w:lang w:val="en-US" w:eastAsia="zh-CN"/>
        </w:rPr>
        <w:t xml:space="preserve"> </w:t>
      </w:r>
    </w:p>
    <w:p w14:paraId="0C6FD09B">
      <w:pPr>
        <w:pStyle w:val="4"/>
        <w:rPr>
          <w:color w:val="auto"/>
          <w:highlight w:val="none"/>
        </w:rPr>
      </w:pPr>
      <w:r>
        <w:rPr>
          <w:rFonts w:hint="eastAsia"/>
          <w:color w:val="auto"/>
          <w:highlight w:val="none"/>
        </w:rPr>
        <w:t>第三章</w:t>
      </w:r>
      <w:r>
        <w:rPr>
          <w:color w:val="auto"/>
          <w:highlight w:val="none"/>
        </w:rPr>
        <w:t xml:space="preserve">  </w:t>
      </w:r>
      <w:r>
        <w:rPr>
          <w:rFonts w:hint="eastAsia"/>
          <w:color w:val="auto"/>
          <w:highlight w:val="none"/>
        </w:rPr>
        <w:t>评标办法（合理低价法）</w:t>
      </w:r>
    </w:p>
    <w:p w14:paraId="670A549C">
      <w:pPr>
        <w:pStyle w:val="5"/>
        <w:adjustRightInd w:val="0"/>
        <w:snapToGrid w:val="0"/>
        <w:spacing w:before="0" w:beforeLines="0" w:after="0" w:afterLines="0" w:line="360" w:lineRule="auto"/>
        <w:jc w:val="left"/>
        <w:rPr>
          <w:rFonts w:ascii="黑体" w:hAnsi="黑体" w:cs="黑体"/>
          <w:color w:val="auto"/>
          <w:szCs w:val="28"/>
          <w:highlight w:val="none"/>
        </w:rPr>
      </w:pPr>
      <w:r>
        <w:rPr>
          <w:rFonts w:ascii="黑体" w:hAnsi="黑体" w:cs="黑体"/>
          <w:color w:val="auto"/>
          <w:szCs w:val="28"/>
          <w:highlight w:val="none"/>
        </w:rPr>
        <w:t>评标办法前附表</w:t>
      </w:r>
      <w:bookmarkEnd w:id="661"/>
    </w:p>
    <w:p w14:paraId="26973EB1">
      <w:pPr>
        <w:spacing w:line="360" w:lineRule="auto"/>
        <w:ind w:firstLine="480" w:firstLineChars="200"/>
        <w:rPr>
          <w:rFonts w:ascii="黑体" w:hAnsi="黑体" w:cs="黑体"/>
          <w:color w:val="auto"/>
          <w:szCs w:val="28"/>
          <w:highlight w:val="none"/>
        </w:rPr>
      </w:pPr>
      <w:r>
        <w:rPr>
          <w:rFonts w:hint="eastAsia" w:ascii="宋体" w:hAnsi="宋体" w:cs="宋体"/>
          <w:color w:val="auto"/>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0" w:type="auto"/>
        <w:tblInd w:w="-34" w:type="dxa"/>
        <w:tblLayout w:type="fixed"/>
        <w:tblCellMar>
          <w:top w:w="0" w:type="dxa"/>
          <w:left w:w="108" w:type="dxa"/>
          <w:bottom w:w="0" w:type="dxa"/>
          <w:right w:w="108" w:type="dxa"/>
        </w:tblCellMar>
      </w:tblPr>
      <w:tblGrid>
        <w:gridCol w:w="708"/>
        <w:gridCol w:w="842"/>
        <w:gridCol w:w="2260"/>
        <w:gridCol w:w="5150"/>
      </w:tblGrid>
      <w:tr w14:paraId="31BBC164">
        <w:tblPrEx>
          <w:tblCellMar>
            <w:top w:w="0" w:type="dxa"/>
            <w:left w:w="108" w:type="dxa"/>
            <w:bottom w:w="0" w:type="dxa"/>
            <w:right w:w="108" w:type="dxa"/>
          </w:tblCellMar>
        </w:tblPrEx>
        <w:trPr>
          <w:trHeight w:val="477" w:hRule="atLeast"/>
          <w:tblHeader/>
        </w:trPr>
        <w:tc>
          <w:tcPr>
            <w:tcW w:w="1550" w:type="dxa"/>
            <w:gridSpan w:val="2"/>
            <w:tcBorders>
              <w:top w:val="single" w:color="000000" w:sz="4" w:space="0"/>
              <w:left w:val="single" w:color="000000" w:sz="4" w:space="0"/>
              <w:bottom w:val="single" w:color="000000" w:sz="4" w:space="0"/>
              <w:right w:val="single" w:color="000000" w:sz="4" w:space="0"/>
            </w:tcBorders>
            <w:vAlign w:val="center"/>
          </w:tcPr>
          <w:p w14:paraId="1869BB42">
            <w:pPr>
              <w:widowControl/>
              <w:adjustRightInd w:val="0"/>
              <w:snapToGrid w:val="0"/>
              <w:spacing w:line="400" w:lineRule="exact"/>
              <w:ind w:firstLine="422" w:firstLineChars="20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条款号</w:t>
            </w:r>
          </w:p>
        </w:tc>
        <w:tc>
          <w:tcPr>
            <w:tcW w:w="7410" w:type="dxa"/>
            <w:gridSpan w:val="2"/>
            <w:tcBorders>
              <w:top w:val="single" w:color="000000" w:sz="4" w:space="0"/>
              <w:left w:val="nil"/>
              <w:bottom w:val="single" w:color="000000" w:sz="4" w:space="0"/>
              <w:right w:val="single" w:color="000000" w:sz="4" w:space="0"/>
            </w:tcBorders>
            <w:vAlign w:val="center"/>
          </w:tcPr>
          <w:p w14:paraId="7DCDA24E">
            <w:pPr>
              <w:widowControl/>
              <w:adjustRightInd w:val="0"/>
              <w:snapToGrid w:val="0"/>
              <w:spacing w:line="400" w:lineRule="exact"/>
              <w:ind w:firstLine="422" w:firstLineChars="20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评审因素与评审标准</w:t>
            </w:r>
          </w:p>
        </w:tc>
      </w:tr>
      <w:tr w14:paraId="303E2FE7">
        <w:tblPrEx>
          <w:tblCellMar>
            <w:top w:w="0" w:type="dxa"/>
            <w:left w:w="108" w:type="dxa"/>
            <w:bottom w:w="0" w:type="dxa"/>
            <w:right w:w="108" w:type="dxa"/>
          </w:tblCellMar>
        </w:tblPrEx>
        <w:trPr>
          <w:trHeight w:val="9988" w:hRule="atLeast"/>
        </w:trPr>
        <w:tc>
          <w:tcPr>
            <w:tcW w:w="708" w:type="dxa"/>
            <w:tcBorders>
              <w:top w:val="nil"/>
              <w:left w:val="single" w:color="000000" w:sz="4" w:space="0"/>
              <w:bottom w:val="single" w:color="auto" w:sz="4" w:space="0"/>
              <w:right w:val="single" w:color="000000" w:sz="4" w:space="0"/>
            </w:tcBorders>
            <w:vAlign w:val="center"/>
          </w:tcPr>
          <w:p w14:paraId="3F8B4833">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42" w:type="dxa"/>
            <w:tcBorders>
              <w:top w:val="single" w:color="000000" w:sz="4" w:space="0"/>
              <w:left w:val="nil"/>
              <w:bottom w:val="single" w:color="auto" w:sz="4" w:space="0"/>
              <w:right w:val="single" w:color="000000" w:sz="4" w:space="0"/>
            </w:tcBorders>
            <w:vAlign w:val="center"/>
          </w:tcPr>
          <w:p w14:paraId="0BAC0EA6">
            <w:pPr>
              <w:widowControl/>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评标</w:t>
            </w:r>
          </w:p>
          <w:p w14:paraId="1777FD4E">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方法</w:t>
            </w:r>
          </w:p>
        </w:tc>
        <w:tc>
          <w:tcPr>
            <w:tcW w:w="7410" w:type="dxa"/>
            <w:gridSpan w:val="2"/>
            <w:tcBorders>
              <w:top w:val="single" w:color="000000" w:sz="4" w:space="0"/>
              <w:left w:val="nil"/>
              <w:bottom w:val="single" w:color="000000" w:sz="4" w:space="0"/>
              <w:right w:val="single" w:color="000000" w:sz="4" w:space="0"/>
            </w:tcBorders>
            <w:vAlign w:val="center"/>
          </w:tcPr>
          <w:p w14:paraId="40F08535">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b/>
                <w:color w:val="auto"/>
                <w:kern w:val="0"/>
                <w:szCs w:val="21"/>
                <w:highlight w:val="none"/>
              </w:rPr>
            </w:pPr>
            <w:r>
              <w:rPr>
                <w:rFonts w:ascii="宋体" w:hAnsi="宋体"/>
                <w:b/>
                <w:color w:val="auto"/>
                <w:kern w:val="0"/>
                <w:szCs w:val="21"/>
                <w:highlight w:val="none"/>
              </w:rPr>
              <w:t>1.</w:t>
            </w:r>
            <w:r>
              <w:rPr>
                <w:rFonts w:hint="eastAsia" w:ascii="宋体" w:hAnsi="宋体"/>
                <w:b/>
                <w:color w:val="auto"/>
                <w:kern w:val="0"/>
                <w:szCs w:val="21"/>
                <w:highlight w:val="none"/>
              </w:rPr>
              <w:t>本次评标采用合理低价法，推荐中标候选人具体原则为：</w:t>
            </w:r>
          </w:p>
          <w:p w14:paraId="03CA8F09">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ascii="宋体" w:hAnsi="宋体" w:cs="宋体"/>
                <w:b/>
                <w:color w:val="auto"/>
                <w:kern w:val="0"/>
                <w:szCs w:val="21"/>
                <w:highlight w:val="none"/>
              </w:rPr>
              <w:t xml:space="preserve"> </w:t>
            </w:r>
            <w:r>
              <w:rPr>
                <w:rFonts w:hint="eastAsia" w:ascii="宋体" w:hAnsi="宋体" w:cs="宋体"/>
                <w:b/>
                <w:color w:val="auto"/>
                <w:kern w:val="0"/>
                <w:szCs w:val="21"/>
                <w:highlight w:val="none"/>
              </w:rPr>
              <w:t>允许中</w:t>
            </w:r>
            <w:r>
              <w:rPr>
                <w:rFonts w:ascii="宋体" w:hAnsi="宋体" w:cs="宋体"/>
                <w:b/>
                <w:color w:val="auto"/>
                <w:kern w:val="0"/>
                <w:szCs w:val="21"/>
                <w:highlight w:val="none"/>
              </w:rPr>
              <w:t>1个标段时适用</w:t>
            </w:r>
          </w:p>
          <w:p w14:paraId="2646E1FC">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kern w:val="0"/>
                <w:szCs w:val="21"/>
                <w:highlight w:val="none"/>
              </w:rPr>
              <w:t>评标委员会对通过第一个信封（商务及技术文件）和第二个信封（报价文件）评审的所有投标人，按照综合得分由高到低进行排序。若多个投标人综合得分相同时，评标委员会依次按照以下原则排序：</w:t>
            </w:r>
          </w:p>
          <w:p w14:paraId="4036A0E6">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rPr>
              <w:fldChar w:fldCharType="begin"/>
            </w:r>
            <w:r>
              <w:rPr>
                <w:rFonts w:asciiTheme="minorEastAsia" w:hAnsiTheme="minorEastAsia" w:eastAsiaTheme="minorEastAsia"/>
                <w:color w:val="auto"/>
                <w:kern w:val="0"/>
                <w:szCs w:val="21"/>
                <w:highlight w:val="none"/>
              </w:rPr>
              <w:instrText xml:space="preserve"> = 1 \* GB3 </w:instrText>
            </w:r>
            <w:r>
              <w:rPr>
                <w:rFonts w:asciiTheme="minorEastAsia" w:hAnsiTheme="minorEastAsia" w:eastAsiaTheme="minorEastAsia"/>
                <w:color w:val="auto"/>
                <w:kern w:val="0"/>
                <w:szCs w:val="21"/>
                <w:highlight w:val="none"/>
              </w:rPr>
              <w:fldChar w:fldCharType="separate"/>
            </w:r>
            <w:r>
              <w:rPr>
                <w:rFonts w:hint="eastAsia" w:asciiTheme="minorEastAsia" w:hAnsiTheme="minorEastAsia" w:eastAsiaTheme="minorEastAsia"/>
                <w:color w:val="auto"/>
                <w:kern w:val="0"/>
                <w:szCs w:val="21"/>
                <w:highlight w:val="none"/>
              </w:rPr>
              <w:t>①</w:t>
            </w:r>
            <w:r>
              <w:rPr>
                <w:rFonts w:asciiTheme="minorEastAsia" w:hAnsiTheme="minorEastAsia" w:eastAsiaTheme="minorEastAsia"/>
                <w:color w:val="auto"/>
                <w:kern w:val="0"/>
                <w:szCs w:val="21"/>
                <w:highlight w:val="none"/>
              </w:rPr>
              <w:fldChar w:fldCharType="end"/>
            </w:r>
            <w:r>
              <w:rPr>
                <w:rFonts w:hint="eastAsia" w:asciiTheme="minorEastAsia" w:hAnsiTheme="minorEastAsia" w:eastAsiaTheme="minorEastAsia"/>
                <w:color w:val="auto"/>
                <w:szCs w:val="21"/>
                <w:highlight w:val="none"/>
              </w:rPr>
              <w:t>评标价低的投标人优先；</w:t>
            </w:r>
          </w:p>
          <w:p w14:paraId="6E714E12">
            <w:pPr>
              <w:keepNext w:val="0"/>
              <w:keepLines w:val="0"/>
              <w:pageBreakBefore w:val="0"/>
              <w:widowControl/>
              <w:kinsoku/>
              <w:wordWrap/>
              <w:overflowPunct/>
              <w:topLinePunct w:val="0"/>
              <w:autoSpaceDE/>
              <w:autoSpaceDN/>
              <w:bidi w:val="0"/>
              <w:adjustRightInd w:val="0"/>
              <w:snapToGrid w:val="0"/>
              <w:spacing w:line="380" w:lineRule="exact"/>
              <w:ind w:left="210" w:leftChars="100" w:firstLine="210" w:firstLineChars="100"/>
              <w:textAlignment w:val="auto"/>
              <w:rPr>
                <w:rFonts w:hint="eastAsia" w:eastAsia="宋体" w:asciiTheme="minorEastAsia" w:hAnsiTheme="minorEastAsia"/>
                <w:color w:val="auto"/>
                <w:kern w:val="0"/>
                <w:szCs w:val="21"/>
                <w:highlight w:val="none"/>
                <w:lang w:val="en-US" w:eastAsia="zh-CN"/>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 2 \* GB3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fldChar w:fldCharType="end"/>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Theme="minorEastAsia" w:hAnsiTheme="minorEastAsia" w:eastAsiaTheme="minorEastAsia"/>
                <w:color w:val="auto"/>
                <w:kern w:val="0"/>
                <w:szCs w:val="21"/>
                <w:highlight w:val="none"/>
              </w:rPr>
              <w:t>四川省重点公路建设从业单位信用评价等级高的优先；</w:t>
            </w:r>
          </w:p>
          <w:p w14:paraId="048F22BA">
            <w:pPr>
              <w:keepNext w:val="0"/>
              <w:keepLines w:val="0"/>
              <w:pageBreakBefore w:val="0"/>
              <w:widowControl/>
              <w:kinsoku/>
              <w:wordWrap/>
              <w:overflowPunct/>
              <w:topLinePunct w:val="0"/>
              <w:autoSpaceDE/>
              <w:autoSpaceDN/>
              <w:bidi w:val="0"/>
              <w:adjustRightInd w:val="0"/>
              <w:snapToGrid w:val="0"/>
              <w:spacing w:line="380" w:lineRule="exact"/>
              <w:ind w:left="210" w:leftChars="100" w:firstLine="420" w:firstLineChars="200"/>
              <w:textAlignment w:val="auto"/>
              <w:rPr>
                <w:rFonts w:hint="eastAsia" w:asciiTheme="minorEastAsia" w:hAnsiTheme="minorEastAsia" w:eastAsiaTheme="minorEastAsia"/>
                <w:color w:val="auto"/>
                <w:kern w:val="0"/>
                <w:szCs w:val="21"/>
                <w:highlight w:val="none"/>
                <w:lang w:eastAsia="zh-CN"/>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w:t>
            </w:r>
            <w:r>
              <w:rPr>
                <w:rFonts w:hint="eastAsia" w:asciiTheme="minorEastAsia" w:hAnsiTheme="minorEastAsia" w:eastAsiaTheme="minorEastAsia"/>
                <w:color w:val="auto"/>
                <w:kern w:val="0"/>
                <w:szCs w:val="21"/>
                <w:highlight w:val="none"/>
              </w:rPr>
              <w:t>信用评价等级高的优先</w:t>
            </w:r>
            <w:r>
              <w:rPr>
                <w:rFonts w:hint="eastAsia" w:asciiTheme="minorEastAsia" w:hAnsiTheme="minorEastAsia" w:eastAsiaTheme="minorEastAsia"/>
                <w:color w:val="auto"/>
                <w:kern w:val="0"/>
                <w:szCs w:val="21"/>
                <w:highlight w:val="none"/>
                <w:lang w:eastAsia="zh-CN"/>
              </w:rPr>
              <w:t>；</w:t>
            </w:r>
          </w:p>
          <w:p w14:paraId="68F7727A">
            <w:pPr>
              <w:keepNext w:val="0"/>
              <w:keepLines w:val="0"/>
              <w:pageBreakBefore w:val="0"/>
              <w:widowControl/>
              <w:kinsoku/>
              <w:wordWrap/>
              <w:overflowPunct/>
              <w:topLinePunct w:val="0"/>
              <w:autoSpaceDE/>
              <w:autoSpaceDN/>
              <w:bidi w:val="0"/>
              <w:adjustRightInd w:val="0"/>
              <w:snapToGrid w:val="0"/>
              <w:spacing w:line="380" w:lineRule="exact"/>
              <w:ind w:left="210" w:leftChars="100" w:firstLine="210" w:firstLineChars="1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rPr>
              <w:fldChar w:fldCharType="begin"/>
            </w:r>
            <w:r>
              <w:rPr>
                <w:rFonts w:asciiTheme="minorEastAsia" w:hAnsiTheme="minorEastAsia" w:eastAsiaTheme="minorEastAsia"/>
                <w:color w:val="auto"/>
                <w:kern w:val="0"/>
                <w:szCs w:val="21"/>
                <w:highlight w:val="none"/>
              </w:rPr>
              <w:instrText xml:space="preserve"> = 3 \* GB3 </w:instrText>
            </w:r>
            <w:r>
              <w:rPr>
                <w:rFonts w:asciiTheme="minorEastAsia" w:hAnsiTheme="minorEastAsia" w:eastAsiaTheme="minorEastAsia"/>
                <w:color w:val="auto"/>
                <w:kern w:val="0"/>
                <w:szCs w:val="21"/>
                <w:highlight w:val="none"/>
              </w:rPr>
              <w:fldChar w:fldCharType="separate"/>
            </w:r>
            <w:r>
              <w:rPr>
                <w:rFonts w:hint="eastAsia" w:asciiTheme="minorEastAsia" w:hAnsiTheme="minorEastAsia" w:eastAsiaTheme="minorEastAsia"/>
                <w:color w:val="auto"/>
                <w:kern w:val="0"/>
                <w:szCs w:val="21"/>
                <w:highlight w:val="none"/>
              </w:rPr>
              <w:t>③</w:t>
            </w:r>
            <w:r>
              <w:rPr>
                <w:rFonts w:asciiTheme="minorEastAsia" w:hAnsiTheme="minorEastAsia" w:eastAsiaTheme="minorEastAsia"/>
                <w:color w:val="auto"/>
                <w:kern w:val="0"/>
                <w:szCs w:val="21"/>
                <w:highlight w:val="none"/>
              </w:rPr>
              <w:fldChar w:fldCharType="end"/>
            </w:r>
            <w:r>
              <w:rPr>
                <w:rFonts w:hint="eastAsia" w:asciiTheme="minorEastAsia" w:hAnsiTheme="minorEastAsia" w:eastAsiaTheme="minorEastAsia"/>
                <w:color w:val="auto"/>
                <w:kern w:val="0"/>
                <w:szCs w:val="21"/>
                <w:highlight w:val="none"/>
              </w:rPr>
              <w:t>投标人财务评审中近一年度净资产高的优先</w:t>
            </w:r>
            <w:r>
              <w:rPr>
                <w:rFonts w:hint="eastAsia" w:asciiTheme="minorEastAsia" w:hAnsiTheme="minorEastAsia" w:eastAsiaTheme="minorEastAsia"/>
                <w:color w:val="auto"/>
                <w:szCs w:val="21"/>
                <w:highlight w:val="none"/>
              </w:rPr>
              <w:t>；</w:t>
            </w:r>
          </w:p>
          <w:p w14:paraId="21B1E7FA">
            <w:pPr>
              <w:keepNext w:val="0"/>
              <w:keepLines w:val="0"/>
              <w:pageBreakBefore w:val="0"/>
              <w:widowControl/>
              <w:kinsoku/>
              <w:wordWrap/>
              <w:overflowPunct/>
              <w:topLinePunct w:val="0"/>
              <w:autoSpaceDE/>
              <w:autoSpaceDN/>
              <w:bidi w:val="0"/>
              <w:adjustRightInd w:val="0"/>
              <w:snapToGrid w:val="0"/>
              <w:spacing w:line="380" w:lineRule="exact"/>
              <w:ind w:left="210" w:leftChars="100" w:firstLine="210" w:firstLineChars="100"/>
              <w:textAlignment w:val="auto"/>
              <w:rPr>
                <w:rFonts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 4 \* GB3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④</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若上述情况都相同时，</w:t>
            </w:r>
            <w:r>
              <w:rPr>
                <w:rFonts w:hint="eastAsia" w:asciiTheme="minorEastAsia" w:hAnsiTheme="minorEastAsia" w:eastAsiaTheme="minorEastAsia"/>
                <w:color w:val="auto"/>
                <w:kern w:val="0"/>
                <w:szCs w:val="21"/>
                <w:highlight w:val="none"/>
              </w:rPr>
              <w:t>则排序按照：</w:t>
            </w:r>
            <w:r>
              <w:rPr>
                <w:rFonts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w:t>
            </w:r>
          </w:p>
          <w:p w14:paraId="01B42C30">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Theme="minorEastAsia" w:hAnsiTheme="minorEastAsia" w:eastAsiaTheme="minorEastAsia"/>
                <w:color w:val="auto"/>
                <w:kern w:val="0"/>
                <w:szCs w:val="21"/>
                <w:highlight w:val="none"/>
              </w:rPr>
            </w:pPr>
            <w:r>
              <w:rPr>
                <w:rFonts w:hint="eastAsia" w:ascii="宋体" w:hAnsi="宋体" w:cs="宋体"/>
                <w:b w:val="0"/>
                <w:bCs/>
                <w:color w:val="auto"/>
                <w:kern w:val="0"/>
                <w:szCs w:val="21"/>
                <w:highlight w:val="none"/>
              </w:rPr>
              <w:sym w:font="Wingdings 2" w:char="00A3"/>
            </w:r>
            <w:r>
              <w:rPr>
                <w:rFonts w:hint="eastAsia" w:ascii="宋体" w:hAnsi="宋体"/>
                <w:color w:val="auto"/>
                <w:kern w:val="0"/>
                <w:szCs w:val="21"/>
                <w:highlight w:val="none"/>
              </w:rPr>
              <w:t>（</w:t>
            </w:r>
            <w:r>
              <w:rPr>
                <w:rFonts w:ascii="宋体" w:hAnsi="宋体"/>
                <w:color w:val="auto"/>
                <w:kern w:val="0"/>
                <w:szCs w:val="21"/>
                <w:highlight w:val="none"/>
              </w:rPr>
              <w:t>2）</w:t>
            </w:r>
            <w:r>
              <w:rPr>
                <w:color w:val="auto"/>
                <w:highlight w:val="none"/>
              </w:rPr>
              <w:t>若同一投标人在</w:t>
            </w:r>
            <w:r>
              <w:rPr>
                <w:rFonts w:hint="eastAsia"/>
                <w:color w:val="auto"/>
                <w:highlight w:val="none"/>
                <w:lang w:val="en-US" w:eastAsia="zh-CN"/>
              </w:rPr>
              <w:t>2</w:t>
            </w:r>
            <w:r>
              <w:rPr>
                <w:color w:val="auto"/>
                <w:highlight w:val="none"/>
              </w:rPr>
              <w:t>个</w:t>
            </w:r>
            <w:r>
              <w:rPr>
                <w:rFonts w:hint="eastAsia"/>
                <w:color w:val="auto"/>
                <w:highlight w:val="none"/>
                <w:lang w:val="en-US" w:eastAsia="zh-CN"/>
              </w:rPr>
              <w:t>及以上</w:t>
            </w:r>
            <w:r>
              <w:rPr>
                <w:color w:val="auto"/>
                <w:highlight w:val="none"/>
              </w:rPr>
              <w:t>标段排序均</w:t>
            </w:r>
            <w:r>
              <w:rPr>
                <w:rFonts w:hint="eastAsia"/>
                <w:color w:val="auto"/>
                <w:highlight w:val="none"/>
                <w:lang w:val="en-US" w:eastAsia="zh-CN"/>
              </w:rPr>
              <w:t>为</w:t>
            </w:r>
            <w:r>
              <w:rPr>
                <w:color w:val="auto"/>
                <w:highlight w:val="none"/>
              </w:rPr>
              <w:t>第一</w:t>
            </w:r>
            <w:r>
              <w:rPr>
                <w:rFonts w:hint="eastAsia"/>
                <w:color w:val="auto"/>
                <w:highlight w:val="none"/>
              </w:rPr>
              <w:t>，</w:t>
            </w:r>
            <w:r>
              <w:rPr>
                <w:color w:val="auto"/>
                <w:highlight w:val="none"/>
              </w:rPr>
              <w:t>按以下原则依次排序</w:t>
            </w:r>
            <w:r>
              <w:rPr>
                <w:rFonts w:asciiTheme="minorEastAsia" w:hAnsiTheme="minorEastAsia" w:eastAsiaTheme="minorEastAsia"/>
                <w:color w:val="auto"/>
                <w:kern w:val="0"/>
                <w:szCs w:val="21"/>
                <w:highlight w:val="none"/>
              </w:rPr>
              <w:t>：</w:t>
            </w:r>
          </w:p>
          <w:p w14:paraId="4305CAA0">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asciiTheme="minorEastAsia" w:hAnsiTheme="minorEastAsia" w:eastAsiaTheme="minorEastAsia"/>
                <w:color w:val="auto"/>
                <w:kern w:val="0"/>
                <w:szCs w:val="21"/>
                <w:highlight w:val="none"/>
              </w:rPr>
            </w:pPr>
            <w:r>
              <w:rPr>
                <w:rFonts w:hint="eastAsia" w:ascii="宋体" w:hAnsi="宋体" w:eastAsia="宋体" w:cs="宋体"/>
                <w:color w:val="auto"/>
                <w:kern w:val="0"/>
                <w:szCs w:val="21"/>
                <w:highlight w:val="none"/>
              </w:rPr>
              <w:t>□</w:t>
            </w:r>
            <w:r>
              <w:rPr>
                <w:rFonts w:hint="eastAsia" w:asciiTheme="minorEastAsia" w:hAnsiTheme="minorEastAsia" w:eastAsiaTheme="minorEastAsia"/>
                <w:color w:val="auto"/>
                <w:kern w:val="0"/>
                <w:szCs w:val="21"/>
                <w:highlight w:val="none"/>
                <w:lang w:val="en-US" w:eastAsia="zh-CN"/>
              </w:rPr>
              <w:t xml:space="preserve"> </w:t>
            </w:r>
            <w:r>
              <w:rPr>
                <w:rFonts w:hint="eastAsia" w:asciiTheme="minorEastAsia" w:hAnsiTheme="minorEastAsia" w:eastAsiaTheme="minorEastAsia"/>
                <w:color w:val="auto"/>
                <w:kern w:val="0"/>
                <w:szCs w:val="21"/>
                <w:highlight w:val="none"/>
              </w:rPr>
              <w:t>保留该投标人在评标价高的标段的第一排名，取消其在评标价低的标段</w:t>
            </w:r>
          </w:p>
          <w:p w14:paraId="56107FEF">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的排名，其余投标人按</w:t>
            </w:r>
            <w:r>
              <w:rPr>
                <w:rFonts w:hint="eastAsia" w:asciiTheme="minorEastAsia" w:hAnsiTheme="minorEastAsia" w:eastAsiaTheme="minorEastAsia"/>
                <w:color w:val="auto"/>
                <w:szCs w:val="21"/>
                <w:highlight w:val="none"/>
              </w:rPr>
              <w:t>综合得分</w:t>
            </w:r>
            <w:r>
              <w:rPr>
                <w:rFonts w:hint="eastAsia" w:asciiTheme="minorEastAsia" w:hAnsiTheme="minorEastAsia" w:eastAsiaTheme="minorEastAsia"/>
                <w:color w:val="auto"/>
                <w:kern w:val="0"/>
                <w:szCs w:val="21"/>
                <w:highlight w:val="none"/>
              </w:rPr>
              <w:t>由高到低重新排序。评标价也相同时，则</w:t>
            </w:r>
          </w:p>
          <w:p w14:paraId="1781C037">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排序按照：</w:t>
            </w:r>
            <w:r>
              <w:rPr>
                <w:rFonts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kern w:val="0"/>
                <w:szCs w:val="21"/>
                <w:highlight w:val="none"/>
              </w:rPr>
              <w:t>。</w:t>
            </w:r>
          </w:p>
          <w:p w14:paraId="292C0C1C">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olor w:val="auto"/>
                <w:kern w:val="0"/>
                <w:szCs w:val="21"/>
                <w:highlight w:val="none"/>
              </w:rPr>
            </w:pPr>
            <w:r>
              <w:rPr>
                <w:rFonts w:hint="eastAsia" w:ascii="宋体" w:hAnsi="宋体" w:cs="宋体"/>
                <w:bCs/>
                <w:color w:val="auto"/>
                <w:kern w:val="0"/>
                <w:szCs w:val="21"/>
                <w:highlight w:val="none"/>
              </w:rPr>
              <w:sym w:font="Wingdings 2" w:char="00A3"/>
            </w:r>
            <w:r>
              <w:rPr>
                <w:rFonts w:hint="eastAsia" w:ascii="宋体" w:hAnsi="宋体" w:cs="宋体"/>
                <w:bCs/>
                <w:color w:val="auto"/>
                <w:kern w:val="0"/>
                <w:szCs w:val="21"/>
                <w:highlight w:val="none"/>
              </w:rPr>
              <w:t xml:space="preserve"> 排序方式为：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52E41EE">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Theme="minorEastAsia" w:hAnsiTheme="minorEastAsia" w:eastAsiaTheme="minorEastAsia"/>
                <w:color w:val="auto"/>
                <w:kern w:val="0"/>
                <w:szCs w:val="21"/>
                <w:highlight w:val="none"/>
              </w:rPr>
            </w:pPr>
            <w:r>
              <w:rPr>
                <w:rFonts w:hint="eastAsia" w:ascii="宋体" w:hAnsi="宋体" w:cs="宋体"/>
                <w:b w:val="0"/>
                <w:bCs/>
                <w:color w:val="auto"/>
                <w:kern w:val="0"/>
                <w:szCs w:val="21"/>
                <w:highlight w:val="none"/>
              </w:rPr>
              <w:sym w:font="Wingdings 2" w:char="00A3"/>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3）</w:t>
            </w:r>
            <w:r>
              <w:rPr>
                <w:color w:val="auto"/>
                <w:highlight w:val="none"/>
              </w:rPr>
              <w:t>若同一投标人</w:t>
            </w:r>
            <w:r>
              <w:rPr>
                <w:rFonts w:hint="eastAsia"/>
                <w:color w:val="auto"/>
                <w:highlight w:val="none"/>
              </w:rPr>
              <w:t>参与2</w:t>
            </w:r>
            <w:r>
              <w:rPr>
                <w:color w:val="auto"/>
                <w:highlight w:val="none"/>
              </w:rPr>
              <w:t>个</w:t>
            </w:r>
            <w:r>
              <w:rPr>
                <w:rFonts w:hint="eastAsia"/>
                <w:color w:val="auto"/>
                <w:highlight w:val="none"/>
              </w:rPr>
              <w:t>及以上</w:t>
            </w:r>
            <w:r>
              <w:rPr>
                <w:color w:val="auto"/>
                <w:highlight w:val="none"/>
              </w:rPr>
              <w:t>标段</w:t>
            </w:r>
            <w:r>
              <w:rPr>
                <w:rFonts w:hint="eastAsia"/>
                <w:color w:val="auto"/>
                <w:highlight w:val="none"/>
              </w:rPr>
              <w:t>的投标，</w:t>
            </w:r>
            <w:r>
              <w:rPr>
                <w:rFonts w:hint="eastAsia" w:asciiTheme="minorEastAsia" w:hAnsiTheme="minorEastAsia" w:eastAsiaTheme="minorEastAsia"/>
                <w:color w:val="auto"/>
                <w:kern w:val="0"/>
                <w:szCs w:val="21"/>
                <w:highlight w:val="none"/>
              </w:rPr>
              <w:t>在其中一个标段已经推荐为第一中标候选人，则在其他标段不再作为中标候选人推荐，其余投标人按</w:t>
            </w:r>
            <w:r>
              <w:rPr>
                <w:rFonts w:hint="eastAsia" w:asciiTheme="minorEastAsia" w:hAnsiTheme="minorEastAsia" w:eastAsiaTheme="minorEastAsia"/>
                <w:color w:val="auto"/>
                <w:szCs w:val="21"/>
                <w:highlight w:val="none"/>
              </w:rPr>
              <w:t>综合得分</w:t>
            </w:r>
            <w:r>
              <w:rPr>
                <w:rFonts w:hint="eastAsia" w:asciiTheme="minorEastAsia" w:hAnsiTheme="minorEastAsia" w:eastAsiaTheme="minorEastAsia"/>
                <w:color w:val="auto"/>
                <w:kern w:val="0"/>
                <w:szCs w:val="21"/>
                <w:highlight w:val="none"/>
              </w:rPr>
              <w:t>由高到低重新排序。</w:t>
            </w:r>
          </w:p>
          <w:p w14:paraId="439D1F5B">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4）</w:t>
            </w:r>
            <w:r>
              <w:rPr>
                <w:rFonts w:hint="eastAsia" w:asciiTheme="minorEastAsia" w:hAnsiTheme="minorEastAsia" w:eastAsiaTheme="minorEastAsia"/>
                <w:color w:val="auto"/>
                <w:kern w:val="0"/>
                <w:szCs w:val="21"/>
                <w:highlight w:val="none"/>
              </w:rPr>
              <w:t>评标委员会按最终排序推荐前</w:t>
            </w:r>
            <w:r>
              <w:rPr>
                <w:rFonts w:asciiTheme="minorEastAsia" w:hAnsiTheme="minorEastAsia" w:eastAsiaTheme="minorEastAsia"/>
                <w:color w:val="auto"/>
                <w:kern w:val="0"/>
                <w:szCs w:val="21"/>
                <w:highlight w:val="none"/>
              </w:rPr>
              <w:t>3名中标候选人（若不足3名，则按相应数量推荐）。</w:t>
            </w:r>
          </w:p>
          <w:p w14:paraId="1467A9FB">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ascii="宋体" w:hAnsi="宋体" w:cs="宋体"/>
                <w:b/>
                <w:color w:val="auto"/>
                <w:kern w:val="0"/>
                <w:szCs w:val="21"/>
                <w:highlight w:val="none"/>
              </w:rPr>
              <w:t xml:space="preserve"> </w:t>
            </w:r>
            <w:r>
              <w:rPr>
                <w:rFonts w:hint="eastAsia" w:ascii="宋体" w:hAnsi="宋体" w:cs="宋体"/>
                <w:b/>
                <w:color w:val="auto"/>
                <w:kern w:val="0"/>
                <w:szCs w:val="21"/>
                <w:highlight w:val="none"/>
              </w:rPr>
              <w:t>允许中</w:t>
            </w:r>
            <w:r>
              <w:rPr>
                <w:rFonts w:ascii="宋体" w:hAnsi="宋体" w:cs="宋体"/>
                <w:b/>
                <w:color w:val="auto"/>
                <w:kern w:val="0"/>
                <w:szCs w:val="21"/>
                <w:highlight w:val="none"/>
              </w:rPr>
              <w:t>2个及以上标段适用</w:t>
            </w:r>
          </w:p>
          <w:p w14:paraId="09869757">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宋体" w:hAnsi="宋体"/>
                <w:color w:val="auto"/>
                <w:kern w:val="0"/>
                <w:szCs w:val="21"/>
                <w:highlight w:val="none"/>
                <w:u w:val="single"/>
              </w:rPr>
            </w:pP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none"/>
              </w:rPr>
              <w:t xml:space="preserve">     </w:t>
            </w:r>
          </w:p>
          <w:p w14:paraId="7EF8E94B">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color w:val="auto"/>
                <w:kern w:val="0"/>
                <w:szCs w:val="21"/>
                <w:highlight w:val="none"/>
                <w:u w:val="single"/>
              </w:rPr>
            </w:pPr>
            <w:r>
              <w:rPr>
                <w:rFonts w:ascii="宋体" w:hAnsi="宋体"/>
                <w:b/>
                <w:color w:val="auto"/>
                <w:szCs w:val="21"/>
                <w:highlight w:val="none"/>
              </w:rPr>
              <w:t>2.</w:t>
            </w:r>
            <w:r>
              <w:rPr>
                <w:rFonts w:hint="eastAsia"/>
                <w:color w:val="auto"/>
                <w:szCs w:val="21"/>
                <w:highlight w:val="none"/>
              </w:rPr>
              <w:t>在评标过程中，如有效投标不足</w:t>
            </w:r>
            <w:r>
              <w:rPr>
                <w:color w:val="auto"/>
                <w:szCs w:val="21"/>
                <w:highlight w:val="none"/>
              </w:rPr>
              <w:t>3</w:t>
            </w:r>
            <w:r>
              <w:rPr>
                <w:rFonts w:hint="eastAsia"/>
                <w:color w:val="auto"/>
                <w:szCs w:val="21"/>
                <w:highlight w:val="none"/>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w:t>
            </w:r>
            <w:r>
              <w:rPr>
                <w:rFonts w:hint="eastAsia"/>
                <w:color w:val="auto"/>
                <w:szCs w:val="21"/>
                <w:highlight w:val="none"/>
                <w:lang w:eastAsia="zh-CN"/>
              </w:rPr>
              <w:t>否决</w:t>
            </w:r>
            <w:r>
              <w:rPr>
                <w:rFonts w:hint="eastAsia"/>
                <w:color w:val="auto"/>
                <w:szCs w:val="21"/>
                <w:highlight w:val="none"/>
              </w:rPr>
              <w:t>全部投标，并在评标报告中</w:t>
            </w:r>
            <w:r>
              <w:rPr>
                <w:rFonts w:hint="eastAsia"/>
                <w:color w:val="auto"/>
                <w:szCs w:val="21"/>
                <w:highlight w:val="none"/>
                <w:lang w:val="en-US" w:eastAsia="zh-CN"/>
              </w:rPr>
              <w:t>作</w:t>
            </w:r>
            <w:r>
              <w:rPr>
                <w:rFonts w:hint="eastAsia"/>
                <w:color w:val="auto"/>
                <w:szCs w:val="21"/>
                <w:highlight w:val="none"/>
              </w:rPr>
              <w:t>出说明。</w:t>
            </w:r>
          </w:p>
        </w:tc>
      </w:tr>
      <w:tr w14:paraId="7061FE7F">
        <w:tblPrEx>
          <w:tblCellMar>
            <w:top w:w="0" w:type="dxa"/>
            <w:left w:w="108" w:type="dxa"/>
            <w:bottom w:w="0" w:type="dxa"/>
            <w:right w:w="108" w:type="dxa"/>
          </w:tblCellMar>
        </w:tblPrEx>
        <w:trPr>
          <w:trHeight w:val="0" w:hRule="atLeast"/>
        </w:trPr>
        <w:tc>
          <w:tcPr>
            <w:tcW w:w="708" w:type="dxa"/>
            <w:tcBorders>
              <w:top w:val="nil"/>
              <w:left w:val="single" w:color="000000" w:sz="4" w:space="0"/>
              <w:bottom w:val="single" w:color="auto" w:sz="4" w:space="0"/>
              <w:right w:val="single" w:color="000000" w:sz="4" w:space="0"/>
            </w:tcBorders>
            <w:vAlign w:val="center"/>
          </w:tcPr>
          <w:p w14:paraId="6E484F94">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42" w:type="dxa"/>
            <w:tcBorders>
              <w:top w:val="single" w:color="000000" w:sz="4" w:space="0"/>
              <w:left w:val="nil"/>
              <w:bottom w:val="single" w:color="auto" w:sz="4" w:space="0"/>
              <w:right w:val="single" w:color="000000" w:sz="4" w:space="0"/>
            </w:tcBorders>
            <w:vAlign w:val="center"/>
          </w:tcPr>
          <w:p w14:paraId="222F62A0">
            <w:pPr>
              <w:pStyle w:val="299"/>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评标</w:t>
            </w:r>
          </w:p>
          <w:p w14:paraId="5835EAEC">
            <w:pPr>
              <w:pStyle w:val="299"/>
              <w:adjustRightInd w:val="0"/>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方法</w:t>
            </w:r>
          </w:p>
        </w:tc>
        <w:tc>
          <w:tcPr>
            <w:tcW w:w="7410" w:type="dxa"/>
            <w:gridSpan w:val="2"/>
            <w:tcBorders>
              <w:top w:val="single" w:color="000000" w:sz="4" w:space="0"/>
              <w:left w:val="nil"/>
              <w:bottom w:val="single" w:color="auto" w:sz="4" w:space="0"/>
              <w:right w:val="single" w:color="000000" w:sz="4" w:space="0"/>
            </w:tcBorders>
            <w:vAlign w:val="center"/>
          </w:tcPr>
          <w:p w14:paraId="0DD8CE71">
            <w:pPr>
              <w:pStyle w:val="299"/>
              <w:numPr>
                <w:ilvl w:val="-1"/>
                <w:numId w:val="0"/>
              </w:numPr>
              <w:adjustRightInd w:val="0"/>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 3.协助评标</w:t>
            </w:r>
          </w:p>
          <w:p w14:paraId="343ED44F">
            <w:pPr>
              <w:pStyle w:val="299"/>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招标人按照</w:t>
            </w:r>
            <w:r>
              <w:rPr>
                <w:rFonts w:hint="eastAsia" w:ascii="宋体" w:hAnsi="宋体" w:cs="宋体"/>
                <w:color w:val="auto"/>
                <w:szCs w:val="21"/>
                <w:highlight w:val="none"/>
                <w:u w:val="single"/>
              </w:rPr>
              <w:t>《公路工程建设项目招标投标管理办法》（交通运输部令</w:t>
            </w:r>
            <w:r>
              <w:rPr>
                <w:rFonts w:ascii="宋体" w:hAnsi="宋体" w:cs="宋体"/>
                <w:color w:val="auto"/>
                <w:szCs w:val="21"/>
                <w:highlight w:val="none"/>
                <w:u w:val="single"/>
              </w:rPr>
              <w:t>2015年第24号）、《公路工程建设项目评标工作细则》（交公路规〔2022〕8号）、《四川省公路工程建设项目招标投标管理实施细则》（川交发</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2019</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32号）</w:t>
            </w:r>
            <w:r>
              <w:rPr>
                <w:rFonts w:hint="eastAsia" w:ascii="宋体" w:hAnsi="宋体" w:cs="宋体"/>
                <w:color w:val="auto"/>
                <w:szCs w:val="21"/>
                <w:highlight w:val="none"/>
              </w:rPr>
              <w:t>规定，协助评标委员会工作并提供相关信息：</w:t>
            </w:r>
            <w:r>
              <w:rPr>
                <w:rFonts w:ascii="宋体" w:hAnsi="宋体" w:cs="宋体"/>
                <w:color w:val="auto"/>
                <w:szCs w:val="21"/>
                <w:highlight w:val="none"/>
              </w:rPr>
              <w:t xml:space="preserve"> </w:t>
            </w:r>
          </w:p>
          <w:p w14:paraId="50316357">
            <w:pPr>
              <w:pStyle w:val="299"/>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1）根据招标文件，编制评标使用的相应表格； </w:t>
            </w:r>
          </w:p>
          <w:p w14:paraId="3D515C60">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2）对投标人的</w:t>
            </w:r>
            <w:r>
              <w:rPr>
                <w:rFonts w:ascii="宋体" w:hAnsi="宋体" w:cs="宋体"/>
                <w:color w:val="auto"/>
                <w:szCs w:val="21"/>
                <w:highlight w:val="none"/>
                <w:u w:val="single"/>
              </w:rPr>
              <w:t>资质、业绩、信誉和从业人员各类注册资格证书</w:t>
            </w:r>
            <w:r>
              <w:rPr>
                <w:rFonts w:hint="eastAsia" w:ascii="宋体" w:hAnsi="宋体" w:cs="宋体"/>
                <w:color w:val="auto"/>
                <w:szCs w:val="21"/>
                <w:highlight w:val="none"/>
              </w:rPr>
              <w:t>等信息按招标文件中约定的网站进行核实；</w:t>
            </w:r>
          </w:p>
          <w:p w14:paraId="71A06C86">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3）对投标报价进行算术性校核；</w:t>
            </w:r>
          </w:p>
          <w:p w14:paraId="64ED3834">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以评标标准和方法为依据，列出投标文件相对于招标文件的所有偏差，并进行匿名归类汇总；</w:t>
            </w:r>
          </w:p>
          <w:p w14:paraId="0BF09E89">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5）在评标过程中，对评标委员会各成员的评分表进行复核，统计汇总；对评标过程资料进行整理。</w:t>
            </w:r>
          </w:p>
          <w:p w14:paraId="4EE70265">
            <w:pPr>
              <w:pStyle w:val="299"/>
              <w:adjustRightInd w:val="0"/>
              <w:snapToGrid w:val="0"/>
              <w:spacing w:line="400" w:lineRule="exact"/>
              <w:ind w:firstLine="210" w:firstLineChars="100"/>
              <w:rPr>
                <w:rFonts w:ascii="宋体" w:hAnsi="宋体"/>
                <w:color w:val="auto"/>
                <w:szCs w:val="21"/>
                <w:highlight w:val="none"/>
              </w:rPr>
            </w:pPr>
            <w:r>
              <w:rPr>
                <w:rFonts w:hint="eastAsia" w:ascii="宋体" w:hAnsi="宋体" w:cs="宋体"/>
                <w:color w:val="auto"/>
                <w:szCs w:val="21"/>
                <w:highlight w:val="none"/>
              </w:rPr>
              <w:t>招标人不得对投标文件作出任何评价，不得故意遗漏或者片面摘录，不得在评标委员会对所有偏差定性之前透露存有偏差的投标人名称。</w:t>
            </w:r>
          </w:p>
        </w:tc>
      </w:tr>
      <w:tr w14:paraId="7F684A8C">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14:paraId="37FF8EAD">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w:t>
            </w:r>
          </w:p>
          <w:p w14:paraId="0BCF85D9">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初步评审标准</w:t>
            </w:r>
            <w:r>
              <w:rPr>
                <w:rFonts w:hAnsi="宋体" w:cs="Courier New"/>
                <w:color w:val="auto"/>
                <w:highlight w:val="none"/>
              </w:rPr>
              <w:t xml:space="preserve">      </w:t>
            </w:r>
            <w:r>
              <w:rPr>
                <w:rFonts w:hint="eastAsia" w:hAnsi="宋体" w:cs="Courier New"/>
                <w:color w:val="auto"/>
                <w:highlight w:val="none"/>
              </w:rPr>
              <w:t>（第一个信封）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396D53E2">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2.1.1</w:t>
            </w:r>
          </w:p>
          <w:p w14:paraId="44C5D83F">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形式评审标准</w:t>
            </w:r>
          </w:p>
        </w:tc>
        <w:tc>
          <w:tcPr>
            <w:tcW w:w="2260" w:type="dxa"/>
            <w:tcBorders>
              <w:top w:val="single" w:color="auto" w:sz="4" w:space="0"/>
              <w:bottom w:val="single" w:color="auto" w:sz="4" w:space="0"/>
              <w:right w:val="single" w:color="auto" w:sz="4" w:space="0"/>
            </w:tcBorders>
            <w:vAlign w:val="center"/>
          </w:tcPr>
          <w:p w14:paraId="2AD7B010">
            <w:pPr>
              <w:adjustRightInd w:val="0"/>
              <w:snapToGrid w:val="0"/>
              <w:spacing w:line="400" w:lineRule="exact"/>
              <w:rPr>
                <w:color w:val="auto"/>
                <w:szCs w:val="21"/>
                <w:highlight w:val="none"/>
              </w:rPr>
            </w:pPr>
            <w:r>
              <w:rPr>
                <w:color w:val="auto"/>
                <w:szCs w:val="21"/>
                <w:highlight w:val="none"/>
              </w:rPr>
              <w:t>1.</w:t>
            </w:r>
            <w:r>
              <w:rPr>
                <w:rFonts w:hint="eastAsia"/>
                <w:color w:val="auto"/>
                <w:szCs w:val="21"/>
                <w:highlight w:val="none"/>
              </w:rPr>
              <w:t>投标文件格式按照招标文件规定的格式、内容填写</w:t>
            </w:r>
          </w:p>
        </w:tc>
        <w:tc>
          <w:tcPr>
            <w:tcW w:w="5150" w:type="dxa"/>
            <w:tcBorders>
              <w:top w:val="single" w:color="auto" w:sz="4" w:space="0"/>
              <w:left w:val="single" w:color="auto" w:sz="4" w:space="0"/>
              <w:bottom w:val="single" w:color="auto" w:sz="4" w:space="0"/>
              <w:right w:val="single" w:color="auto" w:sz="4" w:space="0"/>
            </w:tcBorders>
            <w:vAlign w:val="center"/>
          </w:tcPr>
          <w:p w14:paraId="237E8282">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（1）投标函按照招标文件的规定填报了招标项目名称、标段号、工期</w:t>
            </w:r>
            <w:r>
              <w:rPr>
                <w:rFonts w:hint="eastAsia" w:cs="宋体" w:asciiTheme="minorEastAsia" w:hAnsiTheme="minorEastAsia" w:eastAsiaTheme="minorEastAsia"/>
                <w:color w:val="auto"/>
                <w:szCs w:val="21"/>
                <w:highlight w:val="none"/>
                <w:lang w:eastAsia="zh-CN"/>
              </w:rPr>
              <w:t>。</w:t>
            </w:r>
          </w:p>
          <w:p w14:paraId="0B31B6D6">
            <w:pPr>
              <w:pStyle w:val="299"/>
              <w:adjustRightInd w:val="0"/>
              <w:snapToGrid w:val="0"/>
              <w:spacing w:line="400" w:lineRule="exact"/>
              <w:ind w:left="0" w:leftChars="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投标函附录的所有数据均符合招标文件的规定</w:t>
            </w:r>
            <w:r>
              <w:rPr>
                <w:rFonts w:hint="eastAsia" w:cs="宋体" w:asciiTheme="minorEastAsia" w:hAnsiTheme="minorEastAsia" w:eastAsiaTheme="minorEastAsia"/>
                <w:color w:val="auto"/>
                <w:szCs w:val="21"/>
                <w:highlight w:val="none"/>
                <w:lang w:eastAsia="zh-CN"/>
              </w:rPr>
              <w:t>。</w:t>
            </w:r>
          </w:p>
          <w:p w14:paraId="7C459EFA">
            <w:pPr>
              <w:pStyle w:val="299"/>
              <w:adjustRightInd w:val="0"/>
              <w:snapToGrid w:val="0"/>
              <w:spacing w:line="40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（3）投标文件组成齐全完整、内容均按规定填写。</w:t>
            </w:r>
          </w:p>
        </w:tc>
      </w:tr>
      <w:tr w14:paraId="18DBA4A7">
        <w:tblPrEx>
          <w:tblCellMar>
            <w:top w:w="0" w:type="dxa"/>
            <w:left w:w="108" w:type="dxa"/>
            <w:bottom w:w="0" w:type="dxa"/>
            <w:right w:w="108" w:type="dxa"/>
          </w:tblCellMar>
        </w:tblPrEx>
        <w:trPr>
          <w:trHeight w:val="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3D3BD0DD">
            <w:pPr>
              <w:pStyle w:val="27"/>
              <w:adjustRightInd w:val="0"/>
              <w:snapToGrid w:val="0"/>
              <w:spacing w:line="400" w:lineRule="exact"/>
              <w:jc w:val="center"/>
              <w:rPr>
                <w:rFonts w:hAnsi="宋体" w:cs="Courier New"/>
                <w:color w:val="auto"/>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2759C336">
            <w:pPr>
              <w:pStyle w:val="27"/>
              <w:adjustRightInd w:val="0"/>
              <w:snapToGrid w:val="0"/>
              <w:spacing w:line="400" w:lineRule="exact"/>
              <w:jc w:val="center"/>
              <w:rPr>
                <w:rFonts w:hAnsi="宋体" w:cs="Courier New"/>
                <w:color w:val="auto"/>
                <w:highlight w:val="none"/>
              </w:rPr>
            </w:pPr>
          </w:p>
        </w:tc>
        <w:tc>
          <w:tcPr>
            <w:tcW w:w="2260" w:type="dxa"/>
            <w:tcBorders>
              <w:top w:val="single" w:color="auto" w:sz="4" w:space="0"/>
              <w:bottom w:val="single" w:color="auto" w:sz="4" w:space="0"/>
            </w:tcBorders>
            <w:vAlign w:val="center"/>
          </w:tcPr>
          <w:p w14:paraId="22F10447">
            <w:pPr>
              <w:adjustRightInd w:val="0"/>
              <w:snapToGrid w:val="0"/>
              <w:spacing w:line="400" w:lineRule="exact"/>
              <w:rPr>
                <w:rFonts w:ascii="宋体" w:hAnsi="宋体"/>
                <w:color w:val="auto"/>
                <w:kern w:val="0"/>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5150" w:type="dxa"/>
            <w:tcBorders>
              <w:top w:val="single" w:color="auto" w:sz="4" w:space="0"/>
              <w:left w:val="single" w:color="auto" w:sz="4" w:space="0"/>
              <w:bottom w:val="single" w:color="auto" w:sz="4" w:space="0"/>
              <w:right w:val="single" w:color="000000" w:sz="4" w:space="0"/>
            </w:tcBorders>
            <w:vAlign w:val="center"/>
          </w:tcPr>
          <w:p w14:paraId="6606EC77">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1）投标函</w:t>
            </w:r>
            <w:r>
              <w:rPr>
                <w:rFonts w:hint="eastAsia" w:asciiTheme="minorEastAsia" w:hAnsiTheme="minorEastAsia" w:eastAsiaTheme="minorEastAsia"/>
                <w:color w:val="auto"/>
                <w:szCs w:val="21"/>
                <w:highlight w:val="none"/>
              </w:rPr>
              <w:t>及投标文件格式</w:t>
            </w:r>
            <w:r>
              <w:rPr>
                <w:rFonts w:cs="宋体" w:asciiTheme="minorEastAsia" w:hAnsiTheme="minorEastAsia" w:eastAsiaTheme="minorEastAsia"/>
                <w:color w:val="auto"/>
                <w:szCs w:val="21"/>
                <w:highlight w:val="none"/>
              </w:rPr>
              <w:t>中要求盖单位电子印章</w:t>
            </w:r>
            <w:r>
              <w:rPr>
                <w:rFonts w:hint="eastAsia" w:cs="宋体" w:asciiTheme="minorEastAsia" w:hAnsiTheme="minorEastAsia" w:eastAsiaTheme="minorEastAsia"/>
                <w:color w:val="auto"/>
                <w:szCs w:val="21"/>
                <w:highlight w:val="none"/>
                <w:lang w:eastAsia="zh-CN"/>
              </w:rPr>
              <w:t>之处</w:t>
            </w:r>
            <w:r>
              <w:rPr>
                <w:rFonts w:cs="宋体" w:asciiTheme="minorEastAsia" w:hAnsiTheme="minorEastAsia" w:eastAsiaTheme="minorEastAsia"/>
                <w:color w:val="auto"/>
                <w:szCs w:val="21"/>
                <w:highlight w:val="none"/>
              </w:rPr>
              <w:t>，投标人均应使用单位CA数字证书加盖投标人的单位电子印章；投标函</w:t>
            </w:r>
            <w:r>
              <w:rPr>
                <w:rFonts w:hint="eastAsia" w:asciiTheme="minorEastAsia" w:hAnsiTheme="minorEastAsia" w:eastAsiaTheme="minorEastAsia"/>
                <w:color w:val="auto"/>
                <w:szCs w:val="21"/>
                <w:highlight w:val="none"/>
              </w:rPr>
              <w:t>及投标文件格式</w:t>
            </w:r>
            <w:r>
              <w:rPr>
                <w:rFonts w:cs="宋体" w:asciiTheme="minorEastAsia" w:hAnsiTheme="minorEastAsia" w:eastAsiaTheme="minorEastAsia"/>
                <w:color w:val="auto"/>
                <w:szCs w:val="21"/>
                <w:highlight w:val="none"/>
              </w:rPr>
              <w:t>中要求签字</w:t>
            </w:r>
            <w:r>
              <w:rPr>
                <w:rFonts w:hint="eastAsia" w:cs="宋体" w:asciiTheme="minorEastAsia" w:hAnsiTheme="minorEastAsia" w:eastAsiaTheme="minorEastAsia"/>
                <w:color w:val="auto"/>
                <w:szCs w:val="21"/>
                <w:highlight w:val="none"/>
                <w:lang w:eastAsia="zh-CN"/>
              </w:rPr>
              <w:t>之处</w:t>
            </w:r>
            <w:r>
              <w:rPr>
                <w:rFonts w:cs="宋体" w:asciiTheme="minorEastAsia" w:hAnsiTheme="minorEastAsia" w:eastAsiaTheme="minorEastAsia"/>
                <w:color w:val="auto"/>
                <w:szCs w:val="21"/>
                <w:highlight w:val="none"/>
              </w:rPr>
              <w:t>，投标人均应使用个人CA数字证书加盖法定代表人</w:t>
            </w:r>
            <w:r>
              <w:rPr>
                <w:rFonts w:hint="eastAsia" w:cs="宋体" w:asciiTheme="minorEastAsia" w:hAnsiTheme="minorEastAsia" w:eastAsiaTheme="minorEastAsia"/>
                <w:color w:val="auto"/>
                <w:szCs w:val="21"/>
                <w:highlight w:val="none"/>
              </w:rPr>
              <w:t>或其委托代理人的个人电子签名章或个人电子印章。</w:t>
            </w:r>
          </w:p>
          <w:p w14:paraId="7F9376A8">
            <w:pPr>
              <w:adjustRightInd w:val="0"/>
              <w:snapToGrid w:val="0"/>
              <w:spacing w:line="400" w:lineRule="exact"/>
              <w:rPr>
                <w:rFonts w:ascii="宋体" w:hAnsi="宋体"/>
                <w:color w:val="auto"/>
                <w:kern w:val="0"/>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以</w:t>
            </w:r>
            <w:r>
              <w:rPr>
                <w:rFonts w:cs="宋体" w:asciiTheme="minorEastAsia" w:hAnsiTheme="minorEastAsia" w:eastAsiaTheme="minorEastAsia"/>
                <w:color w:val="auto"/>
                <w:szCs w:val="21"/>
                <w:highlight w:val="none"/>
              </w:rPr>
              <w:t>联合体</w:t>
            </w:r>
            <w:r>
              <w:rPr>
                <w:rFonts w:hint="eastAsia" w:cs="宋体" w:asciiTheme="minorEastAsia" w:hAnsiTheme="minorEastAsia" w:eastAsiaTheme="minorEastAsia"/>
                <w:color w:val="auto"/>
                <w:szCs w:val="21"/>
                <w:highlight w:val="none"/>
              </w:rPr>
              <w:t>形式</w:t>
            </w:r>
            <w:r>
              <w:rPr>
                <w:rFonts w:cs="宋体" w:asciiTheme="minorEastAsia" w:hAnsiTheme="minorEastAsia" w:eastAsiaTheme="minorEastAsia"/>
                <w:color w:val="auto"/>
                <w:szCs w:val="21"/>
                <w:highlight w:val="none"/>
              </w:rPr>
              <w:t>投标</w:t>
            </w:r>
            <w:r>
              <w:rPr>
                <w:rFonts w:hint="eastAsia" w:cs="宋体" w:asciiTheme="minorEastAsia" w:hAnsiTheme="minorEastAsia" w:eastAsiaTheme="minorEastAsia"/>
                <w:color w:val="auto"/>
                <w:szCs w:val="21"/>
                <w:highlight w:val="none"/>
              </w:rPr>
              <w:t>的</w:t>
            </w:r>
            <w:r>
              <w:rPr>
                <w:rFonts w:cs="宋体" w:asciiTheme="minorEastAsia" w:hAnsiTheme="minorEastAsia" w:eastAsiaTheme="minorEastAsia"/>
                <w:color w:val="auto"/>
                <w:szCs w:val="21"/>
                <w:highlight w:val="none"/>
              </w:rPr>
              <w:t>，投标函由联合体牵头人按</w:t>
            </w:r>
            <w:r>
              <w:rPr>
                <w:rFonts w:hint="eastAsia" w:cs="宋体" w:asciiTheme="minorEastAsia" w:hAnsiTheme="minorEastAsia" w:eastAsiaTheme="minorEastAsia"/>
                <w:color w:val="auto"/>
                <w:szCs w:val="21"/>
                <w:highlight w:val="none"/>
              </w:rPr>
              <w:t>上述</w:t>
            </w:r>
            <w:r>
              <w:rPr>
                <w:rFonts w:hint="eastAsia" w:cs="宋体" w:asciiTheme="minorEastAsia" w:hAnsiTheme="minorEastAsia" w:eastAsiaTheme="minorEastAsia"/>
                <w:color w:val="auto"/>
                <w:szCs w:val="21"/>
                <w:highlight w:val="none"/>
                <w:lang w:val="en-US" w:eastAsia="zh-CN"/>
              </w:rPr>
              <w:t>规定</w:t>
            </w:r>
            <w:r>
              <w:rPr>
                <w:rFonts w:hint="eastAsia" w:cs="宋体" w:asciiTheme="minorEastAsia" w:hAnsiTheme="minorEastAsia" w:eastAsiaTheme="minorEastAsia"/>
                <w:color w:val="auto"/>
                <w:szCs w:val="21"/>
                <w:highlight w:val="none"/>
              </w:rPr>
              <w:t>完成签字、盖章。</w:t>
            </w:r>
          </w:p>
        </w:tc>
      </w:tr>
      <w:tr w14:paraId="239697DC">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65A8D3DB">
            <w:pPr>
              <w:pStyle w:val="27"/>
              <w:adjustRightInd w:val="0"/>
              <w:snapToGrid w:val="0"/>
              <w:spacing w:line="400" w:lineRule="exact"/>
              <w:jc w:val="center"/>
              <w:rPr>
                <w:rFonts w:hAnsi="宋体" w:cs="Courier New"/>
                <w:color w:val="auto"/>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266714FF">
            <w:pPr>
              <w:pStyle w:val="27"/>
              <w:adjustRightInd w:val="0"/>
              <w:snapToGrid w:val="0"/>
              <w:spacing w:line="400" w:lineRule="exact"/>
              <w:jc w:val="center"/>
              <w:rPr>
                <w:rFonts w:hAnsi="宋体" w:cs="Courier New"/>
                <w:color w:val="auto"/>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14:paraId="78EDF8EC">
            <w:pPr>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．投标人按照招标文件规定的金额、形式、时效、内容提供了投标保证金</w:t>
            </w:r>
          </w:p>
        </w:tc>
        <w:tc>
          <w:tcPr>
            <w:tcW w:w="5150" w:type="dxa"/>
            <w:tcBorders>
              <w:top w:val="single" w:color="auto" w:sz="4" w:space="0"/>
              <w:left w:val="single" w:color="auto" w:sz="4" w:space="0"/>
              <w:bottom w:val="single" w:color="auto" w:sz="4" w:space="0"/>
              <w:right w:val="single" w:color="auto" w:sz="4" w:space="0"/>
            </w:tcBorders>
            <w:vAlign w:val="center"/>
          </w:tcPr>
          <w:p w14:paraId="003788AC">
            <w:pPr>
              <w:widowControl/>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1）投标保证金金额符合</w:t>
            </w:r>
            <w:r>
              <w:rPr>
                <w:rFonts w:hint="eastAsia" w:ascii="宋体" w:hAnsi="宋体"/>
                <w:color w:val="auto"/>
                <w:szCs w:val="21"/>
                <w:highlight w:val="none"/>
              </w:rPr>
              <w:t>第二章“投标人须知”前附表</w:t>
            </w:r>
            <w:r>
              <w:rPr>
                <w:rFonts w:ascii="宋体" w:hAnsi="宋体"/>
                <w:color w:val="auto"/>
                <w:kern w:val="0"/>
                <w:szCs w:val="21"/>
                <w:highlight w:val="none"/>
              </w:rPr>
              <w:t>第3.4.1</w:t>
            </w:r>
            <w:r>
              <w:rPr>
                <w:rFonts w:hint="eastAsia" w:ascii="宋体" w:hAnsi="宋体"/>
                <w:color w:val="auto"/>
                <w:kern w:val="0"/>
                <w:szCs w:val="21"/>
                <w:highlight w:val="none"/>
              </w:rPr>
              <w:t>项</w:t>
            </w:r>
            <w:r>
              <w:rPr>
                <w:rFonts w:ascii="宋体" w:hAnsi="宋体"/>
                <w:color w:val="auto"/>
                <w:kern w:val="0"/>
                <w:szCs w:val="21"/>
                <w:highlight w:val="none"/>
              </w:rPr>
              <w:t>要求</w:t>
            </w:r>
            <w:r>
              <w:rPr>
                <w:rFonts w:hint="eastAsia" w:ascii="宋体" w:hAnsi="宋体"/>
                <w:color w:val="auto"/>
                <w:szCs w:val="21"/>
                <w:highlight w:val="none"/>
              </w:rPr>
              <w:t>，且投标保证金有效期不少于投标有效期</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w:t>
            </w:r>
          </w:p>
          <w:p w14:paraId="538A1773">
            <w:pPr>
              <w:pStyle w:val="299"/>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b/>
                <w:color w:val="auto"/>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2）采用现金或支票形式担保，投标保证金由投标人基本账户</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或基本存款账户</w:t>
            </w:r>
            <w:r>
              <w:rPr>
                <w:rFonts w:hint="eastAsia" w:ascii="宋体" w:hAnsi="宋体"/>
                <w:color w:val="auto"/>
                <w:kern w:val="0"/>
                <w:szCs w:val="21"/>
                <w:highlight w:val="none"/>
                <w:lang w:eastAsia="zh-CN"/>
              </w:rPr>
              <w:t>）</w:t>
            </w:r>
            <w:r>
              <w:rPr>
                <w:rFonts w:ascii="宋体" w:hAnsi="宋体"/>
                <w:color w:val="auto"/>
                <w:kern w:val="0"/>
                <w:szCs w:val="21"/>
                <w:highlight w:val="none"/>
              </w:rPr>
              <w:t>汇出，并在规定时间到达招标人指定账户</w:t>
            </w:r>
            <w:r>
              <w:rPr>
                <w:rFonts w:hint="eastAsia" w:ascii="宋体" w:hAnsi="宋体"/>
                <w:color w:val="auto"/>
                <w:kern w:val="0"/>
                <w:szCs w:val="21"/>
                <w:highlight w:val="none"/>
                <w:lang w:eastAsia="zh-CN"/>
              </w:rPr>
              <w:t>。</w:t>
            </w:r>
          </w:p>
          <w:p w14:paraId="14252944">
            <w:pPr>
              <w:pStyle w:val="299"/>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b/>
                <w:color w:val="auto"/>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3）采用银行保函，银行保函的格式、开具保函的银行级别、银行保函有效期及银行保函提交均满足</w:t>
            </w:r>
            <w:r>
              <w:rPr>
                <w:rFonts w:hint="eastAsia" w:ascii="宋体" w:hAnsi="宋体"/>
                <w:color w:val="auto"/>
                <w:szCs w:val="21"/>
                <w:highlight w:val="none"/>
              </w:rPr>
              <w:t>第二章“投标人须知”前附表</w:t>
            </w:r>
            <w:r>
              <w:rPr>
                <w:rFonts w:ascii="宋体" w:hAnsi="宋体"/>
                <w:color w:val="auto"/>
                <w:kern w:val="0"/>
                <w:szCs w:val="21"/>
                <w:highlight w:val="none"/>
              </w:rPr>
              <w:t>第3.4.1</w:t>
            </w:r>
            <w:r>
              <w:rPr>
                <w:rFonts w:hint="eastAsia" w:ascii="宋体" w:hAnsi="宋体"/>
                <w:color w:val="auto"/>
                <w:kern w:val="0"/>
                <w:szCs w:val="21"/>
                <w:highlight w:val="none"/>
              </w:rPr>
              <w:t>项</w:t>
            </w:r>
            <w:r>
              <w:rPr>
                <w:rFonts w:ascii="宋体" w:hAnsi="宋体"/>
                <w:color w:val="auto"/>
                <w:kern w:val="0"/>
                <w:szCs w:val="21"/>
                <w:highlight w:val="none"/>
              </w:rPr>
              <w:t>要求，</w:t>
            </w:r>
            <w:r>
              <w:rPr>
                <w:rFonts w:hint="eastAsia" w:ascii="宋体" w:hAnsi="宋体"/>
                <w:color w:val="auto"/>
                <w:szCs w:val="21"/>
                <w:highlight w:val="none"/>
              </w:rPr>
              <w:t>且</w:t>
            </w:r>
            <w:r>
              <w:rPr>
                <w:rFonts w:ascii="宋体" w:hAnsi="宋体"/>
                <w:color w:val="auto"/>
                <w:szCs w:val="21"/>
                <w:highlight w:val="none"/>
              </w:rPr>
              <w:t>其提交的银行保函内容</w:t>
            </w:r>
            <w:r>
              <w:rPr>
                <w:rFonts w:hint="eastAsia" w:ascii="宋体" w:hAnsi="宋体"/>
                <w:color w:val="auto"/>
                <w:szCs w:val="21"/>
                <w:highlight w:val="none"/>
              </w:rPr>
              <w:t>不得作出降低担保效力的实质性修改</w:t>
            </w:r>
            <w:r>
              <w:rPr>
                <w:rFonts w:hint="eastAsia" w:ascii="宋体" w:hAnsi="宋体"/>
                <w:color w:val="auto"/>
                <w:kern w:val="0"/>
                <w:szCs w:val="21"/>
                <w:highlight w:val="none"/>
                <w:lang w:eastAsia="zh-CN"/>
              </w:rPr>
              <w:t>。</w:t>
            </w:r>
          </w:p>
          <w:p w14:paraId="6463A764">
            <w:pPr>
              <w:pStyle w:val="299"/>
              <w:adjustRightInd w:val="0"/>
              <w:snapToGrid w:val="0"/>
              <w:spacing w:line="400" w:lineRule="exact"/>
              <w:rPr>
                <w:rFonts w:ascii="宋体" w:hAnsi="宋体"/>
                <w:color w:val="auto"/>
                <w:szCs w:val="21"/>
                <w:highlight w:val="none"/>
                <w:u w:val="singl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）若采用上述情形以外的形式提交投标保证金的，应符合的要求：</w:t>
            </w:r>
            <w:r>
              <w:rPr>
                <w:rFonts w:ascii="宋体" w:hAnsi="宋体"/>
                <w:color w:val="auto"/>
                <w:szCs w:val="21"/>
                <w:highlight w:val="none"/>
                <w:u w:val="single"/>
              </w:rPr>
              <w:t xml:space="preserve">           </w:t>
            </w:r>
            <w:r>
              <w:rPr>
                <w:rFonts w:hint="eastAsia" w:ascii="宋体" w:hAnsi="宋体"/>
                <w:color w:val="auto"/>
                <w:szCs w:val="21"/>
                <w:highlight w:val="none"/>
              </w:rPr>
              <w:t>。</w:t>
            </w:r>
          </w:p>
          <w:p w14:paraId="21613A7A">
            <w:pPr>
              <w:widowControl/>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olor w:val="auto"/>
                <w:szCs w:val="21"/>
                <w:highlight w:val="none"/>
                <w:lang w:val="en-US" w:eastAsia="zh-CN"/>
              </w:rPr>
              <w:t>以</w:t>
            </w:r>
            <w:r>
              <w:rPr>
                <w:rFonts w:hint="eastAsia" w:ascii="宋体" w:hAnsi="宋体"/>
                <w:color w:val="auto"/>
                <w:kern w:val="0"/>
                <w:szCs w:val="21"/>
                <w:highlight w:val="none"/>
              </w:rPr>
              <w:t>联合体形式投标的，投标保证金应由联合体牵头人提交。</w:t>
            </w:r>
          </w:p>
        </w:tc>
      </w:tr>
      <w:tr w14:paraId="7E997F87">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14:paraId="6AD7CEC9">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w:t>
            </w:r>
          </w:p>
          <w:p w14:paraId="3B65E52D">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初步评审标准</w:t>
            </w:r>
            <w:r>
              <w:rPr>
                <w:rFonts w:hAnsi="宋体" w:cs="Courier New"/>
                <w:color w:val="auto"/>
                <w:highlight w:val="none"/>
              </w:rPr>
              <w:t xml:space="preserve">      </w:t>
            </w:r>
            <w:r>
              <w:rPr>
                <w:rFonts w:hint="eastAsia" w:hAnsi="宋体" w:cs="Courier New"/>
                <w:color w:val="auto"/>
                <w:highlight w:val="none"/>
              </w:rPr>
              <w:t>（第一个信封）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30B991E1">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2.1.1</w:t>
            </w:r>
          </w:p>
          <w:p w14:paraId="26FEAE92">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形式评审标准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24A7681D">
            <w:pPr>
              <w:adjustRightInd w:val="0"/>
              <w:snapToGrid w:val="0"/>
              <w:spacing w:line="400" w:lineRule="exact"/>
              <w:rPr>
                <w:rFonts w:ascii="宋体" w:hAnsi="宋体"/>
                <w:color w:val="auto"/>
                <w:kern w:val="0"/>
                <w:szCs w:val="21"/>
                <w:highlight w:val="none"/>
              </w:rPr>
            </w:pPr>
            <w:r>
              <w:rPr>
                <w:rFonts w:ascii="宋体" w:hAnsi="宋体"/>
                <w:color w:val="auto"/>
                <w:szCs w:val="21"/>
                <w:highlight w:val="none"/>
              </w:rPr>
              <w:t>4</w:t>
            </w:r>
            <w:r>
              <w:rPr>
                <w:rFonts w:hint="eastAsia" w:ascii="宋体" w:hAnsi="宋体"/>
                <w:color w:val="auto"/>
                <w:szCs w:val="21"/>
                <w:highlight w:val="none"/>
              </w:rPr>
              <w:t>．如由投标人法定代表人的委托代理人签署投标文件的，提供的相关证明材料符合招标文件要求</w:t>
            </w:r>
            <w:r>
              <w:rPr>
                <w:rFonts w:hint="eastAsia" w:ascii="宋体" w:hAnsi="宋体" w:cs="宋体"/>
                <w:color w:val="auto"/>
                <w:szCs w:val="21"/>
                <w:highlight w:val="none"/>
              </w:rPr>
              <w:t>（</w:t>
            </w:r>
            <w:r>
              <w:rPr>
                <w:rFonts w:hint="eastAsia" w:ascii="宋体" w:hAnsi="宋体"/>
                <w:color w:val="auto"/>
                <w:szCs w:val="21"/>
                <w:highlight w:val="none"/>
              </w:rPr>
              <w:t>本</w:t>
            </w:r>
            <w:r>
              <w:rPr>
                <w:rFonts w:hint="eastAsia" w:ascii="宋体" w:hAnsi="宋体"/>
                <w:color w:val="auto"/>
                <w:szCs w:val="21"/>
                <w:highlight w:val="none"/>
                <w:lang w:val="en-US" w:eastAsia="zh-CN"/>
              </w:rPr>
              <w:t>目</w:t>
            </w:r>
            <w:r>
              <w:rPr>
                <w:rFonts w:hint="eastAsia" w:ascii="宋体" w:hAnsi="宋体"/>
                <w:color w:val="auto"/>
                <w:szCs w:val="21"/>
                <w:highlight w:val="none"/>
              </w:rPr>
              <w:t>适用于如果投标文件由投标人法定代表人的委托代理人签署的情形</w:t>
            </w:r>
            <w:r>
              <w:rPr>
                <w:rFonts w:hint="eastAsia" w:ascii="宋体" w:hAnsi="宋体" w:cs="宋体"/>
                <w:color w:val="auto"/>
                <w:szCs w:val="21"/>
                <w:highlight w:val="none"/>
              </w:rPr>
              <w:t>）</w:t>
            </w:r>
          </w:p>
        </w:tc>
        <w:tc>
          <w:tcPr>
            <w:tcW w:w="5150" w:type="dxa"/>
            <w:tcBorders>
              <w:top w:val="single" w:color="auto" w:sz="4" w:space="0"/>
              <w:left w:val="single" w:color="auto" w:sz="4" w:space="0"/>
              <w:bottom w:val="single" w:color="auto" w:sz="4" w:space="0"/>
              <w:right w:val="single" w:color="auto" w:sz="4" w:space="0"/>
            </w:tcBorders>
            <w:vAlign w:val="center"/>
          </w:tcPr>
          <w:p w14:paraId="5163EB32">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1）提交了授权委托书</w:t>
            </w:r>
            <w:r>
              <w:rPr>
                <w:rFonts w:hint="eastAsia" w:ascii="宋体" w:hAnsi="宋体"/>
                <w:color w:val="auto"/>
                <w:szCs w:val="21"/>
                <w:highlight w:val="none"/>
                <w:lang w:eastAsia="zh-CN"/>
              </w:rPr>
              <w:t>。</w:t>
            </w:r>
          </w:p>
          <w:p w14:paraId="0ADC9477">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2）</w:t>
            </w:r>
            <w:r>
              <w:rPr>
                <w:rFonts w:asciiTheme="minorEastAsia" w:hAnsiTheme="minorEastAsia" w:eastAsiaTheme="minorEastAsia"/>
                <w:color w:val="auto"/>
                <w:szCs w:val="21"/>
                <w:highlight w:val="none"/>
              </w:rPr>
              <w:t>授权委托书上要求盖单位电子印章</w:t>
            </w:r>
            <w:r>
              <w:rPr>
                <w:rFonts w:hint="eastAsia" w:asciiTheme="minorEastAsia" w:hAnsiTheme="minorEastAsia" w:eastAsiaTheme="minorEastAsia"/>
                <w:color w:val="auto"/>
                <w:szCs w:val="21"/>
                <w:highlight w:val="none"/>
                <w:lang w:eastAsia="zh-CN"/>
              </w:rPr>
              <w:t>之处</w:t>
            </w:r>
            <w:r>
              <w:rPr>
                <w:rFonts w:asciiTheme="minorEastAsia" w:hAnsiTheme="minorEastAsia" w:eastAsiaTheme="minorEastAsia"/>
                <w:color w:val="auto"/>
                <w:szCs w:val="21"/>
                <w:highlight w:val="none"/>
              </w:rPr>
              <w:t>，投标人均应使用单位CA</w:t>
            </w:r>
            <w:r>
              <w:rPr>
                <w:rFonts w:hint="eastAsia" w:asciiTheme="minorEastAsia" w:hAnsiTheme="minorEastAsia" w:eastAsiaTheme="minorEastAsia"/>
                <w:color w:val="auto"/>
                <w:szCs w:val="21"/>
                <w:highlight w:val="none"/>
              </w:rPr>
              <w:t>数字证书加盖投标人的单位电子印章；要求法定代表人签字</w:t>
            </w:r>
            <w:r>
              <w:rPr>
                <w:rFonts w:hint="eastAsia" w:asciiTheme="minorEastAsia" w:hAnsiTheme="minorEastAsia" w:eastAsiaTheme="minorEastAsia"/>
                <w:color w:val="auto"/>
                <w:szCs w:val="21"/>
                <w:highlight w:val="none"/>
                <w:lang w:eastAsia="zh-CN"/>
              </w:rPr>
              <w:t>之处</w:t>
            </w:r>
            <w:r>
              <w:rPr>
                <w:rFonts w:hint="eastAsia" w:asciiTheme="minorEastAsia" w:hAnsiTheme="minorEastAsia" w:eastAsiaTheme="minorEastAsia"/>
                <w:color w:val="auto"/>
                <w:szCs w:val="21"/>
                <w:highlight w:val="none"/>
              </w:rPr>
              <w:t>，投标人均应使用个人</w:t>
            </w:r>
            <w:r>
              <w:rPr>
                <w:rFonts w:asciiTheme="minorEastAsia" w:hAnsiTheme="minorEastAsia" w:eastAsiaTheme="minorEastAsia"/>
                <w:color w:val="auto"/>
                <w:szCs w:val="21"/>
                <w:highlight w:val="none"/>
              </w:rPr>
              <w:t>CA</w:t>
            </w:r>
            <w:r>
              <w:rPr>
                <w:rFonts w:hint="eastAsia" w:asciiTheme="minorEastAsia" w:hAnsiTheme="minorEastAsia" w:eastAsiaTheme="minorEastAsia"/>
                <w:color w:val="auto"/>
                <w:szCs w:val="21"/>
                <w:highlight w:val="none"/>
              </w:rPr>
              <w:t>数字证书加盖投标人法定代表人的个人电子签名章或个人电子印章；要求委托代理人签字</w:t>
            </w:r>
            <w:r>
              <w:rPr>
                <w:rFonts w:hint="eastAsia" w:asciiTheme="minorEastAsia" w:hAnsiTheme="minorEastAsia" w:eastAsiaTheme="minorEastAsia"/>
                <w:color w:val="auto"/>
                <w:szCs w:val="21"/>
                <w:highlight w:val="none"/>
                <w:lang w:eastAsia="zh-CN"/>
              </w:rPr>
              <w:t>之处</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投标人均应使用</w:t>
            </w:r>
            <w:r>
              <w:rPr>
                <w:rFonts w:hint="eastAsia" w:asciiTheme="minorEastAsia" w:hAnsiTheme="minorEastAsia" w:eastAsiaTheme="minorEastAsia"/>
                <w:color w:val="auto"/>
                <w:szCs w:val="21"/>
                <w:highlight w:val="none"/>
                <w:lang w:val="en-US" w:eastAsia="zh-CN"/>
              </w:rPr>
              <w:t>个人</w:t>
            </w:r>
            <w:r>
              <w:rPr>
                <w:rFonts w:asciiTheme="minorEastAsia" w:hAnsiTheme="minorEastAsia" w:eastAsiaTheme="minorEastAsia"/>
                <w:color w:val="auto"/>
                <w:szCs w:val="21"/>
                <w:highlight w:val="none"/>
              </w:rPr>
              <w:t>CA</w:t>
            </w:r>
            <w:r>
              <w:rPr>
                <w:rFonts w:hint="eastAsia" w:asciiTheme="minorEastAsia" w:hAnsiTheme="minorEastAsia" w:eastAsiaTheme="minorEastAsia"/>
                <w:color w:val="auto"/>
                <w:szCs w:val="21"/>
                <w:highlight w:val="none"/>
              </w:rPr>
              <w:t>数字证书加盖委托代理人个人电子签名章或个人电子印章</w:t>
            </w:r>
            <w:r>
              <w:rPr>
                <w:rFonts w:hint="eastAsia" w:ascii="宋体" w:hAnsi="宋体"/>
                <w:color w:val="auto"/>
                <w:szCs w:val="21"/>
                <w:highlight w:val="none"/>
                <w:lang w:eastAsia="zh-CN"/>
              </w:rPr>
              <w:t>。</w:t>
            </w:r>
          </w:p>
          <w:p w14:paraId="7D1D05E6">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3）授权委托书中委托代理人只能是一个人，且不能再授予他人</w:t>
            </w:r>
            <w:r>
              <w:rPr>
                <w:rFonts w:hint="eastAsia" w:ascii="宋体" w:hAnsi="宋体"/>
                <w:color w:val="auto"/>
                <w:szCs w:val="21"/>
                <w:highlight w:val="none"/>
                <w:lang w:eastAsia="zh-CN"/>
              </w:rPr>
              <w:t>。</w:t>
            </w:r>
          </w:p>
          <w:p w14:paraId="753AF689">
            <w:pPr>
              <w:pStyle w:val="299"/>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4）授权委托书后应附法定代表人和委托代理人身份证</w:t>
            </w:r>
            <w:r>
              <w:rPr>
                <w:rFonts w:hint="eastAsia" w:ascii="宋体" w:hAnsi="宋体" w:cs="宋体"/>
                <w:color w:val="auto"/>
                <w:szCs w:val="21"/>
                <w:highlight w:val="none"/>
              </w:rPr>
              <w:t>原件原色扫描件</w:t>
            </w:r>
            <w:r>
              <w:rPr>
                <w:rFonts w:hint="eastAsia" w:ascii="宋体" w:hAnsi="宋体"/>
                <w:color w:val="auto"/>
                <w:szCs w:val="21"/>
                <w:highlight w:val="none"/>
              </w:rPr>
              <w:t>，且身份证原件</w:t>
            </w:r>
            <w:r>
              <w:rPr>
                <w:rFonts w:ascii="宋体" w:hAnsi="宋体"/>
                <w:color w:val="auto"/>
                <w:szCs w:val="21"/>
                <w:highlight w:val="none"/>
              </w:rPr>
              <w:t>原色</w:t>
            </w:r>
            <w:r>
              <w:rPr>
                <w:rFonts w:hint="eastAsia" w:ascii="宋体" w:hAnsi="宋体"/>
                <w:color w:val="auto"/>
                <w:szCs w:val="21"/>
                <w:highlight w:val="none"/>
              </w:rPr>
              <w:t>扫描件应清晰、有效</w:t>
            </w:r>
            <w:r>
              <w:rPr>
                <w:rFonts w:hint="eastAsia" w:ascii="宋体" w:hAnsi="宋体"/>
                <w:color w:val="auto"/>
                <w:szCs w:val="21"/>
                <w:highlight w:val="none"/>
                <w:lang w:eastAsia="zh-CN"/>
              </w:rPr>
              <w:t>。</w:t>
            </w:r>
          </w:p>
          <w:p w14:paraId="76C8CAE7">
            <w:pPr>
              <w:pStyle w:val="299"/>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olor w:val="auto"/>
                <w:szCs w:val="21"/>
                <w:highlight w:val="none"/>
                <w:lang w:val="en-US" w:eastAsia="zh-CN"/>
              </w:rPr>
              <w:t>以</w:t>
            </w:r>
            <w:r>
              <w:rPr>
                <w:rFonts w:hint="eastAsia" w:ascii="宋体" w:hAnsi="宋体"/>
                <w:color w:val="auto"/>
                <w:szCs w:val="21"/>
                <w:highlight w:val="none"/>
              </w:rPr>
              <w:t>联合体</w:t>
            </w:r>
            <w:r>
              <w:rPr>
                <w:rFonts w:hint="eastAsia" w:ascii="宋体" w:hAnsi="宋体"/>
                <w:color w:val="auto"/>
                <w:szCs w:val="21"/>
                <w:highlight w:val="none"/>
                <w:lang w:val="en-US" w:eastAsia="zh-CN"/>
              </w:rPr>
              <w:t>形式</w:t>
            </w:r>
            <w:r>
              <w:rPr>
                <w:rFonts w:hint="eastAsia" w:ascii="宋体" w:hAnsi="宋体"/>
                <w:color w:val="auto"/>
                <w:szCs w:val="21"/>
                <w:highlight w:val="none"/>
              </w:rPr>
              <w:t>投标的，其授权委托书应由联合体牵头人按上述规定出具。</w:t>
            </w:r>
          </w:p>
        </w:tc>
      </w:tr>
      <w:tr w14:paraId="56BFE567">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786D856B">
            <w:pPr>
              <w:adjustRightInd w:val="0"/>
              <w:snapToGrid w:val="0"/>
              <w:spacing w:line="400" w:lineRule="exact"/>
              <w:ind w:left="105" w:right="-105"/>
              <w:jc w:val="center"/>
              <w:rPr>
                <w:rFonts w:hAnsi="宋体" w:cs="Courier New"/>
                <w:color w:val="auto"/>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3A03AFED">
            <w:pPr>
              <w:pStyle w:val="27"/>
              <w:adjustRightInd w:val="0"/>
              <w:snapToGrid w:val="0"/>
              <w:spacing w:line="400" w:lineRule="exact"/>
              <w:jc w:val="center"/>
              <w:rPr>
                <w:rFonts w:hAnsi="宋体" w:cs="Courier New"/>
                <w:color w:val="auto"/>
                <w:highlight w:val="none"/>
              </w:rPr>
            </w:pPr>
          </w:p>
        </w:tc>
        <w:tc>
          <w:tcPr>
            <w:tcW w:w="2260" w:type="dxa"/>
            <w:tcBorders>
              <w:top w:val="single" w:color="auto" w:sz="4" w:space="0"/>
              <w:left w:val="single" w:color="auto" w:sz="4" w:space="0"/>
              <w:bottom w:val="single" w:color="auto" w:sz="4" w:space="0"/>
              <w:right w:val="single" w:color="000000" w:sz="4" w:space="0"/>
            </w:tcBorders>
            <w:vAlign w:val="center"/>
          </w:tcPr>
          <w:p w14:paraId="260EFC99">
            <w:pPr>
              <w:widowControl/>
              <w:adjustRightInd w:val="0"/>
              <w:snapToGrid w:val="0"/>
              <w:spacing w:line="400" w:lineRule="exact"/>
              <w:rPr>
                <w:rFonts w:ascii="宋体" w:hAnsi="宋体"/>
                <w:color w:val="auto"/>
                <w:szCs w:val="21"/>
                <w:highlight w:val="none"/>
              </w:rPr>
            </w:pPr>
            <w:r>
              <w:rPr>
                <w:rFonts w:ascii="宋体" w:hAnsi="宋体"/>
                <w:color w:val="auto"/>
                <w:kern w:val="0"/>
                <w:szCs w:val="21"/>
                <w:highlight w:val="none"/>
              </w:rPr>
              <w:t>5</w:t>
            </w:r>
            <w:r>
              <w:rPr>
                <w:rFonts w:hint="eastAsia" w:ascii="宋体" w:hAnsi="宋体"/>
                <w:color w:val="auto"/>
                <w:kern w:val="0"/>
                <w:szCs w:val="21"/>
                <w:highlight w:val="none"/>
              </w:rPr>
              <w:t>．投标人法定代表人若亲自签署投标文件的，</w:t>
            </w:r>
            <w:r>
              <w:rPr>
                <w:rFonts w:hint="eastAsia" w:ascii="宋体" w:hAnsi="宋体"/>
                <w:color w:val="auto"/>
                <w:szCs w:val="21"/>
                <w:highlight w:val="none"/>
              </w:rPr>
              <w:t>提供的</w:t>
            </w:r>
            <w:r>
              <w:rPr>
                <w:rFonts w:hint="eastAsia" w:ascii="宋体" w:hAnsi="宋体"/>
                <w:color w:val="auto"/>
                <w:szCs w:val="21"/>
                <w:highlight w:val="none"/>
                <w:lang w:val="en-US" w:eastAsia="zh-CN"/>
              </w:rPr>
              <w:t>相关</w:t>
            </w:r>
            <w:r>
              <w:rPr>
                <w:rFonts w:hint="eastAsia" w:ascii="宋体" w:hAnsi="宋体"/>
                <w:color w:val="auto"/>
                <w:szCs w:val="21"/>
                <w:highlight w:val="none"/>
              </w:rPr>
              <w:t>证明材料符合招标文件要求</w:t>
            </w:r>
            <w:r>
              <w:rPr>
                <w:rFonts w:hint="eastAsia" w:ascii="宋体" w:hAnsi="宋体" w:cs="宋体"/>
                <w:color w:val="auto"/>
                <w:szCs w:val="21"/>
                <w:highlight w:val="none"/>
              </w:rPr>
              <w:t>（</w:t>
            </w:r>
            <w:r>
              <w:rPr>
                <w:rFonts w:hint="eastAsia" w:ascii="宋体" w:hAnsi="宋体"/>
                <w:color w:val="auto"/>
                <w:szCs w:val="21"/>
                <w:highlight w:val="none"/>
              </w:rPr>
              <w:t>本</w:t>
            </w:r>
            <w:r>
              <w:rPr>
                <w:rFonts w:hint="eastAsia" w:ascii="宋体" w:hAnsi="宋体"/>
                <w:color w:val="auto"/>
                <w:szCs w:val="21"/>
                <w:highlight w:val="none"/>
                <w:lang w:val="en-US" w:eastAsia="zh-CN"/>
              </w:rPr>
              <w:t>目</w:t>
            </w:r>
            <w:r>
              <w:rPr>
                <w:rFonts w:hint="eastAsia" w:ascii="宋体" w:hAnsi="宋体"/>
                <w:color w:val="auto"/>
                <w:szCs w:val="21"/>
                <w:highlight w:val="none"/>
              </w:rPr>
              <w:t>适用于如果投标文件由投标人法定代表人签署的情形</w:t>
            </w:r>
            <w:r>
              <w:rPr>
                <w:rFonts w:hint="eastAsia" w:ascii="宋体" w:hAnsi="宋体" w:cs="宋体"/>
                <w:color w:val="auto"/>
                <w:szCs w:val="21"/>
                <w:highlight w:val="none"/>
              </w:rPr>
              <w:t>）</w:t>
            </w:r>
          </w:p>
        </w:tc>
        <w:tc>
          <w:tcPr>
            <w:tcW w:w="5150" w:type="dxa"/>
            <w:tcBorders>
              <w:top w:val="single" w:color="auto" w:sz="4" w:space="0"/>
              <w:left w:val="nil"/>
              <w:bottom w:val="single" w:color="auto" w:sz="4" w:space="0"/>
              <w:right w:val="single" w:color="000000" w:sz="4" w:space="0"/>
            </w:tcBorders>
            <w:vAlign w:val="center"/>
          </w:tcPr>
          <w:p w14:paraId="07DA479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1）提</w:t>
            </w:r>
            <w:r>
              <w:rPr>
                <w:rFonts w:hint="default" w:ascii="宋体" w:hAnsi="宋体"/>
                <w:bCs/>
                <w:color w:val="auto"/>
                <w:szCs w:val="21"/>
                <w:highlight w:val="none"/>
                <w:lang w:val="en-US"/>
              </w:rPr>
              <w:t>供</w:t>
            </w:r>
            <w:r>
              <w:rPr>
                <w:rFonts w:hint="eastAsia" w:ascii="宋体" w:hAnsi="宋体"/>
                <w:bCs/>
                <w:color w:val="auto"/>
                <w:szCs w:val="21"/>
                <w:highlight w:val="none"/>
                <w:lang w:val="en-US" w:eastAsia="zh-CN"/>
              </w:rPr>
              <w:t>了</w:t>
            </w:r>
            <w:r>
              <w:rPr>
                <w:rFonts w:ascii="宋体" w:hAnsi="宋体"/>
                <w:bCs/>
                <w:color w:val="auto"/>
                <w:szCs w:val="21"/>
                <w:highlight w:val="none"/>
              </w:rPr>
              <w:t>法定代表人身份证明</w:t>
            </w:r>
            <w:r>
              <w:rPr>
                <w:rFonts w:hint="eastAsia" w:ascii="宋体" w:hAnsi="宋体"/>
                <w:bCs/>
                <w:color w:val="auto"/>
                <w:szCs w:val="21"/>
                <w:highlight w:val="none"/>
                <w:lang w:eastAsia="zh-CN"/>
              </w:rPr>
              <w:t>。</w:t>
            </w:r>
            <w:r>
              <w:rPr>
                <w:rFonts w:ascii="宋体" w:hAnsi="宋体"/>
                <w:bCs/>
                <w:color w:val="auto"/>
                <w:szCs w:val="21"/>
                <w:highlight w:val="none"/>
              </w:rPr>
              <w:t xml:space="preserve"> </w:t>
            </w:r>
          </w:p>
          <w:p w14:paraId="44D29EE6">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Theme="minorEastAsia" w:hAnsiTheme="minorEastAsia" w:eastAsiaTheme="minorEastAsia"/>
                <w:color w:val="auto"/>
                <w:szCs w:val="21"/>
                <w:highlight w:val="none"/>
              </w:rPr>
              <w:t>法定代表人身份证明上要求盖单位电子印章</w:t>
            </w:r>
            <w:r>
              <w:rPr>
                <w:rFonts w:hint="eastAsia" w:asciiTheme="minorEastAsia" w:hAnsiTheme="minorEastAsia" w:eastAsiaTheme="minorEastAsia"/>
                <w:color w:val="auto"/>
                <w:szCs w:val="21"/>
                <w:highlight w:val="none"/>
                <w:lang w:eastAsia="zh-CN"/>
              </w:rPr>
              <w:t>之处</w:t>
            </w:r>
            <w:r>
              <w:rPr>
                <w:rFonts w:hint="eastAsia" w:asciiTheme="minorEastAsia" w:hAnsiTheme="minorEastAsia" w:eastAsiaTheme="minorEastAsia"/>
                <w:color w:val="auto"/>
                <w:szCs w:val="21"/>
                <w:highlight w:val="none"/>
              </w:rPr>
              <w:t>，投标人均应使用单位</w:t>
            </w:r>
            <w:r>
              <w:rPr>
                <w:rFonts w:asciiTheme="minorEastAsia" w:hAnsiTheme="minorEastAsia" w:eastAsiaTheme="minorEastAsia"/>
                <w:color w:val="auto"/>
                <w:szCs w:val="21"/>
                <w:highlight w:val="none"/>
              </w:rPr>
              <w:t>CA</w:t>
            </w:r>
            <w:r>
              <w:rPr>
                <w:rFonts w:hint="eastAsia" w:asciiTheme="minorEastAsia" w:hAnsiTheme="minorEastAsia" w:eastAsiaTheme="minorEastAsia"/>
                <w:color w:val="auto"/>
                <w:szCs w:val="21"/>
                <w:highlight w:val="none"/>
              </w:rPr>
              <w:t>数字证书加盖投标人的单位电子印章；要求法定代表人签字</w:t>
            </w:r>
            <w:r>
              <w:rPr>
                <w:rFonts w:hint="eastAsia" w:asciiTheme="minorEastAsia" w:hAnsiTheme="minorEastAsia" w:eastAsiaTheme="minorEastAsia"/>
                <w:color w:val="auto"/>
                <w:szCs w:val="21"/>
                <w:highlight w:val="none"/>
                <w:lang w:eastAsia="zh-CN"/>
              </w:rPr>
              <w:t>之处</w:t>
            </w:r>
            <w:r>
              <w:rPr>
                <w:rFonts w:hint="eastAsia" w:asciiTheme="minorEastAsia" w:hAnsiTheme="minorEastAsia" w:eastAsiaTheme="minorEastAsia"/>
                <w:color w:val="auto"/>
                <w:szCs w:val="21"/>
                <w:highlight w:val="none"/>
              </w:rPr>
              <w:t>，投标人均应使用个人</w:t>
            </w:r>
            <w:r>
              <w:rPr>
                <w:rFonts w:asciiTheme="minorEastAsia" w:hAnsiTheme="minorEastAsia" w:eastAsiaTheme="minorEastAsia"/>
                <w:color w:val="auto"/>
                <w:szCs w:val="21"/>
                <w:highlight w:val="none"/>
              </w:rPr>
              <w:t>CA</w:t>
            </w:r>
            <w:r>
              <w:rPr>
                <w:rFonts w:hint="eastAsia" w:asciiTheme="minorEastAsia" w:hAnsiTheme="minorEastAsia" w:eastAsiaTheme="minorEastAsia"/>
                <w:color w:val="auto"/>
                <w:szCs w:val="21"/>
                <w:highlight w:val="none"/>
              </w:rPr>
              <w:t>数字证书加盖投标人法定代表人的个人电子签名章或个人电子印章</w:t>
            </w:r>
            <w:r>
              <w:rPr>
                <w:rFonts w:hint="eastAsia" w:ascii="宋体" w:hAnsi="宋体"/>
                <w:color w:val="auto"/>
                <w:szCs w:val="21"/>
                <w:highlight w:val="none"/>
                <w:lang w:eastAsia="zh-CN"/>
              </w:rPr>
              <w:t>。</w:t>
            </w:r>
            <w:r>
              <w:rPr>
                <w:rFonts w:ascii="宋体" w:hAnsi="宋体"/>
                <w:bCs/>
                <w:color w:val="auto"/>
                <w:szCs w:val="21"/>
                <w:highlight w:val="none"/>
              </w:rPr>
              <w:t xml:space="preserve"> </w:t>
            </w:r>
          </w:p>
          <w:p w14:paraId="554B5159">
            <w:pPr>
              <w:pStyle w:val="299"/>
              <w:adjustRightInd w:val="0"/>
              <w:snapToGrid w:val="0"/>
              <w:spacing w:line="400" w:lineRule="exact"/>
              <w:rPr>
                <w:rFonts w:hint="eastAsia" w:ascii="宋体" w:hAnsi="宋体" w:eastAsia="宋体"/>
                <w:bCs/>
                <w:color w:val="auto"/>
                <w:szCs w:val="21"/>
                <w:highlight w:val="none"/>
                <w:lang w:eastAsia="zh-CN"/>
              </w:rPr>
            </w:pPr>
            <w:r>
              <w:rPr>
                <w:rFonts w:hint="eastAsia" w:ascii="宋体" w:hAnsi="宋体"/>
                <w:bCs/>
                <w:color w:val="auto"/>
                <w:szCs w:val="21"/>
                <w:highlight w:val="none"/>
              </w:rPr>
              <w:t>（</w:t>
            </w:r>
            <w:r>
              <w:rPr>
                <w:rFonts w:ascii="宋体" w:hAnsi="宋体"/>
                <w:bCs/>
                <w:color w:val="auto"/>
                <w:szCs w:val="21"/>
                <w:highlight w:val="none"/>
              </w:rPr>
              <w:t>3）法定代表人身份证明后应附法定代表人身份证</w:t>
            </w:r>
            <w:r>
              <w:rPr>
                <w:rFonts w:hint="eastAsia" w:ascii="宋体" w:hAnsi="宋体" w:cs="宋体"/>
                <w:color w:val="auto"/>
                <w:szCs w:val="21"/>
                <w:highlight w:val="none"/>
              </w:rPr>
              <w:t>原件原色扫描件</w:t>
            </w:r>
            <w:r>
              <w:rPr>
                <w:rFonts w:hint="eastAsia" w:ascii="宋体" w:hAnsi="宋体"/>
                <w:bCs/>
                <w:color w:val="auto"/>
                <w:szCs w:val="21"/>
                <w:highlight w:val="none"/>
              </w:rPr>
              <w:t>，且身份证原件原色扫描件应清晰</w:t>
            </w:r>
            <w:r>
              <w:rPr>
                <w:rFonts w:hint="eastAsia" w:ascii="宋体" w:hAnsi="宋体"/>
                <w:bCs/>
                <w:color w:val="auto"/>
                <w:szCs w:val="21"/>
                <w:highlight w:val="none"/>
                <w:lang w:eastAsia="zh-CN"/>
              </w:rPr>
              <w:t>、</w:t>
            </w:r>
            <w:r>
              <w:rPr>
                <w:rFonts w:hint="eastAsia" w:ascii="宋体" w:hAnsi="宋体"/>
                <w:bCs/>
                <w:color w:val="auto"/>
                <w:szCs w:val="21"/>
                <w:highlight w:val="none"/>
              </w:rPr>
              <w:t>有效</w:t>
            </w:r>
            <w:r>
              <w:rPr>
                <w:rFonts w:hint="eastAsia" w:ascii="宋体" w:hAnsi="宋体"/>
                <w:bCs/>
                <w:color w:val="auto"/>
                <w:szCs w:val="21"/>
                <w:highlight w:val="none"/>
                <w:lang w:eastAsia="zh-CN"/>
              </w:rPr>
              <w:t>。</w:t>
            </w:r>
          </w:p>
          <w:p w14:paraId="688004CE">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szCs w:val="21"/>
                <w:highlight w:val="none"/>
                <w:lang w:val="en-US" w:eastAsia="zh-CN"/>
              </w:rPr>
              <w:t>以</w:t>
            </w:r>
            <w:r>
              <w:rPr>
                <w:rFonts w:hint="eastAsia" w:ascii="宋体" w:hAnsi="宋体"/>
                <w:bCs/>
                <w:color w:val="auto"/>
                <w:szCs w:val="21"/>
                <w:highlight w:val="none"/>
              </w:rPr>
              <w:t>联合体</w:t>
            </w:r>
            <w:r>
              <w:rPr>
                <w:rFonts w:hint="eastAsia" w:ascii="宋体" w:hAnsi="宋体"/>
                <w:bCs/>
                <w:color w:val="auto"/>
                <w:szCs w:val="21"/>
                <w:highlight w:val="none"/>
                <w:lang w:val="en-US" w:eastAsia="zh-CN"/>
              </w:rPr>
              <w:t>形式</w:t>
            </w:r>
            <w:r>
              <w:rPr>
                <w:rFonts w:hint="eastAsia" w:ascii="宋体" w:hAnsi="宋体"/>
                <w:bCs/>
                <w:color w:val="auto"/>
                <w:szCs w:val="21"/>
                <w:highlight w:val="none"/>
              </w:rPr>
              <w:t>投标的，应由联合体牵头人按上述规定出具。</w:t>
            </w:r>
          </w:p>
        </w:tc>
      </w:tr>
      <w:tr w14:paraId="1E2A131A">
        <w:tblPrEx>
          <w:tblCellMar>
            <w:top w:w="0" w:type="dxa"/>
            <w:left w:w="108" w:type="dxa"/>
            <w:bottom w:w="0" w:type="dxa"/>
            <w:right w:w="108" w:type="dxa"/>
          </w:tblCellMar>
        </w:tblPrEx>
        <w:trPr>
          <w:trHeight w:val="0"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1410BFDE">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w:t>
            </w:r>
          </w:p>
          <w:p w14:paraId="0C0A942F">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初步评审标准</w:t>
            </w:r>
          </w:p>
          <w:p w14:paraId="3873E8DF">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（第一</w:t>
            </w:r>
          </w:p>
          <w:p w14:paraId="0AAF957D">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个信</w:t>
            </w:r>
          </w:p>
          <w:p w14:paraId="07F1DBD7">
            <w:pPr>
              <w:adjustRightInd w:val="0"/>
              <w:snapToGrid w:val="0"/>
              <w:spacing w:line="400" w:lineRule="exact"/>
              <w:ind w:left="-210" w:leftChars="-100" w:right="-210" w:rightChars="-100"/>
              <w:jc w:val="center"/>
              <w:rPr>
                <w:rFonts w:hAnsi="宋体" w:cs="Courier New"/>
                <w:color w:val="auto"/>
                <w:szCs w:val="21"/>
                <w:highlight w:val="none"/>
              </w:rPr>
            </w:pPr>
            <w:r>
              <w:rPr>
                <w:rFonts w:hint="eastAsia" w:ascii="宋体" w:hAnsi="宋体" w:cs="宋体"/>
                <w:color w:val="auto"/>
                <w:kern w:val="0"/>
                <w:szCs w:val="21"/>
                <w:highlight w:val="none"/>
              </w:rPr>
              <w:t>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48F36E0F">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2.1.1</w:t>
            </w:r>
          </w:p>
          <w:p w14:paraId="68B2277C">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形式评审标准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4944752A">
            <w:pPr>
              <w:widowControl/>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ascii="宋体" w:hAnsi="宋体"/>
                <w:color w:val="auto"/>
                <w:kern w:val="0"/>
                <w:szCs w:val="21"/>
                <w:highlight w:val="none"/>
              </w:rPr>
              <w:t>6</w:t>
            </w:r>
            <w:r>
              <w:rPr>
                <w:rFonts w:hint="eastAsia" w:ascii="宋体" w:hAnsi="宋体"/>
                <w:color w:val="auto"/>
                <w:kern w:val="0"/>
                <w:szCs w:val="21"/>
                <w:highlight w:val="none"/>
              </w:rPr>
              <w:t>．投标人以联合体形式投标时，联合体协议书满足招标文件的要求</w:t>
            </w:r>
          </w:p>
        </w:tc>
        <w:tc>
          <w:tcPr>
            <w:tcW w:w="5150" w:type="dxa"/>
            <w:tcBorders>
              <w:top w:val="single" w:color="auto" w:sz="4" w:space="0"/>
              <w:left w:val="single" w:color="auto" w:sz="4" w:space="0"/>
              <w:bottom w:val="single" w:color="auto" w:sz="4" w:space="0"/>
              <w:right w:val="single" w:color="auto" w:sz="4" w:space="0"/>
            </w:tcBorders>
            <w:vAlign w:val="center"/>
          </w:tcPr>
          <w:p w14:paraId="31089E1C">
            <w:pPr>
              <w:adjustRightInd w:val="0"/>
              <w:snapToGrid w:val="0"/>
              <w:spacing w:line="400" w:lineRule="exact"/>
              <w:rPr>
                <w:rFonts w:ascii="宋体" w:hAnsi="宋体"/>
                <w:bCs/>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按招标文件提供的格式和要求签订联合体协议书，且联合体协议书中</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签字、盖章符合第九章“投标文件格式”要求。</w:t>
            </w:r>
          </w:p>
        </w:tc>
      </w:tr>
      <w:tr w14:paraId="17A518EB">
        <w:tblPrEx>
          <w:tblCellMar>
            <w:top w:w="0" w:type="dxa"/>
            <w:left w:w="108" w:type="dxa"/>
            <w:bottom w:w="0" w:type="dxa"/>
            <w:right w:w="108" w:type="dxa"/>
          </w:tblCellMar>
        </w:tblPrEx>
        <w:trPr>
          <w:trHeight w:val="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5A1602FD">
            <w:pPr>
              <w:adjustRightInd w:val="0"/>
              <w:snapToGrid w:val="0"/>
              <w:spacing w:line="400" w:lineRule="exact"/>
              <w:ind w:left="-210" w:leftChars="-100" w:right="-210" w:rightChars="-100"/>
              <w:jc w:val="center"/>
              <w:rPr>
                <w:rFonts w:hAnsi="宋体" w:cs="Courier New"/>
                <w:color w:val="auto"/>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3A60E5B8">
            <w:pPr>
              <w:pStyle w:val="27"/>
              <w:adjustRightInd w:val="0"/>
              <w:snapToGrid w:val="0"/>
              <w:spacing w:line="400" w:lineRule="exact"/>
              <w:jc w:val="center"/>
              <w:rPr>
                <w:rFonts w:hAnsi="宋体" w:cs="Courier New"/>
                <w:color w:val="auto"/>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14:paraId="04A6D634">
            <w:pPr>
              <w:widowControl/>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7.投标文件应符合的其他规定</w:t>
            </w:r>
          </w:p>
        </w:tc>
        <w:tc>
          <w:tcPr>
            <w:tcW w:w="5150" w:type="dxa"/>
            <w:tcBorders>
              <w:top w:val="single" w:color="auto" w:sz="4" w:space="0"/>
              <w:left w:val="single" w:color="auto" w:sz="4" w:space="0"/>
              <w:bottom w:val="single" w:color="auto" w:sz="4" w:space="0"/>
              <w:right w:val="single" w:color="auto" w:sz="4" w:space="0"/>
            </w:tcBorders>
            <w:vAlign w:val="center"/>
          </w:tcPr>
          <w:p w14:paraId="339A60D5">
            <w:pPr>
              <w:widowControl/>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w:t>
            </w:r>
            <w:r>
              <w:rPr>
                <w:rFonts w:ascii="宋体" w:hAnsi="宋体"/>
                <w:color w:val="auto"/>
                <w:kern w:val="0"/>
                <w:szCs w:val="21"/>
                <w:highlight w:val="none"/>
              </w:rPr>
              <w:t>1）投标人如有分包计划，</w:t>
            </w:r>
            <w:r>
              <w:rPr>
                <w:rFonts w:hint="eastAsia" w:ascii="宋体" w:hAnsi="宋体"/>
                <w:color w:val="auto"/>
                <w:kern w:val="0"/>
                <w:szCs w:val="21"/>
                <w:highlight w:val="none"/>
                <w:lang w:val="en-US" w:eastAsia="zh-CN"/>
              </w:rPr>
              <w:t>应</w:t>
            </w:r>
            <w:r>
              <w:rPr>
                <w:rFonts w:ascii="宋体" w:hAnsi="宋体"/>
                <w:color w:val="auto"/>
                <w:kern w:val="0"/>
                <w:szCs w:val="21"/>
                <w:highlight w:val="none"/>
              </w:rPr>
              <w:t>按第九章“投标文件格式”的要求填写“拟分包项目情况表”</w:t>
            </w:r>
            <w:r>
              <w:rPr>
                <w:rFonts w:hint="eastAsia" w:ascii="宋体" w:hAnsi="宋体"/>
                <w:color w:val="auto"/>
                <w:kern w:val="0"/>
                <w:szCs w:val="21"/>
                <w:highlight w:val="none"/>
                <w:lang w:eastAsia="zh-CN"/>
              </w:rPr>
              <w:t>。</w:t>
            </w:r>
          </w:p>
          <w:p w14:paraId="02823171">
            <w:pPr>
              <w:adjustRightInd w:val="0"/>
              <w:snapToGrid w:val="0"/>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2）</w:t>
            </w:r>
            <w:r>
              <w:rPr>
                <w:rFonts w:hint="eastAsia" w:asciiTheme="minorEastAsia" w:hAnsiTheme="minorEastAsia" w:eastAsiaTheme="minorEastAsia"/>
                <w:color w:val="auto"/>
                <w:kern w:val="0"/>
                <w:szCs w:val="21"/>
                <w:highlight w:val="none"/>
              </w:rPr>
              <w:t>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Theme="minorEastAsia" w:hAnsiTheme="minorEastAsia" w:eastAsiaTheme="minorEastAsia"/>
                <w:color w:val="auto"/>
                <w:kern w:val="0"/>
                <w:szCs w:val="21"/>
                <w:highlight w:val="none"/>
              </w:rPr>
              <w:t>投标文件中未出现有关投标报价的内容。</w:t>
            </w:r>
          </w:p>
          <w:p w14:paraId="04C7BB34">
            <w:pPr>
              <w:adjustRightInd w:val="0"/>
              <w:snapToGrid w:val="0"/>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3</w:t>
            </w:r>
            <w:r>
              <w:rPr>
                <w:rFonts w:hint="eastAsia" w:asciiTheme="minorEastAsia" w:hAnsiTheme="minorEastAsia" w:eastAsiaTheme="minorEastAsia"/>
                <w:color w:val="auto"/>
                <w:kern w:val="0"/>
                <w:szCs w:val="21"/>
                <w:highlight w:val="none"/>
              </w:rPr>
              <w:t>）同一投标人对同一标段未提交两个以上不同的投标文件</w:t>
            </w:r>
            <w:r>
              <w:rPr>
                <w:rFonts w:hint="eastAsia"/>
                <w:color w:val="auto"/>
                <w:highlight w:val="none"/>
              </w:rPr>
              <w:t>，但招标文件要求提交</w:t>
            </w:r>
            <w:r>
              <w:rPr>
                <w:rFonts w:hint="eastAsia"/>
                <w:color w:val="auto"/>
                <w:highlight w:val="none"/>
                <w:lang w:eastAsia="zh-CN"/>
              </w:rPr>
              <w:t>备选投标方案</w:t>
            </w:r>
            <w:r>
              <w:rPr>
                <w:rFonts w:hint="eastAsia"/>
                <w:color w:val="auto"/>
                <w:highlight w:val="none"/>
              </w:rPr>
              <w:t>的除外</w:t>
            </w:r>
            <w:r>
              <w:rPr>
                <w:rFonts w:hint="eastAsia" w:asciiTheme="minorEastAsia" w:hAnsiTheme="minorEastAsia" w:eastAsiaTheme="minorEastAsia"/>
                <w:color w:val="auto"/>
                <w:kern w:val="0"/>
                <w:szCs w:val="21"/>
                <w:highlight w:val="none"/>
              </w:rPr>
              <w:t>。</w:t>
            </w:r>
          </w:p>
          <w:p w14:paraId="7EC47297">
            <w:pPr>
              <w:adjustRightInd w:val="0"/>
              <w:snapToGrid w:val="0"/>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4</w:t>
            </w:r>
            <w:r>
              <w:rPr>
                <w:rFonts w:hint="eastAsia"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投标人投标标段数量超过允许投标人投标标段数量时，相关投标均无效。</w:t>
            </w:r>
          </w:p>
          <w:p w14:paraId="6CE69F78">
            <w:pPr>
              <w:adjustRightInd w:val="0"/>
              <w:snapToGrid w:val="0"/>
              <w:spacing w:line="400" w:lineRule="exact"/>
              <w:rPr>
                <w:rFonts w:ascii="宋体" w:hAnsi="宋体"/>
                <w:bCs/>
                <w:color w:val="auto"/>
                <w:szCs w:val="21"/>
                <w:highlight w:val="none"/>
              </w:rPr>
            </w:pPr>
            <w:r>
              <w:rPr>
                <w:rFonts w:hint="eastAsia" w:asciiTheme="minorEastAsia" w:hAnsiTheme="minorEastAsia" w:eastAsiaTheme="minorEastAsia"/>
                <w:color w:val="auto"/>
                <w:kern w:val="0"/>
                <w:szCs w:val="21"/>
                <w:highlight w:val="none"/>
                <w:lang w:val="en-US" w:eastAsia="zh-CN"/>
              </w:rPr>
              <w:t xml:space="preserve"> </w:t>
            </w:r>
            <w:r>
              <w:rPr>
                <w:rFonts w:hint="eastAsia" w:asciiTheme="minorEastAsia" w:hAnsiTheme="minorEastAsia" w:eastAsiaTheme="minorEastAsia"/>
                <w:color w:val="auto"/>
                <w:kern w:val="0"/>
                <w:szCs w:val="21"/>
                <w:highlight w:val="none"/>
                <w:u w:val="none"/>
              </w:rPr>
              <w:t>……</w:t>
            </w:r>
            <w:r>
              <w:rPr>
                <w:rFonts w:asciiTheme="minorEastAsia" w:hAnsiTheme="minorEastAsia" w:eastAsiaTheme="minorEastAsia"/>
                <w:color w:val="auto"/>
                <w:kern w:val="0"/>
                <w:szCs w:val="21"/>
                <w:highlight w:val="none"/>
                <w:u w:val="none"/>
              </w:rPr>
              <w:t xml:space="preserve"> </w:t>
            </w:r>
            <w:r>
              <w:rPr>
                <w:rFonts w:asciiTheme="minorEastAsia" w:hAnsiTheme="minorEastAsia" w:eastAsiaTheme="minorEastAsia"/>
                <w:color w:val="auto"/>
                <w:kern w:val="0"/>
                <w:szCs w:val="21"/>
                <w:highlight w:val="none"/>
              </w:rPr>
              <w:t xml:space="preserve"> </w:t>
            </w:r>
          </w:p>
        </w:tc>
      </w:tr>
      <w:tr w14:paraId="3D45DFCE">
        <w:tblPrEx>
          <w:tblCellMar>
            <w:top w:w="0" w:type="dxa"/>
            <w:left w:w="108" w:type="dxa"/>
            <w:bottom w:w="0" w:type="dxa"/>
            <w:right w:w="108" w:type="dxa"/>
          </w:tblCellMar>
        </w:tblPrEx>
        <w:trPr>
          <w:trHeight w:val="2487"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40C44596">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6E1ACDB7">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2.1.2</w:t>
            </w:r>
          </w:p>
          <w:p w14:paraId="68F934E3">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1039FDBA">
            <w:pPr>
              <w:widowControl/>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1．投标人具备有效的营业执照、资质证书、安全生产许可证、开户许可证</w:t>
            </w:r>
            <w:r>
              <w:rPr>
                <w:rFonts w:hint="eastAsia" w:ascii="宋体" w:hAnsi="宋体"/>
                <w:color w:val="auto"/>
                <w:kern w:val="0"/>
                <w:szCs w:val="21"/>
                <w:highlight w:val="none"/>
                <w:lang w:eastAsia="zh-CN"/>
              </w:rPr>
              <w:t>（</w:t>
            </w:r>
            <w:r>
              <w:rPr>
                <w:rFonts w:ascii="宋体" w:hAnsi="宋体"/>
                <w:color w:val="auto"/>
                <w:kern w:val="0"/>
                <w:szCs w:val="21"/>
                <w:highlight w:val="none"/>
              </w:rPr>
              <w:t>基本账户</w:t>
            </w:r>
            <w:r>
              <w:rPr>
                <w:rFonts w:hint="eastAsia" w:ascii="宋体" w:hAnsi="宋体"/>
                <w:color w:val="auto"/>
                <w:kern w:val="0"/>
                <w:szCs w:val="21"/>
                <w:highlight w:val="none"/>
                <w:lang w:val="en-US" w:eastAsia="zh-CN"/>
              </w:rPr>
              <w:t>或基本存款账户</w:t>
            </w:r>
            <w:r>
              <w:rPr>
                <w:rFonts w:hint="eastAsia" w:ascii="宋体" w:hAnsi="宋体"/>
                <w:color w:val="auto"/>
                <w:kern w:val="0"/>
                <w:szCs w:val="21"/>
                <w:highlight w:val="none"/>
                <w:lang w:eastAsia="zh-CN"/>
              </w:rPr>
              <w:t>）</w:t>
            </w:r>
            <w:r>
              <w:rPr>
                <w:rFonts w:hint="eastAsia" w:ascii="宋体" w:hAnsi="宋体" w:cs="宋体"/>
                <w:color w:val="auto"/>
                <w:szCs w:val="21"/>
                <w:highlight w:val="none"/>
              </w:rPr>
              <w:t>或基本存款账户信息表</w:t>
            </w:r>
          </w:p>
        </w:tc>
        <w:tc>
          <w:tcPr>
            <w:tcW w:w="5150" w:type="dxa"/>
            <w:tcBorders>
              <w:top w:val="single" w:color="000000" w:sz="4" w:space="0"/>
              <w:left w:val="single" w:color="auto" w:sz="4" w:space="0"/>
              <w:bottom w:val="single" w:color="000000" w:sz="4" w:space="0"/>
              <w:right w:val="single" w:color="000000" w:sz="4" w:space="0"/>
            </w:tcBorders>
            <w:vAlign w:val="center"/>
          </w:tcPr>
          <w:p w14:paraId="7126E604">
            <w:pPr>
              <w:adjustRightInd w:val="0"/>
              <w:snapToGrid w:val="0"/>
              <w:spacing w:line="400" w:lineRule="exact"/>
              <w:rPr>
                <w:rFonts w:hint="eastAsia" w:ascii="宋体" w:hAnsi="宋体"/>
                <w:color w:val="auto"/>
                <w:kern w:val="0"/>
                <w:szCs w:val="21"/>
                <w:highlight w:val="none"/>
                <w:lang w:eastAsia="zh-CN"/>
              </w:rPr>
            </w:pPr>
            <w:r>
              <w:rPr>
                <w:rFonts w:hint="eastAsia" w:ascii="宋体" w:hAnsi="宋体"/>
                <w:color w:val="auto"/>
                <w:kern w:val="0"/>
                <w:szCs w:val="21"/>
                <w:highlight w:val="none"/>
              </w:rPr>
              <w:t>（</w:t>
            </w:r>
            <w:r>
              <w:rPr>
                <w:rFonts w:ascii="宋体" w:hAnsi="宋体"/>
                <w:color w:val="auto"/>
                <w:kern w:val="0"/>
                <w:szCs w:val="21"/>
                <w:highlight w:val="none"/>
              </w:rPr>
              <w:t>1）投标人</w:t>
            </w:r>
            <w:r>
              <w:rPr>
                <w:rFonts w:hint="eastAsia" w:ascii="宋体" w:hAnsi="宋体"/>
                <w:color w:val="auto"/>
                <w:kern w:val="0"/>
                <w:szCs w:val="21"/>
                <w:highlight w:val="none"/>
                <w:lang w:val="en-US" w:eastAsia="zh-CN"/>
              </w:rPr>
              <w:t>的</w:t>
            </w:r>
            <w:r>
              <w:rPr>
                <w:rFonts w:ascii="宋体" w:hAnsi="宋体"/>
                <w:color w:val="auto"/>
                <w:kern w:val="0"/>
                <w:szCs w:val="21"/>
                <w:highlight w:val="none"/>
              </w:rPr>
              <w:t>营业执照、资质证书、安全生产许可证、开户许可证</w:t>
            </w:r>
            <w:r>
              <w:rPr>
                <w:rFonts w:hint="eastAsia" w:ascii="宋体" w:hAnsi="宋体"/>
                <w:color w:val="auto"/>
                <w:kern w:val="0"/>
                <w:szCs w:val="21"/>
                <w:highlight w:val="none"/>
                <w:lang w:eastAsia="zh-CN"/>
              </w:rPr>
              <w:t>（</w:t>
            </w:r>
            <w:r>
              <w:rPr>
                <w:rFonts w:ascii="宋体" w:hAnsi="宋体"/>
                <w:color w:val="auto"/>
                <w:kern w:val="0"/>
                <w:szCs w:val="21"/>
                <w:highlight w:val="none"/>
              </w:rPr>
              <w:t>基本账户</w:t>
            </w:r>
            <w:r>
              <w:rPr>
                <w:rFonts w:hint="eastAsia" w:ascii="宋体" w:hAnsi="宋体"/>
                <w:color w:val="auto"/>
                <w:kern w:val="0"/>
                <w:szCs w:val="21"/>
                <w:highlight w:val="none"/>
                <w:lang w:val="en-US" w:eastAsia="zh-CN"/>
              </w:rPr>
              <w:t>或基本存款账户</w:t>
            </w:r>
            <w:r>
              <w:rPr>
                <w:rFonts w:hint="eastAsia" w:ascii="宋体" w:hAnsi="宋体"/>
                <w:color w:val="auto"/>
                <w:kern w:val="0"/>
                <w:szCs w:val="21"/>
                <w:highlight w:val="none"/>
                <w:lang w:eastAsia="zh-CN"/>
              </w:rPr>
              <w:t>）</w:t>
            </w:r>
            <w:r>
              <w:rPr>
                <w:rFonts w:hint="eastAsia" w:ascii="宋体" w:hAnsi="宋体" w:cs="宋体"/>
                <w:color w:val="auto"/>
                <w:szCs w:val="21"/>
                <w:highlight w:val="none"/>
              </w:rPr>
              <w:t>或基本存款账户信息表</w:t>
            </w:r>
            <w:r>
              <w:rPr>
                <w:rFonts w:ascii="宋体" w:hAnsi="宋体"/>
                <w:color w:val="auto"/>
                <w:kern w:val="0"/>
                <w:szCs w:val="21"/>
                <w:highlight w:val="none"/>
              </w:rPr>
              <w:t>有效</w:t>
            </w:r>
            <w:r>
              <w:rPr>
                <w:rFonts w:hint="eastAsia" w:ascii="宋体" w:hAnsi="宋体"/>
                <w:color w:val="auto"/>
                <w:kern w:val="0"/>
                <w:szCs w:val="21"/>
                <w:highlight w:val="none"/>
                <w:lang w:eastAsia="zh-CN"/>
              </w:rPr>
              <w:t>。</w:t>
            </w:r>
          </w:p>
          <w:p w14:paraId="16491EA9">
            <w:pPr>
              <w:adjustRightInd w:val="0"/>
              <w:snapToGrid w:val="0"/>
              <w:spacing w:line="400" w:lineRule="exact"/>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证明材料</w:t>
            </w:r>
            <w:r>
              <w:rPr>
                <w:rFonts w:hint="eastAsia" w:ascii="宋体" w:hAnsi="宋体"/>
                <w:color w:val="auto"/>
                <w:kern w:val="0"/>
                <w:szCs w:val="21"/>
                <w:highlight w:val="none"/>
                <w:lang w:val="en-US" w:eastAsia="zh-CN"/>
              </w:rPr>
              <w:t>符合</w:t>
            </w:r>
            <w:r>
              <w:rPr>
                <w:rFonts w:hint="eastAsia" w:ascii="宋体" w:hAnsi="宋体"/>
                <w:color w:val="auto"/>
                <w:kern w:val="0"/>
                <w:szCs w:val="21"/>
                <w:highlight w:val="none"/>
              </w:rPr>
              <w:t>第九章“</w:t>
            </w:r>
            <w:r>
              <w:rPr>
                <w:rFonts w:ascii="宋体" w:hAnsi="宋体"/>
                <w:color w:val="auto"/>
                <w:kern w:val="0"/>
                <w:szCs w:val="21"/>
                <w:highlight w:val="none"/>
              </w:rPr>
              <w:t>投标文件格式</w:t>
            </w:r>
            <w:r>
              <w:rPr>
                <w:rFonts w:hint="eastAsia" w:ascii="宋体" w:hAnsi="宋体"/>
                <w:color w:val="auto"/>
                <w:kern w:val="0"/>
                <w:szCs w:val="21"/>
                <w:highlight w:val="none"/>
              </w:rPr>
              <w:t>”资格审查资料</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（一）投标人</w:t>
            </w:r>
            <w:r>
              <w:rPr>
                <w:rFonts w:ascii="宋体" w:hAnsi="宋体"/>
                <w:color w:val="auto"/>
                <w:kern w:val="0"/>
                <w:szCs w:val="21"/>
                <w:highlight w:val="none"/>
              </w:rPr>
              <w:t>基本情况表</w:t>
            </w:r>
            <w:r>
              <w:rPr>
                <w:rFonts w:hint="eastAsia" w:ascii="宋体" w:hAnsi="宋体"/>
                <w:color w:val="auto"/>
                <w:kern w:val="0"/>
                <w:szCs w:val="21"/>
                <w:highlight w:val="none"/>
              </w:rPr>
              <w:t>”的附件要求</w:t>
            </w:r>
            <w:r>
              <w:rPr>
                <w:rFonts w:hint="eastAsia" w:ascii="宋体" w:hAnsi="宋体" w:cs="宋体"/>
                <w:color w:val="auto"/>
                <w:szCs w:val="21"/>
                <w:highlight w:val="none"/>
              </w:rPr>
              <w:t>。</w:t>
            </w:r>
          </w:p>
        </w:tc>
      </w:tr>
      <w:tr w14:paraId="37329EEB">
        <w:tblPrEx>
          <w:tblCellMar>
            <w:top w:w="0" w:type="dxa"/>
            <w:left w:w="108" w:type="dxa"/>
            <w:bottom w:w="0" w:type="dxa"/>
            <w:right w:w="108" w:type="dxa"/>
          </w:tblCellMar>
        </w:tblPrEx>
        <w:trPr>
          <w:trHeight w:val="1676"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5B152AE4">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75FD1EBA">
            <w:pPr>
              <w:adjustRightInd w:val="0"/>
              <w:snapToGrid w:val="0"/>
              <w:spacing w:line="400" w:lineRule="exact"/>
              <w:jc w:val="center"/>
              <w:rPr>
                <w:rFonts w:ascii="宋体" w:hAnsi="宋体" w:cs="宋体"/>
                <w:color w:val="auto"/>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14:paraId="17B2587A">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2．投标人的资质等级符合第二章“投标人须知”前附表第1.4.1项规定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03F03FC3">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投标人的资质等级符合第二章“投标人须知”前附表第</w:t>
            </w:r>
            <w:r>
              <w:rPr>
                <w:rFonts w:ascii="宋体" w:hAnsi="宋体"/>
                <w:color w:val="auto"/>
                <w:szCs w:val="21"/>
                <w:highlight w:val="none"/>
              </w:rPr>
              <w:t>1.4.1</w:t>
            </w:r>
            <w:r>
              <w:rPr>
                <w:rFonts w:hint="eastAsia" w:ascii="宋体" w:hAnsi="宋体"/>
                <w:color w:val="auto"/>
                <w:szCs w:val="21"/>
                <w:highlight w:val="none"/>
              </w:rPr>
              <w:t>项规定。</w:t>
            </w:r>
          </w:p>
          <w:p w14:paraId="057F5518">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2）提供的证明材料符合第</w:t>
            </w:r>
            <w:r>
              <w:rPr>
                <w:rFonts w:hint="eastAsia" w:ascii="宋体" w:hAnsi="宋体" w:cs="宋体"/>
                <w:color w:val="auto"/>
                <w:szCs w:val="21"/>
                <w:highlight w:val="none"/>
              </w:rPr>
              <w:t>九</w:t>
            </w:r>
            <w:r>
              <w:rPr>
                <w:rFonts w:ascii="宋体" w:hAnsi="宋体" w:cs="宋体"/>
                <w:color w:val="auto"/>
                <w:szCs w:val="21"/>
                <w:highlight w:val="none"/>
              </w:rPr>
              <w:t>章“投标文件格式”要求。</w:t>
            </w:r>
          </w:p>
        </w:tc>
      </w:tr>
      <w:tr w14:paraId="0CC39E09">
        <w:tblPrEx>
          <w:tblCellMar>
            <w:top w:w="0" w:type="dxa"/>
            <w:left w:w="108" w:type="dxa"/>
            <w:bottom w:w="0" w:type="dxa"/>
            <w:right w:w="108" w:type="dxa"/>
          </w:tblCellMar>
        </w:tblPrEx>
        <w:trPr>
          <w:trHeight w:val="1698"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49D6BA63">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77D7BDCC">
            <w:pPr>
              <w:adjustRightInd w:val="0"/>
              <w:snapToGrid w:val="0"/>
              <w:spacing w:line="400" w:lineRule="exact"/>
              <w:jc w:val="center"/>
              <w:rPr>
                <w:rFonts w:ascii="宋体" w:hAnsi="宋体" w:cs="宋体"/>
                <w:color w:val="auto"/>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14:paraId="0E78814C">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3.投标人的财务状况符合第二章“投标人须知”前附表第1.4.1项规定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176A9FFD">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的财务状况符合第二章“投标人须知”前附表第</w:t>
            </w:r>
            <w:r>
              <w:rPr>
                <w:rFonts w:ascii="宋体" w:hAnsi="宋体" w:cs="宋体"/>
                <w:color w:val="auto"/>
                <w:kern w:val="0"/>
                <w:szCs w:val="21"/>
                <w:highlight w:val="none"/>
              </w:rPr>
              <w:t>1.4.1项规定。</w:t>
            </w:r>
          </w:p>
          <w:p w14:paraId="31CDBB11">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7A7BBBC4">
        <w:tblPrEx>
          <w:tblCellMar>
            <w:top w:w="0" w:type="dxa"/>
            <w:left w:w="108" w:type="dxa"/>
            <w:bottom w:w="0" w:type="dxa"/>
            <w:right w:w="108" w:type="dxa"/>
          </w:tblCellMar>
        </w:tblPrEx>
        <w:trPr>
          <w:trHeight w:val="170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44C3B3BD">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61149AF7">
            <w:pPr>
              <w:adjustRightInd w:val="0"/>
              <w:snapToGrid w:val="0"/>
              <w:spacing w:line="400" w:lineRule="exact"/>
              <w:jc w:val="center"/>
              <w:rPr>
                <w:rFonts w:ascii="宋体" w:hAnsi="宋体" w:cs="宋体"/>
                <w:color w:val="auto"/>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14:paraId="267685D6">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4．投标人的类似项目业绩符合第二章</w:t>
            </w:r>
            <w:r>
              <w:rPr>
                <w:rFonts w:hint="eastAsia" w:ascii="宋体" w:hAnsi="宋体" w:cs="宋体"/>
                <w:color w:val="auto"/>
                <w:kern w:val="0"/>
                <w:szCs w:val="21"/>
                <w:highlight w:val="none"/>
              </w:rPr>
              <w:t>“投标人须知”前附表第</w:t>
            </w:r>
            <w:r>
              <w:rPr>
                <w:rFonts w:ascii="宋体" w:hAnsi="宋体" w:cs="宋体"/>
                <w:color w:val="auto"/>
                <w:kern w:val="0"/>
                <w:szCs w:val="21"/>
                <w:highlight w:val="none"/>
              </w:rPr>
              <w:t>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3A78A9FE">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的类似项目业绩符合第二章“投标人须知”前附表第</w:t>
            </w:r>
            <w:r>
              <w:rPr>
                <w:rFonts w:ascii="宋体" w:hAnsi="宋体" w:cs="宋体"/>
                <w:color w:val="auto"/>
                <w:kern w:val="0"/>
                <w:szCs w:val="21"/>
                <w:highlight w:val="none"/>
              </w:rPr>
              <w:t>1.4.1项规定。</w:t>
            </w:r>
          </w:p>
          <w:p w14:paraId="53F10CD0">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270AC0B0">
        <w:tblPrEx>
          <w:tblCellMar>
            <w:top w:w="0" w:type="dxa"/>
            <w:left w:w="108" w:type="dxa"/>
            <w:bottom w:w="0" w:type="dxa"/>
            <w:right w:w="108" w:type="dxa"/>
          </w:tblCellMar>
        </w:tblPrEx>
        <w:trPr>
          <w:trHeight w:val="0"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088F9D1">
            <w:pPr>
              <w:widowControl/>
              <w:adjustRightInd w:val="0"/>
              <w:snapToGrid w:val="0"/>
              <w:spacing w:line="400" w:lineRule="exact"/>
              <w:ind w:left="-210" w:leftChars="-100" w:right="-210" w:rightChars="-100"/>
              <w:jc w:val="center"/>
              <w:rPr>
                <w:rFonts w:ascii="宋体" w:hAnsi="宋体" w:cs="宋体"/>
                <w:color w:val="auto"/>
                <w:kern w:val="0"/>
                <w:szCs w:val="21"/>
                <w:highlight w:val="none"/>
              </w:rPr>
            </w:pPr>
            <w:r>
              <w:rPr>
                <w:rFonts w:ascii="宋体" w:hAnsi="宋体" w:cs="宋体"/>
                <w:color w:val="auto"/>
                <w:kern w:val="0"/>
                <w:szCs w:val="21"/>
                <w:highlight w:val="none"/>
              </w:rPr>
              <w:t>2.1</w:t>
            </w:r>
          </w:p>
          <w:p w14:paraId="41535BB1">
            <w:pPr>
              <w:widowControl/>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初步</w:t>
            </w:r>
          </w:p>
          <w:p w14:paraId="5E07FA71">
            <w:pPr>
              <w:widowControl/>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w:t>
            </w:r>
          </w:p>
          <w:p w14:paraId="19356399">
            <w:pPr>
              <w:widowControl/>
              <w:adjustRightInd w:val="0"/>
              <w:snapToGrid w:val="0"/>
              <w:spacing w:line="400" w:lineRule="exact"/>
              <w:ind w:left="-210" w:leftChars="-100" w:right="-210" w:rightChars="-100"/>
              <w:jc w:val="center"/>
              <w:rPr>
                <w:rFonts w:ascii="宋体" w:hAnsi="宋体" w:cs="宋体"/>
                <w:color w:val="auto"/>
                <w:kern w:val="0"/>
                <w:szCs w:val="21"/>
                <w:highlight w:val="none"/>
              </w:rPr>
            </w:pPr>
            <w:r>
              <w:rPr>
                <w:rFonts w:hint="eastAsia" w:ascii="宋体" w:hAnsi="宋体" w:cs="宋体"/>
                <w:color w:val="auto"/>
                <w:kern w:val="0"/>
                <w:szCs w:val="21"/>
                <w:highlight w:val="none"/>
              </w:rPr>
              <w:t>标准</w:t>
            </w:r>
          </w:p>
          <w:p w14:paraId="74170448">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（第一</w:t>
            </w:r>
          </w:p>
          <w:p w14:paraId="25CB5E86">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个信</w:t>
            </w:r>
          </w:p>
          <w:p w14:paraId="10BF3E26">
            <w:pPr>
              <w:adjustRightInd w:val="0"/>
              <w:snapToGrid w:val="0"/>
              <w:spacing w:line="400" w:lineRule="exact"/>
              <w:ind w:left="-210" w:leftChars="-100" w:right="-210" w:rightChars="-100"/>
              <w:jc w:val="center"/>
              <w:rPr>
                <w:rFonts w:ascii="宋体" w:hAnsi="宋体" w:cs="宋体"/>
                <w:color w:val="auto"/>
                <w:kern w:val="0"/>
                <w:szCs w:val="21"/>
                <w:highlight w:val="none"/>
              </w:rPr>
            </w:pPr>
            <w:r>
              <w:rPr>
                <w:rFonts w:hint="eastAsia" w:ascii="宋体" w:hAnsi="宋体" w:cs="宋体"/>
                <w:color w:val="auto"/>
                <w:kern w:val="0"/>
                <w:szCs w:val="21"/>
                <w:highlight w:val="none"/>
              </w:rPr>
              <w:t>封）</w:t>
            </w:r>
          </w:p>
        </w:tc>
        <w:tc>
          <w:tcPr>
            <w:tcW w:w="842" w:type="dxa"/>
            <w:vMerge w:val="restart"/>
            <w:tcBorders>
              <w:top w:val="single" w:color="auto" w:sz="4" w:space="0"/>
              <w:left w:val="single" w:color="auto" w:sz="4" w:space="0"/>
              <w:right w:val="single" w:color="auto" w:sz="4" w:space="0"/>
            </w:tcBorders>
            <w:vAlign w:val="center"/>
          </w:tcPr>
          <w:p w14:paraId="11309703">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2.1.2</w:t>
            </w:r>
          </w:p>
          <w:p w14:paraId="104DE67B">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359A7707">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5．投标人的信誉符合第二章“投标人须知”前附表第1.4.1项规定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1D70C1C0">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的信誉符合第二章“投标人须知”前附表第</w:t>
            </w:r>
            <w:r>
              <w:rPr>
                <w:rFonts w:ascii="宋体" w:hAnsi="宋体" w:cs="宋体"/>
                <w:color w:val="auto"/>
                <w:kern w:val="0"/>
                <w:szCs w:val="21"/>
                <w:highlight w:val="none"/>
              </w:rPr>
              <w:t>1.4.1项规定。</w:t>
            </w:r>
          </w:p>
          <w:p w14:paraId="47E7EC9B">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7A450175">
        <w:tblPrEx>
          <w:tblCellMar>
            <w:top w:w="0" w:type="dxa"/>
            <w:left w:w="108" w:type="dxa"/>
            <w:bottom w:w="0" w:type="dxa"/>
            <w:right w:w="108" w:type="dxa"/>
          </w:tblCellMar>
        </w:tblPrEx>
        <w:trPr>
          <w:trHeight w:val="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10073518">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42" w:type="dxa"/>
            <w:vMerge w:val="continue"/>
            <w:tcBorders>
              <w:left w:val="single" w:color="auto" w:sz="4" w:space="0"/>
              <w:right w:val="single" w:color="auto" w:sz="4" w:space="0"/>
            </w:tcBorders>
            <w:vAlign w:val="center"/>
          </w:tcPr>
          <w:p w14:paraId="5CB5B06B">
            <w:pPr>
              <w:widowControl/>
              <w:adjustRightInd w:val="0"/>
              <w:snapToGrid w:val="0"/>
              <w:spacing w:line="400" w:lineRule="exact"/>
              <w:jc w:val="center"/>
              <w:rPr>
                <w:rFonts w:ascii="宋体" w:hAnsi="宋体" w:cs="宋体"/>
                <w:color w:val="auto"/>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14:paraId="49672B5F">
            <w:pPr>
              <w:widowControl/>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6</w:t>
            </w:r>
            <w:r>
              <w:rPr>
                <w:rFonts w:hint="eastAsia" w:ascii="宋体" w:hAnsi="宋体"/>
                <w:color w:val="auto"/>
                <w:szCs w:val="21"/>
                <w:highlight w:val="none"/>
              </w:rPr>
              <w:t>．</w:t>
            </w:r>
            <w:r>
              <w:rPr>
                <w:rFonts w:hint="eastAsia" w:ascii="宋体" w:hAnsi="宋体" w:cs="宋体"/>
                <w:color w:val="auto"/>
                <w:kern w:val="0"/>
                <w:szCs w:val="21"/>
                <w:highlight w:val="none"/>
              </w:rPr>
              <w:t>投标人的主要人员符合第二章“投标人须知”前附表第</w:t>
            </w:r>
            <w:r>
              <w:rPr>
                <w:rFonts w:ascii="宋体" w:hAnsi="宋体" w:cs="宋体"/>
                <w:color w:val="auto"/>
                <w:kern w:val="0"/>
                <w:szCs w:val="21"/>
                <w:highlight w:val="none"/>
              </w:rPr>
              <w:t>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49F6FD72">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的主要人员符合第二章“投标人须知”前附表第</w:t>
            </w:r>
            <w:r>
              <w:rPr>
                <w:rFonts w:ascii="宋体" w:hAnsi="宋体" w:cs="宋体"/>
                <w:color w:val="auto"/>
                <w:kern w:val="0"/>
                <w:szCs w:val="21"/>
                <w:highlight w:val="none"/>
              </w:rPr>
              <w:t>1.4.1项规定。</w:t>
            </w:r>
          </w:p>
          <w:p w14:paraId="71D05D08">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1EEA72E1">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4211E9F3">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42" w:type="dxa"/>
            <w:vMerge w:val="continue"/>
            <w:tcBorders>
              <w:left w:val="single" w:color="auto" w:sz="4" w:space="0"/>
              <w:right w:val="single" w:color="auto" w:sz="4" w:space="0"/>
            </w:tcBorders>
            <w:vAlign w:val="center"/>
          </w:tcPr>
          <w:p w14:paraId="199E46B7">
            <w:pPr>
              <w:widowControl/>
              <w:adjustRightInd w:val="0"/>
              <w:snapToGrid w:val="0"/>
              <w:spacing w:line="400" w:lineRule="exact"/>
              <w:jc w:val="center"/>
              <w:rPr>
                <w:rFonts w:ascii="宋体" w:hAnsi="宋体" w:cs="宋体"/>
                <w:color w:val="auto"/>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14:paraId="0817B04F">
            <w:pPr>
              <w:widowControl/>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 xml:space="preserve"> </w:t>
            </w:r>
            <w:r>
              <w:rPr>
                <w:rFonts w:ascii="宋体" w:hAnsi="宋体"/>
                <w:color w:val="auto"/>
                <w:szCs w:val="21"/>
                <w:highlight w:val="none"/>
              </w:rPr>
              <w:t>7．</w:t>
            </w:r>
            <w:r>
              <w:rPr>
                <w:rFonts w:hint="eastAsia" w:ascii="宋体" w:hAnsi="宋体" w:cs="宋体"/>
                <w:color w:val="auto"/>
                <w:szCs w:val="21"/>
                <w:highlight w:val="none"/>
              </w:rPr>
              <w:t>投标人的其他要求</w:t>
            </w:r>
            <w:r>
              <w:rPr>
                <w:rStyle w:val="59"/>
                <w:rFonts w:cs="宋体" w:asciiTheme="minorEastAsia" w:hAnsiTheme="minorEastAsia" w:eastAsiaTheme="minorEastAsia"/>
                <w:color w:val="auto"/>
                <w:kern w:val="0"/>
                <w:szCs w:val="21"/>
                <w:highlight w:val="none"/>
              </w:rPr>
              <w:footnoteReference w:id="113"/>
            </w:r>
            <w:r>
              <w:rPr>
                <w:rFonts w:hint="eastAsia" w:ascii="宋体" w:hAnsi="宋体" w:cs="宋体"/>
                <w:color w:val="auto"/>
                <w:szCs w:val="21"/>
                <w:highlight w:val="none"/>
              </w:rPr>
              <w:t>符合第二章“投标人须知”前附表第</w:t>
            </w:r>
            <w:r>
              <w:rPr>
                <w:rFonts w:ascii="宋体" w:hAnsi="宋体" w:cs="宋体"/>
                <w:color w:val="auto"/>
                <w:szCs w:val="21"/>
                <w:highlight w:val="none"/>
              </w:rPr>
              <w:t>1.4.1项规定</w:t>
            </w:r>
          </w:p>
        </w:tc>
        <w:tc>
          <w:tcPr>
            <w:tcW w:w="5150" w:type="dxa"/>
            <w:tcBorders>
              <w:top w:val="single" w:color="auto" w:sz="4" w:space="0"/>
              <w:left w:val="single" w:color="auto" w:sz="4" w:space="0"/>
              <w:bottom w:val="single" w:color="auto" w:sz="4" w:space="0"/>
              <w:right w:val="single" w:color="auto" w:sz="4" w:space="0"/>
            </w:tcBorders>
            <w:vAlign w:val="center"/>
          </w:tcPr>
          <w:p w14:paraId="262D8D11">
            <w:pPr>
              <w:widowControl/>
              <w:adjustRightInd w:val="0"/>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1）投标人</w:t>
            </w:r>
            <w:r>
              <w:rPr>
                <w:rFonts w:hint="eastAsia" w:cs="宋体" w:asciiTheme="minorEastAsia" w:hAnsiTheme="minorEastAsia" w:eastAsiaTheme="minorEastAsia"/>
                <w:color w:val="auto"/>
                <w:kern w:val="0"/>
                <w:szCs w:val="21"/>
                <w:highlight w:val="none"/>
              </w:rPr>
              <w:t>的其他要求符合第二章“投标人须知”前附表第</w:t>
            </w:r>
            <w:r>
              <w:rPr>
                <w:rFonts w:cs="宋体" w:asciiTheme="minorEastAsia" w:hAnsiTheme="minorEastAsia" w:eastAsiaTheme="minorEastAsia"/>
                <w:color w:val="auto"/>
                <w:kern w:val="0"/>
                <w:szCs w:val="21"/>
                <w:highlight w:val="none"/>
              </w:rPr>
              <w:t>1.4.1项规定</w:t>
            </w:r>
            <w:r>
              <w:rPr>
                <w:rFonts w:hint="eastAsia" w:cs="宋体" w:asciiTheme="minorEastAsia" w:hAnsiTheme="minorEastAsia" w:eastAsiaTheme="minorEastAsia"/>
                <w:color w:val="auto"/>
                <w:kern w:val="0"/>
                <w:szCs w:val="21"/>
                <w:highlight w:val="none"/>
              </w:rPr>
              <w:t>。</w:t>
            </w:r>
          </w:p>
          <w:p w14:paraId="109962D2">
            <w:pPr>
              <w:widowControl/>
              <w:adjustRightInd w:val="0"/>
              <w:snapToGrid w:val="0"/>
              <w:spacing w:line="400" w:lineRule="exact"/>
              <w:rPr>
                <w:rFonts w:cs="宋体" w:asciiTheme="minorEastAsia" w:hAnsiTheme="minorEastAsia" w:eastAsiaTheme="minorEastAsia"/>
                <w:b/>
                <w:color w:val="auto"/>
                <w:kern w:val="2"/>
                <w:sz w:val="21"/>
                <w:szCs w:val="21"/>
                <w:highlight w:val="none"/>
                <w:lang w:val="en-US" w:eastAsia="zh-CN" w:bidi="ar-SA"/>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提供的证明材料符合第九章“投标文件格式”要求。</w:t>
            </w:r>
          </w:p>
        </w:tc>
      </w:tr>
      <w:tr w14:paraId="1EDA3F9A">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4BB82B46">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42" w:type="dxa"/>
            <w:vMerge w:val="continue"/>
            <w:tcBorders>
              <w:left w:val="single" w:color="auto" w:sz="4" w:space="0"/>
              <w:bottom w:val="single" w:color="auto" w:sz="4" w:space="0"/>
              <w:right w:val="single" w:color="auto" w:sz="4" w:space="0"/>
            </w:tcBorders>
            <w:vAlign w:val="center"/>
          </w:tcPr>
          <w:p w14:paraId="434CE912">
            <w:pPr>
              <w:widowControl/>
              <w:adjustRightInd w:val="0"/>
              <w:snapToGrid w:val="0"/>
              <w:spacing w:line="400" w:lineRule="exact"/>
              <w:jc w:val="center"/>
              <w:rPr>
                <w:rFonts w:ascii="宋体" w:hAnsi="宋体" w:cs="宋体"/>
                <w:color w:val="auto"/>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14:paraId="7EBFA33F">
            <w:pPr>
              <w:widowControl/>
              <w:adjustRightInd w:val="0"/>
              <w:snapToGrid w:val="0"/>
              <w:spacing w:line="400" w:lineRule="exact"/>
              <w:rPr>
                <w:rFonts w:hint="eastAsia" w:ascii="宋体" w:hAnsi="宋体"/>
                <w:b/>
                <w:color w:val="auto"/>
                <w:szCs w:val="21"/>
                <w:highlight w:val="none"/>
              </w:rPr>
            </w:pPr>
            <w:r>
              <w:rPr>
                <w:rFonts w:asciiTheme="minorEastAsia" w:hAnsiTheme="minorEastAsia" w:eastAsiaTheme="minorEastAsia"/>
                <w:color w:val="auto"/>
                <w:szCs w:val="21"/>
                <w:highlight w:val="none"/>
              </w:rPr>
              <w:t>8．</w:t>
            </w:r>
            <w:r>
              <w:rPr>
                <w:rFonts w:cs="宋体"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szCs w:val="21"/>
                <w:highlight w:val="none"/>
              </w:rPr>
              <w:t>还应符合</w:t>
            </w:r>
            <w:r>
              <w:rPr>
                <w:rFonts w:hint="eastAsia" w:cs="宋体" w:asciiTheme="minorEastAsia" w:hAnsiTheme="minorEastAsia" w:eastAsiaTheme="minorEastAsia"/>
                <w:color w:val="auto"/>
                <w:szCs w:val="21"/>
                <w:highlight w:val="none"/>
                <w:lang w:val="en-US" w:eastAsia="zh-CN"/>
              </w:rPr>
              <w:t>的其他</w:t>
            </w:r>
            <w:r>
              <w:rPr>
                <w:rFonts w:hint="eastAsia" w:cs="宋体" w:asciiTheme="minorEastAsia" w:hAnsiTheme="minorEastAsia" w:eastAsiaTheme="minorEastAsia"/>
                <w:color w:val="auto"/>
                <w:szCs w:val="21"/>
                <w:highlight w:val="none"/>
              </w:rPr>
              <w:t>规定</w:t>
            </w:r>
          </w:p>
        </w:tc>
        <w:tc>
          <w:tcPr>
            <w:tcW w:w="5150" w:type="dxa"/>
            <w:tcBorders>
              <w:top w:val="single" w:color="auto" w:sz="4" w:space="0"/>
              <w:left w:val="single" w:color="auto" w:sz="4" w:space="0"/>
              <w:bottom w:val="single" w:color="auto" w:sz="4" w:space="0"/>
              <w:right w:val="single" w:color="auto" w:sz="4" w:space="0"/>
            </w:tcBorders>
            <w:vAlign w:val="center"/>
          </w:tcPr>
          <w:p w14:paraId="305E2B10">
            <w:pPr>
              <w:widowControl/>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投标人不存在第二章“投标人须知”第</w:t>
            </w:r>
            <w:r>
              <w:rPr>
                <w:rFonts w:asciiTheme="minorEastAsia" w:hAnsiTheme="minorEastAsia" w:eastAsiaTheme="minorEastAsia"/>
                <w:color w:val="auto"/>
                <w:szCs w:val="21"/>
                <w:highlight w:val="none"/>
              </w:rPr>
              <w:t>1.4.3</w:t>
            </w:r>
            <w:r>
              <w:rPr>
                <w:rFonts w:hint="eastAsia" w:asciiTheme="minorEastAsia" w:hAnsiTheme="minorEastAsia" w:eastAsiaTheme="minorEastAsia"/>
                <w:color w:val="auto"/>
                <w:szCs w:val="21"/>
                <w:highlight w:val="none"/>
              </w:rPr>
              <w:t>项或第</w:t>
            </w:r>
            <w:r>
              <w:rPr>
                <w:rFonts w:asciiTheme="minorEastAsia" w:hAnsiTheme="minorEastAsia" w:eastAsiaTheme="minorEastAsia"/>
                <w:color w:val="auto"/>
                <w:szCs w:val="21"/>
                <w:highlight w:val="none"/>
              </w:rPr>
              <w:t>1.4.4</w:t>
            </w:r>
            <w:r>
              <w:rPr>
                <w:rFonts w:hint="eastAsia" w:asciiTheme="minorEastAsia" w:hAnsiTheme="minorEastAsia" w:eastAsiaTheme="minorEastAsia"/>
                <w:color w:val="auto"/>
                <w:szCs w:val="21"/>
                <w:highlight w:val="none"/>
              </w:rPr>
              <w:t>项规定的任何一种情形</w:t>
            </w:r>
            <w:r>
              <w:rPr>
                <w:rFonts w:hint="eastAsia" w:cs="宋体" w:asciiTheme="minorEastAsia" w:hAnsiTheme="minorEastAsia" w:eastAsiaTheme="minorEastAsia"/>
                <w:color w:val="auto"/>
                <w:szCs w:val="21"/>
                <w:highlight w:val="none"/>
              </w:rPr>
              <w:t>（按本项资格评审标准第</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目</w:t>
            </w:r>
            <w:r>
              <w:rPr>
                <w:rFonts w:cs="宋体" w:asciiTheme="minorEastAsia" w:hAnsiTheme="minorEastAsia" w:eastAsiaTheme="minorEastAsia"/>
                <w:color w:val="auto"/>
                <w:szCs w:val="21"/>
                <w:highlight w:val="none"/>
              </w:rPr>
              <w:t>信誉要求已评审的，此处不再评审）</w:t>
            </w:r>
            <w:r>
              <w:rPr>
                <w:rFonts w:hint="eastAsia" w:asciiTheme="minorEastAsia" w:hAnsiTheme="minorEastAsia" w:eastAsiaTheme="minorEastAsia"/>
                <w:color w:val="auto"/>
                <w:szCs w:val="21"/>
                <w:highlight w:val="none"/>
              </w:rPr>
              <w:t>。</w:t>
            </w:r>
          </w:p>
          <w:p w14:paraId="55F3B87B">
            <w:pPr>
              <w:widowControl/>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以联合体形式投标的，联合体各方均未再以自己名义单独或参加其他联合体在同一标段中投标；独立投标的，投标人未同时参加联合体在同一标段中投标。</w:t>
            </w:r>
          </w:p>
          <w:p w14:paraId="26443493">
            <w:pPr>
              <w:widowControl/>
              <w:adjustRightInd w:val="0"/>
              <w:snapToGrid w:val="0"/>
              <w:spacing w:line="400" w:lineRule="exact"/>
              <w:rPr>
                <w:rFonts w:hint="eastAsia" w:cs="宋体" w:asciiTheme="minorEastAsia" w:hAnsiTheme="minorEastAsia" w:eastAsiaTheme="minorEastAsia"/>
                <w:color w:val="auto"/>
                <w:kern w:val="0"/>
                <w:sz w:val="21"/>
                <w:szCs w:val="21"/>
                <w:highlight w:val="none"/>
                <w:lang w:val="en-US" w:eastAsia="zh-CN" w:bidi="ar-SA"/>
              </w:rPr>
            </w:pPr>
            <w:r>
              <w:rPr>
                <w:rFonts w:hint="eastAsia" w:ascii="宋体" w:hAnsi="宋体"/>
                <w:color w:val="auto"/>
                <w:kern w:val="0"/>
                <w:szCs w:val="21"/>
                <w:highlight w:val="none"/>
                <w:u w:val="none"/>
              </w:rPr>
              <w:t>……</w:t>
            </w:r>
            <w:r>
              <w:rPr>
                <w:rFonts w:ascii="宋体" w:hAnsi="宋体"/>
                <w:color w:val="auto"/>
                <w:kern w:val="0"/>
                <w:szCs w:val="21"/>
                <w:highlight w:val="none"/>
                <w:u w:val="none"/>
              </w:rPr>
              <w:t xml:space="preserve">  </w:t>
            </w:r>
          </w:p>
        </w:tc>
      </w:tr>
      <w:tr w14:paraId="6A49B88C">
        <w:tblPrEx>
          <w:tblCellMar>
            <w:top w:w="0" w:type="dxa"/>
            <w:left w:w="108" w:type="dxa"/>
            <w:bottom w:w="0" w:type="dxa"/>
            <w:right w:w="108" w:type="dxa"/>
          </w:tblCellMar>
        </w:tblPrEx>
        <w:trPr>
          <w:trHeight w:val="63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2D01DE3">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670C5CC6">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2.1.3</w:t>
            </w:r>
          </w:p>
          <w:p w14:paraId="29D66DBA">
            <w:pPr>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响应性评审标准</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10396C78">
            <w:pPr>
              <w:pStyle w:val="299"/>
              <w:adjustRightInd w:val="0"/>
              <w:snapToGrid w:val="0"/>
              <w:spacing w:line="40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投标函上载明的招标项目工期符合招标文件规定的时间。</w:t>
            </w:r>
          </w:p>
        </w:tc>
      </w:tr>
      <w:tr w14:paraId="4752839B">
        <w:tblPrEx>
          <w:tblCellMar>
            <w:top w:w="0" w:type="dxa"/>
            <w:left w:w="108" w:type="dxa"/>
            <w:bottom w:w="0" w:type="dxa"/>
            <w:right w:w="108" w:type="dxa"/>
          </w:tblCellMar>
        </w:tblPrEx>
        <w:trPr>
          <w:trHeight w:val="661"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413D5E05">
            <w:pPr>
              <w:widowControl/>
              <w:adjustRightInd w:val="0"/>
              <w:snapToGrid w:val="0"/>
              <w:spacing w:line="400" w:lineRule="exact"/>
              <w:jc w:val="center"/>
              <w:rPr>
                <w:rFonts w:ascii="宋体" w:hAnsi="宋体" w:cs="宋体"/>
                <w:color w:val="auto"/>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20868D42">
            <w:pPr>
              <w:widowControl/>
              <w:adjustRightInd w:val="0"/>
              <w:snapToGrid w:val="0"/>
              <w:spacing w:line="400" w:lineRule="exact"/>
              <w:jc w:val="center"/>
              <w:rPr>
                <w:rFonts w:ascii="宋体" w:hAnsi="宋体" w:cs="宋体"/>
                <w:color w:val="auto"/>
                <w:kern w:val="0"/>
                <w:szCs w:val="21"/>
                <w:highlight w:val="none"/>
              </w:rPr>
            </w:pP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6E15C716">
            <w:pPr>
              <w:pStyle w:val="299"/>
              <w:adjustRightInd w:val="0"/>
              <w:snapToGrid w:val="0"/>
              <w:spacing w:line="40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投标文件对招标文件的实质性要求和条件在投标函</w:t>
            </w:r>
            <w:r>
              <w:rPr>
                <w:rFonts w:hint="eastAsia" w:ascii="宋体" w:hAnsi="宋体"/>
                <w:color w:val="auto"/>
                <w:szCs w:val="21"/>
                <w:highlight w:val="none"/>
                <w:lang w:val="en-US" w:eastAsia="zh-CN"/>
              </w:rPr>
              <w:t>作</w:t>
            </w:r>
            <w:r>
              <w:rPr>
                <w:rFonts w:hint="eastAsia" w:ascii="宋体" w:hAnsi="宋体"/>
                <w:color w:val="auto"/>
                <w:szCs w:val="21"/>
                <w:highlight w:val="none"/>
              </w:rPr>
              <w:t>出响应。</w:t>
            </w:r>
          </w:p>
        </w:tc>
      </w:tr>
      <w:tr w14:paraId="37820F95">
        <w:tblPrEx>
          <w:tblCellMar>
            <w:top w:w="0" w:type="dxa"/>
            <w:left w:w="108" w:type="dxa"/>
            <w:bottom w:w="0" w:type="dxa"/>
            <w:right w:w="108" w:type="dxa"/>
          </w:tblCellMar>
        </w:tblPrEx>
        <w:trPr>
          <w:trHeight w:val="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5A430">
            <w:pPr>
              <w:widowControl/>
              <w:adjustRightInd w:val="0"/>
              <w:snapToGrid w:val="0"/>
              <w:spacing w:line="400" w:lineRule="exact"/>
              <w:jc w:val="center"/>
              <w:rPr>
                <w:rFonts w:ascii="宋体" w:hAnsi="宋体" w:cs="宋体"/>
                <w:color w:val="auto"/>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2E8D8953">
            <w:pPr>
              <w:widowControl/>
              <w:adjustRightInd w:val="0"/>
              <w:snapToGrid w:val="0"/>
              <w:spacing w:line="400" w:lineRule="exact"/>
              <w:jc w:val="center"/>
              <w:rPr>
                <w:rFonts w:ascii="宋体" w:hAnsi="宋体" w:cs="宋体"/>
                <w:color w:val="auto"/>
                <w:kern w:val="0"/>
                <w:szCs w:val="21"/>
                <w:highlight w:val="none"/>
              </w:rPr>
            </w:pP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377A8324">
            <w:pPr>
              <w:pStyle w:val="299"/>
              <w:adjustRightInd w:val="0"/>
              <w:snapToGrid w:val="0"/>
              <w:spacing w:line="40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合同</w:t>
            </w:r>
            <w:r>
              <w:rPr>
                <w:rFonts w:hint="eastAsia" w:ascii="宋体" w:hAnsi="宋体"/>
                <w:color w:val="auto"/>
                <w:szCs w:val="21"/>
                <w:highlight w:val="none"/>
              </w:rPr>
              <w:t>权利义务按招标文件的规定在投标函</w:t>
            </w:r>
            <w:r>
              <w:rPr>
                <w:rFonts w:hint="eastAsia" w:ascii="宋体" w:hAnsi="宋体"/>
                <w:color w:val="auto"/>
                <w:szCs w:val="21"/>
                <w:highlight w:val="none"/>
                <w:lang w:val="en-US" w:eastAsia="zh-CN"/>
              </w:rPr>
              <w:t>作</w:t>
            </w:r>
            <w:r>
              <w:rPr>
                <w:rFonts w:hint="eastAsia" w:ascii="宋体" w:hAnsi="宋体"/>
                <w:color w:val="auto"/>
                <w:szCs w:val="21"/>
                <w:highlight w:val="none"/>
              </w:rPr>
              <w:t>出承诺。</w:t>
            </w:r>
          </w:p>
        </w:tc>
      </w:tr>
      <w:tr w14:paraId="08774EF2">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14:paraId="162FD400">
            <w:pPr>
              <w:widowControl/>
              <w:adjustRightInd w:val="0"/>
              <w:snapToGrid w:val="0"/>
              <w:spacing w:line="400" w:lineRule="exact"/>
              <w:ind w:left="-210" w:leftChars="-100" w:right="-210" w:rightChars="-100"/>
              <w:jc w:val="center"/>
              <w:rPr>
                <w:rFonts w:ascii="宋体" w:hAnsi="宋体"/>
                <w:color w:val="auto"/>
                <w:kern w:val="0"/>
                <w:szCs w:val="21"/>
                <w:highlight w:val="none"/>
              </w:rPr>
            </w:pPr>
            <w:r>
              <w:rPr>
                <w:rFonts w:ascii="宋体" w:hAnsi="宋体"/>
                <w:color w:val="auto"/>
                <w:kern w:val="0"/>
                <w:szCs w:val="21"/>
                <w:highlight w:val="none"/>
              </w:rPr>
              <w:t>2.1</w:t>
            </w:r>
          </w:p>
          <w:p w14:paraId="5CD5C760">
            <w:pPr>
              <w:widowControl/>
              <w:adjustRightInd w:val="0"/>
              <w:snapToGrid w:val="0"/>
              <w:spacing w:line="400" w:lineRule="exact"/>
              <w:ind w:left="-210" w:leftChars="-100" w:right="-210" w:rightChars="-100"/>
              <w:jc w:val="center"/>
              <w:rPr>
                <w:rFonts w:hint="eastAsia" w:ascii="宋体" w:hAnsi="宋体"/>
                <w:color w:val="auto"/>
                <w:kern w:val="0"/>
                <w:szCs w:val="21"/>
                <w:highlight w:val="none"/>
              </w:rPr>
            </w:pPr>
            <w:r>
              <w:rPr>
                <w:rFonts w:hint="eastAsia" w:ascii="宋体" w:hAnsi="宋体"/>
                <w:color w:val="auto"/>
                <w:kern w:val="0"/>
                <w:szCs w:val="21"/>
                <w:highlight w:val="none"/>
              </w:rPr>
              <w:t>初步</w:t>
            </w:r>
          </w:p>
          <w:p w14:paraId="6600AFE8">
            <w:pPr>
              <w:widowControl/>
              <w:adjustRightInd w:val="0"/>
              <w:snapToGrid w:val="0"/>
              <w:spacing w:line="400" w:lineRule="exact"/>
              <w:ind w:left="-210" w:leftChars="-100" w:right="-210" w:rightChars="-100"/>
              <w:jc w:val="center"/>
              <w:rPr>
                <w:rFonts w:hint="eastAsia" w:ascii="宋体" w:hAnsi="宋体"/>
                <w:color w:val="auto"/>
                <w:kern w:val="0"/>
                <w:szCs w:val="21"/>
                <w:highlight w:val="none"/>
              </w:rPr>
            </w:pPr>
            <w:r>
              <w:rPr>
                <w:rFonts w:hint="eastAsia" w:ascii="宋体" w:hAnsi="宋体"/>
                <w:color w:val="auto"/>
                <w:kern w:val="0"/>
                <w:szCs w:val="21"/>
                <w:highlight w:val="none"/>
              </w:rPr>
              <w:t>评审</w:t>
            </w:r>
          </w:p>
          <w:p w14:paraId="34E08150">
            <w:pPr>
              <w:widowControl/>
              <w:adjustRightInd w:val="0"/>
              <w:snapToGrid w:val="0"/>
              <w:spacing w:line="400" w:lineRule="exact"/>
              <w:ind w:left="-210" w:leftChars="-100" w:right="-210" w:rightChars="-100"/>
              <w:jc w:val="center"/>
              <w:rPr>
                <w:rFonts w:ascii="宋体" w:hAnsi="宋体"/>
                <w:color w:val="auto"/>
                <w:kern w:val="0"/>
                <w:szCs w:val="21"/>
                <w:highlight w:val="none"/>
              </w:rPr>
            </w:pPr>
            <w:r>
              <w:rPr>
                <w:rFonts w:hint="eastAsia" w:ascii="宋体" w:hAnsi="宋体"/>
                <w:color w:val="auto"/>
                <w:kern w:val="0"/>
                <w:szCs w:val="21"/>
                <w:highlight w:val="none"/>
              </w:rPr>
              <w:t>标准</w:t>
            </w:r>
          </w:p>
          <w:p w14:paraId="37BF40CD">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（第二</w:t>
            </w:r>
          </w:p>
          <w:p w14:paraId="1BB39994">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个信</w:t>
            </w:r>
          </w:p>
          <w:p w14:paraId="430A6628">
            <w:pPr>
              <w:adjustRightInd w:val="0"/>
              <w:snapToGrid w:val="0"/>
              <w:spacing w:line="400" w:lineRule="exact"/>
              <w:ind w:left="-210" w:leftChars="-100" w:right="-210" w:rightChars="-100"/>
              <w:jc w:val="center"/>
              <w:rPr>
                <w:rFonts w:ascii="宋体" w:hAnsi="宋体" w:cs="宋体"/>
                <w:color w:val="auto"/>
                <w:kern w:val="0"/>
                <w:szCs w:val="21"/>
                <w:highlight w:val="none"/>
              </w:rPr>
            </w:pPr>
            <w:r>
              <w:rPr>
                <w:rFonts w:hint="eastAsia" w:ascii="宋体" w:hAnsi="宋体" w:cs="宋体"/>
                <w:color w:val="auto"/>
                <w:kern w:val="0"/>
                <w:szCs w:val="21"/>
                <w:highlight w:val="none"/>
              </w:rPr>
              <w:t>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184EE2C1">
            <w:pPr>
              <w:widowControl/>
              <w:adjustRightInd w:val="0"/>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2.1.1</w:t>
            </w:r>
          </w:p>
          <w:p w14:paraId="6158C844">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形式评审标准</w:t>
            </w:r>
          </w:p>
        </w:tc>
        <w:tc>
          <w:tcPr>
            <w:tcW w:w="2260" w:type="dxa"/>
            <w:tcBorders>
              <w:top w:val="single" w:color="auto" w:sz="4" w:space="0"/>
              <w:left w:val="single" w:color="auto" w:sz="4" w:space="0"/>
              <w:bottom w:val="single" w:color="000000" w:sz="4" w:space="0"/>
              <w:right w:val="single" w:color="000000" w:sz="4" w:space="0"/>
            </w:tcBorders>
            <w:vAlign w:val="center"/>
          </w:tcPr>
          <w:p w14:paraId="01B44873">
            <w:pPr>
              <w:widowControl/>
              <w:adjustRightInd w:val="0"/>
              <w:snapToGrid w:val="0"/>
              <w:spacing w:line="400" w:lineRule="exact"/>
              <w:rPr>
                <w:rFonts w:ascii="宋体" w:hAnsi="宋体"/>
                <w:color w:val="auto"/>
                <w:kern w:val="0"/>
                <w:szCs w:val="21"/>
                <w:highlight w:val="none"/>
              </w:rPr>
            </w:pPr>
            <w:r>
              <w:rPr>
                <w:rFonts w:ascii="宋体" w:hAnsi="宋体"/>
                <w:color w:val="auto"/>
                <w:szCs w:val="21"/>
                <w:highlight w:val="none"/>
              </w:rPr>
              <w:t>1</w:t>
            </w:r>
            <w:r>
              <w:rPr>
                <w:rFonts w:hint="eastAsia" w:ascii="宋体" w:hAnsi="宋体"/>
                <w:color w:val="auto"/>
                <w:szCs w:val="21"/>
                <w:highlight w:val="none"/>
              </w:rPr>
              <w:t>．投标文件中的重要内容按照招标文件规定的格式、内容填写，字迹、印章清晰可辨</w:t>
            </w:r>
          </w:p>
        </w:tc>
        <w:tc>
          <w:tcPr>
            <w:tcW w:w="5150" w:type="dxa"/>
            <w:tcBorders>
              <w:top w:val="single" w:color="auto" w:sz="4" w:space="0"/>
              <w:left w:val="nil"/>
              <w:bottom w:val="single" w:color="000000" w:sz="4" w:space="0"/>
              <w:right w:val="single" w:color="000000" w:sz="4" w:space="0"/>
            </w:tcBorders>
            <w:vAlign w:val="center"/>
          </w:tcPr>
          <w:p w14:paraId="00A847F2">
            <w:pPr>
              <w:widowControl/>
              <w:adjustRightInd w:val="0"/>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color w:val="auto"/>
                <w:szCs w:val="21"/>
                <w:highlight w:val="none"/>
              </w:rPr>
              <w:t>投标函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第二个信封</w:t>
            </w:r>
            <w:r>
              <w:rPr>
                <w:rFonts w:hint="eastAsia" w:ascii="宋体" w:hAnsi="宋体"/>
                <w:color w:val="auto"/>
                <w:kern w:val="0"/>
                <w:szCs w:val="21"/>
                <w:highlight w:val="none"/>
                <w:lang w:eastAsia="zh-CN"/>
              </w:rPr>
              <w:t>）</w:t>
            </w:r>
            <w:r>
              <w:rPr>
                <w:rFonts w:hint="eastAsia" w:ascii="宋体" w:hAnsi="宋体" w:eastAsia="宋体" w:cs="宋体"/>
                <w:color w:val="auto"/>
                <w:szCs w:val="21"/>
                <w:highlight w:val="none"/>
              </w:rPr>
              <w:t>符合第</w:t>
            </w:r>
            <w:r>
              <w:rPr>
                <w:rFonts w:hint="eastAsia" w:ascii="宋体" w:hAnsi="宋体" w:cs="宋体"/>
                <w:color w:val="auto"/>
                <w:szCs w:val="21"/>
                <w:highlight w:val="none"/>
                <w:lang w:val="en-US" w:eastAsia="zh-CN"/>
              </w:rPr>
              <w:t>九</w:t>
            </w:r>
            <w:r>
              <w:rPr>
                <w:rFonts w:hint="eastAsia" w:ascii="宋体" w:hAnsi="宋体" w:eastAsia="宋体" w:cs="宋体"/>
                <w:color w:val="auto"/>
                <w:szCs w:val="21"/>
                <w:highlight w:val="none"/>
              </w:rPr>
              <w:t>章“投标文件格式”要求</w:t>
            </w:r>
            <w:r>
              <w:rPr>
                <w:rFonts w:hint="eastAsia" w:ascii="宋体" w:hAnsi="宋体"/>
                <w:color w:val="auto"/>
                <w:szCs w:val="21"/>
                <w:highlight w:val="none"/>
                <w:lang w:eastAsia="zh-CN"/>
              </w:rPr>
              <w:t>。</w:t>
            </w:r>
          </w:p>
          <w:p w14:paraId="22B58580">
            <w:pPr>
              <w:widowControl/>
              <w:adjustRightInd w:val="0"/>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r>
              <w:rPr>
                <w:rFonts w:ascii="宋体" w:hAnsi="宋体" w:cs="宋体"/>
                <w:color w:val="auto"/>
                <w:kern w:val="0"/>
                <w:szCs w:val="21"/>
                <w:highlight w:val="none"/>
              </w:rPr>
              <w:t>2）已标价工程量清单说明与招标文件规定一致,未进行修改和删减</w:t>
            </w:r>
            <w:r>
              <w:rPr>
                <w:rFonts w:hint="eastAsia" w:ascii="宋体" w:hAnsi="宋体" w:cs="宋体"/>
                <w:color w:val="auto"/>
                <w:kern w:val="0"/>
                <w:szCs w:val="21"/>
                <w:highlight w:val="none"/>
                <w:lang w:eastAsia="zh-CN"/>
              </w:rPr>
              <w:t>。</w:t>
            </w:r>
          </w:p>
          <w:p w14:paraId="7EB1CC62">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3）投标文件组成齐全完整，内容均按规定填写。</w:t>
            </w:r>
          </w:p>
        </w:tc>
      </w:tr>
      <w:tr w14:paraId="062750BC">
        <w:tblPrEx>
          <w:tblCellMar>
            <w:top w:w="0" w:type="dxa"/>
            <w:left w:w="108" w:type="dxa"/>
            <w:bottom w:w="0" w:type="dxa"/>
            <w:right w:w="108" w:type="dxa"/>
          </w:tblCellMar>
        </w:tblPrEx>
        <w:trPr>
          <w:trHeight w:val="0" w:hRule="atLeast"/>
        </w:trPr>
        <w:tc>
          <w:tcPr>
            <w:tcW w:w="708" w:type="dxa"/>
            <w:vMerge w:val="continue"/>
            <w:tcBorders>
              <w:top w:val="single" w:color="auto" w:sz="4" w:space="0"/>
              <w:left w:val="single" w:color="auto" w:sz="4" w:space="0"/>
              <w:bottom w:val="single" w:color="auto" w:sz="4" w:space="0"/>
              <w:right w:val="single" w:color="000000" w:sz="4" w:space="0"/>
            </w:tcBorders>
            <w:vAlign w:val="center"/>
          </w:tcPr>
          <w:p w14:paraId="194599B5">
            <w:pPr>
              <w:adjustRightInd w:val="0"/>
              <w:snapToGrid w:val="0"/>
              <w:spacing w:line="400" w:lineRule="exact"/>
              <w:ind w:left="-210" w:leftChars="-100" w:right="-210" w:rightChars="-100"/>
              <w:jc w:val="center"/>
              <w:rPr>
                <w:rFonts w:ascii="宋体" w:hAnsi="宋体" w:cs="宋体"/>
                <w:b/>
                <w:bCs/>
                <w:color w:val="auto"/>
                <w:kern w:val="0"/>
                <w:szCs w:val="21"/>
                <w:highlight w:val="none"/>
              </w:rPr>
            </w:pPr>
          </w:p>
        </w:tc>
        <w:tc>
          <w:tcPr>
            <w:tcW w:w="842" w:type="dxa"/>
            <w:vMerge w:val="continue"/>
            <w:tcBorders>
              <w:top w:val="single" w:color="auto" w:sz="4" w:space="0"/>
              <w:left w:val="single" w:color="000000" w:sz="4" w:space="0"/>
              <w:bottom w:val="single" w:color="auto" w:sz="4" w:space="0"/>
              <w:right w:val="single" w:color="auto" w:sz="4" w:space="0"/>
            </w:tcBorders>
            <w:vAlign w:val="center"/>
          </w:tcPr>
          <w:p w14:paraId="4B3202C9">
            <w:pPr>
              <w:widowControl/>
              <w:adjustRightInd w:val="0"/>
              <w:snapToGrid w:val="0"/>
              <w:spacing w:line="400" w:lineRule="exact"/>
              <w:jc w:val="left"/>
              <w:rPr>
                <w:rFonts w:ascii="宋体" w:hAnsi="宋体" w:cs="宋体"/>
                <w:b/>
                <w:bCs/>
                <w:color w:val="auto"/>
                <w:kern w:val="0"/>
                <w:szCs w:val="21"/>
                <w:highlight w:val="none"/>
              </w:rPr>
            </w:pPr>
          </w:p>
        </w:tc>
        <w:tc>
          <w:tcPr>
            <w:tcW w:w="2260" w:type="dxa"/>
            <w:tcBorders>
              <w:top w:val="single" w:color="000000" w:sz="4" w:space="0"/>
              <w:left w:val="single" w:color="auto" w:sz="4" w:space="0"/>
              <w:bottom w:val="single" w:color="000000" w:sz="4" w:space="0"/>
              <w:right w:val="single" w:color="000000" w:sz="4" w:space="0"/>
            </w:tcBorders>
            <w:vAlign w:val="center"/>
          </w:tcPr>
          <w:p w14:paraId="1C848A34">
            <w:pPr>
              <w:widowControl/>
              <w:adjustRightInd w:val="0"/>
              <w:snapToGrid w:val="0"/>
              <w:spacing w:line="400" w:lineRule="exact"/>
              <w:rPr>
                <w:rFonts w:ascii="宋体" w:hAnsi="宋体"/>
                <w:color w:val="auto"/>
                <w:kern w:val="0"/>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5150" w:type="dxa"/>
            <w:tcBorders>
              <w:top w:val="single" w:color="000000" w:sz="4" w:space="0"/>
              <w:left w:val="nil"/>
              <w:bottom w:val="single" w:color="000000" w:sz="4" w:space="0"/>
              <w:right w:val="single" w:color="000000" w:sz="4" w:space="0"/>
            </w:tcBorders>
            <w:vAlign w:val="center"/>
          </w:tcPr>
          <w:p w14:paraId="3FBEB81F">
            <w:pPr>
              <w:pStyle w:val="299"/>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第二个信封</w:t>
            </w:r>
            <w:r>
              <w:rPr>
                <w:rFonts w:hint="eastAsia" w:ascii="宋体" w:hAnsi="宋体"/>
                <w:color w:val="auto"/>
                <w:kern w:val="0"/>
                <w:szCs w:val="21"/>
                <w:highlight w:val="none"/>
                <w:lang w:eastAsia="zh-CN"/>
              </w:rPr>
              <w:t>）</w:t>
            </w:r>
            <w:r>
              <w:rPr>
                <w:rFonts w:ascii="宋体" w:hAnsi="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，投标人均应使用单位CA数字证书加盖投标人的单位电子印章；投标函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第二个信封</w:t>
            </w:r>
            <w:r>
              <w:rPr>
                <w:rFonts w:hint="eastAsia" w:ascii="宋体" w:hAnsi="宋体"/>
                <w:color w:val="auto"/>
                <w:kern w:val="0"/>
                <w:szCs w:val="21"/>
                <w:highlight w:val="none"/>
                <w:lang w:eastAsia="zh-CN"/>
              </w:rPr>
              <w:t>）</w:t>
            </w:r>
            <w:r>
              <w:rPr>
                <w:rFonts w:ascii="宋体" w:hAnsi="宋体" w:cs="宋体"/>
                <w:color w:val="auto"/>
                <w:szCs w:val="21"/>
                <w:highlight w:val="none"/>
              </w:rPr>
              <w:t>中要求签字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，投标人均应使用个人CA数字证书加盖法定代表人或其委托代理人的个人电子签名章或个人电子印章。</w:t>
            </w:r>
          </w:p>
          <w:p w14:paraId="449309BD">
            <w:pPr>
              <w:pStyle w:val="299"/>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val="en-US" w:eastAsia="zh-CN"/>
              </w:rPr>
              <w:t>以</w:t>
            </w:r>
            <w:r>
              <w:rPr>
                <w:rFonts w:hint="eastAsia" w:ascii="宋体" w:hAnsi="宋体" w:cs="宋体"/>
                <w:color w:val="auto"/>
                <w:szCs w:val="21"/>
                <w:highlight w:val="none"/>
              </w:rPr>
              <w:t>联合体</w:t>
            </w:r>
            <w:r>
              <w:rPr>
                <w:rFonts w:hint="eastAsia" w:ascii="宋体" w:hAnsi="宋体" w:cs="宋体"/>
                <w:color w:val="auto"/>
                <w:szCs w:val="21"/>
                <w:highlight w:val="none"/>
                <w:lang w:val="en-US" w:eastAsia="zh-CN"/>
              </w:rPr>
              <w:t>形式</w:t>
            </w:r>
            <w:r>
              <w:rPr>
                <w:rFonts w:hint="eastAsia" w:ascii="宋体" w:hAnsi="宋体" w:cs="宋体"/>
                <w:color w:val="auto"/>
                <w:szCs w:val="21"/>
                <w:highlight w:val="none"/>
              </w:rPr>
              <w:t>投标的，投标函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第二个信封</w:t>
            </w:r>
            <w:r>
              <w:rPr>
                <w:rFonts w:hint="eastAsia" w:ascii="宋体" w:hAnsi="宋体"/>
                <w:color w:val="auto"/>
                <w:kern w:val="0"/>
                <w:szCs w:val="21"/>
                <w:highlight w:val="none"/>
                <w:lang w:eastAsia="zh-CN"/>
              </w:rPr>
              <w:t>）</w:t>
            </w:r>
            <w:r>
              <w:rPr>
                <w:rFonts w:hint="eastAsia" w:ascii="宋体" w:hAnsi="宋体" w:cs="宋体"/>
                <w:color w:val="auto"/>
                <w:szCs w:val="21"/>
                <w:highlight w:val="none"/>
              </w:rPr>
              <w:t>由联合体牵头人按上述</w:t>
            </w:r>
            <w:r>
              <w:rPr>
                <w:rFonts w:hint="eastAsia" w:ascii="宋体" w:hAnsi="宋体" w:cs="宋体"/>
                <w:color w:val="auto"/>
                <w:szCs w:val="21"/>
                <w:highlight w:val="none"/>
                <w:lang w:val="en-US" w:eastAsia="zh-CN"/>
              </w:rPr>
              <w:t>规定</w:t>
            </w:r>
            <w:r>
              <w:rPr>
                <w:rFonts w:hint="eastAsia" w:ascii="宋体" w:hAnsi="宋体" w:cs="宋体"/>
                <w:color w:val="auto"/>
                <w:szCs w:val="21"/>
                <w:highlight w:val="none"/>
              </w:rPr>
              <w:t>完成签字、盖章</w:t>
            </w:r>
            <w:r>
              <w:rPr>
                <w:rFonts w:hint="eastAsia" w:ascii="宋体" w:hAnsi="宋体"/>
                <w:color w:val="auto"/>
                <w:szCs w:val="21"/>
                <w:highlight w:val="none"/>
              </w:rPr>
              <w:t>。</w:t>
            </w:r>
          </w:p>
        </w:tc>
      </w:tr>
      <w:tr w14:paraId="777CE186">
        <w:tblPrEx>
          <w:tblCellMar>
            <w:top w:w="0" w:type="dxa"/>
            <w:left w:w="108" w:type="dxa"/>
            <w:bottom w:w="0" w:type="dxa"/>
            <w:right w:w="108" w:type="dxa"/>
          </w:tblCellMar>
        </w:tblPrEx>
        <w:trPr>
          <w:trHeight w:val="0" w:hRule="atLeast"/>
        </w:trPr>
        <w:tc>
          <w:tcPr>
            <w:tcW w:w="708" w:type="dxa"/>
            <w:vMerge w:val="continue"/>
            <w:tcBorders>
              <w:top w:val="single" w:color="auto" w:sz="4" w:space="0"/>
              <w:left w:val="single" w:color="auto" w:sz="4" w:space="0"/>
              <w:bottom w:val="single" w:color="auto" w:sz="4" w:space="0"/>
              <w:right w:val="single" w:color="000000" w:sz="4" w:space="0"/>
            </w:tcBorders>
            <w:vAlign w:val="center"/>
          </w:tcPr>
          <w:p w14:paraId="2D162983">
            <w:pPr>
              <w:widowControl/>
              <w:adjustRightInd w:val="0"/>
              <w:snapToGrid w:val="0"/>
              <w:spacing w:line="400" w:lineRule="exact"/>
              <w:ind w:left="-210" w:leftChars="-100" w:right="-210" w:rightChars="-100"/>
              <w:jc w:val="center"/>
              <w:rPr>
                <w:rFonts w:ascii="宋体" w:hAnsi="宋体"/>
                <w:color w:val="auto"/>
                <w:kern w:val="0"/>
                <w:szCs w:val="21"/>
                <w:highlight w:val="none"/>
              </w:rPr>
            </w:pPr>
          </w:p>
        </w:tc>
        <w:tc>
          <w:tcPr>
            <w:tcW w:w="842" w:type="dxa"/>
            <w:tcBorders>
              <w:top w:val="single" w:color="auto" w:sz="4" w:space="0"/>
              <w:left w:val="single" w:color="000000" w:sz="4" w:space="0"/>
              <w:bottom w:val="single" w:color="auto" w:sz="4" w:space="0"/>
              <w:right w:val="single" w:color="auto" w:sz="4" w:space="0"/>
            </w:tcBorders>
            <w:vAlign w:val="center"/>
          </w:tcPr>
          <w:p w14:paraId="3335DE04">
            <w:pPr>
              <w:widowControl/>
              <w:adjustRightInd w:val="0"/>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2.1.3</w:t>
            </w:r>
          </w:p>
          <w:p w14:paraId="59912D54">
            <w:pPr>
              <w:widowControl/>
              <w:adjustRightInd w:val="0"/>
              <w:snapToGrid w:val="0"/>
              <w:spacing w:line="400" w:lineRule="exact"/>
              <w:jc w:val="center"/>
              <w:rPr>
                <w:rFonts w:ascii="宋体" w:hAnsi="宋体"/>
                <w:color w:val="auto"/>
                <w:kern w:val="0"/>
                <w:szCs w:val="21"/>
                <w:highlight w:val="none"/>
              </w:rPr>
            </w:pPr>
            <w:r>
              <w:rPr>
                <w:rFonts w:hint="eastAsia" w:ascii="宋体" w:hAnsi="宋体"/>
                <w:color w:val="auto"/>
                <w:szCs w:val="21"/>
                <w:highlight w:val="none"/>
              </w:rPr>
              <w:t>响应性评审标准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1FE640E5">
            <w:pPr>
              <w:widowControl/>
              <w:adjustRightInd w:val="0"/>
              <w:snapToGrid w:val="0"/>
              <w:spacing w:line="400" w:lineRule="exact"/>
              <w:rPr>
                <w:rFonts w:ascii="宋体" w:hAnsi="宋体"/>
                <w:color w:val="auto"/>
                <w:szCs w:val="21"/>
                <w:highlight w:val="none"/>
              </w:rPr>
            </w:pPr>
            <w:r>
              <w:rPr>
                <w:rFonts w:ascii="宋体" w:hAnsi="宋体" w:cs="宋体"/>
                <w:color w:val="auto"/>
                <w:szCs w:val="21"/>
                <w:highlight w:val="none"/>
              </w:rPr>
              <w:t>1.投标文件应符合的其他规定</w:t>
            </w:r>
          </w:p>
        </w:tc>
        <w:tc>
          <w:tcPr>
            <w:tcW w:w="5150" w:type="dxa"/>
            <w:tcBorders>
              <w:top w:val="single" w:color="auto" w:sz="4" w:space="0"/>
              <w:left w:val="single" w:color="auto" w:sz="4" w:space="0"/>
              <w:bottom w:val="single" w:color="auto" w:sz="4" w:space="0"/>
              <w:right w:val="single" w:color="auto" w:sz="4" w:space="0"/>
            </w:tcBorders>
            <w:vAlign w:val="center"/>
          </w:tcPr>
          <w:p w14:paraId="6347B9AA">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）投标报价未超过招标文件设定的最高投标限价（如有）。</w:t>
            </w:r>
          </w:p>
          <w:p w14:paraId="0ABE0DC6">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）投标报价的大写金额能够确定具体数值。</w:t>
            </w:r>
            <w:r>
              <w:rPr>
                <w:rStyle w:val="59"/>
                <w:rFonts w:ascii="宋体" w:hAnsi="宋体"/>
                <w:color w:val="auto"/>
                <w:szCs w:val="21"/>
                <w:highlight w:val="none"/>
              </w:rPr>
              <w:footnoteReference w:id="114"/>
            </w:r>
          </w:p>
          <w:p w14:paraId="2451D049">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szCs w:val="21"/>
                <w:highlight w:val="none"/>
              </w:rPr>
              <w:t>同一投标人未提交两个</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以上</w:t>
            </w:r>
            <w:r>
              <w:rPr>
                <w:rFonts w:ascii="宋体" w:hAnsi="宋体" w:cs="宋体"/>
                <w:color w:val="auto"/>
                <w:szCs w:val="21"/>
                <w:highlight w:val="none"/>
              </w:rPr>
              <w:t>投标报价，</w:t>
            </w:r>
            <w:r>
              <w:rPr>
                <w:rFonts w:hint="eastAsia" w:ascii="宋体" w:hAnsi="宋体" w:cs="宋体"/>
                <w:color w:val="auto"/>
                <w:szCs w:val="21"/>
                <w:highlight w:val="none"/>
              </w:rPr>
              <w:t>但招标文件要求提交备选</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方案的除外</w:t>
            </w:r>
            <w:r>
              <w:rPr>
                <w:rFonts w:hint="eastAsia" w:ascii="宋体" w:hAnsi="宋体"/>
                <w:color w:val="auto"/>
                <w:szCs w:val="21"/>
                <w:highlight w:val="none"/>
                <w:lang w:eastAsia="zh-CN"/>
              </w:rPr>
              <w:t>。</w:t>
            </w:r>
          </w:p>
          <w:p w14:paraId="05F184A2">
            <w:pPr>
              <w:widowControl/>
              <w:adjustRightInd w:val="0"/>
              <w:snapToGrid w:val="0"/>
              <w:spacing w:line="400" w:lineRule="exact"/>
              <w:rPr>
                <w:rFonts w:hint="eastAsia" w:ascii="宋体" w:hAnsi="宋体"/>
                <w:color w:val="auto"/>
                <w:kern w:val="0"/>
                <w:szCs w:val="21"/>
                <w:highlight w:val="none"/>
              </w:rPr>
            </w:pPr>
            <w:r>
              <w:rPr>
                <w:rFonts w:hint="eastAsia" w:ascii="宋体" w:hAnsi="宋体"/>
                <w:color w:val="auto"/>
                <w:szCs w:val="21"/>
                <w:highlight w:val="none"/>
              </w:rPr>
              <w:t>（</w:t>
            </w:r>
            <w:r>
              <w:rPr>
                <w:rFonts w:hint="default" w:ascii="宋体" w:hAnsi="宋体"/>
                <w:color w:val="auto"/>
                <w:szCs w:val="21"/>
                <w:highlight w:val="none"/>
                <w:lang w:val="en-US"/>
              </w:rPr>
              <w:t>4</w:t>
            </w:r>
            <w:r>
              <w:rPr>
                <w:rFonts w:hint="eastAsia" w:ascii="宋体" w:hAnsi="宋体"/>
                <w:color w:val="auto"/>
                <w:szCs w:val="21"/>
                <w:highlight w:val="none"/>
              </w:rPr>
              <w:t>）</w:t>
            </w:r>
            <w:r>
              <w:rPr>
                <w:rFonts w:hint="eastAsia" w:ascii="宋体" w:hAnsi="宋体"/>
                <w:color w:val="auto"/>
                <w:kern w:val="0"/>
                <w:szCs w:val="21"/>
                <w:highlight w:val="none"/>
              </w:rPr>
              <w:t>若采用工程量固化清单电子方式，投标人填写完毕的工程量固化清单未对工程量固化清单电子文件中的数据、格式和运算定义进行修改。</w:t>
            </w:r>
          </w:p>
          <w:p w14:paraId="1D514DE6">
            <w:pPr>
              <w:widowControl/>
              <w:adjustRightInd w:val="0"/>
              <w:snapToGrid w:val="0"/>
              <w:spacing w:line="400" w:lineRule="exact"/>
              <w:rPr>
                <w:rFonts w:hint="eastAsia" w:ascii="宋体" w:hAnsi="宋体"/>
                <w:color w:val="auto"/>
                <w:kern w:val="0"/>
                <w:szCs w:val="21"/>
                <w:highlight w:val="none"/>
              </w:rPr>
            </w:pPr>
            <w:r>
              <w:rPr>
                <w:rFonts w:hint="eastAsia" w:ascii="宋体" w:hAnsi="宋体" w:eastAsia="宋体" w:cs="宋体"/>
                <w:color w:val="auto"/>
                <w:kern w:val="0"/>
                <w:szCs w:val="21"/>
                <w:highlight w:val="none"/>
              </w:rPr>
              <w:t>……</w:t>
            </w:r>
          </w:p>
        </w:tc>
      </w:tr>
    </w:tbl>
    <w:p w14:paraId="0FB7D842">
      <w:pPr>
        <w:rPr>
          <w:rFonts w:hint="eastAsia"/>
          <w:color w:val="auto"/>
          <w:highlight w:val="none"/>
          <w:lang w:val="en-US" w:eastAsia="zh-CN"/>
        </w:rPr>
      </w:pPr>
      <w:r>
        <w:rPr>
          <w:rFonts w:hint="eastAsia"/>
          <w:color w:val="auto"/>
          <w:highlight w:val="none"/>
          <w:lang w:val="en-US" w:eastAsia="zh-CN"/>
        </w:rPr>
        <w:br w:type="page"/>
      </w:r>
    </w:p>
    <w:p w14:paraId="344C8646">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9"/>
        <w:tblW w:w="8960" w:type="dxa"/>
        <w:tblInd w:w="-34" w:type="dxa"/>
        <w:tblLayout w:type="fixed"/>
        <w:tblCellMar>
          <w:top w:w="0" w:type="dxa"/>
          <w:left w:w="108" w:type="dxa"/>
          <w:bottom w:w="0" w:type="dxa"/>
          <w:right w:w="108" w:type="dxa"/>
        </w:tblCellMar>
      </w:tblPr>
      <w:tblGrid>
        <w:gridCol w:w="993"/>
        <w:gridCol w:w="1134"/>
        <w:gridCol w:w="6833"/>
      </w:tblGrid>
      <w:tr w14:paraId="069E85CB">
        <w:tblPrEx>
          <w:tblCellMar>
            <w:top w:w="0" w:type="dxa"/>
            <w:left w:w="108" w:type="dxa"/>
            <w:bottom w:w="0" w:type="dxa"/>
            <w:right w:w="108" w:type="dxa"/>
          </w:tblCellMar>
        </w:tblPrEx>
        <w:trPr>
          <w:trHeight w:val="432" w:hRule="atLeast"/>
          <w:tblHeader/>
        </w:trPr>
        <w:tc>
          <w:tcPr>
            <w:tcW w:w="993" w:type="dxa"/>
            <w:tcBorders>
              <w:top w:val="single" w:color="auto" w:sz="4" w:space="0"/>
              <w:left w:val="single" w:color="auto" w:sz="4" w:space="0"/>
              <w:bottom w:val="single" w:color="auto" w:sz="4" w:space="0"/>
              <w:right w:val="single" w:color="auto" w:sz="4" w:space="0"/>
            </w:tcBorders>
            <w:vAlign w:val="center"/>
          </w:tcPr>
          <w:p w14:paraId="0A560609">
            <w:pPr>
              <w:pStyle w:val="299"/>
              <w:adjustRightInd w:val="0"/>
              <w:snapToGrid w:val="0"/>
              <w:spacing w:line="400" w:lineRule="exact"/>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条款号</w:t>
            </w:r>
          </w:p>
        </w:tc>
        <w:tc>
          <w:tcPr>
            <w:tcW w:w="1134" w:type="dxa"/>
            <w:tcBorders>
              <w:top w:val="single" w:color="auto" w:sz="4" w:space="0"/>
              <w:left w:val="single" w:color="auto" w:sz="4" w:space="0"/>
              <w:bottom w:val="single" w:color="auto" w:sz="4" w:space="0"/>
              <w:right w:val="single" w:color="auto" w:sz="4" w:space="0"/>
            </w:tcBorders>
            <w:vAlign w:val="center"/>
          </w:tcPr>
          <w:p w14:paraId="7226ACDD">
            <w:pPr>
              <w:widowControl/>
              <w:adjustRightInd w:val="0"/>
              <w:snapToGrid w:val="0"/>
              <w:spacing w:line="400" w:lineRule="exact"/>
              <w:jc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条款内容</w:t>
            </w:r>
          </w:p>
        </w:tc>
        <w:tc>
          <w:tcPr>
            <w:tcW w:w="6833" w:type="dxa"/>
            <w:tcBorders>
              <w:top w:val="single" w:color="auto" w:sz="4" w:space="0"/>
              <w:left w:val="single" w:color="auto" w:sz="4" w:space="0"/>
              <w:bottom w:val="single" w:color="auto" w:sz="4" w:space="0"/>
              <w:right w:val="single" w:color="auto" w:sz="4" w:space="0"/>
            </w:tcBorders>
            <w:vAlign w:val="center"/>
          </w:tcPr>
          <w:p w14:paraId="3FF4697F">
            <w:pPr>
              <w:widowControl/>
              <w:adjustRightInd w:val="0"/>
              <w:snapToGrid w:val="0"/>
              <w:spacing w:line="400" w:lineRule="exact"/>
              <w:ind w:firstLine="632" w:firstLineChars="300"/>
              <w:jc w:val="center"/>
              <w:rPr>
                <w:rFonts w:hint="eastAsia"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编列内容</w:t>
            </w:r>
          </w:p>
        </w:tc>
      </w:tr>
      <w:tr w14:paraId="1071045C">
        <w:tblPrEx>
          <w:tblCellMar>
            <w:top w:w="0" w:type="dxa"/>
            <w:left w:w="108" w:type="dxa"/>
            <w:bottom w:w="0" w:type="dxa"/>
            <w:right w:w="108" w:type="dxa"/>
          </w:tblCellMar>
        </w:tblPrEx>
        <w:trPr>
          <w:trHeight w:val="1283" w:hRule="atLeast"/>
        </w:trPr>
        <w:tc>
          <w:tcPr>
            <w:tcW w:w="993" w:type="dxa"/>
            <w:tcBorders>
              <w:top w:val="single" w:color="auto" w:sz="4" w:space="0"/>
              <w:left w:val="single" w:color="auto" w:sz="4" w:space="0"/>
              <w:bottom w:val="single" w:color="auto" w:sz="4" w:space="0"/>
              <w:right w:val="single" w:color="auto" w:sz="4" w:space="0"/>
            </w:tcBorders>
            <w:vAlign w:val="center"/>
          </w:tcPr>
          <w:p w14:paraId="56E318A2">
            <w:pPr>
              <w:pStyle w:val="299"/>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2.2.1</w:t>
            </w:r>
          </w:p>
        </w:tc>
        <w:tc>
          <w:tcPr>
            <w:tcW w:w="1134" w:type="dxa"/>
            <w:tcBorders>
              <w:top w:val="single" w:color="auto" w:sz="4" w:space="0"/>
              <w:left w:val="single" w:color="auto" w:sz="4" w:space="0"/>
              <w:bottom w:val="single" w:color="auto" w:sz="4" w:space="0"/>
              <w:right w:val="single" w:color="auto" w:sz="4" w:space="0"/>
            </w:tcBorders>
            <w:vAlign w:val="center"/>
          </w:tcPr>
          <w:p w14:paraId="1E5EF7E3">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分值构成（</w:t>
            </w: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r>
              <w:rPr>
                <w:rFonts w:hint="eastAsia" w:ascii="宋体" w:hAnsi="宋体" w:cs="宋体"/>
                <w:color w:val="auto"/>
                <w:kern w:val="0"/>
                <w:szCs w:val="21"/>
                <w:highlight w:val="none"/>
              </w:rPr>
              <w:t>）</w:t>
            </w:r>
          </w:p>
        </w:tc>
        <w:tc>
          <w:tcPr>
            <w:tcW w:w="6833" w:type="dxa"/>
            <w:tcBorders>
              <w:top w:val="single" w:color="auto" w:sz="4" w:space="0"/>
              <w:left w:val="single" w:color="auto" w:sz="4" w:space="0"/>
              <w:bottom w:val="single" w:color="auto" w:sz="4" w:space="0"/>
              <w:right w:val="single" w:color="auto" w:sz="4" w:space="0"/>
            </w:tcBorders>
            <w:vAlign w:val="center"/>
          </w:tcPr>
          <w:p w14:paraId="081A1EEF">
            <w:pPr>
              <w:widowControl/>
              <w:adjustRightInd w:val="0"/>
              <w:snapToGrid w:val="0"/>
              <w:spacing w:line="400" w:lineRule="exact"/>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评标价：</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w:t>
            </w:r>
          </w:p>
          <w:p w14:paraId="332B5F54">
            <w:pPr>
              <w:widowControl/>
              <w:adjustRightInd w:val="0"/>
              <w:snapToGrid w:val="0"/>
              <w:spacing w:line="400" w:lineRule="exact"/>
              <w:ind w:firstLine="210" w:firstLineChars="100"/>
              <w:jc w:val="left"/>
              <w:rPr>
                <w:rFonts w:ascii="宋体" w:hAnsi="宋体"/>
                <w:color w:val="auto"/>
                <w:kern w:val="0"/>
                <w:szCs w:val="21"/>
                <w:highlight w:val="none"/>
              </w:rPr>
            </w:pPr>
            <w:r>
              <w:rPr>
                <w:rFonts w:hint="eastAsia" w:ascii="宋体" w:hAnsi="宋体"/>
                <w:color w:val="auto"/>
                <w:kern w:val="0"/>
                <w:szCs w:val="21"/>
                <w:highlight w:val="none"/>
                <w:lang w:val="en-US" w:eastAsia="zh-CN"/>
              </w:rPr>
              <w:t>信用等级</w:t>
            </w:r>
            <w:r>
              <w:rPr>
                <w:rStyle w:val="59"/>
                <w:rFonts w:ascii="宋体" w:hAnsi="宋体" w:cs="宋体"/>
                <w:color w:val="auto"/>
                <w:szCs w:val="21"/>
                <w:highlight w:val="none"/>
              </w:rPr>
              <w:footnoteReference w:id="115"/>
            </w:r>
            <w:r>
              <w:rPr>
                <w:rFonts w:hint="eastAsia" w:ascii="宋体" w:hAnsi="宋体"/>
                <w:color w:val="auto"/>
                <w:kern w:val="0"/>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7FA30016">
        <w:tblPrEx>
          <w:tblCellMar>
            <w:top w:w="0" w:type="dxa"/>
            <w:left w:w="108" w:type="dxa"/>
            <w:bottom w:w="0" w:type="dxa"/>
            <w:right w:w="108" w:type="dxa"/>
          </w:tblCellMar>
        </w:tblPrEx>
        <w:trPr>
          <w:trHeight w:val="0" w:hRule="atLeast"/>
        </w:trPr>
        <w:tc>
          <w:tcPr>
            <w:tcW w:w="993" w:type="dxa"/>
            <w:tcBorders>
              <w:top w:val="single" w:color="auto" w:sz="4" w:space="0"/>
              <w:left w:val="single" w:color="auto" w:sz="4" w:space="0"/>
              <w:bottom w:val="single" w:color="auto" w:sz="4" w:space="0"/>
              <w:right w:val="single" w:color="auto" w:sz="4" w:space="0"/>
            </w:tcBorders>
            <w:vAlign w:val="center"/>
          </w:tcPr>
          <w:p w14:paraId="260445AB">
            <w:pPr>
              <w:widowControl/>
              <w:adjustRightInd w:val="0"/>
              <w:snapToGrid w:val="0"/>
              <w:spacing w:line="400" w:lineRule="exact"/>
              <w:jc w:val="center"/>
              <w:rPr>
                <w:rFonts w:ascii="宋体" w:hAnsi="宋体"/>
                <w:color w:val="auto"/>
                <w:szCs w:val="21"/>
                <w:highlight w:val="none"/>
              </w:rPr>
            </w:pPr>
            <w:r>
              <w:rPr>
                <w:rFonts w:ascii="宋体" w:hAnsi="宋体"/>
                <w:color w:val="auto"/>
                <w:szCs w:val="21"/>
                <w:highlight w:val="none"/>
              </w:rPr>
              <w:t>2.2.2</w:t>
            </w:r>
          </w:p>
          <w:p w14:paraId="5644B5E3">
            <w:pPr>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AA01E19">
            <w:pPr>
              <w:widowControl/>
              <w:adjustRightInd w:val="0"/>
              <w:snapToGrid w:val="0"/>
              <w:spacing w:line="400" w:lineRule="exact"/>
              <w:jc w:val="both"/>
              <w:rPr>
                <w:rFonts w:hint="eastAsia" w:ascii="宋体" w:hAnsi="宋体" w:eastAsia="宋体"/>
                <w:color w:val="auto"/>
                <w:szCs w:val="21"/>
                <w:highlight w:val="none"/>
                <w:lang w:val="en-US" w:eastAsia="zh-CN"/>
              </w:rPr>
            </w:pPr>
            <w:r>
              <w:rPr>
                <w:rFonts w:hint="eastAsia" w:ascii="宋体" w:hAnsi="宋体"/>
                <w:color w:val="auto"/>
                <w:szCs w:val="21"/>
                <w:highlight w:val="none"/>
              </w:rPr>
              <w:t>评标基准价计算</w:t>
            </w:r>
            <w:r>
              <w:rPr>
                <w:rFonts w:hint="eastAsia" w:ascii="宋体" w:hAnsi="宋体"/>
                <w:color w:val="auto"/>
                <w:szCs w:val="21"/>
                <w:highlight w:val="none"/>
                <w:lang w:val="en-US" w:eastAsia="zh-CN"/>
              </w:rPr>
              <w:t>方法</w:t>
            </w:r>
          </w:p>
        </w:tc>
        <w:tc>
          <w:tcPr>
            <w:tcW w:w="6833" w:type="dxa"/>
            <w:tcBorders>
              <w:top w:val="single" w:color="auto" w:sz="4" w:space="0"/>
              <w:left w:val="single" w:color="auto" w:sz="4" w:space="0"/>
              <w:bottom w:val="single" w:color="auto" w:sz="4" w:space="0"/>
              <w:right w:val="single" w:color="auto" w:sz="4" w:space="0"/>
            </w:tcBorders>
            <w:vAlign w:val="center"/>
          </w:tcPr>
          <w:p w14:paraId="7CE32AE2">
            <w:pPr>
              <w:widowControl/>
              <w:spacing w:line="400" w:lineRule="exact"/>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评标基准价的计算</w:t>
            </w:r>
            <w:r>
              <w:rPr>
                <w:rStyle w:val="59"/>
                <w:rFonts w:hint="eastAsia" w:ascii="宋体" w:hAnsi="宋体" w:cs="宋体"/>
                <w:color w:val="auto"/>
                <w:szCs w:val="21"/>
                <w:highlight w:val="none"/>
              </w:rPr>
              <w:footnoteReference w:id="116"/>
            </w:r>
            <w:r>
              <w:rPr>
                <w:rFonts w:hint="eastAsia" w:ascii="宋体" w:hAnsi="宋体" w:cs="宋体"/>
                <w:color w:val="auto"/>
                <w:szCs w:val="21"/>
                <w:highlight w:val="none"/>
              </w:rPr>
              <w:t>：</w:t>
            </w:r>
          </w:p>
          <w:p w14:paraId="4B39AB04">
            <w:pPr>
              <w:widowControl/>
              <w:spacing w:line="400" w:lineRule="exact"/>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在开标现场，招标人将当场计算并宣布评标基准价。</w:t>
            </w:r>
          </w:p>
          <w:p w14:paraId="3B746557">
            <w:pPr>
              <w:widowControl/>
              <w:spacing w:line="400" w:lineRule="exact"/>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1）评标价的确定：</w:t>
            </w:r>
          </w:p>
          <w:p w14:paraId="2D342FB7">
            <w:pPr>
              <w:widowControl/>
              <w:spacing w:line="400" w:lineRule="exact"/>
              <w:ind w:left="0" w:leftChars="0" w:firstLine="210" w:firstLineChars="100"/>
              <w:rPr>
                <w:rFonts w:ascii="宋体" w:hAnsi="宋体" w:cs="宋体"/>
                <w:color w:val="auto"/>
                <w:szCs w:val="21"/>
                <w:highlight w:val="none"/>
              </w:rPr>
            </w:pPr>
            <w:r>
              <w:rPr>
                <w:rFonts w:hint="eastAsia" w:ascii="宋体" w:hAnsi="宋体" w:cs="宋体"/>
                <w:color w:val="auto"/>
                <w:szCs w:val="21"/>
                <w:highlight w:val="none"/>
              </w:rPr>
              <w:t>评标价＝</w:t>
            </w:r>
            <w:r>
              <w:rPr>
                <w:rFonts w:hint="eastAsia" w:ascii="宋体" w:hAnsi="宋体" w:cs="宋体"/>
                <w:color w:val="auto"/>
                <w:szCs w:val="21"/>
                <w:highlight w:val="none"/>
                <w:u w:val="single"/>
              </w:rPr>
              <w:t>通过第一个信封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商务及技术文件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评审的投标人投标函</w:t>
            </w:r>
            <w:r>
              <w:rPr>
                <w:rFonts w:hint="eastAsia" w:ascii="宋体" w:hAnsi="宋体"/>
                <w:color w:val="auto"/>
                <w:kern w:val="0"/>
                <w:szCs w:val="21"/>
                <w:highlight w:val="none"/>
                <w:u w:val="single"/>
                <w:lang w:eastAsia="zh-CN"/>
              </w:rPr>
              <w:t>（</w:t>
            </w:r>
            <w:r>
              <w:rPr>
                <w:rFonts w:hint="eastAsia" w:ascii="宋体" w:hAnsi="宋体"/>
                <w:color w:val="auto"/>
                <w:kern w:val="0"/>
                <w:szCs w:val="21"/>
                <w:highlight w:val="none"/>
                <w:u w:val="single"/>
                <w:lang w:val="en-US" w:eastAsia="zh-CN"/>
              </w:rPr>
              <w:t>第二个信封</w:t>
            </w:r>
            <w:r>
              <w:rPr>
                <w:rFonts w:hint="eastAsia" w:ascii="宋体" w:hAnsi="宋体"/>
                <w:color w:val="auto"/>
                <w:kern w:val="0"/>
                <w:szCs w:val="21"/>
                <w:highlight w:val="none"/>
                <w:u w:val="single"/>
                <w:lang w:eastAsia="zh-CN"/>
              </w:rPr>
              <w:t>）</w:t>
            </w:r>
            <w:r>
              <w:rPr>
                <w:rFonts w:hint="eastAsia" w:ascii="宋体" w:hAnsi="宋体" w:cs="宋体"/>
                <w:color w:val="auto"/>
                <w:szCs w:val="21"/>
                <w:highlight w:val="none"/>
                <w:u w:val="single"/>
              </w:rPr>
              <w:t>中投标总报价大写金额</w:t>
            </w:r>
            <w:r>
              <w:rPr>
                <w:rStyle w:val="59"/>
                <w:rFonts w:hint="eastAsia" w:ascii="宋体" w:hAnsi="宋体" w:cs="宋体"/>
                <w:color w:val="auto"/>
                <w:szCs w:val="21"/>
                <w:highlight w:val="none"/>
              </w:rPr>
              <w:footnoteReference w:id="117"/>
            </w:r>
          </w:p>
          <w:p w14:paraId="16FE8257">
            <w:pPr>
              <w:widowControl/>
              <w:spacing w:line="400" w:lineRule="exact"/>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评标</w:t>
            </w:r>
            <w:r>
              <w:rPr>
                <w:rFonts w:ascii="宋体" w:hAnsi="宋体" w:cs="宋体"/>
                <w:color w:val="auto"/>
                <w:szCs w:val="21"/>
                <w:highlight w:val="none"/>
              </w:rPr>
              <w:t>价不参加评标基准价计算的情形：</w:t>
            </w:r>
          </w:p>
          <w:p w14:paraId="05291C95">
            <w:pPr>
              <w:widowControl/>
              <w:spacing w:line="400" w:lineRule="exact"/>
              <w:ind w:left="0" w:leftChars="0" w:firstLine="210" w:firstLineChars="100"/>
              <w:rPr>
                <w:rFonts w:ascii="宋体" w:hAnsi="宋体" w:cs="宋体"/>
                <w:color w:val="auto"/>
                <w:szCs w:val="21"/>
                <w:highlight w:val="none"/>
              </w:rPr>
            </w:pPr>
            <w:r>
              <w:rPr>
                <w:rFonts w:hint="eastAsia" w:ascii="宋体" w:hAnsi="宋体" w:cs="宋体"/>
                <w:color w:val="auto"/>
                <w:szCs w:val="21"/>
                <w:highlight w:val="none"/>
              </w:rPr>
              <w:t>①未在投标函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第二个信封</w:t>
            </w:r>
            <w:r>
              <w:rPr>
                <w:rFonts w:hint="eastAsia" w:ascii="宋体" w:hAnsi="宋体"/>
                <w:color w:val="auto"/>
                <w:kern w:val="0"/>
                <w:szCs w:val="21"/>
                <w:highlight w:val="none"/>
                <w:lang w:eastAsia="zh-CN"/>
              </w:rPr>
              <w:t>）</w:t>
            </w:r>
            <w:r>
              <w:rPr>
                <w:rFonts w:hint="eastAsia" w:ascii="宋体" w:hAnsi="宋体" w:cs="宋体"/>
                <w:color w:val="auto"/>
                <w:szCs w:val="21"/>
                <w:highlight w:val="none"/>
              </w:rPr>
              <w:t>上填写投标总价；</w:t>
            </w:r>
          </w:p>
          <w:p w14:paraId="4637B349">
            <w:pPr>
              <w:widowControl/>
              <w:spacing w:line="400" w:lineRule="exact"/>
              <w:ind w:left="0" w:leftChars="0" w:firstLine="210" w:firstLineChars="100"/>
              <w:rPr>
                <w:rFonts w:ascii="宋体" w:hAnsi="宋体" w:cs="宋体"/>
                <w:color w:val="auto"/>
                <w:szCs w:val="21"/>
                <w:highlight w:val="none"/>
              </w:rPr>
            </w:pPr>
            <w:r>
              <w:rPr>
                <w:rFonts w:hint="eastAsia" w:ascii="宋体" w:hAnsi="宋体" w:cs="宋体"/>
                <w:color w:val="auto"/>
                <w:szCs w:val="21"/>
                <w:highlight w:val="none"/>
              </w:rPr>
              <w:t>②投标报价超出招标人公布的最高投标限价；</w:t>
            </w:r>
          </w:p>
          <w:p w14:paraId="5AE5B9B3">
            <w:pPr>
              <w:widowControl/>
              <w:spacing w:line="400" w:lineRule="exact"/>
              <w:ind w:left="0" w:leftChars="0" w:firstLine="210" w:firstLineChars="100"/>
              <w:rPr>
                <w:rFonts w:ascii="宋体" w:hAnsi="宋体" w:cs="宋体"/>
                <w:color w:val="auto"/>
                <w:szCs w:val="21"/>
                <w:highlight w:val="none"/>
              </w:rPr>
            </w:pPr>
            <w:r>
              <w:rPr>
                <w:rFonts w:hint="eastAsia" w:ascii="宋体" w:hAnsi="宋体" w:cs="宋体"/>
                <w:color w:val="auto"/>
                <w:szCs w:val="21"/>
                <w:highlight w:val="none"/>
              </w:rPr>
              <w:t>③投标报价的大写金额无法确定具体数值；</w:t>
            </w:r>
          </w:p>
          <w:p w14:paraId="122DD46B">
            <w:pPr>
              <w:widowControl/>
              <w:spacing w:line="400" w:lineRule="exact"/>
              <w:ind w:left="0" w:leftChars="0" w:firstLine="211" w:firstLineChars="1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sym w:font="Wingdings 2" w:char="00A3"/>
            </w:r>
            <w:r>
              <w:rPr>
                <w:rFonts w:ascii="宋体" w:hAnsi="宋体" w:cs="宋体"/>
                <w:b/>
                <w:color w:val="auto"/>
                <w:szCs w:val="21"/>
                <w:highlight w:val="none"/>
              </w:rPr>
              <w:t xml:space="preserve"> </w:t>
            </w: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投标报价低于招标人公布的最高投标限价的</w:t>
            </w:r>
            <w:r>
              <w:rPr>
                <w:rFonts w:ascii="宋体" w:hAnsi="宋体" w:cs="宋体"/>
                <w:color w:val="auto"/>
                <w:szCs w:val="21"/>
                <w:highlight w:val="none"/>
                <w:u w:val="single"/>
              </w:rPr>
              <w:t xml:space="preserve">    </w:t>
            </w:r>
            <w:r>
              <w:rPr>
                <w:rFonts w:ascii="宋体" w:hAnsi="宋体" w:cs="宋体"/>
                <w:color w:val="auto"/>
                <w:szCs w:val="21"/>
                <w:highlight w:val="none"/>
              </w:rPr>
              <w:t>%</w:t>
            </w:r>
            <w:r>
              <w:rPr>
                <w:rStyle w:val="59"/>
                <w:rFonts w:ascii="宋体" w:hAnsi="宋体" w:cs="宋体"/>
                <w:color w:val="auto"/>
                <w:szCs w:val="21"/>
                <w:highlight w:val="none"/>
              </w:rPr>
              <w:footnoteReference w:id="118"/>
            </w:r>
            <w:r>
              <w:rPr>
                <w:rFonts w:hint="eastAsia" w:ascii="宋体" w:hAnsi="宋体" w:cs="宋体"/>
                <w:color w:val="auto"/>
                <w:szCs w:val="21"/>
                <w:highlight w:val="none"/>
                <w:lang w:eastAsia="zh-CN"/>
              </w:rPr>
              <w:t>；</w:t>
            </w:r>
          </w:p>
          <w:p w14:paraId="238498FB">
            <w:pPr>
              <w:widowControl/>
              <w:spacing w:line="400" w:lineRule="exact"/>
              <w:ind w:left="0" w:leftChars="0" w:firstLine="211" w:firstLineChars="1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sym w:font="Wingdings 2" w:char="00A3"/>
            </w:r>
            <w:r>
              <w:rPr>
                <w:rFonts w:ascii="宋体" w:hAnsi="宋体" w:cs="宋体"/>
                <w:b/>
                <w:color w:val="auto"/>
                <w:szCs w:val="21"/>
                <w:highlight w:val="none"/>
              </w:rPr>
              <w:t xml:space="preserve"> </w:t>
            </w: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5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其他情形：</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14:paraId="0D04A21B">
            <w:pPr>
              <w:widowControl/>
              <w:spacing w:line="400" w:lineRule="exact"/>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olor w:val="auto"/>
                <w:szCs w:val="21"/>
                <w:highlight w:val="none"/>
              </w:rPr>
              <w:t>解密成功的投标文件，若在投标截止期后撤销</w:t>
            </w:r>
            <w:r>
              <w:rPr>
                <w:rFonts w:hint="eastAsia" w:ascii="宋体" w:hAnsi="宋体"/>
                <w:color w:val="auto"/>
                <w:szCs w:val="21"/>
                <w:highlight w:val="none"/>
                <w:lang w:val="en-US" w:eastAsia="zh-CN"/>
              </w:rPr>
              <w:t>的</w:t>
            </w:r>
            <w:r>
              <w:rPr>
                <w:rFonts w:hint="eastAsia" w:ascii="宋体" w:hAnsi="宋体"/>
                <w:color w:val="auto"/>
                <w:szCs w:val="21"/>
                <w:highlight w:val="none"/>
              </w:rPr>
              <w:t>，应按程序对投标文件</w:t>
            </w:r>
            <w:r>
              <w:rPr>
                <w:rFonts w:hint="eastAsia" w:ascii="宋体" w:hAnsi="宋体" w:cs="宋体"/>
                <w:color w:val="auto"/>
                <w:szCs w:val="21"/>
                <w:highlight w:val="none"/>
              </w:rPr>
              <w:t>第一个信封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商务及技术文件</w:t>
            </w:r>
            <w:r>
              <w:rPr>
                <w:rFonts w:hint="eastAsia" w:ascii="宋体" w:hAnsi="宋体" w:cs="宋体"/>
                <w:color w:val="auto"/>
                <w:szCs w:val="21"/>
                <w:highlight w:val="none"/>
                <w:lang w:eastAsia="zh-CN"/>
              </w:rPr>
              <w:t>）</w:t>
            </w:r>
            <w:r>
              <w:rPr>
                <w:rFonts w:hint="eastAsia" w:ascii="宋体" w:hAnsi="宋体"/>
                <w:color w:val="auto"/>
                <w:szCs w:val="21"/>
                <w:highlight w:val="none"/>
              </w:rPr>
              <w:t>进行评审，若</w:t>
            </w:r>
            <w:r>
              <w:rPr>
                <w:rFonts w:hint="eastAsia" w:ascii="宋体" w:hAnsi="宋体"/>
                <w:color w:val="auto"/>
                <w:szCs w:val="21"/>
                <w:highlight w:val="none"/>
                <w:lang w:val="en-US" w:eastAsia="zh-CN"/>
              </w:rPr>
              <w:t>该投标文件</w:t>
            </w:r>
            <w:r>
              <w:rPr>
                <w:rFonts w:hint="eastAsia" w:ascii="宋体" w:hAnsi="宋体"/>
                <w:color w:val="auto"/>
                <w:szCs w:val="21"/>
                <w:highlight w:val="none"/>
              </w:rPr>
              <w:t>通过</w:t>
            </w:r>
            <w:r>
              <w:rPr>
                <w:rFonts w:hint="eastAsia" w:ascii="宋体" w:hAnsi="宋体" w:cs="宋体"/>
                <w:color w:val="auto"/>
                <w:szCs w:val="21"/>
                <w:highlight w:val="none"/>
              </w:rPr>
              <w:t>第一个信封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商务及技术文件</w:t>
            </w:r>
            <w:r>
              <w:rPr>
                <w:rFonts w:hint="eastAsia" w:ascii="宋体" w:hAnsi="宋体" w:cs="宋体"/>
                <w:color w:val="auto"/>
                <w:szCs w:val="21"/>
                <w:highlight w:val="none"/>
                <w:lang w:eastAsia="zh-CN"/>
              </w:rPr>
              <w:t>）</w:t>
            </w:r>
            <w:r>
              <w:rPr>
                <w:rFonts w:hint="eastAsia" w:ascii="宋体" w:hAnsi="宋体"/>
                <w:color w:val="auto"/>
                <w:szCs w:val="21"/>
                <w:highlight w:val="none"/>
              </w:rPr>
              <w:t>评审，则其第二个信封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报价文件</w:t>
            </w:r>
            <w:r>
              <w:rPr>
                <w:rFonts w:hint="eastAsia" w:ascii="宋体" w:hAnsi="宋体"/>
                <w:color w:val="auto"/>
                <w:szCs w:val="21"/>
                <w:highlight w:val="none"/>
                <w:lang w:eastAsia="zh-CN"/>
              </w:rPr>
              <w:t>）</w:t>
            </w:r>
            <w:r>
              <w:rPr>
                <w:rFonts w:hint="eastAsia" w:ascii="宋体" w:hAnsi="宋体"/>
                <w:color w:val="auto"/>
                <w:szCs w:val="21"/>
                <w:highlight w:val="none"/>
              </w:rPr>
              <w:t>开标时也应开启；若</w:t>
            </w:r>
            <w:r>
              <w:rPr>
                <w:rFonts w:hint="eastAsia" w:ascii="宋体" w:hAnsi="宋体"/>
                <w:color w:val="auto"/>
                <w:szCs w:val="21"/>
                <w:highlight w:val="none"/>
                <w:lang w:val="en-US" w:eastAsia="zh-CN"/>
              </w:rPr>
              <w:t>该投标文件</w:t>
            </w:r>
            <w:r>
              <w:rPr>
                <w:rFonts w:hint="eastAsia" w:ascii="宋体" w:hAnsi="宋体"/>
                <w:color w:val="auto"/>
                <w:szCs w:val="21"/>
                <w:highlight w:val="none"/>
              </w:rPr>
              <w:t>投标报价不属于本项第（</w:t>
            </w:r>
            <w:r>
              <w:rPr>
                <w:rFonts w:ascii="宋体" w:hAnsi="宋体"/>
                <w:color w:val="auto"/>
                <w:szCs w:val="21"/>
                <w:highlight w:val="none"/>
              </w:rPr>
              <w:t>2</w:t>
            </w:r>
            <w:r>
              <w:rPr>
                <w:rFonts w:hint="eastAsia" w:ascii="宋体" w:hAnsi="宋体"/>
                <w:color w:val="auto"/>
                <w:szCs w:val="21"/>
                <w:highlight w:val="none"/>
              </w:rPr>
              <w:t>）目情形</w:t>
            </w:r>
            <w:r>
              <w:rPr>
                <w:rFonts w:hint="eastAsia" w:ascii="宋体" w:hAnsi="宋体"/>
                <w:color w:val="auto"/>
                <w:szCs w:val="21"/>
                <w:highlight w:val="none"/>
                <w:lang w:val="en-US" w:eastAsia="zh-CN"/>
              </w:rPr>
              <w:t>的</w:t>
            </w:r>
            <w:r>
              <w:rPr>
                <w:rFonts w:hint="eastAsia" w:ascii="宋体" w:hAnsi="宋体"/>
                <w:color w:val="auto"/>
                <w:szCs w:val="21"/>
                <w:highlight w:val="none"/>
              </w:rPr>
              <w:t>，将参与评标基准价计算，但</w:t>
            </w:r>
            <w:r>
              <w:rPr>
                <w:rFonts w:hint="eastAsia" w:ascii="宋体" w:hAnsi="宋体"/>
                <w:color w:val="auto"/>
                <w:szCs w:val="21"/>
                <w:highlight w:val="none"/>
                <w:lang w:val="en-US" w:eastAsia="zh-CN"/>
              </w:rPr>
              <w:t>其</w:t>
            </w:r>
            <w:r>
              <w:rPr>
                <w:rFonts w:hint="eastAsia" w:ascii="宋体" w:hAnsi="宋体"/>
                <w:color w:val="auto"/>
                <w:szCs w:val="21"/>
                <w:highlight w:val="none"/>
              </w:rPr>
              <w:t>第二个信封（报价文件）不</w:t>
            </w:r>
            <w:r>
              <w:rPr>
                <w:rFonts w:hint="eastAsia" w:ascii="宋体" w:hAnsi="宋体"/>
                <w:color w:val="auto"/>
                <w:szCs w:val="21"/>
                <w:highlight w:val="none"/>
                <w:lang w:val="en-US" w:eastAsia="zh-CN"/>
              </w:rPr>
              <w:t>再进行</w:t>
            </w:r>
            <w:r>
              <w:rPr>
                <w:rFonts w:hint="eastAsia" w:ascii="宋体" w:hAnsi="宋体"/>
                <w:color w:val="auto"/>
                <w:szCs w:val="21"/>
                <w:highlight w:val="none"/>
              </w:rPr>
              <w:t>评审。</w:t>
            </w:r>
          </w:p>
          <w:p w14:paraId="32DC23B0">
            <w:pPr>
              <w:widowControl/>
              <w:adjustRightInd/>
              <w:snapToGrid/>
              <w:spacing w:line="400" w:lineRule="exact"/>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4）评标基准价的确定</w:t>
            </w:r>
            <w:r>
              <w:rPr>
                <w:rFonts w:ascii="宋体" w:hAnsi="宋体" w:cs="宋体"/>
                <w:color w:val="auto"/>
                <w:szCs w:val="21"/>
                <w:highlight w:val="none"/>
                <w:vertAlign w:val="superscript"/>
              </w:rPr>
              <w:footnoteReference w:id="119"/>
            </w:r>
            <w:r>
              <w:rPr>
                <w:rFonts w:hint="eastAsia" w:ascii="宋体" w:hAnsi="宋体" w:cs="宋体"/>
                <w:color w:val="auto"/>
                <w:szCs w:val="21"/>
                <w:highlight w:val="none"/>
              </w:rPr>
              <w:t>：</w:t>
            </w:r>
          </w:p>
          <w:p w14:paraId="00210424">
            <w:pPr>
              <w:widowControl/>
              <w:spacing w:line="400" w:lineRule="exact"/>
              <w:ind w:left="0" w:leftChars="0" w:firstLine="210" w:firstLineChars="100"/>
              <w:rPr>
                <w:rFonts w:hint="eastAsia" w:ascii="宋体" w:hAnsi="宋体" w:cs="宋体"/>
                <w:color w:val="auto"/>
                <w:szCs w:val="21"/>
                <w:highlight w:val="none"/>
              </w:rPr>
            </w:pPr>
            <w:r>
              <w:rPr>
                <w:rFonts w:hint="eastAsia" w:cs="宋体" w:asciiTheme="minorEastAsia" w:hAnsiTheme="minorEastAsia" w:eastAsiaTheme="minorEastAsia"/>
                <w:color w:val="auto"/>
                <w:szCs w:val="21"/>
                <w:highlight w:val="none"/>
              </w:rPr>
              <w:t>评标基准价计算涉及随机抽取参数</w:t>
            </w:r>
            <w:r>
              <w:rPr>
                <w:rFonts w:hint="eastAsia" w:cs="宋体" w:asciiTheme="minorEastAsia" w:hAnsiTheme="minorEastAsia" w:eastAsiaTheme="minorEastAsia"/>
                <w:color w:val="auto"/>
                <w:szCs w:val="21"/>
                <w:highlight w:val="none"/>
                <w:lang w:val="en-US" w:eastAsia="zh-CN"/>
              </w:rPr>
              <w:t>时</w:t>
            </w:r>
            <w:r>
              <w:rPr>
                <w:rFonts w:hint="eastAsia" w:cs="宋体" w:asciiTheme="minorEastAsia" w:hAnsiTheme="minorEastAsia" w:eastAsiaTheme="minorEastAsia"/>
                <w:color w:val="auto"/>
                <w:szCs w:val="21"/>
                <w:highlight w:val="none"/>
              </w:rPr>
              <w:t>，均应由招标人或监督人或随机选定的投标人代表（现场开标时）随机抽取，</w:t>
            </w:r>
            <w:r>
              <w:rPr>
                <w:rFonts w:hint="eastAsia" w:ascii="宋体" w:hAnsi="宋体" w:cs="宋体"/>
                <w:color w:val="auto"/>
                <w:szCs w:val="21"/>
                <w:highlight w:val="none"/>
              </w:rPr>
              <w:t>且抽取过程</w:t>
            </w:r>
            <w:r>
              <w:rPr>
                <w:rFonts w:hint="eastAsia" w:cs="宋体" w:asciiTheme="minorEastAsia" w:hAnsiTheme="minorEastAsia" w:eastAsiaTheme="minorEastAsia"/>
                <w:color w:val="auto"/>
                <w:szCs w:val="21"/>
                <w:highlight w:val="none"/>
              </w:rPr>
              <w:t>须</w:t>
            </w:r>
            <w:r>
              <w:rPr>
                <w:rFonts w:hint="eastAsia" w:ascii="宋体" w:hAnsi="宋体" w:cs="宋体"/>
                <w:color w:val="auto"/>
                <w:szCs w:val="21"/>
                <w:highlight w:val="none"/>
              </w:rPr>
              <w:t>经公证机构现场公证。</w:t>
            </w:r>
          </w:p>
          <w:p w14:paraId="7A5B6431">
            <w:pPr>
              <w:widowControl/>
              <w:adjustRightInd/>
              <w:snapToGrid/>
              <w:spacing w:line="400" w:lineRule="exact"/>
              <w:ind w:left="0" w:leftChars="0" w:firstLine="210" w:firstLineChars="100"/>
              <w:rPr>
                <w:rFonts w:ascii="宋体" w:hAnsi="宋体" w:cs="宋体"/>
                <w:color w:val="auto"/>
                <w:szCs w:val="21"/>
                <w:highlight w:val="none"/>
              </w:rPr>
            </w:pPr>
            <w:r>
              <w:rPr>
                <w:color w:val="auto"/>
                <w:szCs w:val="21"/>
                <w:highlight w:val="none"/>
              </w:rPr>
              <w:t>当所有投标报价低于招标人公布的最高投标限价值</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时，以</w:t>
            </w:r>
            <w:r>
              <w:rPr>
                <w:rFonts w:hint="eastAsia"/>
                <w:color w:val="auto"/>
                <w:szCs w:val="21"/>
                <w:highlight w:val="none"/>
              </w:rPr>
              <w:t>招标人</w:t>
            </w:r>
            <w:r>
              <w:rPr>
                <w:color w:val="auto"/>
                <w:szCs w:val="21"/>
                <w:highlight w:val="none"/>
              </w:rPr>
              <w:t>公布的</w:t>
            </w:r>
            <w:r>
              <w:rPr>
                <w:rFonts w:hint="eastAsia"/>
                <w:color w:val="auto"/>
                <w:szCs w:val="21"/>
                <w:highlight w:val="none"/>
              </w:rPr>
              <w:t>最高投标限价值的</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作为评标基准价。</w:t>
            </w:r>
          </w:p>
        </w:tc>
      </w:tr>
      <w:tr w14:paraId="16C43604">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03E1453">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2.2</w:t>
            </w:r>
            <w:r>
              <w:rPr>
                <w:rFonts w:hint="eastAsia" w:ascii="宋体" w:hAnsi="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14:paraId="0DBD4C2F">
            <w:pPr>
              <w:widowControl/>
              <w:adjustRightInd w:val="0"/>
              <w:snapToGrid w:val="0"/>
              <w:spacing w:line="400" w:lineRule="exact"/>
              <w:jc w:val="center"/>
              <w:rPr>
                <w:rFonts w:ascii="宋体" w:hAnsi="宋体"/>
                <w:color w:val="auto"/>
                <w:szCs w:val="21"/>
                <w:highlight w:val="none"/>
              </w:rPr>
            </w:pPr>
            <w:r>
              <w:rPr>
                <w:rFonts w:ascii="宋体" w:hAnsi="宋体"/>
                <w:color w:val="auto"/>
                <w:szCs w:val="21"/>
                <w:highlight w:val="none"/>
              </w:rPr>
              <w:t>2.2.2</w:t>
            </w:r>
          </w:p>
          <w:p w14:paraId="1959D6D8">
            <w:pPr>
              <w:widowControl/>
              <w:adjustRightInd w:val="0"/>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评标基准价计算</w:t>
            </w:r>
            <w:r>
              <w:rPr>
                <w:rFonts w:hint="eastAsia" w:ascii="宋体" w:hAnsi="宋体"/>
                <w:color w:val="auto"/>
                <w:szCs w:val="21"/>
                <w:highlight w:val="none"/>
                <w:lang w:val="en-US" w:eastAsia="zh-CN"/>
              </w:rPr>
              <w:t>方法</w:t>
            </w:r>
          </w:p>
        </w:tc>
        <w:tc>
          <w:tcPr>
            <w:tcW w:w="6833" w:type="dxa"/>
            <w:tcBorders>
              <w:top w:val="single" w:color="auto" w:sz="4" w:space="0"/>
              <w:left w:val="single" w:color="auto" w:sz="4" w:space="0"/>
              <w:bottom w:val="single" w:color="auto" w:sz="4" w:space="0"/>
              <w:right w:val="single" w:color="auto" w:sz="4" w:space="0"/>
            </w:tcBorders>
            <w:vAlign w:val="center"/>
          </w:tcPr>
          <w:p w14:paraId="6028EB66">
            <w:pPr>
              <w:widowControl/>
              <w:adjustRightInd/>
              <w:snapToGrid/>
              <w:spacing w:line="400" w:lineRule="exact"/>
              <w:ind w:firstLine="0" w:firstLineChars="0"/>
              <w:rPr>
                <w:rFonts w:hint="eastAsia"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rPr>
              <w:t>方法一（随机权重法）</w:t>
            </w:r>
            <w:r>
              <w:rPr>
                <w:rFonts w:hint="eastAsia" w:ascii="宋体" w:hAnsi="宋体" w:cs="宋体"/>
                <w:color w:val="auto"/>
                <w:szCs w:val="21"/>
                <w:highlight w:val="none"/>
              </w:rPr>
              <w:t>：</w:t>
            </w:r>
          </w:p>
          <w:p w14:paraId="5BE2C729">
            <w:pPr>
              <w:widowControl/>
              <w:adjustRightInd/>
              <w:snapToGrid/>
              <w:spacing w:line="400" w:lineRule="exact"/>
              <w:ind w:firstLine="210" w:firstLineChars="100"/>
              <w:rPr>
                <w:rFonts w:ascii="宋体" w:hAnsi="宋体" w:cs="宋体"/>
                <w:color w:val="auto"/>
                <w:spacing w:val="20"/>
                <w:szCs w:val="21"/>
                <w:highlight w:val="none"/>
                <w:vertAlign w:val="subscript"/>
              </w:rPr>
            </w:pP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评标基准价</w:t>
            </w:r>
            <w:r>
              <w:rPr>
                <w:rFonts w:hint="eastAsia" w:ascii="宋体" w:hAnsi="宋体" w:cs="宋体"/>
                <w:color w:val="auto"/>
                <w:spacing w:val="20"/>
                <w:szCs w:val="21"/>
                <w:highlight w:val="none"/>
              </w:rPr>
              <w:t>＝</w:t>
            </w:r>
            <w:r>
              <w:rPr>
                <w:rFonts w:ascii="宋体" w:hAnsi="宋体" w:cs="宋体"/>
                <w:color w:val="auto"/>
                <w:spacing w:val="20"/>
                <w:szCs w:val="21"/>
                <w:highlight w:val="none"/>
              </w:rPr>
              <w:t>A×K</w:t>
            </w:r>
            <w:r>
              <w:rPr>
                <w:rFonts w:ascii="宋体" w:hAnsi="宋体" w:cs="宋体"/>
                <w:color w:val="auto"/>
                <w:spacing w:val="20"/>
                <w:szCs w:val="21"/>
                <w:highlight w:val="none"/>
                <w:vertAlign w:val="subscript"/>
              </w:rPr>
              <w:t>1</w:t>
            </w:r>
            <w:r>
              <w:rPr>
                <w:rFonts w:hint="eastAsia" w:ascii="宋体" w:hAnsi="宋体" w:cs="宋体"/>
                <w:color w:val="auto"/>
                <w:spacing w:val="20"/>
                <w:szCs w:val="21"/>
                <w:highlight w:val="none"/>
              </w:rPr>
              <w:t>×</w:t>
            </w:r>
            <w:r>
              <w:rPr>
                <w:rFonts w:ascii="宋体" w:hAnsi="宋体" w:cs="宋体"/>
                <w:color w:val="auto"/>
                <w:spacing w:val="20"/>
                <w:szCs w:val="21"/>
                <w:highlight w:val="none"/>
              </w:rPr>
              <w:t>Q</w:t>
            </w:r>
            <w:r>
              <w:rPr>
                <w:rFonts w:ascii="宋体" w:hAnsi="宋体" w:cs="宋体"/>
                <w:color w:val="auto"/>
                <w:spacing w:val="20"/>
                <w:szCs w:val="21"/>
                <w:highlight w:val="none"/>
                <w:vertAlign w:val="subscript"/>
              </w:rPr>
              <w:t>1</w:t>
            </w:r>
            <w:r>
              <w:rPr>
                <w:rFonts w:ascii="宋体" w:hAnsi="宋体" w:cs="宋体"/>
                <w:color w:val="auto"/>
                <w:spacing w:val="20"/>
                <w:szCs w:val="21"/>
                <w:highlight w:val="none"/>
              </w:rPr>
              <w:t>+B×K</w:t>
            </w:r>
            <w:r>
              <w:rPr>
                <w:rFonts w:ascii="宋体" w:hAnsi="宋体" w:cs="宋体"/>
                <w:color w:val="auto"/>
                <w:spacing w:val="20"/>
                <w:szCs w:val="21"/>
                <w:highlight w:val="none"/>
                <w:vertAlign w:val="subscript"/>
              </w:rPr>
              <w:t>2</w:t>
            </w:r>
            <w:r>
              <w:rPr>
                <w:rFonts w:hint="eastAsia" w:ascii="宋体" w:hAnsi="宋体" w:cs="宋体"/>
                <w:color w:val="auto"/>
                <w:spacing w:val="20"/>
                <w:szCs w:val="21"/>
                <w:highlight w:val="none"/>
              </w:rPr>
              <w:t>×</w:t>
            </w:r>
            <w:r>
              <w:rPr>
                <w:rFonts w:ascii="宋体" w:hAnsi="宋体" w:cs="宋体"/>
                <w:color w:val="auto"/>
                <w:spacing w:val="20"/>
                <w:szCs w:val="21"/>
                <w:highlight w:val="none"/>
              </w:rPr>
              <w:t>Q</w:t>
            </w:r>
            <w:r>
              <w:rPr>
                <w:rFonts w:ascii="宋体" w:hAnsi="宋体" w:cs="宋体"/>
                <w:color w:val="auto"/>
                <w:spacing w:val="20"/>
                <w:szCs w:val="21"/>
                <w:highlight w:val="none"/>
                <w:vertAlign w:val="subscript"/>
              </w:rPr>
              <w:t>2</w:t>
            </w:r>
          </w:p>
          <w:p w14:paraId="5EBC3BD8">
            <w:pPr>
              <w:widowControl/>
              <w:spacing w:line="400" w:lineRule="exact"/>
              <w:ind w:left="1260" w:leftChars="0" w:hanging="1260" w:hangingChars="600"/>
              <w:rPr>
                <w:rFonts w:hint="eastAsia" w:ascii="宋体" w:hAnsi="宋体"/>
                <w:color w:val="auto"/>
                <w:szCs w:val="21"/>
                <w:highlight w:val="none"/>
              </w:rPr>
            </w:pPr>
            <w:r>
              <w:rPr>
                <w:rFonts w:hint="eastAsia" w:ascii="宋体" w:hAnsi="宋体" w:cs="宋体"/>
                <w:color w:val="auto"/>
                <w:szCs w:val="21"/>
                <w:highlight w:val="none"/>
                <w:lang w:val="en-US" w:eastAsia="zh-CN"/>
              </w:rPr>
              <w:t>式</w:t>
            </w:r>
            <w:r>
              <w:rPr>
                <w:rFonts w:hint="eastAsia" w:ascii="宋体" w:hAnsi="宋体" w:cs="宋体"/>
                <w:color w:val="auto"/>
                <w:szCs w:val="21"/>
                <w:highlight w:val="none"/>
              </w:rPr>
              <w:t>中：</w:t>
            </w:r>
            <w:r>
              <w:rPr>
                <w:rFonts w:ascii="宋体" w:hAnsi="宋体" w:cs="宋体"/>
                <w:color w:val="auto"/>
                <w:szCs w:val="21"/>
                <w:highlight w:val="none"/>
              </w:rPr>
              <w:t>A</w:t>
            </w:r>
            <w:r>
              <w:rPr>
                <w:rFonts w:hint="eastAsia" w:ascii="微软雅黑" w:hAnsi="微软雅黑" w:eastAsia="微软雅黑" w:cs="微软雅黑"/>
                <w:color w:val="auto"/>
                <w:szCs w:val="21"/>
                <w:highlight w:val="none"/>
                <w:lang w:eastAsia="zh-CN"/>
              </w:rPr>
              <w:t>——</w:t>
            </w:r>
            <w:r>
              <w:rPr>
                <w:rFonts w:hint="eastAsia" w:ascii="宋体" w:hAnsi="宋体" w:cs="宋体"/>
                <w:color w:val="auto"/>
                <w:szCs w:val="21"/>
                <w:highlight w:val="none"/>
              </w:rPr>
              <w:t>按本项规定应进入</w:t>
            </w:r>
            <w:r>
              <w:rPr>
                <w:rFonts w:hint="eastAsia" w:ascii="宋体" w:hAnsi="宋体"/>
                <w:color w:val="auto"/>
                <w:szCs w:val="21"/>
                <w:highlight w:val="none"/>
              </w:rPr>
              <w:t>评标基准价计算的评标价的</w:t>
            </w:r>
            <w:r>
              <w:rPr>
                <w:rFonts w:hint="eastAsia" w:ascii="宋体" w:hAnsi="宋体" w:cs="宋体"/>
                <w:color w:val="auto"/>
                <w:szCs w:val="21"/>
                <w:highlight w:val="none"/>
              </w:rPr>
              <w:t>算术</w:t>
            </w:r>
            <w:r>
              <w:rPr>
                <w:rFonts w:hint="eastAsia" w:ascii="宋体" w:hAnsi="宋体"/>
                <w:color w:val="auto"/>
                <w:szCs w:val="21"/>
                <w:highlight w:val="none"/>
              </w:rPr>
              <w:t>平均值</w:t>
            </w:r>
            <w:r>
              <w:rPr>
                <w:rFonts w:ascii="宋体" w:hAnsi="宋体" w:cs="宋体"/>
                <w:color w:val="auto"/>
                <w:szCs w:val="21"/>
                <w:highlight w:val="none"/>
              </w:rPr>
              <w:t>（若</w:t>
            </w:r>
            <w:r>
              <w:rPr>
                <w:rFonts w:hint="eastAsia" w:ascii="宋体" w:hAnsi="宋体" w:cs="宋体"/>
                <w:color w:val="auto"/>
                <w:szCs w:val="21"/>
                <w:highlight w:val="none"/>
              </w:rPr>
              <w:t>参与计算的评标价个数</w:t>
            </w:r>
            <w:r>
              <w:rPr>
                <w:rFonts w:ascii="宋体" w:hAnsi="宋体" w:cs="宋体"/>
                <w:color w:val="auto"/>
                <w:szCs w:val="21"/>
                <w:highlight w:val="none"/>
              </w:rPr>
              <w:t>≤10家时，直接取算术平均值为A；</w:t>
            </w:r>
            <w:r>
              <w:rPr>
                <w:rFonts w:hint="eastAsia" w:ascii="宋体" w:hAnsi="宋体" w:cs="宋体"/>
                <w:color w:val="auto"/>
                <w:szCs w:val="21"/>
                <w:highlight w:val="none"/>
              </w:rPr>
              <w:t>若参与计算的评标价个数</w:t>
            </w:r>
            <w:r>
              <w:rPr>
                <w:rFonts w:ascii="宋体" w:hAnsi="宋体" w:cs="宋体"/>
                <w:color w:val="auto"/>
                <w:szCs w:val="21"/>
                <w:highlight w:val="none"/>
              </w:rPr>
              <w:t>＞N×10家时，去掉其</w:t>
            </w:r>
            <w:r>
              <w:rPr>
                <w:rFonts w:hint="eastAsia" w:ascii="宋体" w:hAnsi="宋体" w:cs="宋体"/>
                <w:color w:val="auto"/>
                <w:szCs w:val="21"/>
                <w:highlight w:val="none"/>
              </w:rPr>
              <w:t>中的</w:t>
            </w:r>
            <w:r>
              <w:rPr>
                <w:rFonts w:ascii="宋体" w:hAnsi="宋体" w:cs="宋体"/>
                <w:color w:val="auto"/>
                <w:szCs w:val="21"/>
                <w:highlight w:val="none"/>
              </w:rPr>
              <w:t>N个最高</w:t>
            </w:r>
            <w:r>
              <w:rPr>
                <w:rFonts w:hint="eastAsia" w:ascii="宋体" w:hAnsi="宋体" w:cs="宋体"/>
                <w:color w:val="auto"/>
                <w:szCs w:val="21"/>
                <w:highlight w:val="none"/>
              </w:rPr>
              <w:t>评标</w:t>
            </w:r>
            <w:r>
              <w:rPr>
                <w:rFonts w:ascii="宋体" w:hAnsi="宋体" w:cs="宋体"/>
                <w:color w:val="auto"/>
                <w:szCs w:val="21"/>
                <w:highlight w:val="none"/>
              </w:rPr>
              <w:t>价和N个最低</w:t>
            </w:r>
            <w:r>
              <w:rPr>
                <w:rFonts w:hint="eastAsia" w:ascii="宋体" w:hAnsi="宋体" w:cs="宋体"/>
                <w:color w:val="auto"/>
                <w:szCs w:val="21"/>
                <w:highlight w:val="none"/>
              </w:rPr>
              <w:t>评标</w:t>
            </w:r>
            <w:r>
              <w:rPr>
                <w:rFonts w:ascii="宋体" w:hAnsi="宋体" w:cs="宋体"/>
                <w:color w:val="auto"/>
                <w:szCs w:val="21"/>
                <w:highlight w:val="none"/>
              </w:rPr>
              <w:t>价后取算术平均值为A，N为</w:t>
            </w:r>
            <w:r>
              <w:rPr>
                <w:rFonts w:hint="eastAsia" w:ascii="微软雅黑" w:hAnsi="微软雅黑" w:eastAsia="微软雅黑" w:cs="微软雅黑"/>
                <w:color w:val="auto"/>
                <w:szCs w:val="21"/>
                <w:highlight w:val="none"/>
                <w:lang w:val="en-US" w:eastAsia="zh-CN"/>
              </w:rPr>
              <w:t>≥</w:t>
            </w:r>
            <w:r>
              <w:rPr>
                <w:rFonts w:hint="eastAsia" w:ascii="宋体" w:hAnsi="宋体" w:cs="宋体"/>
                <w:color w:val="auto"/>
                <w:szCs w:val="21"/>
                <w:highlight w:val="none"/>
                <w:lang w:val="en-US" w:eastAsia="zh-CN"/>
              </w:rPr>
              <w:t>1的</w:t>
            </w:r>
            <w:r>
              <w:rPr>
                <w:rFonts w:ascii="宋体" w:hAnsi="宋体" w:cs="宋体"/>
                <w:color w:val="auto"/>
                <w:szCs w:val="21"/>
                <w:highlight w:val="none"/>
              </w:rPr>
              <w:t>自然数）</w:t>
            </w:r>
            <w:r>
              <w:rPr>
                <w:rFonts w:hint="eastAsia" w:ascii="宋体" w:hAnsi="宋体"/>
                <w:color w:val="auto"/>
                <w:szCs w:val="21"/>
                <w:highlight w:val="none"/>
              </w:rPr>
              <w:t>；</w:t>
            </w:r>
          </w:p>
          <w:p w14:paraId="7A1EED97">
            <w:pPr>
              <w:widowControl/>
              <w:adjustRightInd w:val="0"/>
              <w:snapToGrid w:val="0"/>
              <w:spacing w:line="400" w:lineRule="exact"/>
              <w:ind w:left="420" w:leftChars="200" w:firstLine="210" w:firstLineChars="100"/>
              <w:rPr>
                <w:rFonts w:ascii="宋体" w:hAnsi="宋体" w:cs="宋体"/>
                <w:color w:val="auto"/>
                <w:szCs w:val="21"/>
                <w:highlight w:val="none"/>
              </w:rPr>
            </w:pPr>
            <w:r>
              <w:rPr>
                <w:rFonts w:ascii="宋体" w:hAnsi="宋体" w:cs="宋体"/>
                <w:color w:val="auto"/>
                <w:szCs w:val="21"/>
                <w:highlight w:val="none"/>
              </w:rPr>
              <w:t>B</w:t>
            </w:r>
            <w:r>
              <w:rPr>
                <w:rFonts w:hint="eastAsia" w:ascii="微软雅黑" w:hAnsi="微软雅黑" w:eastAsia="微软雅黑" w:cs="微软雅黑"/>
                <w:color w:val="auto"/>
                <w:szCs w:val="21"/>
                <w:highlight w:val="none"/>
                <w:lang w:eastAsia="zh-CN"/>
              </w:rPr>
              <w:t>——</w:t>
            </w:r>
            <w:r>
              <w:rPr>
                <w:rFonts w:ascii="宋体" w:hAnsi="宋体" w:cs="宋体"/>
                <w:color w:val="auto"/>
                <w:szCs w:val="21"/>
                <w:highlight w:val="none"/>
              </w:rPr>
              <w:t>为招标人公布的最高</w:t>
            </w:r>
            <w:r>
              <w:rPr>
                <w:rFonts w:hint="eastAsia" w:ascii="宋体" w:hAnsi="宋体" w:cs="宋体"/>
                <w:color w:val="auto"/>
                <w:szCs w:val="21"/>
                <w:highlight w:val="none"/>
              </w:rPr>
              <w:t>投标</w:t>
            </w:r>
            <w:r>
              <w:rPr>
                <w:rFonts w:ascii="宋体" w:hAnsi="宋体" w:cs="宋体"/>
                <w:color w:val="auto"/>
                <w:szCs w:val="21"/>
                <w:highlight w:val="none"/>
              </w:rPr>
              <w:t>限价</w:t>
            </w:r>
            <w:r>
              <w:rPr>
                <w:rFonts w:hint="eastAsia" w:ascii="宋体" w:hAnsi="宋体" w:cs="宋体"/>
                <w:color w:val="auto"/>
                <w:szCs w:val="21"/>
                <w:highlight w:val="none"/>
              </w:rPr>
              <w:t>；</w:t>
            </w:r>
          </w:p>
          <w:p w14:paraId="5FDB09D7">
            <w:pPr>
              <w:widowControl/>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ascii="宋体" w:hAnsi="宋体" w:cs="宋体"/>
                <w:color w:val="auto"/>
                <w:spacing w:val="20"/>
                <w:szCs w:val="21"/>
                <w:highlight w:val="none"/>
              </w:rPr>
              <w:t>Q</w:t>
            </w:r>
            <w:r>
              <w:rPr>
                <w:rFonts w:ascii="宋体" w:hAnsi="宋体" w:cs="宋体"/>
                <w:color w:val="auto"/>
                <w:spacing w:val="20"/>
                <w:szCs w:val="21"/>
                <w:highlight w:val="none"/>
                <w:vertAlign w:val="subscript"/>
              </w:rPr>
              <w:t>1</w:t>
            </w:r>
            <w:r>
              <w:rPr>
                <w:rFonts w:hint="eastAsia" w:ascii="微软雅黑" w:hAnsi="微软雅黑" w:eastAsia="微软雅黑" w:cs="微软雅黑"/>
                <w:color w:val="auto"/>
                <w:szCs w:val="21"/>
                <w:highlight w:val="none"/>
                <w:lang w:eastAsia="zh-CN"/>
              </w:rPr>
              <w:t>——</w:t>
            </w:r>
            <w:r>
              <w:rPr>
                <w:rFonts w:hint="eastAsia" w:ascii="宋体" w:hAnsi="宋体" w:cs="宋体"/>
                <w:color w:val="auto"/>
                <w:szCs w:val="21"/>
                <w:highlight w:val="none"/>
              </w:rPr>
              <w:t>为评标价算术平均值</w:t>
            </w:r>
            <w:r>
              <w:rPr>
                <w:rFonts w:ascii="宋体" w:hAnsi="宋体" w:cs="宋体"/>
                <w:color w:val="auto"/>
                <w:szCs w:val="21"/>
                <w:highlight w:val="none"/>
              </w:rPr>
              <w:t>A所占权重系数，取值范围</w:t>
            </w:r>
            <w:r>
              <w:rPr>
                <w:rStyle w:val="59"/>
                <w:rFonts w:ascii="宋体" w:hAnsi="宋体" w:cs="宋体"/>
                <w:color w:val="auto"/>
                <w:szCs w:val="21"/>
                <w:highlight w:val="none"/>
              </w:rPr>
              <w:footnoteReference w:id="120"/>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A74C1D1">
            <w:pPr>
              <w:widowControl/>
              <w:adjustRightInd w:val="0"/>
              <w:snapToGrid w:val="0"/>
              <w:spacing w:line="400" w:lineRule="exact"/>
              <w:ind w:left="420" w:leftChars="100" w:hanging="210" w:hangingChars="100"/>
              <w:rPr>
                <w:rFonts w:hint="eastAsia" w:ascii="宋体" w:hAnsi="宋体" w:cs="宋体"/>
                <w:color w:val="auto"/>
                <w:spacing w:val="20"/>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ascii="宋体" w:hAnsi="宋体" w:cs="宋体"/>
                <w:color w:val="auto"/>
                <w:spacing w:val="20"/>
                <w:szCs w:val="21"/>
                <w:highlight w:val="none"/>
              </w:rPr>
              <w:t>Q</w:t>
            </w:r>
            <w:r>
              <w:rPr>
                <w:rFonts w:ascii="宋体" w:hAnsi="宋体" w:cs="宋体"/>
                <w:color w:val="auto"/>
                <w:spacing w:val="20"/>
                <w:szCs w:val="21"/>
                <w:highlight w:val="none"/>
                <w:vertAlign w:val="subscript"/>
              </w:rPr>
              <w:t>2</w:t>
            </w:r>
            <w:r>
              <w:rPr>
                <w:rFonts w:hint="eastAsia" w:ascii="微软雅黑" w:hAnsi="微软雅黑" w:eastAsia="微软雅黑" w:cs="微软雅黑"/>
                <w:color w:val="auto"/>
                <w:szCs w:val="21"/>
                <w:highlight w:val="none"/>
                <w:lang w:eastAsia="zh-CN"/>
              </w:rPr>
              <w:t>——</w:t>
            </w:r>
            <w:r>
              <w:rPr>
                <w:rFonts w:hint="eastAsia" w:ascii="宋体" w:hAnsi="宋体" w:cs="宋体"/>
                <w:color w:val="auto"/>
                <w:szCs w:val="21"/>
                <w:highlight w:val="none"/>
              </w:rPr>
              <w:t>为最高投标限价</w:t>
            </w:r>
            <w:r>
              <w:rPr>
                <w:rFonts w:ascii="宋体" w:hAnsi="宋体" w:cs="宋体"/>
                <w:color w:val="auto"/>
                <w:szCs w:val="21"/>
                <w:highlight w:val="none"/>
              </w:rPr>
              <w:t>B所占权重系数</w:t>
            </w:r>
            <w:r>
              <w:rPr>
                <w:rFonts w:ascii="宋体" w:hAnsi="宋体" w:cs="宋体"/>
                <w:color w:val="auto"/>
                <w:spacing w:val="20"/>
                <w:szCs w:val="21"/>
                <w:highlight w:val="none"/>
              </w:rPr>
              <w:t>，Q</w:t>
            </w:r>
            <w:r>
              <w:rPr>
                <w:rFonts w:ascii="宋体" w:hAnsi="宋体" w:cs="宋体"/>
                <w:color w:val="auto"/>
                <w:spacing w:val="20"/>
                <w:szCs w:val="21"/>
                <w:highlight w:val="none"/>
                <w:vertAlign w:val="subscript"/>
              </w:rPr>
              <w:t>2</w:t>
            </w:r>
            <w:r>
              <w:rPr>
                <w:rFonts w:ascii="宋体" w:hAnsi="宋体" w:cs="宋体"/>
                <w:color w:val="auto"/>
                <w:spacing w:val="20"/>
                <w:szCs w:val="21"/>
                <w:highlight w:val="none"/>
              </w:rPr>
              <w:t>=1－Q</w:t>
            </w:r>
            <w:r>
              <w:rPr>
                <w:rFonts w:ascii="宋体" w:hAnsi="宋体" w:cs="宋体"/>
                <w:color w:val="auto"/>
                <w:spacing w:val="20"/>
                <w:szCs w:val="21"/>
                <w:highlight w:val="none"/>
                <w:vertAlign w:val="subscript"/>
              </w:rPr>
              <w:t>1</w:t>
            </w:r>
            <w:r>
              <w:rPr>
                <w:rFonts w:hint="eastAsia" w:ascii="宋体" w:hAnsi="宋体" w:cs="宋体"/>
                <w:color w:val="auto"/>
                <w:spacing w:val="20"/>
                <w:szCs w:val="21"/>
                <w:highlight w:val="none"/>
              </w:rPr>
              <w:t>；</w:t>
            </w:r>
          </w:p>
          <w:p w14:paraId="0B886D74">
            <w:pPr>
              <w:widowControl/>
              <w:adjustRightInd w:val="0"/>
              <w:snapToGrid w:val="0"/>
              <w:spacing w:line="400" w:lineRule="exact"/>
              <w:ind w:left="420" w:leftChars="100" w:hanging="210" w:hangingChars="100"/>
              <w:jc w:val="left"/>
              <w:rPr>
                <w:rFonts w:ascii="宋体" w:hAnsi="宋体" w:cs="宋体"/>
                <w:color w:val="auto"/>
                <w:szCs w:val="21"/>
                <w:highlight w:val="none"/>
              </w:rPr>
            </w:pPr>
            <w:r>
              <w:rPr>
                <w:rFonts w:hint="default" w:ascii="宋体" w:hAnsi="宋体" w:cs="宋体"/>
                <w:color w:val="auto"/>
                <w:spacing w:val="0"/>
                <w:szCs w:val="21"/>
                <w:highlight w:val="none"/>
                <w:lang w:val="en-US" w:eastAsia="zh-CN"/>
              </w:rPr>
              <w:t xml:space="preserve">  </w:t>
            </w:r>
            <w:r>
              <w:rPr>
                <w:rFonts w:hint="eastAsia" w:ascii="宋体" w:hAnsi="宋体" w:cs="宋体"/>
                <w:color w:val="auto"/>
                <w:spacing w:val="0"/>
                <w:szCs w:val="21"/>
                <w:highlight w:val="none"/>
                <w:lang w:val="en-US" w:eastAsia="zh-CN"/>
              </w:rPr>
              <w:t xml:space="preserve"> </w:t>
            </w:r>
            <w:r>
              <w:rPr>
                <w:rFonts w:ascii="宋体" w:hAnsi="宋体" w:cs="宋体"/>
                <w:color w:val="auto"/>
                <w:szCs w:val="21"/>
                <w:highlight w:val="none"/>
              </w:rPr>
              <w:t>K</w:t>
            </w:r>
            <w:r>
              <w:rPr>
                <w:rFonts w:ascii="宋体" w:hAnsi="宋体" w:cs="宋体"/>
                <w:color w:val="auto"/>
                <w:szCs w:val="21"/>
                <w:highlight w:val="none"/>
                <w:vertAlign w:val="subscript"/>
              </w:rPr>
              <w:t>1</w:t>
            </w:r>
            <w:r>
              <w:rPr>
                <w:rFonts w:hint="eastAsia" w:ascii="微软雅黑" w:hAnsi="微软雅黑" w:eastAsia="微软雅黑" w:cs="微软雅黑"/>
                <w:color w:val="auto"/>
                <w:szCs w:val="21"/>
                <w:highlight w:val="none"/>
                <w:lang w:eastAsia="zh-CN"/>
              </w:rPr>
              <w:t>——</w:t>
            </w:r>
            <w:r>
              <w:rPr>
                <w:rFonts w:hint="eastAsia" w:ascii="宋体" w:hAnsi="宋体" w:cs="宋体"/>
                <w:color w:val="auto"/>
                <w:szCs w:val="21"/>
                <w:highlight w:val="none"/>
              </w:rPr>
              <w:t>为评标价算术平均值</w:t>
            </w:r>
            <w:r>
              <w:rPr>
                <w:rFonts w:ascii="宋体" w:hAnsi="宋体" w:cs="宋体"/>
                <w:color w:val="auto"/>
                <w:szCs w:val="21"/>
                <w:highlight w:val="none"/>
              </w:rPr>
              <w:t>A下浮系数，取值范围</w:t>
            </w:r>
            <w:r>
              <w:rPr>
                <w:rStyle w:val="59"/>
                <w:rFonts w:ascii="宋体" w:hAnsi="宋体" w:cs="宋体"/>
                <w:color w:val="auto"/>
                <w:szCs w:val="21"/>
                <w:highlight w:val="none"/>
              </w:rPr>
              <w:footnoteReference w:id="121"/>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019CEFDA">
            <w:pPr>
              <w:widowControl/>
              <w:adjustRightInd w:val="0"/>
              <w:snapToGrid w:val="0"/>
              <w:spacing w:line="400" w:lineRule="exact"/>
              <w:ind w:left="420" w:leftChars="100" w:hanging="210" w:hangingChars="100"/>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K</w:t>
            </w:r>
            <w:r>
              <w:rPr>
                <w:rFonts w:ascii="宋体" w:hAnsi="宋体" w:cs="宋体"/>
                <w:color w:val="auto"/>
                <w:szCs w:val="21"/>
                <w:highlight w:val="none"/>
                <w:vertAlign w:val="subscript"/>
              </w:rPr>
              <w:t>2</w:t>
            </w:r>
            <w:r>
              <w:rPr>
                <w:rFonts w:hint="eastAsia" w:ascii="微软雅黑" w:hAnsi="微软雅黑" w:eastAsia="微软雅黑" w:cs="微软雅黑"/>
                <w:color w:val="auto"/>
                <w:szCs w:val="21"/>
                <w:highlight w:val="none"/>
                <w:lang w:eastAsia="zh-CN"/>
              </w:rPr>
              <w:t>——</w:t>
            </w:r>
            <w:r>
              <w:rPr>
                <w:rFonts w:hint="eastAsia" w:ascii="宋体" w:hAnsi="宋体" w:cs="宋体"/>
                <w:color w:val="auto"/>
                <w:szCs w:val="21"/>
                <w:highlight w:val="none"/>
              </w:rPr>
              <w:t>为最高投标限价</w:t>
            </w:r>
            <w:r>
              <w:rPr>
                <w:rFonts w:ascii="宋体" w:hAnsi="宋体" w:cs="宋体"/>
                <w:color w:val="auto"/>
                <w:szCs w:val="21"/>
                <w:highlight w:val="none"/>
              </w:rPr>
              <w:t>B下浮系数，取值范围</w:t>
            </w:r>
            <w:r>
              <w:rPr>
                <w:rStyle w:val="59"/>
                <w:rFonts w:ascii="宋体" w:hAnsi="宋体" w:cs="宋体"/>
                <w:color w:val="auto"/>
                <w:szCs w:val="21"/>
                <w:highlight w:val="none"/>
              </w:rPr>
              <w:footnoteReference w:id="122"/>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19D0DCBA">
            <w:pPr>
              <w:widowControl/>
              <w:adjustRightInd w:val="0"/>
              <w:snapToGrid w:val="0"/>
              <w:spacing w:line="400" w:lineRule="exact"/>
              <w:ind w:left="0" w:leftChars="0" w:firstLine="210" w:firstLineChars="100"/>
              <w:rPr>
                <w:rFonts w:ascii="宋体" w:hAnsi="宋体" w:cs="宋体"/>
                <w:color w:val="auto"/>
                <w:szCs w:val="21"/>
                <w:highlight w:val="none"/>
              </w:rPr>
            </w:pPr>
            <w:r>
              <w:rPr>
                <w:rFonts w:ascii="宋体" w:hAnsi="宋体" w:cs="宋体"/>
                <w:color w:val="auto"/>
                <w:szCs w:val="21"/>
                <w:highlight w:val="none"/>
              </w:rPr>
              <w:t>M值、Q</w:t>
            </w:r>
            <w:r>
              <w:rPr>
                <w:rFonts w:ascii="宋体" w:hAnsi="宋体" w:cs="宋体"/>
                <w:color w:val="auto"/>
                <w:szCs w:val="21"/>
                <w:highlight w:val="none"/>
                <w:vertAlign w:val="subscript"/>
              </w:rPr>
              <w:t>1</w:t>
            </w:r>
            <w:r>
              <w:rPr>
                <w:rFonts w:hint="eastAsia" w:ascii="宋体" w:hAnsi="宋体" w:cs="宋体"/>
                <w:color w:val="auto"/>
                <w:szCs w:val="21"/>
                <w:highlight w:val="none"/>
              </w:rPr>
              <w:t>值、</w:t>
            </w:r>
            <w:r>
              <w:rPr>
                <w:rFonts w:ascii="宋体" w:hAnsi="宋体" w:cs="宋体"/>
                <w:color w:val="auto"/>
                <w:szCs w:val="21"/>
                <w:highlight w:val="none"/>
              </w:rPr>
              <w:t>K</w:t>
            </w:r>
            <w:r>
              <w:rPr>
                <w:rFonts w:ascii="宋体" w:hAnsi="宋体" w:cs="宋体"/>
                <w:color w:val="auto"/>
                <w:szCs w:val="21"/>
                <w:highlight w:val="none"/>
                <w:vertAlign w:val="subscript"/>
              </w:rPr>
              <w:t>1</w:t>
            </w:r>
            <w:r>
              <w:rPr>
                <w:rFonts w:hint="eastAsia" w:ascii="宋体" w:hAnsi="宋体" w:cs="宋体"/>
                <w:color w:val="auto"/>
                <w:szCs w:val="21"/>
                <w:highlight w:val="none"/>
              </w:rPr>
              <w:t>值、</w:t>
            </w:r>
            <w:r>
              <w:rPr>
                <w:rFonts w:ascii="宋体" w:hAnsi="宋体" w:cs="宋体"/>
                <w:color w:val="auto"/>
                <w:szCs w:val="21"/>
                <w:highlight w:val="none"/>
              </w:rPr>
              <w:t>K</w:t>
            </w:r>
            <w:r>
              <w:rPr>
                <w:rFonts w:ascii="宋体" w:hAnsi="宋体" w:cs="宋体"/>
                <w:color w:val="auto"/>
                <w:szCs w:val="21"/>
                <w:highlight w:val="none"/>
                <w:vertAlign w:val="subscript"/>
              </w:rPr>
              <w:t>2</w:t>
            </w:r>
            <w:r>
              <w:rPr>
                <w:rFonts w:hint="eastAsia" w:ascii="宋体" w:hAnsi="宋体" w:cs="宋体"/>
                <w:color w:val="auto"/>
                <w:szCs w:val="21"/>
                <w:highlight w:val="none"/>
              </w:rPr>
              <w:t>值均在第二个信封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开标现场随机抽取确定，抽取要求见各系数的</w:t>
            </w:r>
            <w:r>
              <w:rPr>
                <w:rFonts w:ascii="宋体" w:hAnsi="宋体" w:cs="宋体"/>
                <w:color w:val="auto"/>
                <w:szCs w:val="21"/>
                <w:highlight w:val="none"/>
              </w:rPr>
              <w:t>确定。</w:t>
            </w:r>
          </w:p>
          <w:p w14:paraId="13863467">
            <w:pPr>
              <w:adjustRightInd w:val="0"/>
              <w:snapToGrid w:val="0"/>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2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ascii="宋体" w:hAnsi="宋体" w:cs="宋体"/>
                <w:color w:val="auto"/>
                <w:szCs w:val="21"/>
                <w:highlight w:val="none"/>
              </w:rPr>
              <w:t xml:space="preserve"> K</w:t>
            </w:r>
            <w:r>
              <w:rPr>
                <w:rFonts w:ascii="宋体" w:hAnsi="宋体" w:cs="宋体"/>
                <w:color w:val="auto"/>
                <w:szCs w:val="21"/>
                <w:highlight w:val="none"/>
                <w:vertAlign w:val="subscript"/>
              </w:rPr>
              <w:t>1</w:t>
            </w:r>
            <w:r>
              <w:rPr>
                <w:rFonts w:hint="eastAsia" w:ascii="宋体" w:hAnsi="宋体" w:cs="宋体"/>
                <w:color w:val="auto"/>
                <w:szCs w:val="21"/>
                <w:highlight w:val="none"/>
              </w:rPr>
              <w:t>、</w:t>
            </w:r>
            <w:r>
              <w:rPr>
                <w:rFonts w:ascii="宋体" w:hAnsi="宋体" w:cs="宋体"/>
                <w:color w:val="auto"/>
                <w:szCs w:val="21"/>
                <w:highlight w:val="none"/>
              </w:rPr>
              <w:t xml:space="preserve">M </w:t>
            </w:r>
            <w:r>
              <w:rPr>
                <w:rFonts w:hint="eastAsia" w:ascii="宋体" w:hAnsi="宋体" w:cs="宋体"/>
                <w:color w:val="auto"/>
                <w:szCs w:val="21"/>
                <w:highlight w:val="none"/>
              </w:rPr>
              <w:t>、</w:t>
            </w:r>
            <w:r>
              <w:rPr>
                <w:rFonts w:ascii="宋体" w:hAnsi="宋体" w:cs="宋体"/>
                <w:color w:val="auto"/>
                <w:szCs w:val="21"/>
                <w:highlight w:val="none"/>
              </w:rPr>
              <w:t>K</w:t>
            </w:r>
            <w:r>
              <w:rPr>
                <w:rFonts w:ascii="宋体" w:hAnsi="宋体" w:cs="宋体"/>
                <w:color w:val="auto"/>
                <w:szCs w:val="21"/>
                <w:highlight w:val="none"/>
                <w:vertAlign w:val="subscript"/>
              </w:rPr>
              <w:t>2</w:t>
            </w:r>
            <w:r>
              <w:rPr>
                <w:rFonts w:hint="eastAsia" w:ascii="宋体" w:hAnsi="宋体" w:cs="宋体"/>
                <w:color w:val="auto"/>
                <w:szCs w:val="21"/>
                <w:highlight w:val="none"/>
              </w:rPr>
              <w:t>、</w:t>
            </w:r>
            <w:r>
              <w:rPr>
                <w:rFonts w:ascii="宋体" w:hAnsi="宋体" w:cs="宋体"/>
                <w:color w:val="auto"/>
                <w:szCs w:val="21"/>
                <w:highlight w:val="none"/>
              </w:rPr>
              <w:t>Q</w:t>
            </w:r>
            <w:r>
              <w:rPr>
                <w:rFonts w:ascii="宋体" w:hAnsi="宋体" w:cs="宋体"/>
                <w:color w:val="auto"/>
                <w:szCs w:val="21"/>
                <w:highlight w:val="none"/>
                <w:vertAlign w:val="subscript"/>
              </w:rPr>
              <w:t>1</w:t>
            </w:r>
            <w:r>
              <w:rPr>
                <w:rFonts w:hint="eastAsia" w:ascii="宋体" w:hAnsi="宋体" w:cs="宋体"/>
                <w:color w:val="auto"/>
                <w:szCs w:val="21"/>
                <w:highlight w:val="none"/>
              </w:rPr>
              <w:t>的确定：</w:t>
            </w:r>
          </w:p>
          <w:p w14:paraId="23FC68C1">
            <w:pPr>
              <w:widowControl/>
              <w:adjustRightInd w:val="0"/>
              <w:snapToGrid w:val="0"/>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K</w:t>
            </w:r>
            <w:r>
              <w:rPr>
                <w:rFonts w:ascii="宋体" w:hAnsi="宋体" w:cs="宋体"/>
                <w:color w:val="auto"/>
                <w:szCs w:val="21"/>
                <w:highlight w:val="none"/>
                <w:vertAlign w:val="subscript"/>
              </w:rPr>
              <w:t>1</w:t>
            </w:r>
            <w:r>
              <w:rPr>
                <w:rFonts w:hint="eastAsia" w:ascii="宋体" w:hAnsi="宋体" w:cs="宋体"/>
                <w:color w:val="auto"/>
                <w:szCs w:val="21"/>
                <w:highlight w:val="none"/>
              </w:rPr>
              <w:t>值的确定</w:t>
            </w:r>
            <w:r>
              <w:rPr>
                <w:rFonts w:hint="eastAsia" w:ascii="宋体" w:hAnsi="宋体" w:cs="宋体"/>
                <w:b/>
                <w:color w:val="auto"/>
                <w:szCs w:val="21"/>
                <w:highlight w:val="none"/>
              </w:rPr>
              <w:t>（□</w:t>
            </w:r>
            <w:r>
              <w:rPr>
                <w:rFonts w:hint="eastAsia" w:ascii="宋体" w:hAnsi="宋体" w:cs="宋体"/>
                <w:color w:val="auto"/>
                <w:szCs w:val="21"/>
                <w:highlight w:val="none"/>
              </w:rPr>
              <w:t>每个标段分别抽取</w:t>
            </w:r>
            <w:r>
              <w:rPr>
                <w:rFonts w:ascii="宋体" w:hAnsi="宋体" w:cs="宋体"/>
                <w:color w:val="auto"/>
                <w:szCs w:val="21"/>
                <w:highlight w:val="none"/>
              </w:rPr>
              <w:t>一次</w:t>
            </w: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抽取</w:t>
            </w:r>
            <w:r>
              <w:rPr>
                <w:rFonts w:ascii="宋体" w:hAnsi="宋体" w:cs="宋体"/>
                <w:color w:val="auto"/>
                <w:szCs w:val="21"/>
                <w:highlight w:val="none"/>
              </w:rPr>
              <w:t>一次</w:t>
            </w:r>
            <w:r>
              <w:rPr>
                <w:rFonts w:hint="eastAsia" w:ascii="宋体" w:hAnsi="宋体" w:cs="宋体"/>
                <w:color w:val="auto"/>
                <w:szCs w:val="21"/>
                <w:highlight w:val="none"/>
              </w:rPr>
              <w:t>适用于</w:t>
            </w:r>
            <w:r>
              <w:rPr>
                <w:rFonts w:ascii="宋体" w:hAnsi="宋体" w:cs="宋体"/>
                <w:color w:val="auto"/>
                <w:szCs w:val="21"/>
                <w:highlight w:val="none"/>
              </w:rPr>
              <w:t>所有</w:t>
            </w:r>
            <w:r>
              <w:rPr>
                <w:rFonts w:hint="eastAsia" w:ascii="宋体" w:hAnsi="宋体" w:cs="宋体"/>
                <w:color w:val="auto"/>
                <w:szCs w:val="21"/>
                <w:highlight w:val="none"/>
              </w:rPr>
              <w:t>标段</w:t>
            </w:r>
            <w:r>
              <w:rPr>
                <w:rFonts w:hint="eastAsia" w:ascii="宋体" w:hAnsi="宋体" w:cs="宋体"/>
                <w:b/>
                <w:color w:val="auto"/>
                <w:szCs w:val="21"/>
                <w:highlight w:val="none"/>
              </w:rPr>
              <w:t>）</w:t>
            </w:r>
            <w:r>
              <w:rPr>
                <w:rFonts w:hint="eastAsia" w:ascii="宋体" w:hAnsi="宋体" w:cs="宋体"/>
                <w:color w:val="auto"/>
                <w:szCs w:val="21"/>
                <w:highlight w:val="none"/>
              </w:rPr>
              <w:t>：</w:t>
            </w:r>
          </w:p>
          <w:tbl>
            <w:tblPr>
              <w:tblStyle w:val="49"/>
              <w:tblW w:w="6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177"/>
              <w:gridCol w:w="1009"/>
              <w:gridCol w:w="914"/>
              <w:gridCol w:w="1022"/>
              <w:gridCol w:w="964"/>
            </w:tblGrid>
            <w:tr w14:paraId="5AA2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85" w:type="dxa"/>
                  <w:vAlign w:val="center"/>
                </w:tcPr>
                <w:p w14:paraId="5AEB8A15">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抽取号码值</w:t>
                  </w:r>
                </w:p>
              </w:tc>
              <w:tc>
                <w:tcPr>
                  <w:tcW w:w="1177" w:type="dxa"/>
                  <w:vAlign w:val="center"/>
                </w:tcPr>
                <w:p w14:paraId="1CE0A4EB">
                  <w:pPr>
                    <w:widowControl/>
                    <w:adjustRightInd w:val="0"/>
                    <w:snapToGrid w:val="0"/>
                    <w:spacing w:line="400" w:lineRule="exact"/>
                    <w:jc w:val="left"/>
                    <w:rPr>
                      <w:rFonts w:ascii="宋体" w:hAnsi="宋体" w:cs="宋体"/>
                      <w:color w:val="auto"/>
                      <w:szCs w:val="21"/>
                      <w:highlight w:val="none"/>
                    </w:rPr>
                  </w:pPr>
                </w:p>
              </w:tc>
              <w:tc>
                <w:tcPr>
                  <w:tcW w:w="1009" w:type="dxa"/>
                  <w:vAlign w:val="center"/>
                </w:tcPr>
                <w:p w14:paraId="58DDEDAE">
                  <w:pPr>
                    <w:widowControl/>
                    <w:adjustRightInd w:val="0"/>
                    <w:snapToGrid w:val="0"/>
                    <w:spacing w:line="400" w:lineRule="exact"/>
                    <w:jc w:val="left"/>
                    <w:rPr>
                      <w:rFonts w:ascii="宋体" w:hAnsi="宋体" w:cs="宋体"/>
                      <w:color w:val="auto"/>
                      <w:szCs w:val="21"/>
                      <w:highlight w:val="none"/>
                    </w:rPr>
                  </w:pPr>
                </w:p>
              </w:tc>
              <w:tc>
                <w:tcPr>
                  <w:tcW w:w="914" w:type="dxa"/>
                  <w:vAlign w:val="center"/>
                </w:tcPr>
                <w:p w14:paraId="35E5409B">
                  <w:pPr>
                    <w:widowControl/>
                    <w:adjustRightInd w:val="0"/>
                    <w:snapToGrid w:val="0"/>
                    <w:spacing w:line="400" w:lineRule="exact"/>
                    <w:jc w:val="left"/>
                    <w:rPr>
                      <w:rFonts w:ascii="宋体" w:hAnsi="宋体" w:cs="宋体"/>
                      <w:color w:val="auto"/>
                      <w:szCs w:val="21"/>
                      <w:highlight w:val="none"/>
                    </w:rPr>
                  </w:pPr>
                </w:p>
              </w:tc>
              <w:tc>
                <w:tcPr>
                  <w:tcW w:w="1022" w:type="dxa"/>
                  <w:vAlign w:val="center"/>
                </w:tcPr>
                <w:p w14:paraId="62E94F67">
                  <w:pPr>
                    <w:widowControl/>
                    <w:adjustRightInd w:val="0"/>
                    <w:snapToGrid w:val="0"/>
                    <w:spacing w:line="400" w:lineRule="exact"/>
                    <w:jc w:val="left"/>
                    <w:rPr>
                      <w:rFonts w:ascii="宋体" w:hAnsi="宋体" w:cs="宋体"/>
                      <w:color w:val="auto"/>
                      <w:szCs w:val="21"/>
                      <w:highlight w:val="none"/>
                    </w:rPr>
                  </w:pPr>
                </w:p>
              </w:tc>
              <w:tc>
                <w:tcPr>
                  <w:tcW w:w="964" w:type="dxa"/>
                  <w:vAlign w:val="center"/>
                </w:tcPr>
                <w:p w14:paraId="55E10A74">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1A4F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5" w:type="dxa"/>
                  <w:vAlign w:val="center"/>
                </w:tcPr>
                <w:p w14:paraId="56E9CDF2">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对应</w:t>
                  </w:r>
                  <w:r>
                    <w:rPr>
                      <w:rFonts w:ascii="宋体" w:hAnsi="宋体" w:cs="宋体"/>
                      <w:color w:val="auto"/>
                      <w:szCs w:val="21"/>
                      <w:highlight w:val="none"/>
                    </w:rPr>
                    <w:t>K</w:t>
                  </w:r>
                  <w:r>
                    <w:rPr>
                      <w:rFonts w:ascii="宋体" w:hAnsi="宋体" w:cs="宋体"/>
                      <w:color w:val="auto"/>
                      <w:szCs w:val="21"/>
                      <w:highlight w:val="none"/>
                      <w:vertAlign w:val="subscript"/>
                    </w:rPr>
                    <w:t>1</w:t>
                  </w:r>
                  <w:r>
                    <w:rPr>
                      <w:rFonts w:hint="eastAsia" w:ascii="宋体" w:hAnsi="宋体" w:cs="宋体"/>
                      <w:color w:val="auto"/>
                      <w:szCs w:val="21"/>
                      <w:highlight w:val="none"/>
                    </w:rPr>
                    <w:t>值</w:t>
                  </w:r>
                </w:p>
              </w:tc>
              <w:tc>
                <w:tcPr>
                  <w:tcW w:w="1177" w:type="dxa"/>
                  <w:vAlign w:val="center"/>
                </w:tcPr>
                <w:p w14:paraId="635A2C78">
                  <w:pPr>
                    <w:widowControl/>
                    <w:adjustRightInd w:val="0"/>
                    <w:snapToGrid w:val="0"/>
                    <w:spacing w:line="400" w:lineRule="exact"/>
                    <w:jc w:val="left"/>
                    <w:rPr>
                      <w:rFonts w:ascii="宋体" w:hAnsi="宋体" w:cs="宋体"/>
                      <w:color w:val="auto"/>
                      <w:szCs w:val="21"/>
                      <w:highlight w:val="none"/>
                    </w:rPr>
                  </w:pPr>
                </w:p>
              </w:tc>
              <w:tc>
                <w:tcPr>
                  <w:tcW w:w="1009" w:type="dxa"/>
                  <w:vAlign w:val="center"/>
                </w:tcPr>
                <w:p w14:paraId="5B6B3FBE">
                  <w:pPr>
                    <w:widowControl/>
                    <w:adjustRightInd w:val="0"/>
                    <w:snapToGrid w:val="0"/>
                    <w:spacing w:line="400" w:lineRule="exact"/>
                    <w:jc w:val="left"/>
                    <w:rPr>
                      <w:rFonts w:ascii="宋体" w:hAnsi="宋体" w:cs="宋体"/>
                      <w:color w:val="auto"/>
                      <w:szCs w:val="21"/>
                      <w:highlight w:val="none"/>
                    </w:rPr>
                  </w:pPr>
                </w:p>
              </w:tc>
              <w:tc>
                <w:tcPr>
                  <w:tcW w:w="914" w:type="dxa"/>
                  <w:vAlign w:val="center"/>
                </w:tcPr>
                <w:p w14:paraId="6909F576">
                  <w:pPr>
                    <w:widowControl/>
                    <w:adjustRightInd w:val="0"/>
                    <w:snapToGrid w:val="0"/>
                    <w:spacing w:line="400" w:lineRule="exact"/>
                    <w:jc w:val="left"/>
                    <w:rPr>
                      <w:rFonts w:ascii="宋体" w:hAnsi="宋体" w:cs="宋体"/>
                      <w:color w:val="auto"/>
                      <w:szCs w:val="21"/>
                      <w:highlight w:val="none"/>
                    </w:rPr>
                  </w:pPr>
                </w:p>
              </w:tc>
              <w:tc>
                <w:tcPr>
                  <w:tcW w:w="1022" w:type="dxa"/>
                  <w:vAlign w:val="center"/>
                </w:tcPr>
                <w:p w14:paraId="217CB6EE">
                  <w:pPr>
                    <w:widowControl/>
                    <w:adjustRightInd w:val="0"/>
                    <w:snapToGrid w:val="0"/>
                    <w:spacing w:line="400" w:lineRule="exact"/>
                    <w:jc w:val="left"/>
                    <w:rPr>
                      <w:rFonts w:ascii="宋体" w:hAnsi="宋体" w:cs="宋体"/>
                      <w:color w:val="auto"/>
                      <w:szCs w:val="21"/>
                      <w:highlight w:val="none"/>
                    </w:rPr>
                  </w:pPr>
                </w:p>
              </w:tc>
              <w:tc>
                <w:tcPr>
                  <w:tcW w:w="964" w:type="dxa"/>
                  <w:vAlign w:val="center"/>
                </w:tcPr>
                <w:p w14:paraId="683ED09F">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14F66E44">
            <w:pPr>
              <w:widowControl/>
              <w:adjustRightInd w:val="0"/>
              <w:snapToGrid w:val="0"/>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 xml:space="preserve">M </w:t>
            </w:r>
            <w:r>
              <w:rPr>
                <w:rFonts w:hint="eastAsia" w:ascii="宋体" w:hAnsi="宋体" w:cs="宋体"/>
                <w:color w:val="auto"/>
                <w:szCs w:val="21"/>
                <w:highlight w:val="none"/>
              </w:rPr>
              <w:t>值的确定</w:t>
            </w:r>
            <w:r>
              <w:rPr>
                <w:rFonts w:hint="eastAsia" w:ascii="宋体" w:hAnsi="宋体" w:cs="宋体"/>
                <w:b/>
                <w:color w:val="auto"/>
                <w:szCs w:val="21"/>
                <w:highlight w:val="none"/>
              </w:rPr>
              <w:t>（□</w:t>
            </w:r>
            <w:r>
              <w:rPr>
                <w:rFonts w:hint="eastAsia" w:ascii="宋体" w:hAnsi="宋体" w:cs="宋体"/>
                <w:color w:val="auto"/>
                <w:szCs w:val="21"/>
                <w:highlight w:val="none"/>
              </w:rPr>
              <w:t>每个标段分别抽取</w:t>
            </w:r>
            <w:r>
              <w:rPr>
                <w:rFonts w:ascii="宋体" w:hAnsi="宋体" w:cs="宋体"/>
                <w:color w:val="auto"/>
                <w:szCs w:val="21"/>
                <w:highlight w:val="none"/>
              </w:rPr>
              <w:t>一次</w:t>
            </w: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抽取</w:t>
            </w:r>
            <w:r>
              <w:rPr>
                <w:rFonts w:ascii="宋体" w:hAnsi="宋体" w:cs="宋体"/>
                <w:color w:val="auto"/>
                <w:szCs w:val="21"/>
                <w:highlight w:val="none"/>
              </w:rPr>
              <w:t>一次</w:t>
            </w:r>
            <w:r>
              <w:rPr>
                <w:rFonts w:hint="eastAsia" w:ascii="宋体" w:hAnsi="宋体" w:cs="宋体"/>
                <w:color w:val="auto"/>
                <w:szCs w:val="21"/>
                <w:highlight w:val="none"/>
              </w:rPr>
              <w:t>适用于</w:t>
            </w:r>
            <w:r>
              <w:rPr>
                <w:rFonts w:ascii="宋体" w:hAnsi="宋体" w:cs="宋体"/>
                <w:color w:val="auto"/>
                <w:szCs w:val="21"/>
                <w:highlight w:val="none"/>
              </w:rPr>
              <w:t>所有</w:t>
            </w:r>
            <w:r>
              <w:rPr>
                <w:rFonts w:hint="eastAsia" w:ascii="宋体" w:hAnsi="宋体" w:cs="宋体"/>
                <w:color w:val="auto"/>
                <w:szCs w:val="21"/>
                <w:highlight w:val="none"/>
              </w:rPr>
              <w:t>标段</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 xml:space="preserve"> </w:t>
            </w:r>
          </w:p>
          <w:tbl>
            <w:tblPr>
              <w:tblStyle w:val="49"/>
              <w:tblW w:w="6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848"/>
              <w:gridCol w:w="848"/>
              <w:gridCol w:w="848"/>
              <w:gridCol w:w="848"/>
              <w:gridCol w:w="848"/>
              <w:gridCol w:w="850"/>
            </w:tblGrid>
            <w:tr w14:paraId="45BD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89" w:type="dxa"/>
                  <w:vAlign w:val="center"/>
                </w:tcPr>
                <w:p w14:paraId="451F2637">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抽取号码值</w:t>
                  </w:r>
                </w:p>
              </w:tc>
              <w:tc>
                <w:tcPr>
                  <w:tcW w:w="848" w:type="dxa"/>
                  <w:vAlign w:val="center"/>
                </w:tcPr>
                <w:p w14:paraId="4286C1F7">
                  <w:pPr>
                    <w:widowControl/>
                    <w:adjustRightInd w:val="0"/>
                    <w:snapToGrid w:val="0"/>
                    <w:spacing w:line="400" w:lineRule="exact"/>
                    <w:jc w:val="left"/>
                    <w:rPr>
                      <w:rFonts w:ascii="宋体" w:hAnsi="宋体" w:cs="宋体"/>
                      <w:color w:val="auto"/>
                      <w:szCs w:val="21"/>
                      <w:highlight w:val="none"/>
                    </w:rPr>
                  </w:pPr>
                </w:p>
              </w:tc>
              <w:tc>
                <w:tcPr>
                  <w:tcW w:w="848" w:type="dxa"/>
                  <w:vAlign w:val="center"/>
                </w:tcPr>
                <w:p w14:paraId="39A3E5AF">
                  <w:pPr>
                    <w:widowControl/>
                    <w:adjustRightInd w:val="0"/>
                    <w:snapToGrid w:val="0"/>
                    <w:spacing w:line="400" w:lineRule="exact"/>
                    <w:jc w:val="left"/>
                    <w:rPr>
                      <w:rFonts w:ascii="宋体" w:hAnsi="宋体" w:cs="宋体"/>
                      <w:color w:val="auto"/>
                      <w:szCs w:val="21"/>
                      <w:highlight w:val="none"/>
                    </w:rPr>
                  </w:pPr>
                </w:p>
              </w:tc>
              <w:tc>
                <w:tcPr>
                  <w:tcW w:w="848" w:type="dxa"/>
                  <w:vAlign w:val="center"/>
                </w:tcPr>
                <w:p w14:paraId="0ADB185C">
                  <w:pPr>
                    <w:widowControl/>
                    <w:adjustRightInd w:val="0"/>
                    <w:snapToGrid w:val="0"/>
                    <w:spacing w:line="400" w:lineRule="exact"/>
                    <w:jc w:val="left"/>
                    <w:rPr>
                      <w:rFonts w:ascii="宋体" w:hAnsi="宋体" w:cs="宋体"/>
                      <w:color w:val="auto"/>
                      <w:szCs w:val="21"/>
                      <w:highlight w:val="none"/>
                    </w:rPr>
                  </w:pPr>
                </w:p>
              </w:tc>
              <w:tc>
                <w:tcPr>
                  <w:tcW w:w="848" w:type="dxa"/>
                  <w:vAlign w:val="center"/>
                </w:tcPr>
                <w:p w14:paraId="04C3202A">
                  <w:pPr>
                    <w:widowControl/>
                    <w:adjustRightInd w:val="0"/>
                    <w:snapToGrid w:val="0"/>
                    <w:spacing w:line="400" w:lineRule="exact"/>
                    <w:jc w:val="left"/>
                    <w:rPr>
                      <w:rFonts w:ascii="宋体" w:hAnsi="宋体" w:cs="宋体"/>
                      <w:color w:val="auto"/>
                      <w:szCs w:val="21"/>
                      <w:highlight w:val="none"/>
                    </w:rPr>
                  </w:pPr>
                </w:p>
              </w:tc>
              <w:tc>
                <w:tcPr>
                  <w:tcW w:w="848" w:type="dxa"/>
                  <w:vAlign w:val="center"/>
                </w:tcPr>
                <w:p w14:paraId="1A9D2B3D">
                  <w:pPr>
                    <w:widowControl/>
                    <w:adjustRightInd w:val="0"/>
                    <w:snapToGrid w:val="0"/>
                    <w:spacing w:line="400" w:lineRule="exact"/>
                    <w:jc w:val="left"/>
                    <w:rPr>
                      <w:rFonts w:ascii="宋体" w:hAnsi="宋体" w:cs="宋体"/>
                      <w:color w:val="auto"/>
                      <w:szCs w:val="21"/>
                      <w:highlight w:val="none"/>
                    </w:rPr>
                  </w:pPr>
                </w:p>
              </w:tc>
              <w:tc>
                <w:tcPr>
                  <w:tcW w:w="850" w:type="dxa"/>
                  <w:vAlign w:val="center"/>
                </w:tcPr>
                <w:p w14:paraId="1AA41B03">
                  <w:pPr>
                    <w:widowControl/>
                    <w:adjustRightInd w:val="0"/>
                    <w:snapToGrid w:val="0"/>
                    <w:spacing w:line="400" w:lineRule="exact"/>
                    <w:jc w:val="center"/>
                    <w:rPr>
                      <w:rFonts w:ascii="宋体" w:hAnsi="宋体" w:cs="宋体"/>
                      <w:color w:val="auto"/>
                      <w:szCs w:val="21"/>
                      <w:highlight w:val="none"/>
                    </w:rPr>
                  </w:pPr>
                </w:p>
              </w:tc>
            </w:tr>
            <w:tr w14:paraId="35E6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89" w:type="dxa"/>
                  <w:vAlign w:val="center"/>
                </w:tcPr>
                <w:p w14:paraId="216CC328">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对应</w:t>
                  </w:r>
                  <w:r>
                    <w:rPr>
                      <w:rFonts w:ascii="宋体" w:hAnsi="宋体" w:cs="宋体"/>
                      <w:color w:val="auto"/>
                      <w:szCs w:val="21"/>
                      <w:highlight w:val="none"/>
                    </w:rPr>
                    <w:t>M值</w:t>
                  </w:r>
                </w:p>
              </w:tc>
              <w:tc>
                <w:tcPr>
                  <w:tcW w:w="848" w:type="dxa"/>
                  <w:vAlign w:val="center"/>
                </w:tcPr>
                <w:p w14:paraId="772C1A81">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0</w:t>
                  </w:r>
                </w:p>
              </w:tc>
              <w:tc>
                <w:tcPr>
                  <w:tcW w:w="848" w:type="dxa"/>
                  <w:vAlign w:val="center"/>
                </w:tcPr>
                <w:p w14:paraId="0FFE6D1E">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848" w:type="dxa"/>
                  <w:vAlign w:val="center"/>
                </w:tcPr>
                <w:p w14:paraId="715BAD1F">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w:t>
                  </w:r>
                </w:p>
              </w:tc>
              <w:tc>
                <w:tcPr>
                  <w:tcW w:w="848" w:type="dxa"/>
                  <w:vAlign w:val="center"/>
                </w:tcPr>
                <w:p w14:paraId="2C1180BB">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w:t>
                  </w:r>
                </w:p>
              </w:tc>
              <w:tc>
                <w:tcPr>
                  <w:tcW w:w="848" w:type="dxa"/>
                  <w:vAlign w:val="center"/>
                </w:tcPr>
                <w:p w14:paraId="4DD68078">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4</w:t>
                  </w:r>
                </w:p>
              </w:tc>
              <w:tc>
                <w:tcPr>
                  <w:tcW w:w="850" w:type="dxa"/>
                  <w:vAlign w:val="center"/>
                </w:tcPr>
                <w:p w14:paraId="5B8B2B68">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5</w:t>
                  </w:r>
                </w:p>
              </w:tc>
            </w:tr>
          </w:tbl>
          <w:p w14:paraId="28BE562F">
            <w:pPr>
              <w:widowControl/>
              <w:adjustRightInd w:val="0"/>
              <w:snapToGrid w:val="0"/>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K</w:t>
            </w:r>
            <w:r>
              <w:rPr>
                <w:rFonts w:ascii="宋体" w:hAnsi="宋体" w:cs="宋体"/>
                <w:color w:val="auto"/>
                <w:szCs w:val="21"/>
                <w:highlight w:val="none"/>
                <w:vertAlign w:val="subscript"/>
              </w:rPr>
              <w:t>2</w:t>
            </w:r>
            <w:r>
              <w:rPr>
                <w:rFonts w:hint="eastAsia" w:ascii="宋体" w:hAnsi="宋体" w:cs="宋体"/>
                <w:color w:val="auto"/>
                <w:szCs w:val="21"/>
                <w:highlight w:val="none"/>
              </w:rPr>
              <w:t>值的确定</w:t>
            </w:r>
            <w:r>
              <w:rPr>
                <w:rFonts w:hint="eastAsia" w:ascii="宋体" w:hAnsi="宋体" w:cs="宋体"/>
                <w:b/>
                <w:color w:val="auto"/>
                <w:szCs w:val="21"/>
                <w:highlight w:val="none"/>
              </w:rPr>
              <w:t>（□</w:t>
            </w:r>
            <w:r>
              <w:rPr>
                <w:rFonts w:hint="eastAsia" w:ascii="宋体" w:hAnsi="宋体" w:cs="宋体"/>
                <w:color w:val="auto"/>
                <w:szCs w:val="21"/>
                <w:highlight w:val="none"/>
              </w:rPr>
              <w:t>每个标段分别抽取</w:t>
            </w:r>
            <w:r>
              <w:rPr>
                <w:rFonts w:ascii="宋体" w:hAnsi="宋体" w:cs="宋体"/>
                <w:color w:val="auto"/>
                <w:szCs w:val="21"/>
                <w:highlight w:val="none"/>
              </w:rPr>
              <w:t>一次</w:t>
            </w: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抽取</w:t>
            </w:r>
            <w:r>
              <w:rPr>
                <w:rFonts w:ascii="宋体" w:hAnsi="宋体" w:cs="宋体"/>
                <w:color w:val="auto"/>
                <w:szCs w:val="21"/>
                <w:highlight w:val="none"/>
              </w:rPr>
              <w:t>一次</w:t>
            </w:r>
            <w:r>
              <w:rPr>
                <w:rFonts w:hint="eastAsia" w:ascii="宋体" w:hAnsi="宋体" w:cs="宋体"/>
                <w:color w:val="auto"/>
                <w:szCs w:val="21"/>
                <w:highlight w:val="none"/>
              </w:rPr>
              <w:t>适用于</w:t>
            </w:r>
            <w:r>
              <w:rPr>
                <w:rFonts w:ascii="宋体" w:hAnsi="宋体" w:cs="宋体"/>
                <w:color w:val="auto"/>
                <w:szCs w:val="21"/>
                <w:highlight w:val="none"/>
              </w:rPr>
              <w:t>所有</w:t>
            </w:r>
            <w:r>
              <w:rPr>
                <w:rFonts w:hint="eastAsia" w:ascii="宋体" w:hAnsi="宋体" w:cs="宋体"/>
                <w:color w:val="auto"/>
                <w:szCs w:val="21"/>
                <w:highlight w:val="none"/>
              </w:rPr>
              <w:t>标段</w:t>
            </w:r>
            <w:r>
              <w:rPr>
                <w:rFonts w:hint="eastAsia" w:ascii="宋体" w:hAnsi="宋体" w:cs="宋体"/>
                <w:b/>
                <w:color w:val="auto"/>
                <w:szCs w:val="21"/>
                <w:highlight w:val="none"/>
              </w:rPr>
              <w:t>）</w:t>
            </w:r>
            <w:r>
              <w:rPr>
                <w:rFonts w:hint="eastAsia" w:ascii="宋体" w:hAnsi="宋体" w:cs="宋体"/>
                <w:color w:val="auto"/>
                <w:szCs w:val="21"/>
                <w:highlight w:val="none"/>
              </w:rPr>
              <w:t>：</w:t>
            </w:r>
          </w:p>
          <w:tbl>
            <w:tblPr>
              <w:tblStyle w:val="49"/>
              <w:tblW w:w="6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014"/>
              <w:gridCol w:w="1102"/>
              <w:gridCol w:w="965"/>
              <w:gridCol w:w="966"/>
              <w:gridCol w:w="974"/>
            </w:tblGrid>
            <w:tr w14:paraId="3340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82" w:type="dxa"/>
                  <w:vAlign w:val="center"/>
                </w:tcPr>
                <w:p w14:paraId="5327C4D4">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抽取号码值</w:t>
                  </w:r>
                </w:p>
              </w:tc>
              <w:tc>
                <w:tcPr>
                  <w:tcW w:w="1014" w:type="dxa"/>
                  <w:vAlign w:val="center"/>
                </w:tcPr>
                <w:p w14:paraId="7C3CA19D">
                  <w:pPr>
                    <w:widowControl/>
                    <w:adjustRightInd w:val="0"/>
                    <w:snapToGrid w:val="0"/>
                    <w:spacing w:line="400" w:lineRule="exact"/>
                    <w:jc w:val="center"/>
                    <w:rPr>
                      <w:rFonts w:ascii="宋体" w:hAnsi="宋体" w:cs="宋体"/>
                      <w:color w:val="auto"/>
                      <w:szCs w:val="21"/>
                      <w:highlight w:val="none"/>
                    </w:rPr>
                  </w:pPr>
                </w:p>
              </w:tc>
              <w:tc>
                <w:tcPr>
                  <w:tcW w:w="1102" w:type="dxa"/>
                  <w:vAlign w:val="center"/>
                </w:tcPr>
                <w:p w14:paraId="4819984A">
                  <w:pPr>
                    <w:widowControl/>
                    <w:adjustRightInd w:val="0"/>
                    <w:snapToGrid w:val="0"/>
                    <w:spacing w:line="400" w:lineRule="exact"/>
                    <w:jc w:val="center"/>
                    <w:rPr>
                      <w:rFonts w:ascii="宋体" w:hAnsi="宋体" w:cs="宋体"/>
                      <w:color w:val="auto"/>
                      <w:szCs w:val="21"/>
                      <w:highlight w:val="none"/>
                    </w:rPr>
                  </w:pPr>
                </w:p>
              </w:tc>
              <w:tc>
                <w:tcPr>
                  <w:tcW w:w="965" w:type="dxa"/>
                  <w:vAlign w:val="center"/>
                </w:tcPr>
                <w:p w14:paraId="555EF318">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966" w:type="dxa"/>
                  <w:vAlign w:val="center"/>
                </w:tcPr>
                <w:p w14:paraId="2E34EF13">
                  <w:pPr>
                    <w:widowControl/>
                    <w:adjustRightInd w:val="0"/>
                    <w:snapToGrid w:val="0"/>
                    <w:spacing w:line="400" w:lineRule="exact"/>
                    <w:jc w:val="center"/>
                    <w:rPr>
                      <w:rFonts w:ascii="宋体" w:hAnsi="宋体" w:cs="宋体"/>
                      <w:color w:val="auto"/>
                      <w:szCs w:val="21"/>
                      <w:highlight w:val="none"/>
                    </w:rPr>
                  </w:pPr>
                </w:p>
              </w:tc>
              <w:tc>
                <w:tcPr>
                  <w:tcW w:w="974" w:type="dxa"/>
                  <w:vAlign w:val="center"/>
                </w:tcPr>
                <w:p w14:paraId="49CFF16C">
                  <w:pPr>
                    <w:widowControl/>
                    <w:adjustRightInd w:val="0"/>
                    <w:snapToGrid w:val="0"/>
                    <w:spacing w:line="400" w:lineRule="exact"/>
                    <w:jc w:val="center"/>
                    <w:rPr>
                      <w:rFonts w:ascii="宋体" w:hAnsi="宋体" w:cs="宋体"/>
                      <w:color w:val="auto"/>
                      <w:szCs w:val="21"/>
                      <w:highlight w:val="none"/>
                    </w:rPr>
                  </w:pPr>
                </w:p>
              </w:tc>
            </w:tr>
            <w:tr w14:paraId="0D9D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82" w:type="dxa"/>
                  <w:vAlign w:val="center"/>
                </w:tcPr>
                <w:p w14:paraId="22DACA45">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对应</w:t>
                  </w:r>
                  <w:r>
                    <w:rPr>
                      <w:rFonts w:ascii="宋体" w:hAnsi="宋体" w:cs="宋体"/>
                      <w:color w:val="auto"/>
                      <w:szCs w:val="21"/>
                      <w:highlight w:val="none"/>
                    </w:rPr>
                    <w:t>K2值</w:t>
                  </w:r>
                </w:p>
              </w:tc>
              <w:tc>
                <w:tcPr>
                  <w:tcW w:w="1014" w:type="dxa"/>
                  <w:vAlign w:val="center"/>
                </w:tcPr>
                <w:p w14:paraId="35DF7B2C">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85%+M%</w:t>
                  </w:r>
                </w:p>
              </w:tc>
              <w:tc>
                <w:tcPr>
                  <w:tcW w:w="1102" w:type="dxa"/>
                  <w:vAlign w:val="center"/>
                </w:tcPr>
                <w:p w14:paraId="2CD61D5C">
                  <w:pPr>
                    <w:widowControl/>
                    <w:adjustRightInd w:val="0"/>
                    <w:snapToGrid w:val="0"/>
                    <w:spacing w:line="400" w:lineRule="exact"/>
                    <w:jc w:val="center"/>
                    <w:rPr>
                      <w:rFonts w:ascii="宋体" w:hAnsi="宋体" w:cs="宋体"/>
                      <w:color w:val="auto"/>
                      <w:szCs w:val="21"/>
                      <w:highlight w:val="none"/>
                    </w:rPr>
                  </w:pPr>
                </w:p>
              </w:tc>
              <w:tc>
                <w:tcPr>
                  <w:tcW w:w="965" w:type="dxa"/>
                  <w:vAlign w:val="center"/>
                </w:tcPr>
                <w:p w14:paraId="5A2AC7AB">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966" w:type="dxa"/>
                  <w:vAlign w:val="center"/>
                </w:tcPr>
                <w:p w14:paraId="50A4FD30">
                  <w:pPr>
                    <w:widowControl/>
                    <w:adjustRightInd w:val="0"/>
                    <w:snapToGrid w:val="0"/>
                    <w:spacing w:line="400" w:lineRule="exact"/>
                    <w:jc w:val="center"/>
                    <w:rPr>
                      <w:rFonts w:ascii="宋体" w:hAnsi="宋体" w:cs="宋体"/>
                      <w:color w:val="auto"/>
                      <w:szCs w:val="21"/>
                      <w:highlight w:val="none"/>
                    </w:rPr>
                  </w:pPr>
                </w:p>
              </w:tc>
              <w:tc>
                <w:tcPr>
                  <w:tcW w:w="974" w:type="dxa"/>
                  <w:vAlign w:val="center"/>
                </w:tcPr>
                <w:p w14:paraId="7788EE7D">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90%+M%</w:t>
                  </w:r>
                </w:p>
              </w:tc>
            </w:tr>
          </w:tbl>
          <w:p w14:paraId="4D94FF26">
            <w:pPr>
              <w:widowControl/>
              <w:adjustRightInd w:val="0"/>
              <w:snapToGrid w:val="0"/>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Q</w:t>
            </w:r>
            <w:r>
              <w:rPr>
                <w:rFonts w:ascii="宋体" w:hAnsi="宋体" w:cs="宋体"/>
                <w:color w:val="auto"/>
                <w:szCs w:val="21"/>
                <w:highlight w:val="none"/>
                <w:vertAlign w:val="subscript"/>
              </w:rPr>
              <w:t>1</w:t>
            </w:r>
            <w:r>
              <w:rPr>
                <w:rFonts w:hint="eastAsia" w:ascii="宋体" w:hAnsi="宋体" w:cs="宋体"/>
                <w:color w:val="auto"/>
                <w:szCs w:val="21"/>
                <w:highlight w:val="none"/>
              </w:rPr>
              <w:t>值的确定</w:t>
            </w:r>
            <w:r>
              <w:rPr>
                <w:rFonts w:hint="eastAsia" w:ascii="宋体" w:hAnsi="宋体" w:cs="宋体"/>
                <w:b/>
                <w:color w:val="auto"/>
                <w:szCs w:val="21"/>
                <w:highlight w:val="none"/>
              </w:rPr>
              <w:t>（□</w:t>
            </w:r>
            <w:r>
              <w:rPr>
                <w:rFonts w:hint="eastAsia" w:ascii="宋体" w:hAnsi="宋体" w:cs="宋体"/>
                <w:color w:val="auto"/>
                <w:szCs w:val="21"/>
                <w:highlight w:val="none"/>
              </w:rPr>
              <w:t>每个标段分别抽取</w:t>
            </w:r>
            <w:r>
              <w:rPr>
                <w:rFonts w:ascii="宋体" w:hAnsi="宋体" w:cs="宋体"/>
                <w:color w:val="auto"/>
                <w:szCs w:val="21"/>
                <w:highlight w:val="none"/>
              </w:rPr>
              <w:t>一次</w:t>
            </w: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抽取</w:t>
            </w:r>
            <w:r>
              <w:rPr>
                <w:rFonts w:ascii="宋体" w:hAnsi="宋体" w:cs="宋体"/>
                <w:color w:val="auto"/>
                <w:szCs w:val="21"/>
                <w:highlight w:val="none"/>
              </w:rPr>
              <w:t>一次</w:t>
            </w:r>
            <w:r>
              <w:rPr>
                <w:rFonts w:hint="eastAsia" w:ascii="宋体" w:hAnsi="宋体" w:cs="宋体"/>
                <w:color w:val="auto"/>
                <w:szCs w:val="21"/>
                <w:highlight w:val="none"/>
              </w:rPr>
              <w:t>适用于</w:t>
            </w:r>
            <w:r>
              <w:rPr>
                <w:rFonts w:ascii="宋体" w:hAnsi="宋体" w:cs="宋体"/>
                <w:color w:val="auto"/>
                <w:szCs w:val="21"/>
                <w:highlight w:val="none"/>
              </w:rPr>
              <w:t>所有</w:t>
            </w:r>
            <w:r>
              <w:rPr>
                <w:rFonts w:hint="eastAsia" w:ascii="宋体" w:hAnsi="宋体" w:cs="宋体"/>
                <w:color w:val="auto"/>
                <w:szCs w:val="21"/>
                <w:highlight w:val="none"/>
              </w:rPr>
              <w:t>标段</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 xml:space="preserve"> </w:t>
            </w:r>
          </w:p>
          <w:tbl>
            <w:tblPr>
              <w:tblStyle w:val="49"/>
              <w:tblW w:w="6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62"/>
              <w:gridCol w:w="722"/>
              <w:gridCol w:w="742"/>
              <w:gridCol w:w="545"/>
              <w:gridCol w:w="762"/>
              <w:gridCol w:w="703"/>
              <w:gridCol w:w="707"/>
            </w:tblGrid>
            <w:tr w14:paraId="0040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1" w:type="dxa"/>
                  <w:vAlign w:val="center"/>
                </w:tcPr>
                <w:p w14:paraId="2C9496EF">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抽取号码值</w:t>
                  </w:r>
                </w:p>
              </w:tc>
              <w:tc>
                <w:tcPr>
                  <w:tcW w:w="762" w:type="dxa"/>
                  <w:vAlign w:val="center"/>
                </w:tcPr>
                <w:p w14:paraId="23E5D787">
                  <w:pPr>
                    <w:widowControl/>
                    <w:adjustRightInd w:val="0"/>
                    <w:snapToGrid w:val="0"/>
                    <w:spacing w:line="400" w:lineRule="exact"/>
                    <w:jc w:val="left"/>
                    <w:rPr>
                      <w:rFonts w:ascii="宋体" w:hAnsi="宋体" w:cs="宋体"/>
                      <w:color w:val="auto"/>
                      <w:szCs w:val="21"/>
                      <w:highlight w:val="none"/>
                    </w:rPr>
                  </w:pPr>
                </w:p>
              </w:tc>
              <w:tc>
                <w:tcPr>
                  <w:tcW w:w="722" w:type="dxa"/>
                  <w:vAlign w:val="center"/>
                </w:tcPr>
                <w:p w14:paraId="73B8ABFD">
                  <w:pPr>
                    <w:widowControl/>
                    <w:adjustRightInd w:val="0"/>
                    <w:snapToGrid w:val="0"/>
                    <w:spacing w:line="400" w:lineRule="exact"/>
                    <w:jc w:val="left"/>
                    <w:rPr>
                      <w:rFonts w:ascii="宋体" w:hAnsi="宋体" w:cs="宋体"/>
                      <w:color w:val="auto"/>
                      <w:szCs w:val="21"/>
                      <w:highlight w:val="none"/>
                    </w:rPr>
                  </w:pPr>
                </w:p>
              </w:tc>
              <w:tc>
                <w:tcPr>
                  <w:tcW w:w="742" w:type="dxa"/>
                  <w:vAlign w:val="center"/>
                </w:tcPr>
                <w:p w14:paraId="47548FCF">
                  <w:pPr>
                    <w:widowControl/>
                    <w:adjustRightInd w:val="0"/>
                    <w:snapToGrid w:val="0"/>
                    <w:spacing w:line="400" w:lineRule="exact"/>
                    <w:jc w:val="left"/>
                    <w:rPr>
                      <w:rFonts w:ascii="宋体" w:hAnsi="宋体" w:cs="宋体"/>
                      <w:color w:val="auto"/>
                      <w:szCs w:val="21"/>
                      <w:highlight w:val="none"/>
                    </w:rPr>
                  </w:pPr>
                </w:p>
              </w:tc>
              <w:tc>
                <w:tcPr>
                  <w:tcW w:w="545" w:type="dxa"/>
                  <w:vAlign w:val="center"/>
                </w:tcPr>
                <w:p w14:paraId="4CC7AF3B">
                  <w:pPr>
                    <w:widowControl/>
                    <w:adjustRightInd w:val="0"/>
                    <w:snapToGrid w:val="0"/>
                    <w:spacing w:line="400" w:lineRule="exact"/>
                    <w:jc w:val="left"/>
                    <w:rPr>
                      <w:rFonts w:ascii="宋体" w:hAnsi="宋体" w:cs="宋体"/>
                      <w:color w:val="auto"/>
                      <w:szCs w:val="21"/>
                      <w:highlight w:val="none"/>
                    </w:rPr>
                  </w:pPr>
                </w:p>
              </w:tc>
              <w:tc>
                <w:tcPr>
                  <w:tcW w:w="762" w:type="dxa"/>
                  <w:vAlign w:val="center"/>
                </w:tcPr>
                <w:p w14:paraId="5EE2F708">
                  <w:pPr>
                    <w:widowControl/>
                    <w:adjustRightInd w:val="0"/>
                    <w:snapToGrid w:val="0"/>
                    <w:spacing w:line="400" w:lineRule="exact"/>
                    <w:jc w:val="left"/>
                    <w:rPr>
                      <w:rFonts w:ascii="宋体" w:hAnsi="宋体" w:cs="宋体"/>
                      <w:color w:val="auto"/>
                      <w:szCs w:val="21"/>
                      <w:highlight w:val="none"/>
                    </w:rPr>
                  </w:pPr>
                </w:p>
              </w:tc>
              <w:tc>
                <w:tcPr>
                  <w:tcW w:w="703" w:type="dxa"/>
                  <w:vAlign w:val="center"/>
                </w:tcPr>
                <w:p w14:paraId="2F526B9C">
                  <w:pPr>
                    <w:widowControl/>
                    <w:adjustRightInd w:val="0"/>
                    <w:snapToGrid w:val="0"/>
                    <w:spacing w:line="400" w:lineRule="exact"/>
                    <w:jc w:val="left"/>
                    <w:rPr>
                      <w:rFonts w:ascii="宋体" w:hAnsi="宋体" w:cs="宋体"/>
                      <w:color w:val="auto"/>
                      <w:szCs w:val="21"/>
                      <w:highlight w:val="none"/>
                    </w:rPr>
                  </w:pPr>
                </w:p>
              </w:tc>
              <w:tc>
                <w:tcPr>
                  <w:tcW w:w="707" w:type="dxa"/>
                  <w:vAlign w:val="center"/>
                </w:tcPr>
                <w:p w14:paraId="4B3F63C0">
                  <w:pPr>
                    <w:widowControl/>
                    <w:adjustRightInd w:val="0"/>
                    <w:snapToGrid w:val="0"/>
                    <w:spacing w:line="400" w:lineRule="exact"/>
                    <w:jc w:val="left"/>
                    <w:rPr>
                      <w:rFonts w:ascii="宋体" w:hAnsi="宋体" w:cs="宋体"/>
                      <w:color w:val="auto"/>
                      <w:szCs w:val="21"/>
                      <w:highlight w:val="none"/>
                    </w:rPr>
                  </w:pPr>
                </w:p>
              </w:tc>
            </w:tr>
            <w:tr w14:paraId="123D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41" w:type="dxa"/>
                  <w:vAlign w:val="center"/>
                </w:tcPr>
                <w:p w14:paraId="0CCF37F5">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对应</w:t>
                  </w:r>
                  <w:r>
                    <w:rPr>
                      <w:rFonts w:ascii="宋体" w:hAnsi="宋体" w:cs="宋体"/>
                      <w:color w:val="auto"/>
                      <w:szCs w:val="21"/>
                      <w:highlight w:val="none"/>
                    </w:rPr>
                    <w:t>Q</w:t>
                  </w:r>
                  <w:r>
                    <w:rPr>
                      <w:rFonts w:ascii="宋体" w:hAnsi="宋体" w:cs="宋体"/>
                      <w:color w:val="auto"/>
                      <w:szCs w:val="21"/>
                      <w:highlight w:val="none"/>
                      <w:vertAlign w:val="subscript"/>
                    </w:rPr>
                    <w:t>1</w:t>
                  </w:r>
                  <w:r>
                    <w:rPr>
                      <w:rFonts w:hint="eastAsia" w:ascii="宋体" w:hAnsi="宋体" w:cs="宋体"/>
                      <w:color w:val="auto"/>
                      <w:szCs w:val="21"/>
                      <w:highlight w:val="none"/>
                    </w:rPr>
                    <w:t>值</w:t>
                  </w:r>
                </w:p>
              </w:tc>
              <w:tc>
                <w:tcPr>
                  <w:tcW w:w="762" w:type="dxa"/>
                  <w:vAlign w:val="center"/>
                </w:tcPr>
                <w:p w14:paraId="7BD8B416">
                  <w:pPr>
                    <w:widowControl/>
                    <w:adjustRightInd w:val="0"/>
                    <w:snapToGrid w:val="0"/>
                    <w:spacing w:line="400" w:lineRule="exact"/>
                    <w:jc w:val="left"/>
                    <w:rPr>
                      <w:rFonts w:ascii="宋体" w:hAnsi="宋体" w:cs="宋体"/>
                      <w:color w:val="auto"/>
                      <w:szCs w:val="21"/>
                      <w:highlight w:val="none"/>
                    </w:rPr>
                  </w:pPr>
                </w:p>
              </w:tc>
              <w:tc>
                <w:tcPr>
                  <w:tcW w:w="722" w:type="dxa"/>
                  <w:vAlign w:val="center"/>
                </w:tcPr>
                <w:p w14:paraId="4391A225">
                  <w:pPr>
                    <w:widowControl/>
                    <w:adjustRightInd w:val="0"/>
                    <w:snapToGrid w:val="0"/>
                    <w:spacing w:line="400" w:lineRule="exact"/>
                    <w:jc w:val="left"/>
                    <w:rPr>
                      <w:rFonts w:ascii="宋体" w:hAnsi="宋体" w:cs="宋体"/>
                      <w:color w:val="auto"/>
                      <w:szCs w:val="21"/>
                      <w:highlight w:val="none"/>
                    </w:rPr>
                  </w:pPr>
                </w:p>
              </w:tc>
              <w:tc>
                <w:tcPr>
                  <w:tcW w:w="742" w:type="dxa"/>
                  <w:vAlign w:val="center"/>
                </w:tcPr>
                <w:p w14:paraId="60CF9D7D">
                  <w:pPr>
                    <w:widowControl/>
                    <w:adjustRightInd w:val="0"/>
                    <w:snapToGrid w:val="0"/>
                    <w:spacing w:line="400" w:lineRule="exact"/>
                    <w:jc w:val="left"/>
                    <w:rPr>
                      <w:rFonts w:ascii="宋体" w:hAnsi="宋体" w:cs="宋体"/>
                      <w:color w:val="auto"/>
                      <w:szCs w:val="21"/>
                      <w:highlight w:val="none"/>
                    </w:rPr>
                  </w:pPr>
                </w:p>
              </w:tc>
              <w:tc>
                <w:tcPr>
                  <w:tcW w:w="545" w:type="dxa"/>
                  <w:vAlign w:val="center"/>
                </w:tcPr>
                <w:p w14:paraId="0E1047FA">
                  <w:pPr>
                    <w:widowControl/>
                    <w:adjustRightInd w:val="0"/>
                    <w:snapToGrid w:val="0"/>
                    <w:spacing w:line="400" w:lineRule="exact"/>
                    <w:jc w:val="left"/>
                    <w:rPr>
                      <w:rFonts w:ascii="宋体" w:hAnsi="宋体" w:cs="宋体"/>
                      <w:color w:val="auto"/>
                      <w:szCs w:val="21"/>
                      <w:highlight w:val="none"/>
                    </w:rPr>
                  </w:pPr>
                </w:p>
              </w:tc>
              <w:tc>
                <w:tcPr>
                  <w:tcW w:w="762" w:type="dxa"/>
                  <w:vAlign w:val="center"/>
                </w:tcPr>
                <w:p w14:paraId="133478E3">
                  <w:pPr>
                    <w:widowControl/>
                    <w:adjustRightInd w:val="0"/>
                    <w:snapToGrid w:val="0"/>
                    <w:spacing w:line="400" w:lineRule="exact"/>
                    <w:jc w:val="left"/>
                    <w:rPr>
                      <w:rFonts w:ascii="宋体" w:hAnsi="宋体" w:cs="宋体"/>
                      <w:color w:val="auto"/>
                      <w:szCs w:val="21"/>
                      <w:highlight w:val="none"/>
                    </w:rPr>
                  </w:pPr>
                </w:p>
              </w:tc>
              <w:tc>
                <w:tcPr>
                  <w:tcW w:w="703" w:type="dxa"/>
                  <w:vAlign w:val="center"/>
                </w:tcPr>
                <w:p w14:paraId="01E944CA">
                  <w:pPr>
                    <w:widowControl/>
                    <w:adjustRightInd w:val="0"/>
                    <w:snapToGrid w:val="0"/>
                    <w:spacing w:line="400" w:lineRule="exact"/>
                    <w:jc w:val="left"/>
                    <w:rPr>
                      <w:rFonts w:ascii="宋体" w:hAnsi="宋体" w:cs="宋体"/>
                      <w:color w:val="auto"/>
                      <w:szCs w:val="21"/>
                      <w:highlight w:val="none"/>
                    </w:rPr>
                  </w:pPr>
                </w:p>
              </w:tc>
              <w:tc>
                <w:tcPr>
                  <w:tcW w:w="707" w:type="dxa"/>
                  <w:vAlign w:val="center"/>
                </w:tcPr>
                <w:p w14:paraId="2F6320B8">
                  <w:pPr>
                    <w:widowControl/>
                    <w:adjustRightInd w:val="0"/>
                    <w:snapToGrid w:val="0"/>
                    <w:spacing w:line="400" w:lineRule="exact"/>
                    <w:jc w:val="left"/>
                    <w:rPr>
                      <w:rFonts w:ascii="宋体" w:hAnsi="宋体" w:cs="宋体"/>
                      <w:color w:val="auto"/>
                      <w:szCs w:val="21"/>
                      <w:highlight w:val="none"/>
                    </w:rPr>
                  </w:pPr>
                </w:p>
              </w:tc>
            </w:tr>
          </w:tbl>
          <w:p w14:paraId="131BCDF0">
            <w:pPr>
              <w:widowControl/>
              <w:spacing w:line="400" w:lineRule="exact"/>
              <w:ind w:firstLine="0" w:firstLineChars="0"/>
              <w:rPr>
                <w:rFonts w:ascii="宋体" w:hAnsi="宋体" w:cs="宋体"/>
                <w:color w:val="auto"/>
                <w:szCs w:val="21"/>
                <w:highlight w:val="none"/>
              </w:rPr>
            </w:pPr>
            <w:r>
              <w:rPr>
                <w:rFonts w:hint="eastAsia" w:ascii="宋体" w:hAnsi="宋体" w:cs="宋体"/>
                <w:b/>
                <w:bCs/>
                <w:color w:val="auto"/>
                <w:szCs w:val="21"/>
                <w:highlight w:val="none"/>
              </w:rPr>
              <w:sym w:font="Wingdings 2" w:char="00A3"/>
            </w:r>
            <w:r>
              <w:rPr>
                <w:rFonts w:ascii="宋体" w:hAnsi="宋体" w:cs="宋体"/>
                <w:b/>
                <w:bCs/>
                <w:color w:val="auto"/>
                <w:szCs w:val="21"/>
                <w:highlight w:val="none"/>
              </w:rPr>
              <w:t xml:space="preserve"> </w:t>
            </w:r>
            <w:r>
              <w:rPr>
                <w:rFonts w:hint="eastAsia" w:ascii="宋体" w:hAnsi="宋体" w:cs="宋体"/>
                <w:b/>
                <w:bCs/>
                <w:color w:val="auto"/>
                <w:szCs w:val="21"/>
                <w:highlight w:val="none"/>
              </w:rPr>
              <w:t>方法二（二次平均法）</w:t>
            </w:r>
            <w:r>
              <w:rPr>
                <w:rFonts w:hint="eastAsia" w:ascii="宋体" w:hAnsi="宋体" w:cs="宋体"/>
                <w:color w:val="auto"/>
                <w:szCs w:val="21"/>
                <w:highlight w:val="none"/>
              </w:rPr>
              <w:t>：</w:t>
            </w:r>
          </w:p>
          <w:p w14:paraId="34B8F7D8">
            <w:pPr>
              <w:widowControl/>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第一次平均：按本项规定应进入</w:t>
            </w:r>
            <w:r>
              <w:rPr>
                <w:rFonts w:hint="eastAsia" w:ascii="宋体" w:hAnsi="宋体"/>
                <w:color w:val="auto"/>
                <w:szCs w:val="21"/>
                <w:highlight w:val="none"/>
              </w:rPr>
              <w:t>评标基准价计算的评标价的</w:t>
            </w:r>
            <w:r>
              <w:rPr>
                <w:rFonts w:hint="eastAsia" w:ascii="宋体" w:hAnsi="宋体" w:cs="宋体"/>
                <w:color w:val="auto"/>
                <w:szCs w:val="21"/>
                <w:highlight w:val="none"/>
              </w:rPr>
              <w:t>算术</w:t>
            </w:r>
            <w:r>
              <w:rPr>
                <w:rFonts w:hint="eastAsia" w:ascii="宋体" w:hAnsi="宋体"/>
                <w:color w:val="auto"/>
                <w:szCs w:val="21"/>
                <w:highlight w:val="none"/>
              </w:rPr>
              <w:t>平均值</w:t>
            </w:r>
            <w:r>
              <w:rPr>
                <w:rFonts w:hint="eastAsia" w:ascii="宋体" w:hAnsi="宋体" w:cs="宋体"/>
                <w:color w:val="auto"/>
                <w:szCs w:val="21"/>
                <w:highlight w:val="none"/>
              </w:rPr>
              <w:t>（若参与计算的评标价个数≤</w:t>
            </w:r>
            <w:r>
              <w:rPr>
                <w:rFonts w:ascii="宋体" w:hAnsi="宋体" w:cs="宋体"/>
                <w:color w:val="auto"/>
                <w:szCs w:val="21"/>
                <w:highlight w:val="none"/>
              </w:rPr>
              <w:t>10家时，直接取</w:t>
            </w:r>
            <w:r>
              <w:rPr>
                <w:rFonts w:hint="eastAsia" w:ascii="宋体" w:hAnsi="宋体" w:cs="宋体"/>
                <w:color w:val="auto"/>
                <w:szCs w:val="21"/>
                <w:highlight w:val="none"/>
                <w:lang w:eastAsia="zh-CN"/>
              </w:rPr>
              <w:t>算术</w:t>
            </w:r>
            <w:r>
              <w:rPr>
                <w:rFonts w:ascii="宋体" w:hAnsi="宋体" w:cs="宋体"/>
                <w:color w:val="auto"/>
                <w:szCs w:val="21"/>
                <w:highlight w:val="none"/>
              </w:rPr>
              <w:t>平均值；若</w:t>
            </w:r>
            <w:r>
              <w:rPr>
                <w:rFonts w:hint="eastAsia" w:ascii="宋体" w:hAnsi="宋体" w:cs="宋体"/>
                <w:color w:val="auto"/>
                <w:szCs w:val="21"/>
                <w:highlight w:val="none"/>
              </w:rPr>
              <w:t>参与计算</w:t>
            </w:r>
          </w:p>
        </w:tc>
      </w:tr>
      <w:tr w14:paraId="12C49A5B">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8FD0AD6">
            <w:pPr>
              <w:adjustRightInd w:val="0"/>
              <w:snapToGrid w:val="0"/>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2.2.2</w:t>
            </w:r>
          </w:p>
        </w:tc>
        <w:tc>
          <w:tcPr>
            <w:tcW w:w="1134" w:type="dxa"/>
            <w:tcBorders>
              <w:top w:val="single" w:color="auto" w:sz="4" w:space="0"/>
              <w:left w:val="single" w:color="auto" w:sz="4" w:space="0"/>
              <w:bottom w:val="single" w:color="auto" w:sz="4" w:space="0"/>
              <w:right w:val="single" w:color="auto" w:sz="4" w:space="0"/>
            </w:tcBorders>
            <w:vAlign w:val="center"/>
          </w:tcPr>
          <w:p w14:paraId="4768167A">
            <w:pPr>
              <w:widowControl/>
              <w:adjustRightInd w:val="0"/>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评标基准价计算方法</w:t>
            </w:r>
          </w:p>
        </w:tc>
        <w:tc>
          <w:tcPr>
            <w:tcW w:w="6833" w:type="dxa"/>
            <w:tcBorders>
              <w:top w:val="single" w:color="auto" w:sz="4" w:space="0"/>
              <w:left w:val="single" w:color="auto" w:sz="4" w:space="0"/>
              <w:bottom w:val="single" w:color="auto" w:sz="4" w:space="0"/>
              <w:right w:val="single" w:color="auto" w:sz="4" w:space="0"/>
            </w:tcBorders>
            <w:vAlign w:val="center"/>
          </w:tcPr>
          <w:p w14:paraId="3FAD76C4">
            <w:pPr>
              <w:widowControl/>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的评标价个数</w:t>
            </w:r>
            <w:r>
              <w:rPr>
                <w:rFonts w:ascii="宋体" w:hAnsi="宋体" w:cs="宋体"/>
                <w:color w:val="auto"/>
                <w:szCs w:val="21"/>
                <w:highlight w:val="none"/>
              </w:rPr>
              <w:t>＞</w:t>
            </w:r>
            <w:r>
              <w:rPr>
                <w:rFonts w:hint="eastAsia" w:ascii="宋体" w:hAnsi="宋体" w:cs="宋体"/>
                <w:color w:val="auto"/>
                <w:szCs w:val="21"/>
                <w:highlight w:val="none"/>
                <w:lang w:val="en-US" w:eastAsia="zh-CN"/>
              </w:rPr>
              <w:t>n</w:t>
            </w:r>
            <w:r>
              <w:rPr>
                <w:rFonts w:ascii="宋体" w:hAnsi="宋体" w:cs="宋体"/>
                <w:color w:val="auto"/>
                <w:szCs w:val="21"/>
                <w:highlight w:val="none"/>
              </w:rPr>
              <w:t>×10家时，去掉其中的</w:t>
            </w:r>
            <w:r>
              <w:rPr>
                <w:rFonts w:hint="eastAsia" w:ascii="宋体" w:hAnsi="宋体" w:cs="宋体"/>
                <w:color w:val="auto"/>
                <w:szCs w:val="21"/>
                <w:highlight w:val="none"/>
                <w:lang w:val="en-US" w:eastAsia="zh-CN"/>
              </w:rPr>
              <w:t>n</w:t>
            </w:r>
            <w:r>
              <w:rPr>
                <w:rFonts w:ascii="宋体" w:hAnsi="宋体" w:cs="宋体"/>
                <w:color w:val="auto"/>
                <w:szCs w:val="21"/>
                <w:highlight w:val="none"/>
              </w:rPr>
              <w:t>个最高评标价和</w:t>
            </w:r>
            <w:r>
              <w:rPr>
                <w:rFonts w:hint="eastAsia" w:ascii="宋体" w:hAnsi="宋体" w:cs="宋体"/>
                <w:color w:val="auto"/>
                <w:szCs w:val="21"/>
                <w:highlight w:val="none"/>
                <w:lang w:val="en-US" w:eastAsia="zh-CN"/>
              </w:rPr>
              <w:t>n</w:t>
            </w:r>
            <w:r>
              <w:rPr>
                <w:rFonts w:ascii="宋体" w:hAnsi="宋体" w:cs="宋体"/>
                <w:color w:val="auto"/>
                <w:szCs w:val="21"/>
                <w:highlight w:val="none"/>
              </w:rPr>
              <w:t>个最低标价后取算术平均值，</w:t>
            </w:r>
            <w:r>
              <w:rPr>
                <w:rFonts w:hint="eastAsia" w:ascii="宋体" w:hAnsi="宋体" w:cs="宋体"/>
                <w:color w:val="auto"/>
                <w:szCs w:val="21"/>
                <w:highlight w:val="none"/>
                <w:lang w:val="en-US" w:eastAsia="zh-CN"/>
              </w:rPr>
              <w:t>n为</w:t>
            </w:r>
            <w:r>
              <w:rPr>
                <w:rFonts w:hint="eastAsia" w:ascii="微软雅黑" w:hAnsi="微软雅黑" w:eastAsia="微软雅黑" w:cs="微软雅黑"/>
                <w:color w:val="auto"/>
                <w:szCs w:val="21"/>
                <w:highlight w:val="none"/>
                <w:lang w:val="en-US" w:eastAsia="zh-CN"/>
              </w:rPr>
              <w:t>≥</w:t>
            </w:r>
            <w:r>
              <w:rPr>
                <w:rFonts w:hint="eastAsia" w:ascii="宋体" w:hAnsi="宋体" w:cs="宋体"/>
                <w:color w:val="auto"/>
                <w:szCs w:val="21"/>
                <w:highlight w:val="none"/>
                <w:lang w:val="en-US" w:eastAsia="zh-CN"/>
              </w:rPr>
              <w:t>1的</w:t>
            </w:r>
            <w:r>
              <w:rPr>
                <w:rFonts w:ascii="宋体" w:hAnsi="宋体" w:cs="宋体"/>
                <w:color w:val="auto"/>
                <w:szCs w:val="21"/>
                <w:highlight w:val="none"/>
              </w:rPr>
              <w:t>自然数）。</w:t>
            </w:r>
          </w:p>
          <w:p w14:paraId="7F90385A">
            <w:pPr>
              <w:widowControl/>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第二次平均：对所有小于或等于第一次评标价</w:t>
            </w:r>
            <w:r>
              <w:rPr>
                <w:rFonts w:hint="eastAsia" w:ascii="宋体" w:hAnsi="宋体" w:cs="宋体"/>
                <w:color w:val="auto"/>
                <w:szCs w:val="21"/>
                <w:highlight w:val="none"/>
                <w:lang w:eastAsia="zh-CN"/>
              </w:rPr>
              <w:t>算术</w:t>
            </w:r>
            <w:r>
              <w:rPr>
                <w:rFonts w:hint="eastAsia" w:ascii="宋体" w:hAnsi="宋体" w:cs="宋体"/>
                <w:color w:val="auto"/>
                <w:szCs w:val="21"/>
                <w:highlight w:val="none"/>
              </w:rPr>
              <w:t>平均值的评标价（不含第一次平均已去掉的最低价）的二次算术平均值后即为评标基准价。</w:t>
            </w:r>
          </w:p>
          <w:p w14:paraId="07FE7233">
            <w:pPr>
              <w:widowControl/>
              <w:spacing w:line="400" w:lineRule="exact"/>
              <w:rPr>
                <w:rFonts w:ascii="宋体" w:hAnsi="宋体" w:cs="宋体"/>
                <w:color w:val="auto"/>
                <w:szCs w:val="21"/>
                <w:highlight w:val="none"/>
              </w:rPr>
            </w:pPr>
            <w:r>
              <w:rPr>
                <w:rFonts w:hint="eastAsia" w:ascii="宋体" w:hAnsi="宋体" w:cs="宋体"/>
                <w:b/>
                <w:bCs/>
                <w:color w:val="auto"/>
                <w:szCs w:val="21"/>
                <w:highlight w:val="none"/>
              </w:rPr>
              <w:sym w:font="Wingdings 2" w:char="00A3"/>
            </w:r>
            <w:r>
              <w:rPr>
                <w:rFonts w:ascii="宋体" w:hAnsi="宋体" w:cs="宋体"/>
                <w:b/>
                <w:bCs/>
                <w:color w:val="auto"/>
                <w:szCs w:val="21"/>
                <w:highlight w:val="none"/>
              </w:rPr>
              <w:t xml:space="preserve"> </w:t>
            </w:r>
            <w:r>
              <w:rPr>
                <w:rFonts w:hint="eastAsia" w:ascii="宋体" w:hAnsi="宋体" w:cs="宋体"/>
                <w:b/>
                <w:bCs/>
                <w:color w:val="auto"/>
                <w:szCs w:val="21"/>
                <w:highlight w:val="none"/>
              </w:rPr>
              <w:t>方法三（随机低价法）</w:t>
            </w:r>
            <w:r>
              <w:rPr>
                <w:rFonts w:hint="eastAsia" w:ascii="宋体" w:hAnsi="宋体" w:cs="宋体"/>
                <w:color w:val="auto"/>
                <w:szCs w:val="21"/>
                <w:highlight w:val="none"/>
              </w:rPr>
              <w:t>：</w:t>
            </w:r>
          </w:p>
          <w:p w14:paraId="54DAE9B1">
            <w:pPr>
              <w:widowControl/>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评标基准价＝去掉</w:t>
            </w:r>
            <w:r>
              <w:rPr>
                <w:rFonts w:ascii="宋体" w:hAnsi="宋体" w:cs="宋体"/>
                <w:color w:val="auto"/>
                <w:szCs w:val="21"/>
                <w:highlight w:val="none"/>
              </w:rPr>
              <w:t>n个最低</w:t>
            </w:r>
            <w:r>
              <w:rPr>
                <w:rFonts w:hint="eastAsia" w:ascii="宋体" w:hAnsi="宋体" w:cs="宋体"/>
                <w:color w:val="auto"/>
                <w:szCs w:val="21"/>
                <w:highlight w:val="none"/>
              </w:rPr>
              <w:t>评标价</w:t>
            </w:r>
            <w:r>
              <w:rPr>
                <w:rFonts w:ascii="宋体" w:hAnsi="宋体" w:cs="宋体"/>
                <w:color w:val="auto"/>
                <w:szCs w:val="21"/>
                <w:highlight w:val="none"/>
              </w:rPr>
              <w:t>后的最低</w:t>
            </w:r>
            <w:r>
              <w:rPr>
                <w:rFonts w:hint="eastAsia" w:ascii="宋体" w:hAnsi="宋体" w:cs="宋体"/>
                <w:color w:val="auto"/>
                <w:szCs w:val="21"/>
                <w:highlight w:val="none"/>
              </w:rPr>
              <w:t>评标价</w:t>
            </w:r>
            <w:r>
              <w:rPr>
                <w:rFonts w:ascii="宋体" w:hAnsi="宋体" w:cs="宋体"/>
                <w:color w:val="auto"/>
                <w:szCs w:val="21"/>
                <w:highlight w:val="none"/>
              </w:rPr>
              <w:t>。</w:t>
            </w:r>
          </w:p>
          <w:p w14:paraId="00EF67B1">
            <w:pPr>
              <w:widowControl/>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n在第二个信封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ascii="宋体" w:hAnsi="宋体" w:cs="宋体"/>
                <w:color w:val="auto"/>
                <w:szCs w:val="21"/>
                <w:highlight w:val="none"/>
              </w:rPr>
              <w:t>开标现场随机抽取，n的取值范围为</w:t>
            </w:r>
            <w:r>
              <w:rPr>
                <w:rFonts w:hint="eastAsia" w:ascii="宋体" w:hAnsi="宋体" w:cs="宋体"/>
                <w:color w:val="auto"/>
                <w:szCs w:val="21"/>
                <w:highlight w:val="none"/>
              </w:rPr>
              <w:t>按本项规定参与</w:t>
            </w:r>
            <w:r>
              <w:rPr>
                <w:rFonts w:hint="eastAsia" w:ascii="宋体" w:hAnsi="宋体"/>
                <w:color w:val="auto"/>
                <w:szCs w:val="21"/>
                <w:highlight w:val="none"/>
              </w:rPr>
              <w:t>评标基准价计算的评标价</w:t>
            </w:r>
            <w:r>
              <w:rPr>
                <w:rFonts w:ascii="宋体" w:hAnsi="宋体" w:cs="宋体"/>
                <w:color w:val="auto"/>
                <w:szCs w:val="21"/>
                <w:highlight w:val="none"/>
              </w:rPr>
              <w:t>数量的</w:t>
            </w:r>
            <w:r>
              <w:rPr>
                <w:rFonts w:ascii="宋体" w:hAnsi="宋体" w:cs="宋体"/>
                <w:color w:val="auto"/>
                <w:szCs w:val="21"/>
                <w:highlight w:val="none"/>
                <w:u w:val="single"/>
              </w:rPr>
              <w:t xml:space="preserve">     </w:t>
            </w:r>
            <w:r>
              <w:rPr>
                <w:rFonts w:ascii="宋体" w:hAnsi="宋体" w:cs="宋体"/>
                <w:color w:val="auto"/>
                <w:szCs w:val="21"/>
                <w:highlight w:val="none"/>
              </w:rPr>
              <w:t>（0.2～0.7倍）</w:t>
            </w:r>
            <w:r>
              <w:rPr>
                <w:rStyle w:val="59"/>
                <w:rFonts w:ascii="宋体" w:hAnsi="宋体" w:cs="宋体"/>
                <w:color w:val="auto"/>
                <w:szCs w:val="21"/>
                <w:highlight w:val="none"/>
              </w:rPr>
              <w:footnoteReference w:id="123"/>
            </w:r>
            <w:r>
              <w:rPr>
                <w:rFonts w:hint="eastAsia" w:ascii="宋体" w:hAnsi="宋体" w:cs="宋体"/>
                <w:color w:val="auto"/>
                <w:szCs w:val="21"/>
                <w:highlight w:val="none"/>
              </w:rPr>
              <w:t>向下取整后的所有整数。</w:t>
            </w:r>
          </w:p>
          <w:p w14:paraId="7470F85E">
            <w:pPr>
              <w:widowControl/>
              <w:spacing w:line="400" w:lineRule="exact"/>
              <w:ind w:firstLine="0" w:firstLineChars="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方法四（随机下浮系数法）</w:t>
            </w:r>
            <w:r>
              <w:rPr>
                <w:rFonts w:hint="eastAsia" w:ascii="宋体" w:hAnsi="宋体" w:cs="宋体"/>
                <w:color w:val="auto"/>
                <w:szCs w:val="21"/>
                <w:highlight w:val="none"/>
              </w:rPr>
              <w:t>：</w:t>
            </w:r>
          </w:p>
          <w:p w14:paraId="5533B198">
            <w:pPr>
              <w:widowControl/>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以最高投标限价下浮</w:t>
            </w:r>
            <w:r>
              <w:rPr>
                <w:rFonts w:ascii="宋体" w:hAnsi="宋体" w:cs="宋体"/>
                <w:color w:val="auto"/>
                <w:szCs w:val="21"/>
                <w:highlight w:val="none"/>
                <w:u w:val="single"/>
              </w:rPr>
              <w:t xml:space="preserve">       </w:t>
            </w:r>
            <w:r>
              <w:rPr>
                <w:rFonts w:ascii="宋体" w:hAnsi="宋体" w:cs="宋体"/>
                <w:color w:val="auto"/>
                <w:szCs w:val="21"/>
                <w:highlight w:val="none"/>
              </w:rPr>
              <w:t>%</w:t>
            </w:r>
            <w:r>
              <w:rPr>
                <w:rStyle w:val="59"/>
                <w:rFonts w:ascii="宋体" w:hAnsi="宋体" w:cs="宋体"/>
                <w:color w:val="auto"/>
                <w:szCs w:val="21"/>
                <w:highlight w:val="none"/>
              </w:rPr>
              <w:footnoteReference w:id="124"/>
            </w:r>
            <w:r>
              <w:rPr>
                <w:rFonts w:hint="eastAsia" w:ascii="宋体" w:hAnsi="宋体" w:cs="宋体"/>
                <w:color w:val="auto"/>
                <w:szCs w:val="21"/>
                <w:highlight w:val="none"/>
              </w:rPr>
              <w:t>作为评标基准价。</w:t>
            </w:r>
          </w:p>
          <w:tbl>
            <w:tblPr>
              <w:tblStyle w:val="49"/>
              <w:tblW w:w="65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93"/>
              <w:gridCol w:w="1020"/>
              <w:gridCol w:w="846"/>
              <w:gridCol w:w="1329"/>
              <w:gridCol w:w="914"/>
            </w:tblGrid>
            <w:tr w14:paraId="78C7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95" w:type="dxa"/>
                  <w:vAlign w:val="center"/>
                </w:tcPr>
                <w:p w14:paraId="7C3EC2A5">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抽取号码值</w:t>
                  </w:r>
                </w:p>
              </w:tc>
              <w:tc>
                <w:tcPr>
                  <w:tcW w:w="793" w:type="dxa"/>
                  <w:vAlign w:val="center"/>
                </w:tcPr>
                <w:p w14:paraId="24A9CE56">
                  <w:pPr>
                    <w:widowControl/>
                    <w:adjustRightInd w:val="0"/>
                    <w:snapToGrid w:val="0"/>
                    <w:spacing w:line="400" w:lineRule="exact"/>
                    <w:jc w:val="center"/>
                    <w:rPr>
                      <w:rFonts w:ascii="宋体" w:hAnsi="宋体" w:cs="宋体"/>
                      <w:color w:val="auto"/>
                      <w:szCs w:val="21"/>
                      <w:highlight w:val="none"/>
                    </w:rPr>
                  </w:pPr>
                </w:p>
              </w:tc>
              <w:tc>
                <w:tcPr>
                  <w:tcW w:w="1020" w:type="dxa"/>
                  <w:vAlign w:val="center"/>
                </w:tcPr>
                <w:p w14:paraId="4A06FD0E">
                  <w:pPr>
                    <w:widowControl/>
                    <w:adjustRightInd w:val="0"/>
                    <w:snapToGrid w:val="0"/>
                    <w:spacing w:line="400" w:lineRule="exact"/>
                    <w:jc w:val="center"/>
                    <w:rPr>
                      <w:rFonts w:ascii="宋体" w:hAnsi="宋体" w:cs="宋体"/>
                      <w:color w:val="auto"/>
                      <w:szCs w:val="21"/>
                      <w:highlight w:val="none"/>
                    </w:rPr>
                  </w:pPr>
                </w:p>
              </w:tc>
              <w:tc>
                <w:tcPr>
                  <w:tcW w:w="846" w:type="dxa"/>
                  <w:vAlign w:val="center"/>
                </w:tcPr>
                <w:p w14:paraId="6485155F">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29" w:type="dxa"/>
                  <w:vAlign w:val="center"/>
                </w:tcPr>
                <w:p w14:paraId="386BAD26">
                  <w:pPr>
                    <w:widowControl/>
                    <w:adjustRightInd w:val="0"/>
                    <w:snapToGrid w:val="0"/>
                    <w:spacing w:line="400" w:lineRule="exact"/>
                    <w:jc w:val="center"/>
                    <w:rPr>
                      <w:rFonts w:ascii="宋体" w:hAnsi="宋体" w:cs="宋体"/>
                      <w:color w:val="auto"/>
                      <w:szCs w:val="21"/>
                      <w:highlight w:val="none"/>
                    </w:rPr>
                  </w:pPr>
                </w:p>
              </w:tc>
              <w:tc>
                <w:tcPr>
                  <w:tcW w:w="914" w:type="dxa"/>
                  <w:vAlign w:val="center"/>
                </w:tcPr>
                <w:p w14:paraId="4D4644FB">
                  <w:pPr>
                    <w:widowControl/>
                    <w:adjustRightInd w:val="0"/>
                    <w:snapToGrid w:val="0"/>
                    <w:spacing w:line="400" w:lineRule="exact"/>
                    <w:jc w:val="center"/>
                    <w:rPr>
                      <w:rFonts w:ascii="宋体" w:hAnsi="宋体" w:cs="宋体"/>
                      <w:color w:val="auto"/>
                      <w:szCs w:val="21"/>
                      <w:highlight w:val="none"/>
                    </w:rPr>
                  </w:pPr>
                </w:p>
              </w:tc>
            </w:tr>
            <w:tr w14:paraId="6B61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95" w:type="dxa"/>
                  <w:vAlign w:val="center"/>
                </w:tcPr>
                <w:p w14:paraId="62D9BDC2">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对应下浮系数</w:t>
                  </w:r>
                </w:p>
              </w:tc>
              <w:tc>
                <w:tcPr>
                  <w:tcW w:w="793" w:type="dxa"/>
                  <w:vAlign w:val="center"/>
                </w:tcPr>
                <w:p w14:paraId="52633791">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85%</w:t>
                  </w:r>
                </w:p>
              </w:tc>
              <w:tc>
                <w:tcPr>
                  <w:tcW w:w="1020" w:type="dxa"/>
                  <w:vAlign w:val="center"/>
                </w:tcPr>
                <w:p w14:paraId="3CE111E3">
                  <w:pPr>
                    <w:widowControl/>
                    <w:adjustRightInd w:val="0"/>
                    <w:snapToGrid w:val="0"/>
                    <w:spacing w:line="400" w:lineRule="exact"/>
                    <w:jc w:val="center"/>
                    <w:rPr>
                      <w:rFonts w:ascii="宋体" w:hAnsi="宋体" w:cs="宋体"/>
                      <w:color w:val="auto"/>
                      <w:szCs w:val="21"/>
                      <w:highlight w:val="none"/>
                    </w:rPr>
                  </w:pPr>
                </w:p>
              </w:tc>
              <w:tc>
                <w:tcPr>
                  <w:tcW w:w="846" w:type="dxa"/>
                  <w:vAlign w:val="center"/>
                </w:tcPr>
                <w:p w14:paraId="727B27F4">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29" w:type="dxa"/>
                  <w:vAlign w:val="center"/>
                </w:tcPr>
                <w:p w14:paraId="7E34CE55">
                  <w:pPr>
                    <w:widowControl/>
                    <w:adjustRightInd w:val="0"/>
                    <w:snapToGrid w:val="0"/>
                    <w:spacing w:line="400" w:lineRule="exact"/>
                    <w:jc w:val="center"/>
                    <w:rPr>
                      <w:rFonts w:ascii="宋体" w:hAnsi="宋体" w:cs="宋体"/>
                      <w:color w:val="auto"/>
                      <w:szCs w:val="21"/>
                      <w:highlight w:val="none"/>
                    </w:rPr>
                  </w:pPr>
                </w:p>
              </w:tc>
              <w:tc>
                <w:tcPr>
                  <w:tcW w:w="914" w:type="dxa"/>
                  <w:vAlign w:val="center"/>
                </w:tcPr>
                <w:p w14:paraId="0DAEED8B">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95%</w:t>
                  </w:r>
                </w:p>
              </w:tc>
            </w:tr>
          </w:tbl>
          <w:p w14:paraId="7FB7E9AF">
            <w:pPr>
              <w:widowControl/>
              <w:spacing w:line="40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方法</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w:t>
            </w:r>
          </w:p>
          <w:p w14:paraId="48A954C4">
            <w:pPr>
              <w:widowControl/>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p w14:paraId="7D56FAD0">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）评标基准价确定场合：</w:t>
            </w:r>
          </w:p>
          <w:p w14:paraId="094B67BD">
            <w:pPr>
              <w:widowControl/>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评标基准价按以上规则计算后在第二个信封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开标现场公布，如果投标人认为评标基准价计算有误，有权在开标现场提出，经监督人当场核实确认后，可重新计算和宣布评标基准价。</w:t>
            </w:r>
          </w:p>
          <w:p w14:paraId="5DB30524">
            <w:pPr>
              <w:widowControl/>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在评标过程中，评标委员会应对招标人开标时计算的评标基准价进行复核，存在计算错误的应予以修正并在评标报告中作出说明。除</w:t>
            </w:r>
            <w:r>
              <w:rPr>
                <w:rFonts w:ascii="宋体" w:hAnsi="宋体" w:cs="宋体"/>
                <w:color w:val="auto"/>
                <w:szCs w:val="21"/>
                <w:highlight w:val="none"/>
              </w:rPr>
              <w:t>开标时计算错误外，</w:t>
            </w:r>
            <w:r>
              <w:rPr>
                <w:rFonts w:hint="eastAsia" w:ascii="宋体" w:hAnsi="宋体" w:cs="宋体"/>
                <w:color w:val="auto"/>
                <w:szCs w:val="21"/>
                <w:highlight w:val="none"/>
              </w:rPr>
              <w:t>确认后的评标基准价不因第二个信封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ascii="宋体" w:hAnsi="宋体" w:cs="宋体"/>
                <w:color w:val="auto"/>
                <w:szCs w:val="21"/>
                <w:highlight w:val="none"/>
              </w:rPr>
              <w:t>评审否决投标而</w:t>
            </w:r>
            <w:r>
              <w:rPr>
                <w:rFonts w:hint="eastAsia" w:ascii="宋体" w:hAnsi="宋体" w:cs="宋体"/>
                <w:color w:val="auto"/>
                <w:szCs w:val="21"/>
                <w:highlight w:val="none"/>
              </w:rPr>
              <w:t>改变，也不因招投标当事人异议、投诉以及其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任何情形而改变。</w:t>
            </w:r>
          </w:p>
        </w:tc>
      </w:tr>
      <w:tr w14:paraId="77514B76">
        <w:tblPrEx>
          <w:tblCellMar>
            <w:top w:w="0" w:type="dxa"/>
            <w:left w:w="108" w:type="dxa"/>
            <w:bottom w:w="0" w:type="dxa"/>
            <w:right w:w="108" w:type="dxa"/>
          </w:tblCellMar>
        </w:tblPrEx>
        <w:trPr>
          <w:trHeight w:val="1558" w:hRule="atLeast"/>
        </w:trPr>
        <w:tc>
          <w:tcPr>
            <w:tcW w:w="993" w:type="dxa"/>
            <w:tcBorders>
              <w:top w:val="single" w:color="auto" w:sz="4" w:space="0"/>
              <w:left w:val="single" w:color="auto" w:sz="4" w:space="0"/>
              <w:bottom w:val="single" w:color="auto" w:sz="4" w:space="0"/>
              <w:right w:val="single" w:color="auto" w:sz="4" w:space="0"/>
            </w:tcBorders>
            <w:vAlign w:val="center"/>
          </w:tcPr>
          <w:p w14:paraId="6CEE4B72">
            <w:pPr>
              <w:widowControl/>
              <w:adjustRightInd w:val="0"/>
              <w:snapToGrid w:val="0"/>
              <w:spacing w:line="400" w:lineRule="exact"/>
              <w:jc w:val="center"/>
              <w:rPr>
                <w:rFonts w:ascii="宋体" w:hAnsi="宋体" w:cs="宋体"/>
                <w:color w:val="auto"/>
                <w:kern w:val="0"/>
                <w:szCs w:val="21"/>
                <w:highlight w:val="none"/>
              </w:rPr>
            </w:pPr>
            <w:r>
              <w:rPr>
                <w:rFonts w:ascii="宋体" w:hAnsi="宋体"/>
                <w:color w:val="auto"/>
                <w:szCs w:val="21"/>
                <w:highlight w:val="none"/>
              </w:rPr>
              <w:t>2.2.3</w:t>
            </w:r>
          </w:p>
        </w:tc>
        <w:tc>
          <w:tcPr>
            <w:tcW w:w="1134" w:type="dxa"/>
            <w:tcBorders>
              <w:top w:val="single" w:color="auto" w:sz="4" w:space="0"/>
              <w:left w:val="single" w:color="auto" w:sz="4" w:space="0"/>
              <w:bottom w:val="single" w:color="auto" w:sz="4" w:space="0"/>
              <w:right w:val="single" w:color="auto" w:sz="4" w:space="0"/>
            </w:tcBorders>
            <w:vAlign w:val="center"/>
          </w:tcPr>
          <w:p w14:paraId="13E32C87">
            <w:pPr>
              <w:widowControl/>
              <w:adjustRightInd w:val="0"/>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评标价的偏差率计算</w:t>
            </w:r>
            <w:r>
              <w:rPr>
                <w:rFonts w:hint="eastAsia" w:ascii="宋体" w:hAnsi="宋体"/>
                <w:color w:val="auto"/>
                <w:szCs w:val="21"/>
                <w:highlight w:val="none"/>
                <w:lang w:val="en-US" w:eastAsia="zh-CN"/>
              </w:rPr>
              <w:t>公式</w:t>
            </w:r>
          </w:p>
        </w:tc>
        <w:tc>
          <w:tcPr>
            <w:tcW w:w="6833" w:type="dxa"/>
            <w:tcBorders>
              <w:top w:val="single" w:color="auto" w:sz="4" w:space="0"/>
              <w:left w:val="single" w:color="auto" w:sz="4" w:space="0"/>
              <w:bottom w:val="single" w:color="000000" w:sz="4" w:space="0"/>
              <w:right w:val="single" w:color="000000" w:sz="4" w:space="0"/>
            </w:tcBorders>
            <w:vAlign w:val="center"/>
          </w:tcPr>
          <w:p w14:paraId="109956E2">
            <w:pPr>
              <w:pStyle w:val="299"/>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偏差率＝</w:t>
            </w:r>
            <w:r>
              <w:rPr>
                <w:rFonts w:ascii="宋体" w:hAnsi="宋体"/>
                <w:color w:val="auto"/>
                <w:szCs w:val="21"/>
                <w:highlight w:val="none"/>
              </w:rPr>
              <w:t>|100%</w:t>
            </w:r>
            <w:r>
              <w:rPr>
                <w:rFonts w:hint="eastAsia" w:ascii="宋体" w:hAnsi="宋体"/>
                <w:color w:val="auto"/>
                <w:szCs w:val="21"/>
                <w:highlight w:val="none"/>
              </w:rPr>
              <w:t>×（投标人评标价－评标基准价）／评标基准价</w:t>
            </w:r>
            <w:r>
              <w:rPr>
                <w:rFonts w:ascii="宋体" w:hAnsi="宋体"/>
                <w:color w:val="auto"/>
                <w:szCs w:val="21"/>
                <w:highlight w:val="none"/>
              </w:rPr>
              <w:t>|</w:t>
            </w:r>
          </w:p>
          <w:p w14:paraId="2B4B514A">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偏差率保留</w:t>
            </w:r>
            <w:r>
              <w:rPr>
                <w:rFonts w:ascii="宋体" w:hAnsi="宋体"/>
                <w:color w:val="auto"/>
                <w:szCs w:val="21"/>
                <w:highlight w:val="none"/>
                <w:u w:val="single"/>
              </w:rPr>
              <w:t xml:space="preserve">      </w:t>
            </w:r>
            <w:r>
              <w:rPr>
                <w:rFonts w:hint="eastAsia" w:ascii="宋体" w:hAnsi="宋体"/>
                <w:color w:val="auto"/>
                <w:szCs w:val="21"/>
                <w:highlight w:val="none"/>
              </w:rPr>
              <w:t>位小数（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前数值的位数</w:t>
            </w:r>
            <w:r>
              <w:rPr>
                <w:rFonts w:hint="eastAsia" w:ascii="宋体" w:hAnsi="宋体"/>
                <w:color w:val="auto"/>
                <w:szCs w:val="21"/>
                <w:highlight w:val="none"/>
              </w:rPr>
              <w:t>）</w:t>
            </w:r>
          </w:p>
        </w:tc>
      </w:tr>
    </w:tbl>
    <w:p w14:paraId="3CBBDBA1">
      <w:pPr>
        <w:jc w:val="left"/>
        <w:rPr>
          <w:rFonts w:hint="eastAsia"/>
          <w:color w:val="auto"/>
          <w:highlight w:val="none"/>
          <w:lang w:val="en-US" w:eastAsia="zh-CN"/>
        </w:rPr>
      </w:pPr>
      <w:r>
        <w:rPr>
          <w:rFonts w:hint="eastAsia"/>
          <w:color w:val="auto"/>
          <w:highlight w:val="none"/>
          <w:lang w:val="en-US" w:eastAsia="zh-CN"/>
        </w:rPr>
        <w:br w:type="page"/>
      </w:r>
    </w:p>
    <w:p w14:paraId="7A8664E2">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9"/>
        <w:tblW w:w="8937" w:type="dxa"/>
        <w:tblInd w:w="-34" w:type="dxa"/>
        <w:tblLayout w:type="fixed"/>
        <w:tblCellMar>
          <w:top w:w="0" w:type="dxa"/>
          <w:left w:w="108" w:type="dxa"/>
          <w:bottom w:w="0" w:type="dxa"/>
          <w:right w:w="108" w:type="dxa"/>
        </w:tblCellMar>
      </w:tblPr>
      <w:tblGrid>
        <w:gridCol w:w="993"/>
        <w:gridCol w:w="1134"/>
        <w:gridCol w:w="1071"/>
        <w:gridCol w:w="5739"/>
      </w:tblGrid>
      <w:tr w14:paraId="1C0E2900">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CAB1B99">
            <w:pPr>
              <w:pStyle w:val="299"/>
              <w:spacing w:line="400" w:lineRule="exact"/>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条款号</w:t>
            </w:r>
          </w:p>
        </w:tc>
        <w:tc>
          <w:tcPr>
            <w:tcW w:w="1134" w:type="dxa"/>
            <w:tcBorders>
              <w:top w:val="single" w:color="auto" w:sz="4" w:space="0"/>
              <w:left w:val="single" w:color="auto" w:sz="4" w:space="0"/>
              <w:bottom w:val="single" w:color="auto" w:sz="4" w:space="0"/>
              <w:right w:val="single" w:color="auto" w:sz="4" w:space="0"/>
            </w:tcBorders>
            <w:vAlign w:val="center"/>
          </w:tcPr>
          <w:p w14:paraId="16DC1E9E">
            <w:pPr>
              <w:pStyle w:val="299"/>
              <w:adjustRightInd w:val="0"/>
              <w:snapToGrid w:val="0"/>
              <w:spacing w:line="400" w:lineRule="exact"/>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评分因素</w:t>
            </w:r>
          </w:p>
        </w:tc>
        <w:tc>
          <w:tcPr>
            <w:tcW w:w="1071" w:type="dxa"/>
            <w:tcBorders>
              <w:top w:val="single" w:color="000000" w:sz="4" w:space="0"/>
              <w:left w:val="single" w:color="auto" w:sz="4" w:space="0"/>
              <w:bottom w:val="single" w:color="000000" w:sz="4" w:space="0"/>
              <w:right w:val="single" w:color="000000" w:sz="4" w:space="0"/>
            </w:tcBorders>
            <w:vAlign w:val="center"/>
          </w:tcPr>
          <w:p w14:paraId="66587A6F">
            <w:pPr>
              <w:widowControl/>
              <w:adjustRightInd w:val="0"/>
              <w:snapToGrid w:val="0"/>
              <w:spacing w:line="400" w:lineRule="exact"/>
              <w:ind w:firstLine="0" w:firstLineChars="0"/>
              <w:jc w:val="cente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评分因素</w:t>
            </w:r>
          </w:p>
          <w:p w14:paraId="545ABAA8">
            <w:pPr>
              <w:widowControl/>
              <w:adjustRightInd w:val="0"/>
              <w:snapToGrid w:val="0"/>
              <w:spacing w:line="400" w:lineRule="exact"/>
              <w:ind w:firstLine="0" w:firstLineChars="0"/>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权重分值</w:t>
            </w:r>
          </w:p>
        </w:tc>
        <w:tc>
          <w:tcPr>
            <w:tcW w:w="5739" w:type="dxa"/>
            <w:tcBorders>
              <w:top w:val="single" w:color="000000" w:sz="4" w:space="0"/>
              <w:left w:val="single" w:color="auto" w:sz="4" w:space="0"/>
              <w:bottom w:val="single" w:color="000000" w:sz="4" w:space="0"/>
              <w:right w:val="single" w:color="000000" w:sz="4" w:space="0"/>
            </w:tcBorders>
            <w:vAlign w:val="center"/>
          </w:tcPr>
          <w:p w14:paraId="2C5E856F">
            <w:pPr>
              <w:widowControl/>
              <w:adjustRightInd w:val="0"/>
              <w:snapToGrid w:val="0"/>
              <w:spacing w:line="400" w:lineRule="exact"/>
              <w:ind w:firstLine="422" w:firstLineChars="200"/>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评分标准</w:t>
            </w:r>
          </w:p>
        </w:tc>
      </w:tr>
      <w:tr w14:paraId="3E8C0D0A">
        <w:tblPrEx>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cBorders>
            <w:vAlign w:val="center"/>
          </w:tcPr>
          <w:p w14:paraId="3FDC5D88">
            <w:pPr>
              <w:pStyle w:val="299"/>
              <w:jc w:val="center"/>
              <w:rPr>
                <w:rFonts w:ascii="宋体" w:hAnsi="宋体" w:cs="宋体"/>
                <w:color w:val="auto"/>
                <w:kern w:val="0"/>
                <w:szCs w:val="21"/>
                <w:highlight w:val="none"/>
              </w:rPr>
            </w:pPr>
            <w:r>
              <w:rPr>
                <w:rFonts w:ascii="宋体" w:hAnsi="宋体"/>
                <w:color w:val="auto"/>
                <w:szCs w:val="21"/>
                <w:highlight w:val="none"/>
              </w:rPr>
              <w:t>2.2.4</w:t>
            </w:r>
          </w:p>
        </w:tc>
        <w:tc>
          <w:tcPr>
            <w:tcW w:w="1134" w:type="dxa"/>
            <w:tcBorders>
              <w:top w:val="single" w:color="auto" w:sz="4" w:space="0"/>
              <w:left w:val="single" w:color="auto" w:sz="4" w:space="0"/>
              <w:bottom w:val="single" w:color="auto" w:sz="4" w:space="0"/>
              <w:right w:val="single" w:color="auto" w:sz="4" w:space="0"/>
            </w:tcBorders>
            <w:vAlign w:val="center"/>
          </w:tcPr>
          <w:p w14:paraId="75F6B105">
            <w:pPr>
              <w:pStyle w:val="299"/>
              <w:adjustRightInd w:val="0"/>
              <w:snapToGrid w:val="0"/>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评标价F</w:t>
            </w:r>
          </w:p>
        </w:tc>
        <w:tc>
          <w:tcPr>
            <w:tcW w:w="1071" w:type="dxa"/>
            <w:tcBorders>
              <w:top w:val="single" w:color="000000" w:sz="4" w:space="0"/>
              <w:left w:val="single" w:color="auto" w:sz="4" w:space="0"/>
              <w:bottom w:val="single" w:color="000000" w:sz="4" w:space="0"/>
              <w:right w:val="single" w:color="000000" w:sz="4" w:space="0"/>
            </w:tcBorders>
            <w:vAlign w:val="center"/>
          </w:tcPr>
          <w:p w14:paraId="29A448A2">
            <w:pPr>
              <w:widowControl/>
              <w:adjustRightInd w:val="0"/>
              <w:snapToGrid w:val="0"/>
              <w:spacing w:line="400" w:lineRule="exact"/>
              <w:ind w:firstLine="0" w:firstLineChars="0"/>
              <w:rPr>
                <w:rFonts w:hint="eastAsia" w:ascii="宋体" w:hAnsi="宋体"/>
                <w:color w:val="auto"/>
                <w:szCs w:val="21"/>
                <w:highlight w:val="none"/>
              </w:rPr>
            </w:pPr>
            <w:r>
              <w:rPr>
                <w:rFonts w:ascii="宋体" w:hAnsi="宋体"/>
                <w:b w:val="0"/>
                <w:bCs/>
                <w:color w:val="auto"/>
                <w:szCs w:val="21"/>
                <w:highlight w:val="none"/>
                <w:u w:val="single"/>
              </w:rPr>
              <w:t xml:space="preserve">     </w:t>
            </w:r>
            <w:r>
              <w:rPr>
                <w:rFonts w:hint="eastAsia" w:ascii="宋体" w:hAnsi="宋体"/>
                <w:b w:val="0"/>
                <w:bCs/>
                <w:color w:val="auto"/>
                <w:szCs w:val="21"/>
                <w:highlight w:val="none"/>
              </w:rPr>
              <w:t>分</w:t>
            </w:r>
          </w:p>
        </w:tc>
        <w:tc>
          <w:tcPr>
            <w:tcW w:w="5739" w:type="dxa"/>
            <w:tcBorders>
              <w:top w:val="single" w:color="000000" w:sz="4" w:space="0"/>
              <w:left w:val="single" w:color="auto" w:sz="4" w:space="0"/>
              <w:bottom w:val="single" w:color="000000" w:sz="4" w:space="0"/>
              <w:right w:val="single" w:color="000000" w:sz="4" w:space="0"/>
            </w:tcBorders>
            <w:vAlign w:val="center"/>
          </w:tcPr>
          <w:p w14:paraId="25467917">
            <w:pPr>
              <w:pStyle w:val="299"/>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评标价得分计算公式：</w:t>
            </w:r>
          </w:p>
          <w:p w14:paraId="4FB542F0">
            <w:pPr>
              <w:pStyle w:val="299"/>
              <w:adjustRightInd w:val="0"/>
              <w:snapToGrid w:val="0"/>
              <w:spacing w:line="400" w:lineRule="exact"/>
              <w:rPr>
                <w:rFonts w:ascii="宋体" w:hAnsi="宋体"/>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 xml:space="preserve"> </w:t>
            </w:r>
            <w:r>
              <w:rPr>
                <w:rFonts w:hint="eastAsia" w:ascii="宋体" w:hAnsi="宋体"/>
                <w:b/>
                <w:bCs/>
                <w:color w:val="auto"/>
                <w:szCs w:val="21"/>
                <w:highlight w:val="none"/>
              </w:rPr>
              <w:t>方式一</w:t>
            </w:r>
            <w:r>
              <w:rPr>
                <w:rFonts w:hint="eastAsia" w:ascii="宋体" w:hAnsi="宋体"/>
                <w:color w:val="auto"/>
                <w:szCs w:val="21"/>
                <w:highlight w:val="none"/>
              </w:rPr>
              <w:t>：</w:t>
            </w:r>
          </w:p>
          <w:p w14:paraId="0C10F7AD">
            <w:pPr>
              <w:pStyle w:val="299"/>
              <w:adjustRightInd w:val="0"/>
              <w:snapToGrid w:val="0"/>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）如果投标人的评标价＞评标基准价，则</w:t>
            </w:r>
          </w:p>
          <w:p w14:paraId="5C616459">
            <w:pPr>
              <w:pStyle w:val="299"/>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评标价得分</w:t>
            </w:r>
            <w:r>
              <w:rPr>
                <w:rFonts w:ascii="宋体" w:hAnsi="宋体"/>
                <w:color w:val="auto"/>
                <w:szCs w:val="21"/>
                <w:highlight w:val="none"/>
              </w:rPr>
              <w:t>F</w:t>
            </w:r>
            <w:r>
              <w:rPr>
                <w:rFonts w:hint="eastAsia" w:ascii="宋体" w:hAnsi="宋体"/>
                <w:color w:val="auto"/>
                <w:szCs w:val="21"/>
                <w:highlight w:val="none"/>
              </w:rPr>
              <w:t>＝</w:t>
            </w:r>
            <w:r>
              <w:rPr>
                <w:rFonts w:ascii="宋体" w:hAnsi="宋体"/>
                <w:color w:val="auto"/>
                <w:szCs w:val="21"/>
                <w:highlight w:val="none"/>
              </w:rPr>
              <w:t>F</w:t>
            </w:r>
            <w:r>
              <w:rPr>
                <w:rFonts w:ascii="宋体" w:hAnsi="宋体"/>
                <w:color w:val="auto"/>
                <w:szCs w:val="21"/>
                <w:highlight w:val="none"/>
                <w:vertAlign w:val="subscript"/>
              </w:rPr>
              <w:t>0</w:t>
            </w:r>
            <w:r>
              <w:rPr>
                <w:rFonts w:hint="eastAsia" w:ascii="宋体" w:hAnsi="宋体"/>
                <w:color w:val="auto"/>
                <w:szCs w:val="21"/>
                <w:highlight w:val="none"/>
              </w:rPr>
              <w:t>－偏差率×</w:t>
            </w: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E</w:t>
            </w:r>
            <w:r>
              <w:rPr>
                <w:rFonts w:ascii="宋体" w:hAnsi="宋体"/>
                <w:color w:val="auto"/>
                <w:szCs w:val="21"/>
                <w:highlight w:val="none"/>
                <w:vertAlign w:val="subscript"/>
              </w:rPr>
              <w:t>1</w:t>
            </w:r>
          </w:p>
          <w:p w14:paraId="4008FCD4">
            <w:pPr>
              <w:pStyle w:val="299"/>
              <w:adjustRightInd w:val="0"/>
              <w:snapToGrid w:val="0"/>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）如果投标人的评标价≤评标基准价，则</w:t>
            </w:r>
          </w:p>
          <w:p w14:paraId="63681D39">
            <w:pPr>
              <w:pStyle w:val="299"/>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评标价得分</w:t>
            </w:r>
            <w:r>
              <w:rPr>
                <w:rFonts w:ascii="宋体" w:hAnsi="宋体"/>
                <w:color w:val="auto"/>
                <w:szCs w:val="21"/>
                <w:highlight w:val="none"/>
              </w:rPr>
              <w:t>F</w:t>
            </w:r>
            <w:r>
              <w:rPr>
                <w:rFonts w:hint="eastAsia" w:ascii="宋体" w:hAnsi="宋体"/>
                <w:color w:val="auto"/>
                <w:szCs w:val="21"/>
                <w:highlight w:val="none"/>
              </w:rPr>
              <w:t>＝</w:t>
            </w:r>
            <w:r>
              <w:rPr>
                <w:rFonts w:ascii="宋体" w:hAnsi="宋体"/>
                <w:color w:val="auto"/>
                <w:szCs w:val="21"/>
                <w:highlight w:val="none"/>
              </w:rPr>
              <w:t>F</w:t>
            </w:r>
            <w:r>
              <w:rPr>
                <w:rFonts w:ascii="宋体" w:hAnsi="宋体"/>
                <w:color w:val="auto"/>
                <w:szCs w:val="21"/>
                <w:highlight w:val="none"/>
                <w:vertAlign w:val="subscript"/>
              </w:rPr>
              <w:t>0</w:t>
            </w:r>
            <w:r>
              <w:rPr>
                <w:rFonts w:hint="eastAsia" w:ascii="宋体" w:hAnsi="宋体"/>
                <w:color w:val="auto"/>
                <w:szCs w:val="21"/>
                <w:highlight w:val="none"/>
              </w:rPr>
              <w:t>－偏差率×</w:t>
            </w: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E</w:t>
            </w:r>
            <w:r>
              <w:rPr>
                <w:rFonts w:ascii="宋体" w:hAnsi="宋体"/>
                <w:color w:val="auto"/>
                <w:szCs w:val="21"/>
                <w:highlight w:val="none"/>
                <w:vertAlign w:val="subscript"/>
              </w:rPr>
              <w:t>2</w:t>
            </w:r>
          </w:p>
          <w:p w14:paraId="0668049A">
            <w:pPr>
              <w:pStyle w:val="299"/>
              <w:adjustRightInd w:val="0"/>
              <w:snapToGrid w:val="0"/>
              <w:spacing w:line="400" w:lineRule="exact"/>
              <w:ind w:firstLine="210" w:firstLineChars="100"/>
              <w:rPr>
                <w:rFonts w:ascii="宋体" w:hAnsi="宋体"/>
                <w:color w:val="auto"/>
                <w:szCs w:val="21"/>
                <w:highlight w:val="none"/>
              </w:rPr>
            </w:pPr>
            <w:r>
              <w:rPr>
                <w:rFonts w:hint="eastAsia" w:ascii="宋体" w:hAnsi="宋体"/>
                <w:color w:val="auto"/>
                <w:szCs w:val="21"/>
                <w:highlight w:val="none"/>
              </w:rPr>
              <w:t>其中：</w:t>
            </w:r>
            <w:r>
              <w:rPr>
                <w:rFonts w:ascii="宋体" w:hAnsi="宋体"/>
                <w:color w:val="auto"/>
                <w:szCs w:val="21"/>
                <w:highlight w:val="none"/>
              </w:rPr>
              <w:t>F</w:t>
            </w:r>
            <w:r>
              <w:rPr>
                <w:rFonts w:ascii="宋体" w:hAnsi="宋体"/>
                <w:color w:val="auto"/>
                <w:szCs w:val="21"/>
                <w:highlight w:val="none"/>
                <w:vertAlign w:val="subscript"/>
              </w:rPr>
              <w:t>0</w:t>
            </w:r>
            <w:r>
              <w:rPr>
                <w:rFonts w:hint="eastAsia" w:ascii="宋体" w:hAnsi="宋体"/>
                <w:color w:val="auto"/>
                <w:szCs w:val="21"/>
                <w:highlight w:val="none"/>
                <w:lang w:val="en-US" w:eastAsia="zh-CN"/>
              </w:rPr>
              <w:t>为</w:t>
            </w:r>
            <w:r>
              <w:rPr>
                <w:rFonts w:hint="eastAsia" w:ascii="宋体" w:hAnsi="宋体"/>
                <w:color w:val="auto"/>
                <w:szCs w:val="21"/>
                <w:highlight w:val="none"/>
              </w:rPr>
              <w:t>评标价所占的权重分值；</w:t>
            </w:r>
            <w:r>
              <w:rPr>
                <w:rFonts w:ascii="宋体" w:hAnsi="宋体"/>
                <w:color w:val="auto"/>
                <w:szCs w:val="21"/>
                <w:highlight w:val="none"/>
              </w:rPr>
              <w:t>E</w:t>
            </w:r>
            <w:r>
              <w:rPr>
                <w:rFonts w:ascii="宋体" w:hAnsi="宋体"/>
                <w:color w:val="auto"/>
                <w:szCs w:val="21"/>
                <w:highlight w:val="none"/>
                <w:vertAlign w:val="subscript"/>
              </w:rPr>
              <w:t>1</w:t>
            </w:r>
            <w:r>
              <w:rPr>
                <w:rFonts w:hint="eastAsia" w:ascii="宋体" w:hAnsi="宋体"/>
                <w:color w:val="auto"/>
                <w:szCs w:val="21"/>
                <w:highlight w:val="none"/>
                <w:lang w:val="en-US" w:eastAsia="zh-CN"/>
              </w:rPr>
              <w:t>为</w:t>
            </w:r>
            <w:r>
              <w:rPr>
                <w:rFonts w:hint="eastAsia" w:ascii="宋体" w:hAnsi="宋体"/>
                <w:color w:val="auto"/>
                <w:szCs w:val="21"/>
                <w:highlight w:val="none"/>
              </w:rPr>
              <w:t>评标价每高于评标基准价一个百分点的扣分值；</w:t>
            </w:r>
            <w:r>
              <w:rPr>
                <w:rFonts w:ascii="宋体" w:hAnsi="宋体"/>
                <w:color w:val="auto"/>
                <w:szCs w:val="21"/>
                <w:highlight w:val="none"/>
              </w:rPr>
              <w:t>E</w:t>
            </w:r>
            <w:r>
              <w:rPr>
                <w:rFonts w:ascii="宋体" w:hAnsi="宋体"/>
                <w:color w:val="auto"/>
                <w:szCs w:val="21"/>
                <w:highlight w:val="none"/>
                <w:vertAlign w:val="subscript"/>
              </w:rPr>
              <w:t>2</w:t>
            </w:r>
            <w:r>
              <w:rPr>
                <w:rFonts w:hint="eastAsia" w:ascii="宋体" w:hAnsi="宋体"/>
                <w:color w:val="auto"/>
                <w:szCs w:val="21"/>
                <w:highlight w:val="none"/>
                <w:lang w:val="en-US" w:eastAsia="zh-CN"/>
              </w:rPr>
              <w:t>为</w:t>
            </w:r>
            <w:r>
              <w:rPr>
                <w:rFonts w:hint="eastAsia" w:ascii="宋体" w:hAnsi="宋体"/>
                <w:color w:val="auto"/>
                <w:szCs w:val="21"/>
                <w:highlight w:val="none"/>
              </w:rPr>
              <w:t>评标价每低于评标基准价一个百分点的扣分值。</w:t>
            </w:r>
            <w:r>
              <w:rPr>
                <w:rFonts w:hint="eastAsia" w:ascii="宋体" w:hAnsi="宋体" w:cs="宋体"/>
                <w:color w:val="auto"/>
                <w:szCs w:val="21"/>
                <w:highlight w:val="none"/>
              </w:rPr>
              <w:t>投标人评标价得分最低为</w:t>
            </w:r>
            <w:r>
              <w:rPr>
                <w:rFonts w:ascii="宋体" w:hAnsi="宋体" w:cs="宋体"/>
                <w:color w:val="auto"/>
                <w:szCs w:val="21"/>
                <w:highlight w:val="none"/>
              </w:rPr>
              <w:t>0</w:t>
            </w:r>
            <w:r>
              <w:rPr>
                <w:rFonts w:hint="eastAsia" w:ascii="宋体" w:hAnsi="宋体" w:cs="宋体"/>
                <w:color w:val="auto"/>
                <w:szCs w:val="21"/>
                <w:highlight w:val="none"/>
              </w:rPr>
              <w:t>分。</w:t>
            </w:r>
          </w:p>
          <w:p w14:paraId="5B10318B">
            <w:pPr>
              <w:pStyle w:val="299"/>
              <w:adjustRightInd w:val="0"/>
              <w:snapToGrid w:val="0"/>
              <w:spacing w:line="400" w:lineRule="exact"/>
              <w:ind w:firstLine="210" w:firstLineChars="100"/>
              <w:rPr>
                <w:rFonts w:ascii="宋体" w:hAnsi="宋体"/>
                <w:color w:val="auto"/>
                <w:szCs w:val="21"/>
                <w:highlight w:val="none"/>
                <w:u w:val="single"/>
              </w:rPr>
            </w:pPr>
            <w:r>
              <w:rPr>
                <w:rFonts w:hint="eastAsia" w:ascii="宋体" w:hAnsi="宋体"/>
                <w:color w:val="auto"/>
                <w:szCs w:val="21"/>
                <w:highlight w:val="none"/>
              </w:rPr>
              <w:t>本次招标</w:t>
            </w:r>
            <w:r>
              <w:rPr>
                <w:rFonts w:ascii="宋体" w:hAnsi="宋体"/>
                <w:color w:val="auto"/>
                <w:szCs w:val="21"/>
                <w:highlight w:val="none"/>
              </w:rPr>
              <w:t xml:space="preserve"> E</w:t>
            </w:r>
            <w:r>
              <w:rPr>
                <w:rFonts w:ascii="宋体" w:hAnsi="宋体"/>
                <w:color w:val="auto"/>
                <w:szCs w:val="21"/>
                <w:highlight w:val="none"/>
                <w:vertAlign w:val="subscript"/>
              </w:rPr>
              <w:t>1</w:t>
            </w:r>
            <w:r>
              <w:rPr>
                <w:rFonts w:hint="eastAsia" w:ascii="宋体" w:hAnsi="宋体"/>
                <w:color w:val="auto"/>
                <w:szCs w:val="21"/>
                <w:highlight w:val="none"/>
              </w:rPr>
              <w:t>：</w:t>
            </w:r>
            <w:r>
              <w:rPr>
                <w:rFonts w:ascii="宋体" w:hAnsi="宋体"/>
                <w:color w:val="auto"/>
                <w:szCs w:val="21"/>
                <w:highlight w:val="none"/>
                <w:u w:val="single"/>
              </w:rPr>
              <w:t xml:space="preserve">       </w:t>
            </w:r>
          </w:p>
          <w:p w14:paraId="257996FD">
            <w:pPr>
              <w:pStyle w:val="299"/>
              <w:adjustRightInd w:val="0"/>
              <w:snapToGrid w:val="0"/>
              <w:spacing w:line="400" w:lineRule="exact"/>
              <w:ind w:firstLine="210" w:firstLineChars="100"/>
              <w:rPr>
                <w:rFonts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ascii="宋体" w:hAnsi="宋体"/>
                <w:color w:val="auto"/>
                <w:szCs w:val="21"/>
                <w:highlight w:val="none"/>
              </w:rPr>
              <w:t>E</w:t>
            </w:r>
            <w:r>
              <w:rPr>
                <w:rFonts w:ascii="宋体" w:hAnsi="宋体"/>
                <w:color w:val="auto"/>
                <w:szCs w:val="21"/>
                <w:highlight w:val="none"/>
                <w:vertAlign w:val="subscript"/>
              </w:rPr>
              <w:t>2</w:t>
            </w:r>
            <w:r>
              <w:rPr>
                <w:rFonts w:hint="eastAsia" w:ascii="宋体" w:hAnsi="宋体"/>
                <w:color w:val="auto"/>
                <w:szCs w:val="21"/>
                <w:highlight w:val="none"/>
              </w:rPr>
              <w:t>：</w:t>
            </w:r>
            <w:r>
              <w:rPr>
                <w:rFonts w:ascii="宋体" w:hAnsi="宋体"/>
                <w:color w:val="auto"/>
                <w:szCs w:val="21"/>
                <w:highlight w:val="none"/>
                <w:u w:val="single"/>
              </w:rPr>
              <w:t xml:space="preserve">       </w:t>
            </w:r>
            <w:r>
              <w:rPr>
                <w:rStyle w:val="59"/>
                <w:rFonts w:ascii="宋体" w:hAnsi="宋体"/>
                <w:color w:val="auto"/>
                <w:szCs w:val="21"/>
                <w:highlight w:val="none"/>
                <w:u w:val="single"/>
              </w:rPr>
              <w:footnoteReference w:id="125"/>
            </w:r>
          </w:p>
          <w:p w14:paraId="13F6073F">
            <w:pPr>
              <w:pStyle w:val="299"/>
              <w:adjustRightInd w:val="0"/>
              <w:snapToGrid w:val="0"/>
              <w:spacing w:line="400" w:lineRule="exact"/>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 xml:space="preserve"> </w:t>
            </w:r>
            <w:r>
              <w:rPr>
                <w:rFonts w:hint="eastAsia" w:ascii="宋体" w:hAnsi="宋体"/>
                <w:b/>
                <w:bCs/>
                <w:color w:val="auto"/>
                <w:szCs w:val="21"/>
                <w:highlight w:val="none"/>
              </w:rPr>
              <w:t>方式二</w:t>
            </w:r>
            <w:r>
              <w:rPr>
                <w:rStyle w:val="59"/>
                <w:rFonts w:ascii="宋体" w:hAnsi="宋体"/>
                <w:bCs/>
                <w:color w:val="auto"/>
                <w:szCs w:val="21"/>
                <w:highlight w:val="none"/>
              </w:rPr>
              <w:footnoteReference w:id="126"/>
            </w:r>
            <w:r>
              <w:rPr>
                <w:rFonts w:hint="eastAsia" w:ascii="宋体" w:hAnsi="宋体"/>
                <w:b/>
                <w:bCs/>
                <w:color w:val="auto"/>
                <w:szCs w:val="21"/>
                <w:highlight w:val="none"/>
              </w:rPr>
              <w:t>：</w:t>
            </w:r>
          </w:p>
          <w:p w14:paraId="645BCE8F">
            <w:pPr>
              <w:pStyle w:val="299"/>
              <w:adjustRightInd w:val="0"/>
              <w:snapToGrid w:val="0"/>
              <w:spacing w:line="400" w:lineRule="exact"/>
              <w:ind w:firstLine="210" w:firstLineChars="100"/>
              <w:rPr>
                <w:rFonts w:ascii="宋体" w:hAnsi="宋体"/>
                <w:color w:val="auto"/>
                <w:szCs w:val="21"/>
                <w:highlight w:val="none"/>
              </w:rPr>
            </w:pPr>
            <w:r>
              <w:rPr>
                <w:rFonts w:hint="eastAsia" w:ascii="宋体" w:hAnsi="宋体"/>
                <w:color w:val="auto"/>
                <w:szCs w:val="21"/>
                <w:highlight w:val="none"/>
              </w:rPr>
              <w:t>评标价得分</w:t>
            </w:r>
            <w:r>
              <w:rPr>
                <w:rFonts w:ascii="宋体" w:hAnsi="宋体"/>
                <w:color w:val="auto"/>
                <w:szCs w:val="21"/>
                <w:highlight w:val="none"/>
              </w:rPr>
              <w:t>F＝（评标基准价／投标人的评标价）×评标价权重分</w:t>
            </w:r>
          </w:p>
          <w:p w14:paraId="26A87587">
            <w:pPr>
              <w:pStyle w:val="299"/>
              <w:adjustRightInd w:val="0"/>
              <w:snapToGrid w:val="0"/>
              <w:spacing w:line="400" w:lineRule="exact"/>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 xml:space="preserve"> </w:t>
            </w:r>
            <w:r>
              <w:rPr>
                <w:rFonts w:hint="eastAsia" w:ascii="宋体" w:hAnsi="宋体"/>
                <w:b/>
                <w:bCs/>
                <w:color w:val="auto"/>
                <w:szCs w:val="21"/>
                <w:highlight w:val="none"/>
              </w:rPr>
              <w:t>方式三：</w:t>
            </w:r>
          </w:p>
          <w:p w14:paraId="6E760457">
            <w:pPr>
              <w:widowControl/>
              <w:adjustRightInd w:val="0"/>
              <w:snapToGrid w:val="0"/>
              <w:spacing w:line="400" w:lineRule="exact"/>
              <w:ind w:firstLine="210" w:firstLineChars="100"/>
              <w:rPr>
                <w:rFonts w:ascii="宋体" w:hAnsi="宋体"/>
                <w:color w:val="auto"/>
                <w:szCs w:val="21"/>
                <w:highlight w:val="none"/>
              </w:rPr>
            </w:pPr>
            <w:r>
              <w:rPr>
                <w:rFonts w:hint="eastAsia" w:ascii="宋体" w:hAnsi="宋体"/>
                <w:color w:val="auto"/>
                <w:szCs w:val="21"/>
                <w:highlight w:val="none"/>
              </w:rPr>
              <w:t>……</w:t>
            </w:r>
          </w:p>
        </w:tc>
      </w:tr>
      <w:tr w14:paraId="4207C420">
        <w:tblPrEx>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6455E3BC">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7D15527">
            <w:pPr>
              <w:pStyle w:val="299"/>
              <w:adjustRightInd w:val="0"/>
              <w:snapToGrid w:val="0"/>
              <w:spacing w:line="400" w:lineRule="exact"/>
              <w:jc w:val="center"/>
              <w:rPr>
                <w:rFonts w:ascii="宋体" w:hAnsi="宋体"/>
                <w:bCs/>
                <w:color w:val="auto"/>
                <w:szCs w:val="21"/>
                <w:highlight w:val="none"/>
              </w:rPr>
            </w:pPr>
            <w:r>
              <w:rPr>
                <w:rFonts w:hint="eastAsia" w:ascii="宋体" w:hAnsi="宋体"/>
                <w:b w:val="0"/>
                <w:bCs/>
                <w:color w:val="auto"/>
                <w:szCs w:val="21"/>
                <w:highlight w:val="none"/>
                <w:lang w:val="en-US" w:eastAsia="zh-CN"/>
              </w:rPr>
              <w:t>信用等级</w:t>
            </w:r>
            <w:r>
              <w:rPr>
                <w:rFonts w:hint="eastAsia" w:ascii="宋体" w:hAnsi="宋体"/>
                <w:color w:val="auto"/>
                <w:szCs w:val="21"/>
                <w:highlight w:val="none"/>
              </w:rPr>
              <w:t>Δ</w:t>
            </w:r>
            <w:r>
              <w:rPr>
                <w:rFonts w:ascii="宋体" w:hAnsi="宋体"/>
                <w:color w:val="auto"/>
                <w:szCs w:val="21"/>
                <w:highlight w:val="none"/>
              </w:rPr>
              <w:t>F</w:t>
            </w:r>
          </w:p>
        </w:tc>
        <w:tc>
          <w:tcPr>
            <w:tcW w:w="1071" w:type="dxa"/>
            <w:tcBorders>
              <w:top w:val="single" w:color="000000" w:sz="4" w:space="0"/>
              <w:left w:val="single" w:color="auto" w:sz="4" w:space="0"/>
              <w:bottom w:val="single" w:color="000000" w:sz="4" w:space="0"/>
              <w:right w:val="single" w:color="000000" w:sz="4" w:space="0"/>
            </w:tcBorders>
            <w:vAlign w:val="center"/>
          </w:tcPr>
          <w:p w14:paraId="27575FFC">
            <w:pPr>
              <w:pStyle w:val="299"/>
              <w:adjustRightInd w:val="0"/>
              <w:snapToGrid w:val="0"/>
              <w:spacing w:line="400" w:lineRule="exact"/>
              <w:ind w:firstLine="210" w:firstLineChars="100"/>
              <w:rPr>
                <w:rFonts w:hint="eastAsia" w:ascii="宋体" w:hAnsi="宋体"/>
                <w:bCs/>
                <w:color w:val="auto"/>
                <w:szCs w:val="21"/>
                <w:highlight w:val="none"/>
              </w:rPr>
            </w:pPr>
            <w:r>
              <w:rPr>
                <w:rFonts w:ascii="宋体" w:hAnsi="宋体"/>
                <w:b w:val="0"/>
                <w:bCs/>
                <w:color w:val="auto"/>
                <w:szCs w:val="21"/>
                <w:highlight w:val="none"/>
                <w:u w:val="single"/>
              </w:rPr>
              <w:t xml:space="preserve">    </w:t>
            </w:r>
            <w:r>
              <w:rPr>
                <w:rFonts w:hint="eastAsia" w:ascii="宋体" w:hAnsi="宋体"/>
                <w:b w:val="0"/>
                <w:bCs/>
                <w:color w:val="auto"/>
                <w:szCs w:val="21"/>
                <w:highlight w:val="none"/>
              </w:rPr>
              <w:t>分</w:t>
            </w:r>
          </w:p>
        </w:tc>
        <w:tc>
          <w:tcPr>
            <w:tcW w:w="5739" w:type="dxa"/>
            <w:tcBorders>
              <w:top w:val="single" w:color="000000" w:sz="4" w:space="0"/>
              <w:left w:val="single" w:color="auto" w:sz="4" w:space="0"/>
              <w:bottom w:val="single" w:color="000000" w:sz="4" w:space="0"/>
              <w:right w:val="single" w:color="000000" w:sz="4" w:space="0"/>
            </w:tcBorders>
            <w:vAlign w:val="center"/>
          </w:tcPr>
          <w:p w14:paraId="33087CD3">
            <w:pPr>
              <w:pStyle w:val="299"/>
              <w:adjustRightInd w:val="0"/>
              <w:snapToGrid w:val="0"/>
              <w:spacing w:line="400" w:lineRule="exact"/>
              <w:rPr>
                <w:rFonts w:ascii="宋体" w:hAnsi="宋体"/>
                <w:color w:val="auto"/>
                <w:szCs w:val="21"/>
                <w:highlight w:val="none"/>
              </w:rPr>
            </w:pPr>
            <w:r>
              <w:rPr>
                <w:rFonts w:hint="eastAsia" w:ascii="宋体" w:hAnsi="宋体"/>
                <w:color w:val="auto"/>
                <w:szCs w:val="21"/>
                <w:highlight w:val="none"/>
                <w:lang w:val="en-US" w:eastAsia="zh-CN"/>
              </w:rPr>
              <w:t>信用等级</w:t>
            </w:r>
            <w:r>
              <w:rPr>
                <w:rFonts w:hint="eastAsia" w:ascii="宋体" w:hAnsi="宋体"/>
                <w:color w:val="auto"/>
                <w:szCs w:val="21"/>
                <w:highlight w:val="none"/>
              </w:rPr>
              <w:t>得分</w:t>
            </w:r>
            <w:r>
              <w:rPr>
                <w:rFonts w:ascii="宋体" w:hAnsi="宋体"/>
                <w:color w:val="auto"/>
                <w:szCs w:val="21"/>
                <w:highlight w:val="none"/>
              </w:rPr>
              <w:t>：</w:t>
            </w:r>
          </w:p>
          <w:p w14:paraId="202C1FF4">
            <w:pPr>
              <w:pStyle w:val="299"/>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投标截止</w:t>
            </w:r>
            <w:r>
              <w:rPr>
                <w:rFonts w:hint="eastAsia" w:cs="宋体" w:asciiTheme="minorEastAsia" w:hAnsiTheme="minorEastAsia" w:eastAsiaTheme="minorEastAsia"/>
                <w:bCs/>
                <w:color w:val="auto"/>
                <w:kern w:val="0"/>
                <w:szCs w:val="21"/>
                <w:highlight w:val="none"/>
                <w:lang w:val="en-US" w:eastAsia="zh-CN"/>
              </w:rPr>
              <w:t>时间</w:t>
            </w:r>
            <w:r>
              <w:rPr>
                <w:rFonts w:hint="eastAsia" w:cs="宋体" w:asciiTheme="minorEastAsia" w:hAnsiTheme="minorEastAsia" w:eastAsiaTheme="minorEastAsia"/>
                <w:bCs/>
                <w:color w:val="auto"/>
                <w:kern w:val="0"/>
                <w:szCs w:val="21"/>
                <w:highlight w:val="none"/>
              </w:rPr>
              <w:t>在四川省交通运输厅网站公布</w:t>
            </w:r>
            <w:r>
              <w:rPr>
                <w:rFonts w:hint="eastAsia" w:cs="宋体" w:asciiTheme="minorEastAsia" w:hAnsiTheme="minorEastAsia" w:eastAsiaTheme="minorEastAsia"/>
                <w:bCs/>
                <w:color w:val="auto"/>
                <w:kern w:val="0"/>
                <w:szCs w:val="21"/>
                <w:highlight w:val="none"/>
                <w:lang w:eastAsia="zh-CN"/>
              </w:rPr>
              <w:t>：</w:t>
            </w:r>
            <w:r>
              <w:rPr>
                <w:rFonts w:hint="eastAsia" w:ascii="宋体" w:hAnsi="宋体" w:eastAsia="宋体" w:cs="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四川省重点公路建设从业单位信用评价等级</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single"/>
              </w:rPr>
              <w:sym w:font="Wingdings 2" w:char="00A3"/>
            </w:r>
            <w:r>
              <w:rPr>
                <w:rFonts w:hint="eastAsia" w:ascii="宋体" w:hAnsi="宋体" w:cs="宋体"/>
                <w:b w:val="0"/>
                <w:bCs/>
                <w:color w:val="auto"/>
                <w:sz w:val="21"/>
                <w:szCs w:val="21"/>
                <w:highlight w:val="none"/>
                <w:u w:val="single"/>
                <w:lang w:val="en-US" w:eastAsia="zh-CN"/>
              </w:rPr>
              <w:t>或；</w:t>
            </w:r>
            <w:r>
              <w:rPr>
                <w:rFonts w:hint="eastAsia" w:ascii="宋体" w:hAnsi="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w:t>
            </w:r>
            <w:r>
              <w:rPr>
                <w:rFonts w:hint="eastAsia" w:ascii="宋体" w:hAnsi="宋体"/>
                <w:color w:val="auto"/>
                <w:sz w:val="21"/>
                <w:szCs w:val="21"/>
                <w:highlight w:val="none"/>
                <w:u w:val="single"/>
                <w:lang w:val="en-US" w:eastAsia="zh-CN"/>
              </w:rPr>
              <w:t>农村公路建设从业单位信用评价等级</w:t>
            </w:r>
            <w:r>
              <w:rPr>
                <w:rFonts w:hint="eastAsia" w:ascii="宋体" w:hAnsi="宋体"/>
                <w:color w:val="auto"/>
                <w:sz w:val="21"/>
                <w:szCs w:val="21"/>
                <w:highlight w:val="none"/>
                <w:u w:val="none"/>
                <w:lang w:val="en-US" w:eastAsia="zh-CN"/>
              </w:rPr>
              <w:t>。</w:t>
            </w:r>
          </w:p>
          <w:p w14:paraId="1197E211">
            <w:pPr>
              <w:keepNext w:val="0"/>
              <w:keepLines w:val="0"/>
              <w:pageBreakBefore w:val="0"/>
              <w:widowControl/>
              <w:kinsoku/>
              <w:wordWrap/>
              <w:overflowPunct/>
              <w:topLinePunct w:val="0"/>
              <w:autoSpaceDE/>
              <w:autoSpaceDN/>
              <w:bidi w:val="0"/>
              <w:spacing w:line="400" w:lineRule="exact"/>
              <w:ind w:firstLine="210" w:firstLineChars="100"/>
              <w:textAlignment w:val="auto"/>
              <w:rPr>
                <w:rFonts w:hint="eastAsia"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AA</w:t>
            </w:r>
            <w:r>
              <w:rPr>
                <w:rFonts w:hint="eastAsia" w:cs="宋体" w:asciiTheme="minorEastAsia" w:hAnsiTheme="minorEastAsia" w:eastAsiaTheme="minorEastAsia"/>
                <w:bCs/>
                <w:color w:val="auto"/>
                <w:kern w:val="0"/>
                <w:szCs w:val="21"/>
                <w:highlight w:val="none"/>
              </w:rPr>
              <w:t>级及以上得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1.0</w:t>
            </w:r>
            <w:r>
              <w:rPr>
                <w:rFonts w:hint="eastAsia" w:cs="宋体" w:asciiTheme="minorEastAsia" w:hAnsiTheme="minorEastAsia" w:eastAsiaTheme="minorEastAsia"/>
                <w:bCs/>
                <w:color w:val="auto"/>
                <w:kern w:val="0"/>
                <w:szCs w:val="21"/>
                <w:highlight w:val="none"/>
              </w:rPr>
              <w:t>，</w:t>
            </w:r>
          </w:p>
          <w:p w14:paraId="66FD8B21">
            <w:pPr>
              <w:keepNext w:val="0"/>
              <w:keepLines w:val="0"/>
              <w:pageBreakBefore w:val="0"/>
              <w:widowControl/>
              <w:kinsoku/>
              <w:wordWrap/>
              <w:overflowPunct/>
              <w:topLinePunct w:val="0"/>
              <w:autoSpaceDE/>
              <w:autoSpaceDN/>
              <w:bidi w:val="0"/>
              <w:spacing w:line="400" w:lineRule="exac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A</w:t>
            </w:r>
            <w:r>
              <w:rPr>
                <w:rFonts w:hint="eastAsia" w:cs="宋体" w:asciiTheme="minorEastAsia" w:hAnsiTheme="minorEastAsia" w:eastAsiaTheme="minorEastAsia"/>
                <w:bCs/>
                <w:color w:val="auto"/>
                <w:kern w:val="0"/>
                <w:szCs w:val="21"/>
                <w:highlight w:val="none"/>
              </w:rPr>
              <w:t>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0.8</w:t>
            </w:r>
            <w:r>
              <w:rPr>
                <w:rFonts w:cs="宋体" w:asciiTheme="minorEastAsia" w:hAnsiTheme="minorEastAsia" w:eastAsiaTheme="minorEastAsia"/>
                <w:bCs/>
                <w:color w:val="auto"/>
                <w:kern w:val="0"/>
                <w:szCs w:val="21"/>
                <w:highlight w:val="none"/>
              </w:rPr>
              <w:t>，</w:t>
            </w:r>
          </w:p>
          <w:p w14:paraId="2E8D405B">
            <w:pPr>
              <w:keepNext w:val="0"/>
              <w:keepLines w:val="0"/>
              <w:pageBreakBefore w:val="0"/>
              <w:widowControl/>
              <w:kinsoku/>
              <w:wordWrap/>
              <w:overflowPunct/>
              <w:topLinePunct w:val="0"/>
              <w:autoSpaceDE/>
              <w:autoSpaceDN/>
              <w:bidi w:val="0"/>
              <w:spacing w:line="400" w:lineRule="exac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B级得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0.6</w:t>
            </w:r>
            <w:r>
              <w:rPr>
                <w:rFonts w:cs="宋体" w:asciiTheme="minorEastAsia" w:hAnsiTheme="minorEastAsia" w:eastAsiaTheme="minorEastAsia"/>
                <w:bCs/>
                <w:color w:val="auto"/>
                <w:kern w:val="0"/>
                <w:szCs w:val="21"/>
                <w:highlight w:val="none"/>
              </w:rPr>
              <w:t>，</w:t>
            </w:r>
          </w:p>
          <w:p w14:paraId="20C81CC2">
            <w:pPr>
              <w:keepNext w:val="0"/>
              <w:keepLines w:val="0"/>
              <w:pageBreakBefore w:val="0"/>
              <w:widowControl/>
              <w:kinsoku/>
              <w:wordWrap/>
              <w:overflowPunct/>
              <w:topLinePunct w:val="0"/>
              <w:autoSpaceDE/>
              <w:autoSpaceDN/>
              <w:bidi w:val="0"/>
              <w:spacing w:line="400" w:lineRule="exact"/>
              <w:ind w:firstLine="210" w:firstLineChars="100"/>
              <w:textAlignment w:val="auto"/>
              <w:rPr>
                <w:rFonts w:ascii="宋体" w:hAnsi="宋体"/>
                <w:color w:val="auto"/>
                <w:szCs w:val="21"/>
                <w:highlight w:val="none"/>
                <w:u w:val="none"/>
              </w:rPr>
            </w:pPr>
            <w:r>
              <w:rPr>
                <w:rFonts w:cs="宋体" w:asciiTheme="minorEastAsia" w:hAnsiTheme="minorEastAsia" w:eastAsiaTheme="minorEastAsia"/>
                <w:bCs/>
                <w:color w:val="auto"/>
                <w:kern w:val="0"/>
                <w:szCs w:val="21"/>
                <w:highlight w:val="none"/>
              </w:rPr>
              <w:t>C级得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i w:val="0"/>
                <w:iCs w:val="0"/>
                <w:color w:val="auto"/>
                <w:kern w:val="0"/>
                <w:szCs w:val="21"/>
                <w:highlight w:val="none"/>
                <w:u w:val="single"/>
                <w:lang w:val="en-US" w:eastAsia="zh-CN"/>
              </w:rPr>
              <w:t xml:space="preserve"> </w:t>
            </w:r>
            <w:r>
              <w:rPr>
                <w:rFonts w:cs="宋体" w:asciiTheme="minorEastAsia" w:hAnsiTheme="minorEastAsia" w:eastAsiaTheme="minorEastAsia"/>
                <w:bCs/>
                <w:color w:val="auto"/>
                <w:kern w:val="0"/>
                <w:szCs w:val="21"/>
                <w:highlight w:val="none"/>
                <w:u w:val="single"/>
              </w:rPr>
              <w:t>0</w:t>
            </w:r>
            <w:r>
              <w:rPr>
                <w:rFonts w:hint="eastAsia" w:cs="宋体" w:asciiTheme="minorEastAsia" w:hAnsiTheme="minorEastAsia" w:eastAsiaTheme="minorEastAsia"/>
                <w:bCs/>
                <w:color w:val="auto"/>
                <w:kern w:val="0"/>
                <w:szCs w:val="21"/>
                <w:highlight w:val="none"/>
                <w:u w:val="single"/>
                <w:lang w:val="en-US" w:eastAsia="zh-CN"/>
              </w:rPr>
              <w:t xml:space="preserve"> </w:t>
            </w:r>
            <w:r>
              <w:rPr>
                <w:rFonts w:ascii="宋体" w:hAnsi="宋体"/>
                <w:color w:val="auto"/>
                <w:szCs w:val="21"/>
                <w:highlight w:val="none"/>
              </w:rPr>
              <w:t>。</w:t>
            </w:r>
            <w:r>
              <w:rPr>
                <w:rFonts w:hint="eastAsia" w:cs="宋体" w:asciiTheme="minorEastAsia" w:hAnsiTheme="minorEastAsia" w:eastAsiaTheme="minorEastAsia"/>
                <w:bCs/>
                <w:color w:val="auto"/>
                <w:kern w:val="0"/>
                <w:szCs w:val="21"/>
                <w:highlight w:val="none"/>
                <w:lang w:val="en-US" w:eastAsia="zh-CN"/>
              </w:rPr>
              <w:t xml:space="preserve"> </w:t>
            </w:r>
            <w:r>
              <w:rPr>
                <w:rFonts w:hint="eastAsia" w:ascii="宋体" w:hAnsi="宋体"/>
                <w:color w:val="auto"/>
                <w:sz w:val="21"/>
                <w:szCs w:val="21"/>
                <w:highlight w:val="none"/>
                <w:u w:val="none"/>
                <w:lang w:val="en-US" w:eastAsia="zh-CN"/>
              </w:rPr>
              <w:t xml:space="preserve"> </w:t>
            </w:r>
          </w:p>
          <w:p w14:paraId="7AE77A17">
            <w:pPr>
              <w:pStyle w:val="299"/>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rPr>
              <w:t>允许联合体投标时，以联合体形式投标的，投标人</w:t>
            </w:r>
            <w:r>
              <w:rPr>
                <w:rFonts w:ascii="宋体" w:hAnsi="宋体" w:cs="宋体"/>
                <w:color w:val="auto"/>
                <w:szCs w:val="21"/>
                <w:highlight w:val="none"/>
              </w:rPr>
              <w:t>在</w:t>
            </w:r>
            <w:r>
              <w:rPr>
                <w:rFonts w:hint="eastAsia" w:ascii="宋体" w:hAnsi="宋体" w:cs="宋体"/>
                <w:color w:val="auto"/>
                <w:szCs w:val="21"/>
                <w:highlight w:val="none"/>
                <w:lang w:val="en-US" w:eastAsia="zh-CN"/>
              </w:rPr>
              <w:t>上述同一信用评价体系的</w:t>
            </w:r>
            <w:r>
              <w:rPr>
                <w:rFonts w:hint="eastAsia" w:ascii="宋体" w:hAnsi="宋体" w:cs="宋体"/>
                <w:color w:val="auto"/>
                <w:szCs w:val="21"/>
                <w:highlight w:val="none"/>
              </w:rPr>
              <w:t>信用</w:t>
            </w:r>
            <w:r>
              <w:rPr>
                <w:rFonts w:ascii="宋体" w:hAnsi="宋体" w:cs="宋体"/>
                <w:color w:val="auto"/>
                <w:szCs w:val="21"/>
                <w:highlight w:val="none"/>
              </w:rPr>
              <w:t>评价等级</w:t>
            </w:r>
            <w:r>
              <w:rPr>
                <w:rFonts w:hint="eastAsia" w:ascii="宋体" w:hAnsi="宋体" w:cs="宋体"/>
                <w:color w:val="auto"/>
                <w:szCs w:val="21"/>
                <w:highlight w:val="none"/>
              </w:rPr>
              <w:t>以联合体中信用评价等级低的为准</w:t>
            </w:r>
            <w:r>
              <w:rPr>
                <w:rFonts w:hint="eastAsia" w:ascii="宋体" w:hAnsi="宋体"/>
                <w:color w:val="auto"/>
                <w:szCs w:val="21"/>
                <w:highlight w:val="none"/>
              </w:rPr>
              <w:t>。</w:t>
            </w:r>
          </w:p>
        </w:tc>
      </w:tr>
    </w:tbl>
    <w:p w14:paraId="799B055C">
      <w:pPr>
        <w:rPr>
          <w:color w:val="auto"/>
          <w:highlight w:val="none"/>
        </w:rPr>
      </w:pPr>
    </w:p>
    <w:p w14:paraId="5F2FA224">
      <w:pPr>
        <w:rPr>
          <w:color w:val="auto"/>
          <w:highlight w:val="none"/>
        </w:rPr>
      </w:pPr>
    </w:p>
    <w:p w14:paraId="1A1D2AF3">
      <w:pPr>
        <w:rPr>
          <w:rFonts w:hint="eastAsia"/>
          <w:color w:val="auto"/>
          <w:highlight w:val="none"/>
          <w:lang w:val="en-US" w:eastAsia="zh-CN"/>
        </w:rPr>
      </w:pPr>
      <w:r>
        <w:rPr>
          <w:rFonts w:hint="eastAsia"/>
          <w:color w:val="auto"/>
          <w:highlight w:val="none"/>
          <w:lang w:val="en-US" w:eastAsia="zh-CN"/>
        </w:rPr>
        <w:br w:type="page"/>
      </w:r>
    </w:p>
    <w:p w14:paraId="2D6F6CB9">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9"/>
        <w:tblW w:w="8960" w:type="dxa"/>
        <w:tblInd w:w="-34" w:type="dxa"/>
        <w:tblLayout w:type="fixed"/>
        <w:tblCellMar>
          <w:top w:w="0" w:type="dxa"/>
          <w:left w:w="108" w:type="dxa"/>
          <w:bottom w:w="0" w:type="dxa"/>
          <w:right w:w="108" w:type="dxa"/>
        </w:tblCellMar>
      </w:tblPr>
      <w:tblGrid>
        <w:gridCol w:w="993"/>
        <w:gridCol w:w="1134"/>
        <w:gridCol w:w="6833"/>
      </w:tblGrid>
      <w:tr w14:paraId="51C8DDB8">
        <w:tblPrEx>
          <w:tblCellMar>
            <w:top w:w="0" w:type="dxa"/>
            <w:left w:w="108" w:type="dxa"/>
            <w:bottom w:w="0" w:type="dxa"/>
            <w:right w:w="108" w:type="dxa"/>
          </w:tblCellMar>
        </w:tblPrEx>
        <w:trPr>
          <w:trHeight w:val="356" w:hRule="atLeast"/>
          <w:tblHeader/>
        </w:trPr>
        <w:tc>
          <w:tcPr>
            <w:tcW w:w="2127" w:type="dxa"/>
            <w:gridSpan w:val="2"/>
            <w:tcBorders>
              <w:top w:val="single" w:color="auto" w:sz="4" w:space="0"/>
              <w:left w:val="single" w:color="000000" w:sz="4" w:space="0"/>
              <w:bottom w:val="single" w:color="auto" w:sz="4" w:space="0"/>
              <w:right w:val="single" w:color="000000" w:sz="4" w:space="0"/>
            </w:tcBorders>
            <w:vAlign w:val="center"/>
          </w:tcPr>
          <w:p w14:paraId="4BCA4D68">
            <w:pPr>
              <w:widowControl/>
              <w:adjustRightInd w:val="0"/>
              <w:snapToGrid w:val="0"/>
              <w:spacing w:line="400" w:lineRule="exact"/>
              <w:jc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条款号</w:t>
            </w:r>
          </w:p>
        </w:tc>
        <w:tc>
          <w:tcPr>
            <w:tcW w:w="6833" w:type="dxa"/>
            <w:tcBorders>
              <w:top w:val="single" w:color="000000" w:sz="4" w:space="0"/>
              <w:left w:val="nil"/>
              <w:bottom w:val="single" w:color="000000" w:sz="4" w:space="0"/>
              <w:right w:val="single" w:color="000000" w:sz="4" w:space="0"/>
            </w:tcBorders>
            <w:vAlign w:val="center"/>
          </w:tcPr>
          <w:p w14:paraId="2477ADE5">
            <w:pPr>
              <w:widowControl/>
              <w:adjustRightInd w:val="0"/>
              <w:snapToGrid w:val="0"/>
              <w:spacing w:line="400" w:lineRule="exact"/>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评审因素与评审标准</w:t>
            </w:r>
          </w:p>
        </w:tc>
      </w:tr>
      <w:tr w14:paraId="7FE161D0">
        <w:tblPrEx>
          <w:tblCellMar>
            <w:top w:w="0" w:type="dxa"/>
            <w:left w:w="108" w:type="dxa"/>
            <w:bottom w:w="0" w:type="dxa"/>
            <w:right w:w="108" w:type="dxa"/>
          </w:tblCellMar>
        </w:tblPrEx>
        <w:trPr>
          <w:trHeight w:val="4227" w:hRule="atLeast"/>
        </w:trPr>
        <w:tc>
          <w:tcPr>
            <w:tcW w:w="993" w:type="dxa"/>
            <w:tcBorders>
              <w:top w:val="single" w:color="auto" w:sz="4" w:space="0"/>
              <w:left w:val="single" w:color="000000" w:sz="4" w:space="0"/>
              <w:bottom w:val="single" w:color="auto" w:sz="4" w:space="0"/>
              <w:right w:val="single" w:color="000000" w:sz="4" w:space="0"/>
            </w:tcBorders>
            <w:vAlign w:val="center"/>
          </w:tcPr>
          <w:p w14:paraId="46BDE8D9">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3.1</w:t>
            </w:r>
          </w:p>
          <w:p w14:paraId="672A5AAE">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第一个信封初步评审</w:t>
            </w:r>
          </w:p>
        </w:tc>
        <w:tc>
          <w:tcPr>
            <w:tcW w:w="1134" w:type="dxa"/>
            <w:tcBorders>
              <w:top w:val="single" w:color="auto" w:sz="4" w:space="0"/>
              <w:left w:val="nil"/>
              <w:bottom w:val="single" w:color="000000" w:sz="4" w:space="0"/>
              <w:right w:val="single" w:color="000000" w:sz="4" w:space="0"/>
            </w:tcBorders>
            <w:vAlign w:val="center"/>
          </w:tcPr>
          <w:p w14:paraId="092F48DA">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3.1.1</w:t>
            </w:r>
          </w:p>
        </w:tc>
        <w:tc>
          <w:tcPr>
            <w:tcW w:w="6833" w:type="dxa"/>
            <w:tcBorders>
              <w:top w:val="single" w:color="000000" w:sz="4" w:space="0"/>
              <w:left w:val="nil"/>
              <w:bottom w:val="single" w:color="000000" w:sz="4" w:space="0"/>
              <w:right w:val="single" w:color="000000" w:sz="4" w:space="0"/>
            </w:tcBorders>
            <w:vAlign w:val="center"/>
          </w:tcPr>
          <w:p w14:paraId="38E34BC8">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1）评标委员会依据本章第2.1.1项、第2.1.2项、第2.1.3项规定的标准对投标文件第一个信封（商务及技术文件）进行初步评审。有一项不符合评审标准的，评标委员会应否决其投标。</w:t>
            </w:r>
          </w:p>
          <w:p w14:paraId="193E889D">
            <w:pPr>
              <w:pStyle w:val="299"/>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2）通过第一个信封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商务</w:t>
            </w:r>
            <w:r>
              <w:rPr>
                <w:rFonts w:hint="eastAsia" w:ascii="宋体" w:hAnsi="宋体" w:cs="宋体"/>
                <w:color w:val="auto"/>
                <w:kern w:val="0"/>
                <w:szCs w:val="21"/>
                <w:highlight w:val="none"/>
                <w:lang w:val="en-US" w:eastAsia="zh-CN"/>
              </w:rPr>
              <w:t>及</w:t>
            </w:r>
            <w:r>
              <w:rPr>
                <w:rFonts w:ascii="宋体" w:hAnsi="宋体" w:cs="宋体"/>
                <w:color w:val="auto"/>
                <w:kern w:val="0"/>
                <w:szCs w:val="21"/>
                <w:highlight w:val="none"/>
              </w:rPr>
              <w:t>技术文件</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评审的投标人</w:t>
            </w:r>
            <w:r>
              <w:rPr>
                <w:rFonts w:hint="eastAsia" w:ascii="宋体" w:hAnsi="宋体" w:cs="宋体"/>
                <w:color w:val="auto"/>
                <w:kern w:val="0"/>
                <w:szCs w:val="21"/>
                <w:highlight w:val="none"/>
              </w:rPr>
              <w:t>仅有</w:t>
            </w: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家</w:t>
            </w:r>
            <w:r>
              <w:rPr>
                <w:rFonts w:ascii="宋体" w:hAnsi="宋体" w:cs="宋体"/>
                <w:color w:val="auto"/>
                <w:kern w:val="0"/>
                <w:szCs w:val="21"/>
                <w:highlight w:val="none"/>
              </w:rPr>
              <w:t>的，评标委员会可以否决全部投标；未否决全部投标的，评标委员会应当在评标报告中阐明理由，招标人应当按照第二章</w:t>
            </w:r>
            <w:r>
              <w:rPr>
                <w:rFonts w:hint="eastAsia" w:ascii="宋体" w:hAnsi="宋体" w:cs="宋体"/>
                <w:color w:val="auto"/>
                <w:kern w:val="0"/>
                <w:szCs w:val="21"/>
                <w:highlight w:val="none"/>
              </w:rPr>
              <w:t>“投标人须知”前附表</w:t>
            </w:r>
            <w:r>
              <w:rPr>
                <w:rFonts w:ascii="宋体" w:hAnsi="宋体" w:cs="宋体"/>
                <w:color w:val="auto"/>
                <w:kern w:val="0"/>
                <w:szCs w:val="21"/>
                <w:highlight w:val="none"/>
              </w:rPr>
              <w:t>第5.2.3项规定的程序进行第二个信封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报价文件</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开标，但评标委员会在进行</w:t>
            </w:r>
            <w:r>
              <w:rPr>
                <w:rFonts w:hint="eastAsia" w:ascii="宋体" w:hAnsi="宋体" w:cs="宋体"/>
                <w:color w:val="auto"/>
                <w:kern w:val="0"/>
                <w:szCs w:val="21"/>
                <w:highlight w:val="none"/>
                <w:lang w:val="en-US" w:eastAsia="zh-CN"/>
              </w:rPr>
              <w:t>第二个信封（</w:t>
            </w:r>
            <w:r>
              <w:rPr>
                <w:rFonts w:ascii="宋体" w:hAnsi="宋体" w:cs="宋体"/>
                <w:color w:val="auto"/>
                <w:kern w:val="0"/>
                <w:szCs w:val="21"/>
                <w:highlight w:val="none"/>
              </w:rPr>
              <w:t>报价文件</w:t>
            </w:r>
            <w:r>
              <w:rPr>
                <w:rFonts w:hint="eastAsia" w:ascii="宋体" w:hAnsi="宋体" w:cs="宋体"/>
                <w:color w:val="auto"/>
                <w:kern w:val="0"/>
                <w:szCs w:val="21"/>
                <w:highlight w:val="none"/>
                <w:lang w:val="en-US" w:eastAsia="zh-CN"/>
              </w:rPr>
              <w:t>）</w:t>
            </w:r>
            <w:r>
              <w:rPr>
                <w:rFonts w:ascii="宋体" w:hAnsi="宋体" w:cs="宋体"/>
                <w:color w:val="auto"/>
                <w:kern w:val="0"/>
                <w:szCs w:val="21"/>
                <w:highlight w:val="none"/>
              </w:rPr>
              <w:t>评审时仍有权否决全部投标；评标委员会未在</w:t>
            </w:r>
            <w:r>
              <w:rPr>
                <w:rFonts w:hint="eastAsia" w:ascii="宋体" w:hAnsi="宋体" w:cs="宋体"/>
                <w:color w:val="auto"/>
                <w:kern w:val="0"/>
                <w:szCs w:val="21"/>
                <w:highlight w:val="none"/>
                <w:lang w:val="en-US" w:eastAsia="zh-CN"/>
              </w:rPr>
              <w:t>第二个信封（</w:t>
            </w:r>
            <w:r>
              <w:rPr>
                <w:rFonts w:ascii="宋体" w:hAnsi="宋体" w:cs="宋体"/>
                <w:color w:val="auto"/>
                <w:kern w:val="0"/>
                <w:szCs w:val="21"/>
                <w:highlight w:val="none"/>
              </w:rPr>
              <w:t>报价文件</w:t>
            </w:r>
            <w:r>
              <w:rPr>
                <w:rFonts w:hint="eastAsia" w:ascii="宋体" w:hAnsi="宋体" w:cs="宋体"/>
                <w:color w:val="auto"/>
                <w:kern w:val="0"/>
                <w:szCs w:val="21"/>
                <w:highlight w:val="none"/>
                <w:lang w:val="en-US" w:eastAsia="zh-CN"/>
              </w:rPr>
              <w:t>）</w:t>
            </w:r>
            <w:r>
              <w:rPr>
                <w:rFonts w:ascii="宋体" w:hAnsi="宋体" w:cs="宋体"/>
                <w:color w:val="auto"/>
                <w:kern w:val="0"/>
                <w:szCs w:val="21"/>
                <w:highlight w:val="none"/>
              </w:rPr>
              <w:t>评审时否决全部投标的，应当在评标报告中阐明理由并推荐中标候选人。</w:t>
            </w:r>
          </w:p>
          <w:p w14:paraId="1417260D">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3）当通过第一个信封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商务</w:t>
            </w:r>
            <w:r>
              <w:rPr>
                <w:rFonts w:hint="eastAsia" w:ascii="宋体" w:hAnsi="宋体" w:cs="宋体"/>
                <w:color w:val="auto"/>
                <w:kern w:val="0"/>
                <w:szCs w:val="21"/>
                <w:highlight w:val="none"/>
                <w:lang w:val="en-US" w:eastAsia="zh-CN"/>
              </w:rPr>
              <w:t>及</w:t>
            </w:r>
            <w:r>
              <w:rPr>
                <w:rFonts w:ascii="宋体" w:hAnsi="宋体" w:cs="宋体"/>
                <w:color w:val="auto"/>
                <w:kern w:val="0"/>
                <w:szCs w:val="21"/>
                <w:highlight w:val="none"/>
              </w:rPr>
              <w:t>技术文件</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评审的投标人仅有1家时，评标委员会应否决其投标。</w:t>
            </w:r>
          </w:p>
        </w:tc>
      </w:tr>
      <w:tr w14:paraId="64BFC586">
        <w:tblPrEx>
          <w:tblCellMar>
            <w:top w:w="0" w:type="dxa"/>
            <w:left w:w="108" w:type="dxa"/>
            <w:bottom w:w="0" w:type="dxa"/>
            <w:right w:w="108" w:type="dxa"/>
          </w:tblCellMar>
        </w:tblPrEx>
        <w:trPr>
          <w:trHeight w:val="112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76FD691D">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3.3</w:t>
            </w:r>
          </w:p>
          <w:p w14:paraId="2074DA88">
            <w:pPr>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第二个信封初步评审</w:t>
            </w:r>
          </w:p>
        </w:tc>
        <w:tc>
          <w:tcPr>
            <w:tcW w:w="1134" w:type="dxa"/>
            <w:tcBorders>
              <w:top w:val="single" w:color="000000" w:sz="4" w:space="0"/>
              <w:left w:val="single" w:color="auto" w:sz="4" w:space="0"/>
              <w:bottom w:val="single" w:color="000000" w:sz="4" w:space="0"/>
              <w:right w:val="single" w:color="000000" w:sz="4" w:space="0"/>
            </w:tcBorders>
            <w:vAlign w:val="center"/>
          </w:tcPr>
          <w:p w14:paraId="04C6D0DF">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3.3.1</w:t>
            </w:r>
          </w:p>
        </w:tc>
        <w:tc>
          <w:tcPr>
            <w:tcW w:w="6833" w:type="dxa"/>
            <w:tcBorders>
              <w:top w:val="single" w:color="000000" w:sz="4" w:space="0"/>
              <w:left w:val="nil"/>
              <w:bottom w:val="single" w:color="000000" w:sz="4" w:space="0"/>
              <w:right w:val="single" w:color="000000" w:sz="4" w:space="0"/>
            </w:tcBorders>
            <w:vAlign w:val="center"/>
          </w:tcPr>
          <w:p w14:paraId="03F5D50A">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评标委员会依据本章第</w:t>
            </w:r>
            <w:r>
              <w:rPr>
                <w:rFonts w:ascii="宋体" w:hAnsi="宋体" w:cs="宋体"/>
                <w:color w:val="auto"/>
                <w:kern w:val="0"/>
                <w:szCs w:val="21"/>
                <w:highlight w:val="none"/>
              </w:rPr>
              <w:t>2.1.1项、第2.1.3项规定的评审标准对投标文件第二个信封（报价文件）进行初步评审，有一项不符合评审标准的，</w:t>
            </w:r>
            <w:r>
              <w:rPr>
                <w:rFonts w:hint="eastAsia" w:ascii="宋体" w:hAnsi="宋体"/>
                <w:color w:val="auto"/>
                <w:szCs w:val="21"/>
                <w:highlight w:val="none"/>
              </w:rPr>
              <w:t>评标委员会应否决其投标</w:t>
            </w:r>
            <w:r>
              <w:rPr>
                <w:rFonts w:hint="eastAsia" w:ascii="宋体" w:hAnsi="宋体" w:cs="宋体"/>
                <w:color w:val="auto"/>
                <w:kern w:val="0"/>
                <w:szCs w:val="21"/>
                <w:highlight w:val="none"/>
              </w:rPr>
              <w:t>。</w:t>
            </w:r>
          </w:p>
        </w:tc>
      </w:tr>
      <w:tr w14:paraId="74B26F74">
        <w:tblPrEx>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1B99A1C7">
            <w:pPr>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05AFC13C">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3.3.2</w:t>
            </w:r>
          </w:p>
        </w:tc>
        <w:tc>
          <w:tcPr>
            <w:tcW w:w="6833" w:type="dxa"/>
            <w:tcBorders>
              <w:top w:val="single" w:color="000000" w:sz="4" w:space="0"/>
              <w:left w:val="nil"/>
              <w:bottom w:val="single" w:color="000000" w:sz="4" w:space="0"/>
              <w:right w:val="single" w:color="000000" w:sz="4" w:space="0"/>
            </w:tcBorders>
            <w:vAlign w:val="center"/>
          </w:tcPr>
          <w:p w14:paraId="300FE496">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对投标人投标报价进行算术性修正的原则：</w:t>
            </w:r>
          </w:p>
          <w:p w14:paraId="5F0DCA3D">
            <w:pPr>
              <w:pStyle w:val="299"/>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方式一：</w:t>
            </w:r>
          </w:p>
          <w:p w14:paraId="61DEC9CB">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中的</w:t>
            </w:r>
            <w:r>
              <w:rPr>
                <w:rFonts w:hint="eastAsia" w:ascii="宋体" w:hAnsi="宋体" w:cs="宋体"/>
                <w:color w:val="auto"/>
                <w:kern w:val="0"/>
                <w:szCs w:val="21"/>
                <w:highlight w:val="none"/>
                <w:lang w:val="en-US" w:eastAsia="zh-CN"/>
              </w:rPr>
              <w:t>投标总报价</w:t>
            </w:r>
            <w:r>
              <w:rPr>
                <w:rFonts w:ascii="宋体" w:hAnsi="宋体" w:cs="宋体"/>
                <w:color w:val="auto"/>
                <w:kern w:val="0"/>
                <w:szCs w:val="21"/>
                <w:highlight w:val="none"/>
              </w:rPr>
              <w:t>大写金额与小写金额不一致的，以大写金额为准。</w:t>
            </w:r>
          </w:p>
          <w:p w14:paraId="661A964A">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2）清单汇总表投标报价金额与投标函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中的</w:t>
            </w:r>
            <w:r>
              <w:rPr>
                <w:rFonts w:hint="eastAsia" w:ascii="宋体" w:hAnsi="宋体" w:cs="宋体"/>
                <w:color w:val="auto"/>
                <w:kern w:val="0"/>
                <w:szCs w:val="21"/>
                <w:highlight w:val="none"/>
                <w:lang w:val="en-US" w:eastAsia="zh-CN"/>
              </w:rPr>
              <w:t>投标总报价</w:t>
            </w:r>
            <w:r>
              <w:rPr>
                <w:rFonts w:ascii="宋体" w:hAnsi="宋体" w:cs="宋体"/>
                <w:color w:val="auto"/>
                <w:kern w:val="0"/>
                <w:szCs w:val="21"/>
                <w:highlight w:val="none"/>
              </w:rPr>
              <w:t>大写金额不一致的，以投标函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中</w:t>
            </w:r>
            <w:r>
              <w:rPr>
                <w:rFonts w:hint="eastAsia" w:ascii="宋体" w:hAnsi="宋体" w:cs="宋体"/>
                <w:color w:val="auto"/>
                <w:kern w:val="0"/>
                <w:szCs w:val="21"/>
                <w:highlight w:val="none"/>
                <w:lang w:val="en-US" w:eastAsia="zh-CN"/>
              </w:rPr>
              <w:t>投标总报价</w:t>
            </w:r>
            <w:r>
              <w:rPr>
                <w:rFonts w:ascii="宋体" w:hAnsi="宋体" w:cs="宋体"/>
                <w:color w:val="auto"/>
                <w:kern w:val="0"/>
                <w:szCs w:val="21"/>
                <w:highlight w:val="none"/>
              </w:rPr>
              <w:t>大写金额为准。</w:t>
            </w:r>
          </w:p>
          <w:p w14:paraId="4E48464C">
            <w:pPr>
              <w:pStyle w:val="299"/>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方式二：</w:t>
            </w:r>
            <w:r>
              <w:rPr>
                <w:rStyle w:val="59"/>
                <w:rFonts w:hint="eastAsia" w:ascii="宋体" w:hAnsi="宋体" w:cs="宋体"/>
                <w:color w:val="auto"/>
                <w:kern w:val="0"/>
                <w:szCs w:val="21"/>
                <w:highlight w:val="none"/>
              </w:rPr>
              <w:footnoteReference w:id="127"/>
            </w:r>
          </w:p>
          <w:p w14:paraId="05C458E2">
            <w:pPr>
              <w:widowControl/>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w:t>
            </w:r>
          </w:p>
        </w:tc>
      </w:tr>
      <w:tr w14:paraId="23693643">
        <w:tblPrEx>
          <w:tblCellMar>
            <w:top w:w="0" w:type="dxa"/>
            <w:left w:w="108" w:type="dxa"/>
            <w:bottom w:w="0" w:type="dxa"/>
            <w:right w:w="108" w:type="dxa"/>
          </w:tblCellMar>
        </w:tblPrEx>
        <w:trPr>
          <w:trHeight w:val="1666"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FFEBD55">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000000" w:sz="4" w:space="0"/>
              <w:left w:val="single" w:color="auto" w:sz="4" w:space="0"/>
              <w:bottom w:val="single" w:color="auto" w:sz="4" w:space="0"/>
              <w:right w:val="single" w:color="000000" w:sz="4" w:space="0"/>
            </w:tcBorders>
            <w:vAlign w:val="center"/>
          </w:tcPr>
          <w:p w14:paraId="3860F575">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kern w:val="0"/>
                <w:szCs w:val="21"/>
                <w:highlight w:val="none"/>
              </w:rPr>
              <w:t>3.3.3</w:t>
            </w:r>
          </w:p>
        </w:tc>
        <w:tc>
          <w:tcPr>
            <w:tcW w:w="6833" w:type="dxa"/>
            <w:tcBorders>
              <w:top w:val="single" w:color="000000" w:sz="4" w:space="0"/>
              <w:left w:val="nil"/>
              <w:bottom w:val="single" w:color="auto" w:sz="4" w:space="0"/>
              <w:right w:val="single" w:color="000000" w:sz="4" w:space="0"/>
            </w:tcBorders>
            <w:vAlign w:val="center"/>
          </w:tcPr>
          <w:p w14:paraId="004BE222">
            <w:pPr>
              <w:pStyle w:val="299"/>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对投标人</w:t>
            </w:r>
            <w:r>
              <w:rPr>
                <w:rFonts w:hint="eastAsia" w:ascii="宋体" w:hAnsi="宋体" w:cs="宋体"/>
                <w:color w:val="auto"/>
                <w:kern w:val="0"/>
                <w:szCs w:val="21"/>
                <w:highlight w:val="none"/>
                <w:lang w:val="en-US" w:eastAsia="zh-CN"/>
              </w:rPr>
              <w:t>已标价</w:t>
            </w:r>
            <w:r>
              <w:rPr>
                <w:rFonts w:hint="eastAsia" w:ascii="宋体" w:hAnsi="宋体" w:cs="宋体"/>
                <w:color w:val="auto"/>
                <w:kern w:val="0"/>
                <w:szCs w:val="21"/>
                <w:highlight w:val="none"/>
              </w:rPr>
              <w:t>工程量清单中的投标报价有其他错误进行修正的原则：</w:t>
            </w:r>
          </w:p>
          <w:p w14:paraId="118FC13D">
            <w:pPr>
              <w:pStyle w:val="299"/>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方式一：</w:t>
            </w:r>
          </w:p>
          <w:p w14:paraId="489BC6FC">
            <w:pPr>
              <w:widowControl/>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工程量清单中的投标报价有其他错误的，评标阶段不作修正，在签订合同时以投标函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中大写金额为准，按</w:t>
            </w:r>
            <w:r>
              <w:rPr>
                <w:rFonts w:hint="eastAsia" w:ascii="宋体" w:hAnsi="宋体"/>
                <w:color w:val="auto"/>
                <w:szCs w:val="21"/>
                <w:highlight w:val="none"/>
              </w:rPr>
              <w:t>第二章“投标人须知”前附表</w:t>
            </w:r>
            <w:r>
              <w:rPr>
                <w:rFonts w:hint="eastAsia" w:ascii="宋体" w:hAnsi="宋体" w:cs="宋体"/>
                <w:color w:val="auto"/>
                <w:kern w:val="0"/>
                <w:szCs w:val="21"/>
                <w:highlight w:val="none"/>
              </w:rPr>
              <w:t>第</w:t>
            </w:r>
            <w:r>
              <w:rPr>
                <w:rFonts w:ascii="宋体" w:hAnsi="宋体" w:cs="宋体"/>
                <w:color w:val="auto"/>
                <w:kern w:val="0"/>
                <w:szCs w:val="21"/>
                <w:highlight w:val="none"/>
              </w:rPr>
              <w:t>7.8.3项规定修正。</w:t>
            </w:r>
          </w:p>
          <w:p w14:paraId="72F4F953">
            <w:pPr>
              <w:pStyle w:val="299"/>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方式二：</w:t>
            </w:r>
            <w:r>
              <w:rPr>
                <w:rStyle w:val="59"/>
                <w:rFonts w:hint="eastAsia" w:ascii="宋体" w:hAnsi="宋体" w:cs="宋体"/>
                <w:color w:val="auto"/>
                <w:kern w:val="0"/>
                <w:szCs w:val="21"/>
                <w:highlight w:val="none"/>
              </w:rPr>
              <w:footnoteReference w:id="128"/>
            </w:r>
          </w:p>
          <w:p w14:paraId="6FC509E3">
            <w:pPr>
              <w:widowControl/>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w:t>
            </w:r>
          </w:p>
        </w:tc>
      </w:tr>
      <w:tr w14:paraId="28C1EBF3">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FD2B652">
            <w:pPr>
              <w:widowControl/>
              <w:adjustRightInd w:val="0"/>
              <w:snapToGrid w:val="0"/>
              <w:spacing w:line="400" w:lineRule="exact"/>
              <w:jc w:val="center"/>
              <w:rPr>
                <w:rFonts w:ascii="宋体" w:hAnsi="宋体" w:cs="宋体"/>
                <w:b/>
                <w:bCs/>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3EC251">
            <w:pPr>
              <w:widowControl/>
              <w:adjustRightInd w:val="0"/>
              <w:snapToGrid w:val="0"/>
              <w:spacing w:line="400" w:lineRule="exact"/>
              <w:jc w:val="center"/>
              <w:rPr>
                <w:rFonts w:ascii="宋体" w:hAnsi="宋体" w:cs="宋体"/>
                <w:b/>
                <w:bCs/>
                <w:color w:val="auto"/>
                <w:kern w:val="0"/>
                <w:szCs w:val="21"/>
                <w:highlight w:val="none"/>
              </w:rPr>
            </w:pPr>
            <w:r>
              <w:rPr>
                <w:rFonts w:ascii="宋体" w:hAnsi="宋体" w:cs="宋体"/>
                <w:color w:val="auto"/>
                <w:kern w:val="0"/>
                <w:szCs w:val="21"/>
                <w:highlight w:val="none"/>
              </w:rPr>
              <w:t>3.3.4</w:t>
            </w:r>
          </w:p>
        </w:tc>
        <w:tc>
          <w:tcPr>
            <w:tcW w:w="6833" w:type="dxa"/>
            <w:tcBorders>
              <w:top w:val="single" w:color="auto" w:sz="4" w:space="0"/>
              <w:left w:val="nil"/>
              <w:bottom w:val="single" w:color="auto" w:sz="4" w:space="0"/>
              <w:right w:val="single" w:color="auto" w:sz="4" w:space="0"/>
            </w:tcBorders>
            <w:vAlign w:val="center"/>
          </w:tcPr>
          <w:p w14:paraId="71B055D4">
            <w:pPr>
              <w:widowControl/>
              <w:adjustRightInd w:val="0"/>
              <w:snapToGrid w:val="0"/>
              <w:spacing w:line="400" w:lineRule="exact"/>
              <w:jc w:val="left"/>
              <w:rPr>
                <w:rFonts w:ascii="宋体" w:hAnsi="宋体" w:cs="宋体"/>
                <w:b/>
                <w:bCs/>
                <w:color w:val="auto"/>
                <w:kern w:val="0"/>
                <w:szCs w:val="21"/>
                <w:highlight w:val="none"/>
              </w:rPr>
            </w:pPr>
            <w:r>
              <w:rPr>
                <w:rFonts w:hint="eastAsia" w:ascii="宋体" w:hAnsi="宋体"/>
                <w:color w:val="auto"/>
                <w:szCs w:val="21"/>
                <w:highlight w:val="none"/>
              </w:rPr>
              <w:t>投标人的投标报价若超过最高投标限价（如有），评标委员会应否决其投标。</w:t>
            </w:r>
          </w:p>
        </w:tc>
      </w:tr>
      <w:tr w14:paraId="2FBA2DDF">
        <w:tblPrEx>
          <w:tblCellMar>
            <w:top w:w="0" w:type="dxa"/>
            <w:left w:w="108" w:type="dxa"/>
            <w:bottom w:w="0" w:type="dxa"/>
            <w:right w:w="108" w:type="dxa"/>
          </w:tblCellMar>
        </w:tblPrEx>
        <w:trPr>
          <w:trHeight w:val="672" w:hRule="atLeast"/>
        </w:trPr>
        <w:tc>
          <w:tcPr>
            <w:tcW w:w="993" w:type="dxa"/>
            <w:vMerge w:val="restart"/>
            <w:tcBorders>
              <w:top w:val="single" w:color="000000" w:sz="4" w:space="0"/>
              <w:left w:val="single" w:color="000000" w:sz="4" w:space="0"/>
              <w:right w:val="single" w:color="auto" w:sz="4" w:space="0"/>
            </w:tcBorders>
            <w:vAlign w:val="center"/>
          </w:tcPr>
          <w:p w14:paraId="33F51AB3">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w:t>
            </w:r>
          </w:p>
          <w:p w14:paraId="66D4168A">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第二个信封详细评审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1804A1D3">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3.4.1</w:t>
            </w:r>
          </w:p>
        </w:tc>
        <w:tc>
          <w:tcPr>
            <w:tcW w:w="6833" w:type="dxa"/>
            <w:tcBorders>
              <w:top w:val="single" w:color="auto" w:sz="4" w:space="0"/>
              <w:left w:val="single" w:color="auto" w:sz="4" w:space="0"/>
              <w:bottom w:val="single" w:color="auto" w:sz="4" w:space="0"/>
              <w:right w:val="single" w:color="auto" w:sz="4" w:space="0"/>
            </w:tcBorders>
            <w:vAlign w:val="center"/>
          </w:tcPr>
          <w:p w14:paraId="46354D29">
            <w:pPr>
              <w:widowControl/>
              <w:adjustRightInd w:val="0"/>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评标委员会按本章第</w:t>
            </w:r>
            <w:r>
              <w:rPr>
                <w:rFonts w:ascii="宋体" w:hAnsi="宋体" w:cs="宋体"/>
                <w:color w:val="auto"/>
                <w:kern w:val="0"/>
                <w:szCs w:val="21"/>
                <w:highlight w:val="none"/>
              </w:rPr>
              <w:t>2.2款规定的量化因素和标准进行打分，并计算出综合得分＝F</w:t>
            </w:r>
            <w:r>
              <w:rPr>
                <w:rFonts w:hint="eastAsia" w:ascii="宋体" w:hAnsi="宋体" w:cs="宋体"/>
                <w:color w:val="auto"/>
                <w:kern w:val="0"/>
                <w:szCs w:val="21"/>
                <w:highlight w:val="none"/>
              </w:rPr>
              <w:t>＋</w:t>
            </w:r>
            <w:r>
              <w:rPr>
                <w:rFonts w:hint="eastAsia" w:ascii="宋体" w:hAnsi="宋体"/>
                <w:color w:val="auto"/>
                <w:szCs w:val="21"/>
                <w:highlight w:val="none"/>
              </w:rPr>
              <w:t>Δ</w:t>
            </w:r>
            <w:r>
              <w:rPr>
                <w:rFonts w:ascii="宋体" w:hAnsi="宋体" w:cs="宋体"/>
                <w:color w:val="auto"/>
                <w:kern w:val="0"/>
                <w:szCs w:val="21"/>
                <w:highlight w:val="none"/>
              </w:rPr>
              <w:t>F</w:t>
            </w:r>
            <w:r>
              <w:rPr>
                <w:rFonts w:hint="eastAsia" w:ascii="宋体" w:hAnsi="宋体" w:cs="宋体"/>
                <w:color w:val="auto"/>
                <w:kern w:val="0"/>
                <w:szCs w:val="21"/>
                <w:highlight w:val="none"/>
              </w:rPr>
              <w:t>。</w:t>
            </w:r>
          </w:p>
        </w:tc>
      </w:tr>
      <w:tr w14:paraId="5E19F00C">
        <w:tblPrEx>
          <w:tblCellMar>
            <w:top w:w="0" w:type="dxa"/>
            <w:left w:w="108" w:type="dxa"/>
            <w:bottom w:w="0" w:type="dxa"/>
            <w:right w:w="108" w:type="dxa"/>
          </w:tblCellMar>
        </w:tblPrEx>
        <w:trPr>
          <w:trHeight w:val="519" w:hRule="atLeast"/>
        </w:trPr>
        <w:tc>
          <w:tcPr>
            <w:tcW w:w="993" w:type="dxa"/>
            <w:vMerge w:val="continue"/>
            <w:tcBorders>
              <w:left w:val="single" w:color="000000" w:sz="4" w:space="0"/>
              <w:bottom w:val="single" w:color="auto" w:sz="4" w:space="0"/>
              <w:right w:val="single" w:color="000000" w:sz="4" w:space="0"/>
            </w:tcBorders>
            <w:vAlign w:val="center"/>
          </w:tcPr>
          <w:p w14:paraId="7FB70241">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nil"/>
              <w:bottom w:val="single" w:color="000000" w:sz="4" w:space="0"/>
              <w:right w:val="single" w:color="000000" w:sz="4" w:space="0"/>
            </w:tcBorders>
            <w:vAlign w:val="center"/>
          </w:tcPr>
          <w:p w14:paraId="1C5D7930">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3.4.2</w:t>
            </w:r>
          </w:p>
        </w:tc>
        <w:tc>
          <w:tcPr>
            <w:tcW w:w="6833" w:type="dxa"/>
            <w:tcBorders>
              <w:top w:val="single" w:color="auto" w:sz="4" w:space="0"/>
              <w:left w:val="nil"/>
              <w:bottom w:val="single" w:color="000000" w:sz="4" w:space="0"/>
              <w:right w:val="single" w:color="000000" w:sz="4" w:space="0"/>
            </w:tcBorders>
            <w:vAlign w:val="center"/>
          </w:tcPr>
          <w:p w14:paraId="46B3FDC3">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评标价得分分值计算</w:t>
            </w:r>
            <w:r>
              <w:rPr>
                <w:rFonts w:asciiTheme="minorEastAsia" w:hAnsiTheme="minorEastAsia" w:eastAsiaTheme="minorEastAsia"/>
                <w:color w:val="auto"/>
                <w:szCs w:val="21"/>
                <w:highlight w:val="none"/>
              </w:rPr>
              <w:t>“四舍五入”</w:t>
            </w:r>
            <w:r>
              <w:rPr>
                <w:rFonts w:hint="eastAsia"/>
                <w:color w:val="auto"/>
                <w:szCs w:val="21"/>
                <w:highlight w:val="none"/>
              </w:rPr>
              <w:t>至少保留小数点后</w:t>
            </w:r>
            <w:r>
              <w:rPr>
                <w:rFonts w:asciiTheme="minorEastAsia" w:hAnsiTheme="minorEastAsia" w:eastAsiaTheme="minorEastAsia"/>
                <w:color w:val="auto"/>
                <w:szCs w:val="21"/>
                <w:highlight w:val="none"/>
                <w:u w:val="single"/>
              </w:rPr>
              <w:t xml:space="preserve">    </w:t>
            </w:r>
            <w:r>
              <w:rPr>
                <w:rFonts w:hint="eastAsia"/>
                <w:color w:val="auto"/>
                <w:szCs w:val="21"/>
                <w:highlight w:val="none"/>
              </w:rPr>
              <w:t>位。</w:t>
            </w:r>
          </w:p>
        </w:tc>
      </w:tr>
      <w:tr w14:paraId="5ED56739">
        <w:tblPrEx>
          <w:tblCellMar>
            <w:top w:w="0" w:type="dxa"/>
            <w:left w:w="108" w:type="dxa"/>
            <w:bottom w:w="0" w:type="dxa"/>
            <w:right w:w="108" w:type="dxa"/>
          </w:tblCellMar>
        </w:tblPrEx>
        <w:trPr>
          <w:trHeight w:val="496" w:hRule="atLeast"/>
        </w:trPr>
        <w:tc>
          <w:tcPr>
            <w:tcW w:w="993" w:type="dxa"/>
            <w:vMerge w:val="continue"/>
            <w:tcBorders>
              <w:left w:val="single" w:color="000000" w:sz="4" w:space="0"/>
              <w:bottom w:val="single" w:color="auto" w:sz="4" w:space="0"/>
              <w:right w:val="single" w:color="000000" w:sz="4" w:space="0"/>
            </w:tcBorders>
            <w:vAlign w:val="center"/>
          </w:tcPr>
          <w:p w14:paraId="08A883E0">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nil"/>
              <w:bottom w:val="single" w:color="000000" w:sz="4" w:space="0"/>
              <w:right w:val="single" w:color="000000" w:sz="4" w:space="0"/>
            </w:tcBorders>
            <w:vAlign w:val="center"/>
          </w:tcPr>
          <w:p w14:paraId="76F299C0">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3.4.3</w:t>
            </w:r>
          </w:p>
        </w:tc>
        <w:tc>
          <w:tcPr>
            <w:tcW w:w="6833" w:type="dxa"/>
            <w:tcBorders>
              <w:top w:val="single" w:color="auto" w:sz="4" w:space="0"/>
              <w:left w:val="nil"/>
              <w:bottom w:val="single" w:color="000000" w:sz="4" w:space="0"/>
              <w:right w:val="single" w:color="000000" w:sz="4" w:space="0"/>
            </w:tcBorders>
            <w:vAlign w:val="center"/>
          </w:tcPr>
          <w:p w14:paraId="3D449663">
            <w:pPr>
              <w:widowControl/>
              <w:adjustRightInd w:val="0"/>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评标委员会认定投标人以低于成本报价的，其投标将予以否决。</w:t>
            </w:r>
          </w:p>
        </w:tc>
      </w:tr>
      <w:tr w14:paraId="0674E89C">
        <w:tblPrEx>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cBorders>
            <w:vAlign w:val="center"/>
          </w:tcPr>
          <w:p w14:paraId="58A7620C">
            <w:pPr>
              <w:widowControl/>
              <w:adjustRightInd w:val="0"/>
              <w:snapToGrid w:val="0"/>
              <w:spacing w:line="400" w:lineRule="exact"/>
              <w:jc w:val="center"/>
              <w:rPr>
                <w:rFonts w:ascii="宋体" w:hAnsi="宋体"/>
                <w:color w:val="auto"/>
                <w:szCs w:val="21"/>
                <w:highlight w:val="none"/>
              </w:rPr>
            </w:pPr>
            <w:r>
              <w:rPr>
                <w:rFonts w:ascii="宋体" w:hAnsi="宋体"/>
                <w:color w:val="auto"/>
                <w:szCs w:val="21"/>
                <w:highlight w:val="none"/>
              </w:rPr>
              <w:t>3.5</w:t>
            </w:r>
          </w:p>
          <w:p w14:paraId="3D1BA73C">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olor w:val="auto"/>
                <w:szCs w:val="21"/>
                <w:highlight w:val="none"/>
              </w:rPr>
              <w:t>投标文件相关信息</w:t>
            </w:r>
            <w:r>
              <w:rPr>
                <w:rFonts w:hint="eastAsia" w:ascii="宋体" w:hAnsi="宋体"/>
                <w:color w:val="auto"/>
                <w:szCs w:val="21"/>
                <w:highlight w:val="none"/>
                <w:lang w:val="en-US" w:eastAsia="zh-CN"/>
              </w:rPr>
              <w:t>的</w:t>
            </w:r>
            <w:r>
              <w:rPr>
                <w:rFonts w:hint="eastAsia" w:ascii="宋体" w:hAnsi="宋体"/>
                <w:color w:val="auto"/>
                <w:szCs w:val="21"/>
                <w:highlight w:val="none"/>
              </w:rPr>
              <w:t>核查</w:t>
            </w:r>
          </w:p>
        </w:tc>
        <w:tc>
          <w:tcPr>
            <w:tcW w:w="1134" w:type="dxa"/>
            <w:tcBorders>
              <w:top w:val="single" w:color="000000" w:sz="4" w:space="0"/>
              <w:left w:val="single" w:color="auto" w:sz="4" w:space="0"/>
              <w:bottom w:val="single" w:color="000000" w:sz="4" w:space="0"/>
              <w:right w:val="single" w:color="000000" w:sz="4" w:space="0"/>
            </w:tcBorders>
            <w:vAlign w:val="center"/>
          </w:tcPr>
          <w:p w14:paraId="67298749">
            <w:pPr>
              <w:widowControl/>
              <w:adjustRightInd w:val="0"/>
              <w:snapToGrid w:val="0"/>
              <w:spacing w:line="400" w:lineRule="exact"/>
              <w:jc w:val="center"/>
              <w:rPr>
                <w:rFonts w:ascii="宋体" w:hAnsi="宋体" w:cs="宋体"/>
                <w:color w:val="auto"/>
                <w:kern w:val="0"/>
                <w:szCs w:val="21"/>
                <w:highlight w:val="none"/>
              </w:rPr>
            </w:pPr>
            <w:r>
              <w:rPr>
                <w:rFonts w:ascii="宋体" w:hAnsi="宋体"/>
                <w:color w:val="auto"/>
                <w:szCs w:val="21"/>
                <w:highlight w:val="none"/>
              </w:rPr>
              <w:t>3.5.1</w:t>
            </w:r>
          </w:p>
        </w:tc>
        <w:tc>
          <w:tcPr>
            <w:tcW w:w="6833" w:type="dxa"/>
            <w:tcBorders>
              <w:top w:val="single" w:color="000000" w:sz="4" w:space="0"/>
              <w:left w:val="nil"/>
              <w:bottom w:val="single" w:color="000000" w:sz="4" w:space="0"/>
              <w:right w:val="single" w:color="000000" w:sz="4" w:space="0"/>
            </w:tcBorders>
            <w:vAlign w:val="center"/>
          </w:tcPr>
          <w:p w14:paraId="7D05BC89">
            <w:pPr>
              <w:widowControl/>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经核实评标委员会认定投标人</w:t>
            </w:r>
            <w:r>
              <w:rPr>
                <w:rFonts w:hint="eastAsia" w:ascii="宋体" w:hAnsi="宋体" w:cs="宋体"/>
                <w:color w:val="auto"/>
                <w:szCs w:val="21"/>
                <w:highlight w:val="none"/>
                <w:lang w:val="en-US" w:eastAsia="zh-CN"/>
              </w:rPr>
              <w:t>按招标文件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章“投标文件格式”要求</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提供的信息与</w:t>
            </w:r>
            <w:r>
              <w:rPr>
                <w:rFonts w:hint="eastAsia" w:ascii="宋体" w:hAnsi="宋体"/>
                <w:color w:val="auto"/>
                <w:szCs w:val="21"/>
                <w:highlight w:val="none"/>
              </w:rPr>
              <w:t>交通运输主管部门</w:t>
            </w:r>
            <w:r>
              <w:rPr>
                <w:rFonts w:ascii="宋体" w:hAnsi="宋体"/>
                <w:color w:val="auto"/>
                <w:szCs w:val="21"/>
                <w:highlight w:val="none"/>
              </w:rPr>
              <w:t>“</w:t>
            </w:r>
            <w:r>
              <w:rPr>
                <w:rFonts w:hint="eastAsia" w:ascii="宋体" w:hAnsi="宋体" w:cs="宋体"/>
                <w:color w:val="auto"/>
                <w:kern w:val="2"/>
                <w:sz w:val="21"/>
                <w:szCs w:val="21"/>
                <w:highlight w:val="none"/>
              </w:rPr>
              <w:t>全国公路建设市场监督管理系统</w:t>
            </w:r>
            <w:r>
              <w:rPr>
                <w:rFonts w:ascii="宋体" w:hAnsi="宋体"/>
                <w:color w:val="auto"/>
                <w:szCs w:val="21"/>
                <w:highlight w:val="none"/>
              </w:rPr>
              <w:t>”</w:t>
            </w:r>
            <w:r>
              <w:rPr>
                <w:rStyle w:val="59"/>
                <w:rFonts w:ascii="宋体" w:hAnsi="宋体"/>
                <w:color w:val="auto"/>
                <w:szCs w:val="21"/>
                <w:highlight w:val="none"/>
              </w:rPr>
              <w:footnoteReference w:id="129"/>
            </w:r>
            <w:r>
              <w:rPr>
                <w:rFonts w:hint="eastAsia" w:ascii="宋体" w:hAnsi="宋体"/>
                <w:color w:val="auto"/>
                <w:szCs w:val="21"/>
                <w:highlight w:val="none"/>
              </w:rPr>
              <w:t>以及“信用交通·四川”</w:t>
            </w:r>
            <w:r>
              <w:rPr>
                <w:rFonts w:hint="eastAsia" w:ascii="宋体" w:hAnsi="宋体"/>
                <w:color w:val="auto"/>
                <w:szCs w:val="21"/>
                <w:highlight w:val="none"/>
                <w:lang w:val="en-US" w:eastAsia="zh-CN"/>
              </w:rPr>
              <w:t>等相关网站</w:t>
            </w:r>
            <w:r>
              <w:rPr>
                <w:rFonts w:hint="eastAsia" w:ascii="宋体" w:hAnsi="宋体"/>
                <w:color w:val="auto"/>
                <w:szCs w:val="21"/>
                <w:highlight w:val="none"/>
              </w:rPr>
              <w:t>发布的信息不符</w:t>
            </w:r>
            <w:r>
              <w:rPr>
                <w:rFonts w:hint="eastAsia" w:ascii="宋体" w:hAnsi="宋体" w:cs="宋体"/>
                <w:color w:val="auto"/>
                <w:szCs w:val="21"/>
                <w:highlight w:val="none"/>
              </w:rPr>
              <w:t>，使得投标人的资格条件不符合招标文件规定的，评标委员会应否决其投标</w:t>
            </w:r>
            <w:r>
              <w:rPr>
                <w:rFonts w:hint="eastAsia" w:ascii="宋体" w:hAnsi="宋体"/>
                <w:color w:val="auto"/>
                <w:szCs w:val="21"/>
                <w:highlight w:val="none"/>
              </w:rPr>
              <w:t>。</w:t>
            </w:r>
          </w:p>
        </w:tc>
      </w:tr>
      <w:tr w14:paraId="76DB833D">
        <w:tblPrEx>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2F0E3564">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214F16B8">
            <w:pPr>
              <w:widowControl/>
              <w:adjustRightInd w:val="0"/>
              <w:snapToGrid w:val="0"/>
              <w:spacing w:line="400" w:lineRule="exact"/>
              <w:jc w:val="center"/>
              <w:rPr>
                <w:rFonts w:ascii="宋体" w:hAnsi="宋体" w:cs="宋体"/>
                <w:color w:val="auto"/>
                <w:kern w:val="0"/>
                <w:szCs w:val="21"/>
                <w:highlight w:val="none"/>
              </w:rPr>
            </w:pPr>
            <w:r>
              <w:rPr>
                <w:rFonts w:ascii="宋体" w:hAnsi="宋体"/>
                <w:color w:val="auto"/>
                <w:szCs w:val="21"/>
                <w:highlight w:val="none"/>
              </w:rPr>
              <w:t>3.5.2</w:t>
            </w:r>
          </w:p>
        </w:tc>
        <w:tc>
          <w:tcPr>
            <w:tcW w:w="6833" w:type="dxa"/>
            <w:tcBorders>
              <w:top w:val="single" w:color="000000" w:sz="4" w:space="0"/>
              <w:left w:val="nil"/>
              <w:bottom w:val="single" w:color="000000" w:sz="4" w:space="0"/>
              <w:right w:val="single" w:color="000000" w:sz="4" w:space="0"/>
            </w:tcBorders>
            <w:vAlign w:val="center"/>
          </w:tcPr>
          <w:p w14:paraId="69029269">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评标委员会在评标过程中发现投标人存在</w:t>
            </w:r>
            <w:r>
              <w:rPr>
                <w:rFonts w:hint="eastAsia" w:ascii="宋体" w:hAnsi="宋体"/>
                <w:color w:val="auto"/>
                <w:kern w:val="0"/>
                <w:szCs w:val="21"/>
                <w:highlight w:val="none"/>
              </w:rPr>
              <w:t>串通投标、弄虚作假、行贿等违法行为的</w:t>
            </w:r>
            <w:r>
              <w:rPr>
                <w:rFonts w:hint="eastAsia" w:ascii="宋体" w:hAnsi="宋体"/>
                <w:color w:val="auto"/>
                <w:szCs w:val="21"/>
                <w:highlight w:val="none"/>
              </w:rPr>
              <w:t>，评标委员会应否决其投标。</w:t>
            </w:r>
          </w:p>
        </w:tc>
      </w:tr>
      <w:tr w14:paraId="7EC6A28D">
        <w:tblPrEx>
          <w:tblCellMar>
            <w:top w:w="0" w:type="dxa"/>
            <w:left w:w="108" w:type="dxa"/>
            <w:bottom w:w="0" w:type="dxa"/>
            <w:right w:w="108" w:type="dxa"/>
          </w:tblCellMar>
        </w:tblPrEx>
        <w:trPr>
          <w:trHeight w:val="1636" w:hRule="atLeast"/>
        </w:trPr>
        <w:tc>
          <w:tcPr>
            <w:tcW w:w="993" w:type="dxa"/>
            <w:tcBorders>
              <w:top w:val="single" w:color="auto" w:sz="4" w:space="0"/>
              <w:left w:val="single" w:color="000000" w:sz="4" w:space="0"/>
              <w:bottom w:val="single" w:color="auto" w:sz="4" w:space="0"/>
              <w:right w:val="single" w:color="000000" w:sz="4" w:space="0"/>
            </w:tcBorders>
            <w:vAlign w:val="center"/>
          </w:tcPr>
          <w:p w14:paraId="3D1E5FBD">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3.6</w:t>
            </w:r>
          </w:p>
          <w:p w14:paraId="3813BBC3">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投标文件的澄清和说明</w:t>
            </w:r>
          </w:p>
        </w:tc>
        <w:tc>
          <w:tcPr>
            <w:tcW w:w="1134" w:type="dxa"/>
            <w:tcBorders>
              <w:top w:val="single" w:color="000000" w:sz="4" w:space="0"/>
              <w:left w:val="nil"/>
              <w:bottom w:val="single" w:color="000000" w:sz="4" w:space="0"/>
              <w:right w:val="single" w:color="000000" w:sz="4" w:space="0"/>
            </w:tcBorders>
            <w:vAlign w:val="center"/>
          </w:tcPr>
          <w:p w14:paraId="4DFB8E61">
            <w:pPr>
              <w:widowControl/>
              <w:adjustRightInd w:val="0"/>
              <w:snapToGrid w:val="0"/>
              <w:spacing w:line="400" w:lineRule="exact"/>
              <w:ind w:firstLine="120"/>
              <w:rPr>
                <w:rFonts w:ascii="宋体" w:hAnsi="宋体" w:cs="宋体"/>
                <w:color w:val="auto"/>
                <w:kern w:val="0"/>
                <w:szCs w:val="21"/>
                <w:highlight w:val="none"/>
              </w:rPr>
            </w:pPr>
            <w:r>
              <w:rPr>
                <w:rFonts w:ascii="宋体" w:hAnsi="宋体" w:cs="宋体"/>
                <w:color w:val="auto"/>
                <w:kern w:val="0"/>
                <w:szCs w:val="21"/>
                <w:highlight w:val="none"/>
              </w:rPr>
              <w:t>3.6.1</w:t>
            </w:r>
          </w:p>
        </w:tc>
        <w:tc>
          <w:tcPr>
            <w:tcW w:w="6833" w:type="dxa"/>
            <w:tcBorders>
              <w:top w:val="single" w:color="000000" w:sz="4" w:space="0"/>
              <w:left w:val="nil"/>
              <w:bottom w:val="single" w:color="000000" w:sz="4" w:space="0"/>
              <w:right w:val="single" w:color="000000" w:sz="4" w:space="0"/>
            </w:tcBorders>
            <w:vAlign w:val="center"/>
          </w:tcPr>
          <w:p w14:paraId="32D1213B">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1）在评标过程中，评标委员会通过“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”要求投标人对投标文件中含义不明确的内容、明显文字或计算错误进行澄清或说明。评标委员会不接受投标人主动提出的澄清、说明。</w:t>
            </w:r>
          </w:p>
          <w:p w14:paraId="797F0A82">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2）投标人收到问题澄清通知后必须在规定时间内通过“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”给予澄清，投标人的澄清必须加盖投标人单位电子印章或法定代表</w:t>
            </w:r>
            <w:r>
              <w:rPr>
                <w:rFonts w:hint="eastAsia" w:ascii="宋体" w:hAnsi="宋体" w:cs="宋体"/>
                <w:color w:val="auto"/>
                <w:szCs w:val="21"/>
                <w:highlight w:val="none"/>
              </w:rPr>
              <w:t>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w:t>
            </w:r>
            <w:r>
              <w:rPr>
                <w:rFonts w:hint="eastAsia" w:ascii="宋体" w:hAnsi="宋体" w:cs="宋体"/>
                <w:color w:val="auto"/>
                <w:szCs w:val="21"/>
                <w:highlight w:val="none"/>
                <w:lang w:val="en-US" w:eastAsia="zh-CN"/>
              </w:rPr>
              <w:t>签名章或个人电子印章</w:t>
            </w:r>
            <w:r>
              <w:rPr>
                <w:rFonts w:hint="eastAsia" w:ascii="宋体" w:hAnsi="宋体" w:cs="宋体"/>
                <w:color w:val="auto"/>
                <w:szCs w:val="21"/>
                <w:highlight w:val="none"/>
              </w:rPr>
              <w:t>。</w:t>
            </w:r>
          </w:p>
          <w:p w14:paraId="4EB48B0C">
            <w:pPr>
              <w:widowControl/>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3）投标人不按评标委员会要求澄清或说明的，评标委员会应否决其投标。</w:t>
            </w:r>
          </w:p>
        </w:tc>
      </w:tr>
      <w:tr w14:paraId="0CE7E03F">
        <w:tblPrEx>
          <w:tblCellMar>
            <w:top w:w="0" w:type="dxa"/>
            <w:left w:w="108" w:type="dxa"/>
            <w:bottom w:w="0" w:type="dxa"/>
            <w:right w:w="108" w:type="dxa"/>
          </w:tblCellMar>
        </w:tblPrEx>
        <w:trPr>
          <w:trHeight w:val="516" w:hRule="atLeast"/>
        </w:trPr>
        <w:tc>
          <w:tcPr>
            <w:tcW w:w="8960" w:type="dxa"/>
            <w:gridSpan w:val="3"/>
            <w:tcBorders>
              <w:top w:val="single" w:color="auto" w:sz="4" w:space="0"/>
              <w:left w:val="single" w:color="000000" w:sz="4" w:space="0"/>
              <w:bottom w:val="single" w:color="000000" w:sz="4" w:space="0"/>
              <w:right w:val="single" w:color="000000" w:sz="4" w:space="0"/>
            </w:tcBorders>
            <w:vAlign w:val="center"/>
          </w:tcPr>
          <w:p w14:paraId="36141120">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需要补充的</w:t>
            </w:r>
            <w:r>
              <w:rPr>
                <w:rFonts w:ascii="宋体" w:hAnsi="宋体" w:cs="宋体"/>
                <w:color w:val="auto"/>
                <w:szCs w:val="21"/>
                <w:highlight w:val="none"/>
              </w:rPr>
              <w:t>其他内容：</w:t>
            </w:r>
          </w:p>
          <w:p w14:paraId="11AE0224">
            <w:pPr>
              <w:pStyle w:val="299"/>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none"/>
              </w:rPr>
              <w:t>……</w:t>
            </w:r>
          </w:p>
        </w:tc>
      </w:tr>
      <w:bookmarkEnd w:id="662"/>
    </w:tbl>
    <w:p w14:paraId="3C2C1118">
      <w:pPr>
        <w:widowControl/>
        <w:spacing w:line="400" w:lineRule="atLeast"/>
        <w:ind w:firstLine="240"/>
        <w:jc w:val="center"/>
        <w:rPr>
          <w:rFonts w:ascii="宋体" w:hAnsi="宋体" w:cs="宋体"/>
          <w:color w:val="auto"/>
          <w:kern w:val="0"/>
          <w:sz w:val="24"/>
          <w:highlight w:val="none"/>
        </w:rPr>
        <w:sectPr>
          <w:footnotePr>
            <w:numFmt w:val="decimalEnclosedCircleChinese"/>
            <w:numRestart w:val="eachPage"/>
          </w:footnotePr>
          <w:pgSz w:w="11900" w:h="16838"/>
          <w:pgMar w:top="1417" w:right="1417" w:bottom="1417" w:left="1701" w:header="850" w:footer="624" w:gutter="0"/>
          <w:cols w:space="0" w:num="1"/>
          <w:rtlGutter w:val="0"/>
          <w:docGrid w:linePitch="312" w:charSpace="0"/>
        </w:sectPr>
      </w:pPr>
    </w:p>
    <w:p w14:paraId="1BA6BA56">
      <w:pPr>
        <w:pStyle w:val="5"/>
        <w:adjustRightInd w:val="0"/>
        <w:snapToGrid w:val="0"/>
        <w:spacing w:before="0" w:beforeLines="0" w:after="0" w:afterLines="0" w:line="360" w:lineRule="auto"/>
        <w:jc w:val="both"/>
        <w:rPr>
          <w:rStyle w:val="128"/>
          <w:rFonts w:ascii="黑体" w:hAnsi="黑体" w:cs="黑体"/>
          <w:b/>
          <w:bCs/>
          <w:color w:val="auto"/>
          <w:kern w:val="2"/>
          <w:sz w:val="30"/>
          <w:szCs w:val="30"/>
          <w:highlight w:val="none"/>
        </w:rPr>
      </w:pPr>
      <w:bookmarkStart w:id="663" w:name="_Toc53685652"/>
      <w:r>
        <w:rPr>
          <w:rStyle w:val="128"/>
          <w:rFonts w:ascii="黑体" w:hAnsi="黑体" w:cs="黑体"/>
          <w:b/>
          <w:bCs w:val="0"/>
          <w:color w:val="auto"/>
          <w:sz w:val="30"/>
          <w:szCs w:val="30"/>
          <w:highlight w:val="none"/>
        </w:rPr>
        <w:t>评标办法（</w:t>
      </w:r>
      <w:r>
        <w:rPr>
          <w:rFonts w:hint="eastAsia" w:ascii="黑体" w:hAnsi="黑体" w:cs="黑体"/>
          <w:color w:val="auto"/>
          <w:szCs w:val="28"/>
          <w:highlight w:val="none"/>
        </w:rPr>
        <w:t>合理低价法</w:t>
      </w:r>
      <w:r>
        <w:rPr>
          <w:rStyle w:val="128"/>
          <w:rFonts w:hint="eastAsia" w:ascii="黑体" w:hAnsi="黑体" w:cs="黑体"/>
          <w:b/>
          <w:bCs w:val="0"/>
          <w:color w:val="auto"/>
          <w:sz w:val="30"/>
          <w:szCs w:val="30"/>
          <w:highlight w:val="none"/>
        </w:rPr>
        <w:t>正文）</w:t>
      </w:r>
      <w:bookmarkEnd w:id="663"/>
    </w:p>
    <w:p w14:paraId="59FCD0E2">
      <w:pPr>
        <w:pStyle w:val="5"/>
        <w:numPr>
          <w:ilvl w:val="-1"/>
          <w:numId w:val="0"/>
        </w:numPr>
        <w:rPr>
          <w:color w:val="auto"/>
          <w:highlight w:val="none"/>
        </w:rPr>
      </w:pPr>
      <w:bookmarkStart w:id="664" w:name="_Toc53685653"/>
      <w:r>
        <w:rPr>
          <w:rFonts w:hint="eastAsia"/>
          <w:color w:val="auto"/>
          <w:highlight w:val="none"/>
          <w:lang w:val="en-US" w:eastAsia="zh-CN"/>
        </w:rPr>
        <w:t xml:space="preserve">1. </w:t>
      </w:r>
      <w:r>
        <w:rPr>
          <w:rFonts w:hint="eastAsia"/>
          <w:color w:val="auto"/>
          <w:highlight w:val="none"/>
        </w:rPr>
        <w:t>评标方法</w:t>
      </w:r>
      <w:bookmarkEnd w:id="664"/>
      <w:r>
        <w:rPr>
          <w:color w:val="auto"/>
          <w:highlight w:val="none"/>
        </w:rPr>
        <w:t xml:space="preserve"> </w:t>
      </w:r>
    </w:p>
    <w:p w14:paraId="45F53A2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本次评标采用合理低价法。评标委员会对满足招标文件实质性要求的投标文件，根据本章第</w:t>
      </w:r>
      <w:r>
        <w:rPr>
          <w:rFonts w:ascii="宋体" w:hAnsi="宋体"/>
          <w:color w:val="auto"/>
          <w:kern w:val="0"/>
          <w:sz w:val="24"/>
          <w:highlight w:val="none"/>
        </w:rPr>
        <w:t>2.2</w:t>
      </w:r>
      <w:r>
        <w:rPr>
          <w:rFonts w:hint="eastAsia" w:ascii="宋体" w:hAnsi="宋体"/>
          <w:color w:val="auto"/>
          <w:kern w:val="0"/>
          <w:sz w:val="24"/>
          <w:highlight w:val="none"/>
        </w:rPr>
        <w:t>款规定的量化因素及量化标准进行综合得分，按照综合得分由高到低的顺序推荐中标候选人，或根据招标人授权直接确定中标人，但投标报价低于其成本的除外。综合得分相等时，评标委员会应按照评标办法前附表规定的优先次序推荐中标候选人或确定中标人。</w:t>
      </w:r>
      <w:r>
        <w:rPr>
          <w:rFonts w:ascii="宋体" w:hAnsi="宋体"/>
          <w:color w:val="auto"/>
          <w:kern w:val="0"/>
          <w:sz w:val="24"/>
          <w:highlight w:val="none"/>
        </w:rPr>
        <w:t xml:space="preserve"> </w:t>
      </w:r>
    </w:p>
    <w:p w14:paraId="0C1413C9">
      <w:pPr>
        <w:pStyle w:val="5"/>
        <w:rPr>
          <w:color w:val="auto"/>
          <w:highlight w:val="none"/>
        </w:rPr>
      </w:pPr>
      <w:bookmarkStart w:id="665" w:name="_Toc53685654"/>
      <w:r>
        <w:rPr>
          <w:rFonts w:hint="eastAsia"/>
          <w:color w:val="auto"/>
          <w:highlight w:val="none"/>
          <w:lang w:val="en-US" w:eastAsia="zh-CN"/>
        </w:rPr>
        <w:t xml:space="preserve">2. </w:t>
      </w:r>
      <w:r>
        <w:rPr>
          <w:rFonts w:hint="eastAsia"/>
          <w:color w:val="auto"/>
          <w:highlight w:val="none"/>
        </w:rPr>
        <w:t>评审标准</w:t>
      </w:r>
      <w:bookmarkEnd w:id="665"/>
      <w:r>
        <w:rPr>
          <w:color w:val="auto"/>
          <w:highlight w:val="none"/>
        </w:rPr>
        <w:t xml:space="preserve"> </w:t>
      </w:r>
    </w:p>
    <w:p w14:paraId="04153E72">
      <w:pPr>
        <w:pStyle w:val="6"/>
        <w:numPr>
          <w:ilvl w:val="0"/>
          <w:numId w:val="0"/>
        </w:numPr>
        <w:spacing w:line="360" w:lineRule="auto"/>
        <w:jc w:val="both"/>
        <w:rPr>
          <w:b w:val="0"/>
          <w:bCs w:val="0"/>
          <w:color w:val="auto"/>
          <w:highlight w:val="none"/>
        </w:rPr>
      </w:pPr>
      <w:bookmarkStart w:id="666" w:name="_Toc53685655"/>
      <w:r>
        <w:rPr>
          <w:b w:val="0"/>
          <w:bCs w:val="0"/>
          <w:color w:val="auto"/>
          <w:highlight w:val="none"/>
        </w:rPr>
        <w:t xml:space="preserve">2.1 </w:t>
      </w:r>
      <w:r>
        <w:rPr>
          <w:rFonts w:hint="eastAsia"/>
          <w:b w:val="0"/>
          <w:bCs w:val="0"/>
          <w:color w:val="auto"/>
          <w:highlight w:val="none"/>
        </w:rPr>
        <w:t>初步评审标准</w:t>
      </w:r>
      <w:bookmarkEnd w:id="666"/>
      <w:r>
        <w:rPr>
          <w:b w:val="0"/>
          <w:bCs w:val="0"/>
          <w:color w:val="auto"/>
          <w:highlight w:val="none"/>
        </w:rPr>
        <w:t xml:space="preserve"> </w:t>
      </w:r>
    </w:p>
    <w:p w14:paraId="2094556F">
      <w:pPr>
        <w:widowControl/>
        <w:adjustRightInd w:val="0"/>
        <w:snapToGrid w:val="0"/>
        <w:spacing w:line="360" w:lineRule="auto"/>
        <w:ind w:firstLine="480" w:firstLineChars="200"/>
        <w:rPr>
          <w:rFonts w:ascii="宋体" w:hAnsi="宋体" w:cs="宋体"/>
          <w:color w:val="auto"/>
          <w:kern w:val="0"/>
          <w:sz w:val="24"/>
          <w:highlight w:val="none"/>
        </w:rPr>
      </w:pPr>
      <w:r>
        <w:rPr>
          <w:rFonts w:ascii="宋体" w:hAnsi="宋体" w:cs="宋体"/>
          <w:bCs/>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14:paraId="0C20496C">
      <w:pPr>
        <w:widowControl/>
        <w:adjustRightInd w:val="0"/>
        <w:snapToGrid w:val="0"/>
        <w:spacing w:line="360" w:lineRule="auto"/>
        <w:ind w:firstLine="480" w:firstLineChars="200"/>
        <w:rPr>
          <w:rFonts w:ascii="宋体" w:hAnsi="宋体" w:cs="宋体"/>
          <w:color w:val="auto"/>
          <w:kern w:val="0"/>
          <w:sz w:val="24"/>
          <w:highlight w:val="none"/>
        </w:rPr>
      </w:pPr>
      <w:r>
        <w:rPr>
          <w:rFonts w:ascii="宋体" w:hAnsi="宋体" w:cs="宋体"/>
          <w:bCs/>
          <w:color w:val="auto"/>
          <w:kern w:val="0"/>
          <w:sz w:val="24"/>
          <w:highlight w:val="none"/>
        </w:rPr>
        <w:t>2.1.2</w:t>
      </w:r>
      <w:r>
        <w:rPr>
          <w:rFonts w:ascii="宋体" w:hAnsi="宋体" w:cs="宋体"/>
          <w:color w:val="auto"/>
          <w:kern w:val="0"/>
          <w:sz w:val="24"/>
          <w:highlight w:val="none"/>
        </w:rPr>
        <w:t xml:space="preserve"> 资格评审标准：见评标办法前附表。</w:t>
      </w:r>
    </w:p>
    <w:p w14:paraId="0A59F01E">
      <w:pPr>
        <w:widowControl/>
        <w:adjustRightInd w:val="0"/>
        <w:snapToGrid w:val="0"/>
        <w:spacing w:line="360" w:lineRule="auto"/>
        <w:ind w:firstLine="480" w:firstLineChars="200"/>
        <w:rPr>
          <w:rFonts w:ascii="宋体" w:hAnsi="宋体"/>
          <w:color w:val="auto"/>
          <w:kern w:val="0"/>
          <w:sz w:val="24"/>
          <w:highlight w:val="none"/>
        </w:rPr>
      </w:pPr>
      <w:r>
        <w:rPr>
          <w:rFonts w:ascii="宋体" w:hAnsi="宋体"/>
          <w:bCs/>
          <w:color w:val="auto"/>
          <w:kern w:val="0"/>
          <w:sz w:val="24"/>
          <w:highlight w:val="none"/>
        </w:rPr>
        <w:t>2.1.3</w:t>
      </w:r>
      <w:r>
        <w:rPr>
          <w:rFonts w:ascii="宋体" w:hAnsi="宋体"/>
          <w:color w:val="auto"/>
          <w:kern w:val="0"/>
          <w:sz w:val="24"/>
          <w:highlight w:val="none"/>
        </w:rPr>
        <w:t xml:space="preserve"> 响应性评审标准：见评标办法前附表。</w:t>
      </w:r>
    </w:p>
    <w:p w14:paraId="3DAB6CE9">
      <w:pPr>
        <w:pStyle w:val="6"/>
        <w:numPr>
          <w:ilvl w:val="0"/>
          <w:numId w:val="0"/>
        </w:numPr>
        <w:spacing w:line="360" w:lineRule="auto"/>
        <w:jc w:val="both"/>
        <w:rPr>
          <w:rFonts w:ascii="Times New Roman" w:hAnsi="Times New Roman"/>
          <w:b w:val="0"/>
          <w:bCs w:val="0"/>
          <w:color w:val="auto"/>
          <w:sz w:val="28"/>
          <w:szCs w:val="32"/>
          <w:highlight w:val="none"/>
        </w:rPr>
      </w:pPr>
      <w:bookmarkStart w:id="667" w:name="_Toc53685656"/>
      <w:r>
        <w:rPr>
          <w:rFonts w:hint="default" w:ascii="Times New Roman" w:hAnsi="Times New Roman"/>
          <w:b w:val="0"/>
          <w:bCs w:val="0"/>
          <w:color w:val="auto"/>
          <w:sz w:val="28"/>
          <w:szCs w:val="32"/>
          <w:highlight w:val="none"/>
        </w:rPr>
        <w:t>2.2</w:t>
      </w:r>
      <w:r>
        <w:rPr>
          <w:rFonts w:hint="eastAsia" w:ascii="Times New Roman" w:hAnsi="Times New Roman"/>
          <w:b w:val="0"/>
          <w:bCs w:val="0"/>
          <w:color w:val="auto"/>
          <w:sz w:val="28"/>
          <w:szCs w:val="32"/>
          <w:highlight w:val="none"/>
          <w:lang w:val="en-US" w:eastAsia="zh-CN"/>
        </w:rPr>
        <w:t xml:space="preserve"> </w:t>
      </w:r>
      <w:r>
        <w:rPr>
          <w:rFonts w:hint="default" w:ascii="Times New Roman" w:hAnsi="Times New Roman"/>
          <w:b w:val="0"/>
          <w:bCs w:val="0"/>
          <w:color w:val="auto"/>
          <w:sz w:val="28"/>
          <w:szCs w:val="32"/>
          <w:highlight w:val="none"/>
        </w:rPr>
        <w:t>分值构成与评分标准</w:t>
      </w:r>
      <w:bookmarkEnd w:id="667"/>
    </w:p>
    <w:p w14:paraId="7A1DB369">
      <w:pPr>
        <w:widowControl/>
        <w:adjustRightInd w:val="0"/>
        <w:snapToGrid w:val="0"/>
        <w:spacing w:line="360" w:lineRule="auto"/>
        <w:ind w:firstLine="480" w:firstLineChars="200"/>
        <w:rPr>
          <w:rFonts w:ascii="宋体" w:hAnsi="宋体"/>
          <w:color w:val="auto"/>
          <w:kern w:val="0"/>
          <w:sz w:val="24"/>
          <w:highlight w:val="none"/>
        </w:rPr>
      </w:pPr>
      <w:r>
        <w:rPr>
          <w:rFonts w:ascii="宋体" w:hAnsi="宋体" w:cs="宋体"/>
          <w:color w:val="auto"/>
          <w:kern w:val="0"/>
          <w:sz w:val="24"/>
          <w:highlight w:val="none"/>
        </w:rPr>
        <w:t>2.2.1分值构成</w:t>
      </w:r>
    </w:p>
    <w:p w14:paraId="4B8042A3">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评标价：见评标办法前附表。</w:t>
      </w:r>
    </w:p>
    <w:p w14:paraId="1057945F">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信用等级</w:t>
      </w:r>
      <w:r>
        <w:rPr>
          <w:rFonts w:hint="eastAsia" w:ascii="宋体" w:hAnsi="宋体"/>
          <w:color w:val="auto"/>
          <w:kern w:val="0"/>
          <w:sz w:val="24"/>
          <w:highlight w:val="none"/>
        </w:rPr>
        <w:t>：见评标办法前附表。</w:t>
      </w:r>
    </w:p>
    <w:p w14:paraId="53C3694C">
      <w:pPr>
        <w:widowControl/>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asciiTheme="minorEastAsia" w:hAnsiTheme="minorEastAsia" w:eastAsiaTheme="minorEastAsia"/>
          <w:color w:val="auto"/>
          <w:sz w:val="24"/>
          <w:highlight w:val="none"/>
        </w:rPr>
        <w:t>2.2.2评标基准价计算</w:t>
      </w:r>
    </w:p>
    <w:p w14:paraId="311509C6">
      <w:pPr>
        <w:widowControl/>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评标基准价计算方法：见评标办法前附表。</w:t>
      </w:r>
    </w:p>
    <w:p w14:paraId="09771314">
      <w:pPr>
        <w:widowControl/>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2.2.3评标价的偏差率计算</w:t>
      </w:r>
    </w:p>
    <w:p w14:paraId="3D0151A4">
      <w:pPr>
        <w:widowControl/>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评标价偏差率计算公式：</w:t>
      </w:r>
      <w:r>
        <w:rPr>
          <w:rFonts w:hint="eastAsia" w:asciiTheme="minorEastAsia" w:hAnsiTheme="minorEastAsia" w:eastAsiaTheme="minorEastAsia"/>
          <w:color w:val="auto"/>
          <w:kern w:val="0"/>
          <w:sz w:val="24"/>
          <w:highlight w:val="none"/>
        </w:rPr>
        <w:t>见评标办法前附表。</w:t>
      </w:r>
    </w:p>
    <w:p w14:paraId="260E878F">
      <w:pPr>
        <w:widowControl/>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2.2.4评分标准</w:t>
      </w:r>
    </w:p>
    <w:p w14:paraId="07A638ED">
      <w:pPr>
        <w:keepLines/>
        <w:widowControl/>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评标价评分标准：</w:t>
      </w:r>
      <w:r>
        <w:rPr>
          <w:rFonts w:hint="eastAsia" w:asciiTheme="minorEastAsia" w:hAnsiTheme="minorEastAsia" w:eastAsiaTheme="minorEastAsia"/>
          <w:color w:val="auto"/>
          <w:kern w:val="0"/>
          <w:sz w:val="24"/>
          <w:highlight w:val="none"/>
        </w:rPr>
        <w:t>见评标办法前附表。</w:t>
      </w:r>
    </w:p>
    <w:p w14:paraId="1123AF22">
      <w:pPr>
        <w:keepLines/>
        <w:widowControl/>
        <w:adjustRightInd w:val="0"/>
        <w:snapToGrid w:val="0"/>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kern w:val="0"/>
          <w:sz w:val="24"/>
          <w:highlight w:val="none"/>
          <w:lang w:val="en-US" w:eastAsia="zh-CN"/>
        </w:rPr>
        <w:t>信用等级</w:t>
      </w:r>
      <w:r>
        <w:rPr>
          <w:rFonts w:hint="eastAsia" w:asciiTheme="minorEastAsia" w:hAnsiTheme="minorEastAsia" w:eastAsiaTheme="minorEastAsia"/>
          <w:color w:val="auto"/>
          <w:kern w:val="0"/>
          <w:sz w:val="24"/>
          <w:highlight w:val="none"/>
        </w:rPr>
        <w:t>评分标准：见评标办法前附表</w:t>
      </w:r>
      <w:r>
        <w:rPr>
          <w:rFonts w:hint="eastAsia" w:ascii="宋体" w:hAnsi="宋体"/>
          <w:color w:val="auto"/>
          <w:kern w:val="0"/>
          <w:sz w:val="24"/>
          <w:highlight w:val="none"/>
        </w:rPr>
        <w:t>。</w:t>
      </w:r>
    </w:p>
    <w:p w14:paraId="394CC6CA">
      <w:pPr>
        <w:pStyle w:val="5"/>
        <w:numPr>
          <w:ilvl w:val="-1"/>
          <w:numId w:val="0"/>
        </w:numPr>
        <w:rPr>
          <w:rFonts w:hint="eastAsia" w:ascii="Arial" w:hAnsi="Arial"/>
          <w:b/>
          <w:color w:val="auto"/>
          <w:sz w:val="28"/>
          <w:szCs w:val="32"/>
          <w:highlight w:val="none"/>
        </w:rPr>
      </w:pPr>
      <w:bookmarkStart w:id="668" w:name="_Toc53685657"/>
      <w:r>
        <w:rPr>
          <w:rFonts w:hint="eastAsia" w:ascii="Arial" w:hAnsi="Arial"/>
          <w:b/>
          <w:color w:val="auto"/>
          <w:sz w:val="28"/>
          <w:szCs w:val="32"/>
          <w:highlight w:val="none"/>
          <w:lang w:val="en-US" w:eastAsia="zh-CN"/>
        </w:rPr>
        <w:t xml:space="preserve">3. </w:t>
      </w:r>
      <w:r>
        <w:rPr>
          <w:rFonts w:hint="eastAsia" w:ascii="Arial" w:hAnsi="Arial"/>
          <w:b/>
          <w:color w:val="auto"/>
          <w:sz w:val="28"/>
          <w:szCs w:val="32"/>
          <w:highlight w:val="none"/>
        </w:rPr>
        <w:t>评标程序</w:t>
      </w:r>
      <w:bookmarkEnd w:id="668"/>
      <w:r>
        <w:rPr>
          <w:rFonts w:hint="eastAsia" w:ascii="Arial" w:hAnsi="Arial"/>
          <w:b/>
          <w:color w:val="auto"/>
          <w:sz w:val="28"/>
          <w:szCs w:val="32"/>
          <w:highlight w:val="none"/>
        </w:rPr>
        <w:t xml:space="preserve"> </w:t>
      </w:r>
    </w:p>
    <w:p w14:paraId="58081620">
      <w:pPr>
        <w:pStyle w:val="6"/>
        <w:numPr>
          <w:ilvl w:val="0"/>
          <w:numId w:val="0"/>
        </w:numPr>
        <w:spacing w:line="360" w:lineRule="auto"/>
        <w:jc w:val="both"/>
        <w:rPr>
          <w:rFonts w:ascii="Times New Roman" w:hAnsi="Times New Roman"/>
          <w:b w:val="0"/>
          <w:bCs w:val="0"/>
          <w:color w:val="auto"/>
          <w:sz w:val="28"/>
          <w:szCs w:val="32"/>
          <w:highlight w:val="none"/>
        </w:rPr>
      </w:pPr>
      <w:bookmarkStart w:id="669" w:name="_Toc53685658"/>
      <w:r>
        <w:rPr>
          <w:rFonts w:ascii="Times New Roman" w:hAnsi="Times New Roman"/>
          <w:b w:val="0"/>
          <w:bCs w:val="0"/>
          <w:color w:val="auto"/>
          <w:sz w:val="28"/>
          <w:szCs w:val="32"/>
          <w:highlight w:val="none"/>
        </w:rPr>
        <w:t xml:space="preserve">3.1 </w:t>
      </w:r>
      <w:r>
        <w:rPr>
          <w:rFonts w:hint="default" w:ascii="Times New Roman" w:hAnsi="Times New Roman"/>
          <w:b w:val="0"/>
          <w:bCs w:val="0"/>
          <w:color w:val="auto"/>
          <w:sz w:val="28"/>
          <w:szCs w:val="32"/>
          <w:highlight w:val="none"/>
        </w:rPr>
        <w:t>第一个信封初步评审</w:t>
      </w:r>
      <w:bookmarkEnd w:id="669"/>
      <w:r>
        <w:rPr>
          <w:rFonts w:ascii="Times New Roman" w:hAnsi="Times New Roman"/>
          <w:b w:val="0"/>
          <w:bCs w:val="0"/>
          <w:color w:val="auto"/>
          <w:sz w:val="28"/>
          <w:szCs w:val="32"/>
          <w:highlight w:val="none"/>
        </w:rPr>
        <w:t xml:space="preserve"> </w:t>
      </w:r>
    </w:p>
    <w:p w14:paraId="4F3EF682">
      <w:pPr>
        <w:widowControl/>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3.1.1</w:t>
      </w:r>
      <w:r>
        <w:rPr>
          <w:rFonts w:hint="eastAsia" w:ascii="宋体" w:hAnsi="宋体"/>
          <w:color w:val="auto"/>
          <w:kern w:val="0"/>
          <w:sz w:val="24"/>
          <w:highlight w:val="none"/>
        </w:rPr>
        <w:t>评标委员会依据本章第</w:t>
      </w:r>
      <w:r>
        <w:rPr>
          <w:rFonts w:ascii="宋体" w:hAnsi="宋体"/>
          <w:color w:val="auto"/>
          <w:kern w:val="0"/>
          <w:sz w:val="24"/>
          <w:highlight w:val="none"/>
        </w:rPr>
        <w:t>2.1</w:t>
      </w:r>
      <w:r>
        <w:rPr>
          <w:rFonts w:hint="eastAsia" w:ascii="宋体" w:hAnsi="宋体"/>
          <w:color w:val="auto"/>
          <w:kern w:val="0"/>
          <w:sz w:val="24"/>
          <w:highlight w:val="none"/>
        </w:rPr>
        <w:t>款规定的标准对投标文件第一个信封（商务及技术文件）进行初步评审。有一项不符合评审标准的，评标委员会应否决其投标。</w:t>
      </w:r>
      <w:r>
        <w:rPr>
          <w:rFonts w:ascii="宋体" w:hAnsi="宋体"/>
          <w:color w:val="auto"/>
          <w:kern w:val="0"/>
          <w:sz w:val="24"/>
          <w:highlight w:val="none"/>
        </w:rPr>
        <w:t xml:space="preserve"> </w:t>
      </w:r>
    </w:p>
    <w:p w14:paraId="5E660FED">
      <w:pPr>
        <w:pStyle w:val="6"/>
        <w:numPr>
          <w:ilvl w:val="0"/>
          <w:numId w:val="0"/>
        </w:numPr>
        <w:spacing w:line="360" w:lineRule="auto"/>
        <w:jc w:val="both"/>
        <w:rPr>
          <w:rFonts w:ascii="Times New Roman" w:hAnsi="Times New Roman"/>
          <w:b w:val="0"/>
          <w:bCs w:val="0"/>
          <w:color w:val="auto"/>
          <w:sz w:val="28"/>
          <w:szCs w:val="32"/>
          <w:highlight w:val="none"/>
        </w:rPr>
      </w:pPr>
      <w:bookmarkStart w:id="670" w:name="_Toc53685659"/>
      <w:r>
        <w:rPr>
          <w:rFonts w:ascii="Times New Roman" w:hAnsi="Times New Roman"/>
          <w:b w:val="0"/>
          <w:bCs w:val="0"/>
          <w:color w:val="auto"/>
          <w:sz w:val="28"/>
          <w:szCs w:val="32"/>
          <w:highlight w:val="none"/>
        </w:rPr>
        <w:t xml:space="preserve">3.2 </w:t>
      </w:r>
      <w:r>
        <w:rPr>
          <w:rFonts w:hint="default" w:ascii="Times New Roman" w:hAnsi="Times New Roman"/>
          <w:b w:val="0"/>
          <w:bCs w:val="0"/>
          <w:color w:val="auto"/>
          <w:sz w:val="28"/>
          <w:szCs w:val="32"/>
          <w:highlight w:val="none"/>
        </w:rPr>
        <w:t>第二个信封开标</w:t>
      </w:r>
      <w:bookmarkEnd w:id="670"/>
      <w:r>
        <w:rPr>
          <w:rFonts w:ascii="Times New Roman" w:hAnsi="Times New Roman"/>
          <w:b w:val="0"/>
          <w:bCs w:val="0"/>
          <w:color w:val="auto"/>
          <w:sz w:val="28"/>
          <w:szCs w:val="32"/>
          <w:highlight w:val="none"/>
        </w:rPr>
        <w:t xml:space="preserve"> </w:t>
      </w:r>
    </w:p>
    <w:p w14:paraId="1460C895">
      <w:pPr>
        <w:widowControl/>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第一个信封（商务及技术文件）评审结束后，招标人将按照第二章“投标人须知”</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第</w:t>
      </w:r>
      <w:r>
        <w:rPr>
          <w:rFonts w:ascii="宋体" w:hAnsi="宋体"/>
          <w:color w:val="auto"/>
          <w:kern w:val="0"/>
          <w:sz w:val="24"/>
          <w:highlight w:val="none"/>
        </w:rPr>
        <w:t>5.1</w:t>
      </w:r>
      <w:r>
        <w:rPr>
          <w:rFonts w:hint="eastAsia" w:ascii="宋体" w:hAnsi="宋体" w:cs="宋体"/>
          <w:color w:val="auto"/>
          <w:kern w:val="0"/>
          <w:sz w:val="24"/>
          <w:highlight w:val="none"/>
        </w:rPr>
        <w:t>款规定的时间和地点对通过投标文件第一个信封（商务及技术文件）评审的投标文件第二个信封（报价文件）进行开标。</w:t>
      </w:r>
      <w:r>
        <w:rPr>
          <w:rFonts w:ascii="宋体" w:hAnsi="宋体" w:cs="宋体"/>
          <w:color w:val="auto"/>
          <w:kern w:val="0"/>
          <w:sz w:val="24"/>
          <w:highlight w:val="none"/>
        </w:rPr>
        <w:t xml:space="preserve"> </w:t>
      </w:r>
    </w:p>
    <w:p w14:paraId="067957C8">
      <w:pPr>
        <w:pStyle w:val="6"/>
        <w:numPr>
          <w:ilvl w:val="0"/>
          <w:numId w:val="0"/>
        </w:numPr>
        <w:spacing w:line="360" w:lineRule="auto"/>
        <w:jc w:val="both"/>
        <w:rPr>
          <w:rFonts w:ascii="Times New Roman" w:hAnsi="Times New Roman"/>
          <w:b w:val="0"/>
          <w:bCs w:val="0"/>
          <w:color w:val="auto"/>
          <w:sz w:val="28"/>
          <w:szCs w:val="32"/>
          <w:highlight w:val="none"/>
        </w:rPr>
      </w:pPr>
      <w:bookmarkStart w:id="671" w:name="_Toc53685660"/>
      <w:r>
        <w:rPr>
          <w:rFonts w:ascii="Times New Roman" w:hAnsi="Times New Roman"/>
          <w:b w:val="0"/>
          <w:bCs w:val="0"/>
          <w:color w:val="auto"/>
          <w:sz w:val="28"/>
          <w:szCs w:val="32"/>
          <w:highlight w:val="none"/>
        </w:rPr>
        <w:t xml:space="preserve">3.3 </w:t>
      </w:r>
      <w:r>
        <w:rPr>
          <w:rFonts w:hint="default" w:ascii="Times New Roman" w:hAnsi="Times New Roman"/>
          <w:b w:val="0"/>
          <w:bCs w:val="0"/>
          <w:color w:val="auto"/>
          <w:sz w:val="28"/>
          <w:szCs w:val="32"/>
          <w:highlight w:val="none"/>
        </w:rPr>
        <w:t>第二个信封初步评审</w:t>
      </w:r>
      <w:bookmarkEnd w:id="671"/>
      <w:r>
        <w:rPr>
          <w:rFonts w:ascii="Times New Roman" w:hAnsi="Times New Roman"/>
          <w:b w:val="0"/>
          <w:bCs w:val="0"/>
          <w:color w:val="auto"/>
          <w:sz w:val="28"/>
          <w:szCs w:val="32"/>
          <w:highlight w:val="none"/>
        </w:rPr>
        <w:t xml:space="preserve"> </w:t>
      </w:r>
    </w:p>
    <w:p w14:paraId="3E51941D">
      <w:pPr>
        <w:widowControl/>
        <w:snapToGrid w:val="0"/>
        <w:spacing w:line="360" w:lineRule="auto"/>
        <w:ind w:firstLine="420"/>
        <w:rPr>
          <w:rFonts w:ascii="宋体" w:hAnsi="宋体" w:cs="宋体"/>
          <w:color w:val="auto"/>
          <w:kern w:val="0"/>
          <w:sz w:val="24"/>
          <w:highlight w:val="none"/>
        </w:rPr>
      </w:pPr>
      <w:r>
        <w:rPr>
          <w:rFonts w:ascii="宋体" w:hAnsi="宋体"/>
          <w:color w:val="auto"/>
          <w:kern w:val="0"/>
          <w:sz w:val="24"/>
          <w:highlight w:val="none"/>
        </w:rPr>
        <w:t xml:space="preserve">3.3.1 </w:t>
      </w:r>
      <w:r>
        <w:rPr>
          <w:rFonts w:hint="eastAsia" w:ascii="宋体" w:hAnsi="宋体" w:cs="宋体"/>
          <w:color w:val="auto"/>
          <w:kern w:val="0"/>
          <w:sz w:val="24"/>
          <w:highlight w:val="none"/>
        </w:rPr>
        <w:t>评标委员会依据本章第</w:t>
      </w:r>
      <w:r>
        <w:rPr>
          <w:rFonts w:ascii="宋体" w:hAnsi="宋体"/>
          <w:color w:val="auto"/>
          <w:kern w:val="0"/>
          <w:sz w:val="24"/>
          <w:highlight w:val="none"/>
        </w:rPr>
        <w:t>2.1.1</w:t>
      </w:r>
      <w:r>
        <w:rPr>
          <w:rFonts w:hint="eastAsia" w:ascii="宋体" w:hAnsi="宋体" w:cs="宋体"/>
          <w:color w:val="auto"/>
          <w:kern w:val="0"/>
          <w:sz w:val="24"/>
          <w:highlight w:val="none"/>
        </w:rPr>
        <w:t>项、第</w:t>
      </w:r>
      <w:r>
        <w:rPr>
          <w:rFonts w:ascii="宋体" w:hAnsi="宋体"/>
          <w:color w:val="auto"/>
          <w:kern w:val="0"/>
          <w:sz w:val="24"/>
          <w:highlight w:val="none"/>
        </w:rPr>
        <w:t>2.1.3</w:t>
      </w:r>
      <w:r>
        <w:rPr>
          <w:rFonts w:hint="eastAsia" w:ascii="宋体" w:hAnsi="宋体" w:cs="宋体"/>
          <w:color w:val="auto"/>
          <w:kern w:val="0"/>
          <w:sz w:val="24"/>
          <w:highlight w:val="none"/>
        </w:rPr>
        <w:t>项规定的评审标准对投标文件第二个信封（报价文件）进行初步评审。有一项不符合评审标准的，评标委员会应否决其投标。</w:t>
      </w:r>
      <w:r>
        <w:rPr>
          <w:rFonts w:ascii="宋体" w:hAnsi="宋体" w:cs="宋体"/>
          <w:color w:val="auto"/>
          <w:kern w:val="0"/>
          <w:sz w:val="24"/>
          <w:highlight w:val="none"/>
        </w:rPr>
        <w:t xml:space="preserve"> </w:t>
      </w:r>
    </w:p>
    <w:p w14:paraId="24606635">
      <w:pPr>
        <w:widowControl/>
        <w:snapToGrid w:val="0"/>
        <w:spacing w:line="360" w:lineRule="auto"/>
        <w:ind w:firstLine="420"/>
        <w:rPr>
          <w:rFonts w:ascii="宋体" w:hAnsi="宋体" w:cs="宋体"/>
          <w:color w:val="auto"/>
          <w:kern w:val="0"/>
          <w:sz w:val="24"/>
          <w:highlight w:val="none"/>
        </w:rPr>
      </w:pPr>
      <w:r>
        <w:rPr>
          <w:rFonts w:ascii="宋体" w:hAnsi="宋体"/>
          <w:color w:val="auto"/>
          <w:kern w:val="0"/>
          <w:sz w:val="24"/>
          <w:highlight w:val="none"/>
        </w:rPr>
        <w:t xml:space="preserve">3.3.2 </w:t>
      </w:r>
      <w:r>
        <w:rPr>
          <w:rFonts w:hint="eastAsia" w:ascii="宋体" w:hAnsi="宋体" w:cs="宋体"/>
          <w:color w:val="auto"/>
          <w:kern w:val="0"/>
          <w:sz w:val="24"/>
          <w:highlight w:val="none"/>
        </w:rPr>
        <w:t>投标报价有算术错误的，评标委员会按</w:t>
      </w:r>
      <w:r>
        <w:rPr>
          <w:rFonts w:hint="eastAsia" w:ascii="宋体" w:hAnsi="宋体"/>
          <w:color w:val="auto"/>
          <w:sz w:val="24"/>
          <w:highlight w:val="none"/>
        </w:rPr>
        <w:t>评标办法前附表</w:t>
      </w:r>
      <w:r>
        <w:rPr>
          <w:rFonts w:hint="eastAsia" w:ascii="宋体" w:hAnsi="宋体" w:cs="宋体"/>
          <w:color w:val="auto"/>
          <w:kern w:val="0"/>
          <w:sz w:val="24"/>
          <w:highlight w:val="none"/>
        </w:rPr>
        <w:t>原则对投标报价进行修正，修正的价格经投标人书面确认后具有约束力。投标人不接受修正价格的，评标委员会应否决其投标。</w:t>
      </w:r>
      <w:r>
        <w:rPr>
          <w:rFonts w:ascii="宋体" w:hAnsi="宋体" w:cs="宋体"/>
          <w:color w:val="auto"/>
          <w:kern w:val="0"/>
          <w:sz w:val="24"/>
          <w:highlight w:val="none"/>
        </w:rPr>
        <w:t xml:space="preserve"> </w:t>
      </w:r>
    </w:p>
    <w:p w14:paraId="2D7C9460">
      <w:pPr>
        <w:widowControl/>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3.3.3 </w:t>
      </w:r>
      <w:r>
        <w:rPr>
          <w:rFonts w:hint="eastAsia" w:ascii="宋体" w:hAnsi="宋体" w:cs="宋体"/>
          <w:color w:val="auto"/>
          <w:kern w:val="0"/>
          <w:sz w:val="24"/>
          <w:highlight w:val="none"/>
        </w:rPr>
        <w:t>工程量清单中的投标报价有其他错误的，评标委员会按</w:t>
      </w:r>
      <w:r>
        <w:rPr>
          <w:rFonts w:hint="eastAsia" w:ascii="宋体" w:hAnsi="宋体"/>
          <w:color w:val="auto"/>
          <w:sz w:val="24"/>
          <w:highlight w:val="none"/>
        </w:rPr>
        <w:t>评标办法前附表</w:t>
      </w:r>
      <w:r>
        <w:rPr>
          <w:rFonts w:hint="eastAsia" w:ascii="宋体" w:hAnsi="宋体" w:cs="宋体"/>
          <w:color w:val="auto"/>
          <w:kern w:val="0"/>
          <w:sz w:val="24"/>
          <w:highlight w:val="none"/>
        </w:rPr>
        <w:t>原则对投标报价进行修正，修正的价格经投标人书面确认后具有约束力。投标人不接受修正价格的，评标委员会应否决其投标。</w:t>
      </w:r>
      <w:r>
        <w:rPr>
          <w:rFonts w:ascii="宋体" w:hAnsi="宋体" w:cs="宋体"/>
          <w:color w:val="auto"/>
          <w:kern w:val="0"/>
          <w:sz w:val="24"/>
          <w:highlight w:val="none"/>
        </w:rPr>
        <w:t xml:space="preserve"> </w:t>
      </w:r>
    </w:p>
    <w:p w14:paraId="1BE4394E">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3.3.4 </w:t>
      </w:r>
      <w:r>
        <w:rPr>
          <w:rFonts w:hint="eastAsia" w:ascii="宋体" w:hAnsi="宋体"/>
          <w:color w:val="auto"/>
          <w:kern w:val="0"/>
          <w:sz w:val="24"/>
          <w:highlight w:val="none"/>
        </w:rPr>
        <w:t>修正后的最终投标报价若超过最高投标限价（如有），评标委员会应否决其投标。</w:t>
      </w:r>
      <w:r>
        <w:rPr>
          <w:rFonts w:ascii="宋体" w:hAnsi="宋体"/>
          <w:color w:val="auto"/>
          <w:kern w:val="0"/>
          <w:sz w:val="24"/>
          <w:highlight w:val="none"/>
        </w:rPr>
        <w:t xml:space="preserve"> </w:t>
      </w:r>
    </w:p>
    <w:p w14:paraId="59541117">
      <w:pPr>
        <w:pStyle w:val="6"/>
        <w:numPr>
          <w:ilvl w:val="0"/>
          <w:numId w:val="0"/>
        </w:numPr>
        <w:spacing w:line="360" w:lineRule="auto"/>
        <w:jc w:val="both"/>
        <w:rPr>
          <w:rFonts w:ascii="Times New Roman" w:hAnsi="Times New Roman"/>
          <w:b w:val="0"/>
          <w:bCs w:val="0"/>
          <w:color w:val="auto"/>
          <w:sz w:val="28"/>
          <w:szCs w:val="32"/>
          <w:highlight w:val="none"/>
        </w:rPr>
      </w:pPr>
      <w:bookmarkStart w:id="672" w:name="_Toc53685661"/>
      <w:r>
        <w:rPr>
          <w:rFonts w:ascii="Times New Roman" w:hAnsi="Times New Roman"/>
          <w:b w:val="0"/>
          <w:bCs w:val="0"/>
          <w:color w:val="auto"/>
          <w:sz w:val="28"/>
          <w:szCs w:val="32"/>
          <w:highlight w:val="none"/>
        </w:rPr>
        <w:t xml:space="preserve">3.4 </w:t>
      </w:r>
      <w:r>
        <w:rPr>
          <w:rFonts w:hint="default" w:ascii="Times New Roman" w:hAnsi="Times New Roman"/>
          <w:b w:val="0"/>
          <w:bCs w:val="0"/>
          <w:color w:val="auto"/>
          <w:sz w:val="28"/>
          <w:szCs w:val="32"/>
          <w:highlight w:val="none"/>
        </w:rPr>
        <w:t>第二个信封详细评审</w:t>
      </w:r>
      <w:bookmarkEnd w:id="672"/>
      <w:r>
        <w:rPr>
          <w:rFonts w:ascii="Times New Roman" w:hAnsi="Times New Roman"/>
          <w:b w:val="0"/>
          <w:bCs w:val="0"/>
          <w:color w:val="auto"/>
          <w:sz w:val="28"/>
          <w:szCs w:val="32"/>
          <w:highlight w:val="none"/>
        </w:rPr>
        <w:t xml:space="preserve"> </w:t>
      </w:r>
    </w:p>
    <w:p w14:paraId="540A963D">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3.4.1 </w:t>
      </w:r>
      <w:r>
        <w:rPr>
          <w:rFonts w:hint="eastAsia" w:ascii="宋体" w:hAnsi="宋体"/>
          <w:color w:val="auto"/>
          <w:kern w:val="0"/>
          <w:sz w:val="24"/>
          <w:highlight w:val="none"/>
        </w:rPr>
        <w:t>评标委员会按本章第</w:t>
      </w:r>
      <w:r>
        <w:rPr>
          <w:rFonts w:ascii="宋体" w:hAnsi="宋体"/>
          <w:color w:val="auto"/>
          <w:kern w:val="0"/>
          <w:sz w:val="24"/>
          <w:highlight w:val="none"/>
        </w:rPr>
        <w:t>2.2</w:t>
      </w:r>
      <w:r>
        <w:rPr>
          <w:rFonts w:hint="eastAsia" w:ascii="宋体" w:hAnsi="宋体"/>
          <w:color w:val="auto"/>
          <w:kern w:val="0"/>
          <w:sz w:val="24"/>
          <w:highlight w:val="none"/>
        </w:rPr>
        <w:t>款规定的量化因素和标准进行打分，计算出综合得分（即</w:t>
      </w:r>
      <w:r>
        <w:rPr>
          <w:rFonts w:ascii="宋体" w:hAnsi="宋体"/>
          <w:color w:val="auto"/>
          <w:kern w:val="0"/>
          <w:sz w:val="24"/>
          <w:highlight w:val="none"/>
        </w:rPr>
        <w:t>评标价得分+</w:t>
      </w:r>
      <w:r>
        <w:rPr>
          <w:rFonts w:hint="eastAsia" w:ascii="宋体" w:hAnsi="宋体"/>
          <w:color w:val="auto"/>
          <w:kern w:val="0"/>
          <w:sz w:val="24"/>
          <w:highlight w:val="none"/>
          <w:lang w:val="en-US" w:eastAsia="zh-CN"/>
        </w:rPr>
        <w:t>信用等级</w:t>
      </w:r>
      <w:r>
        <w:rPr>
          <w:rFonts w:ascii="宋体" w:hAnsi="宋体"/>
          <w:color w:val="auto"/>
          <w:kern w:val="0"/>
          <w:sz w:val="24"/>
          <w:highlight w:val="none"/>
        </w:rPr>
        <w:t xml:space="preserve">得分）。 </w:t>
      </w:r>
    </w:p>
    <w:p w14:paraId="2A0A9560">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3.4.2 投标人</w:t>
      </w:r>
      <w:r>
        <w:rPr>
          <w:rFonts w:hint="eastAsia" w:ascii="宋体" w:hAnsi="宋体"/>
          <w:color w:val="auto"/>
          <w:kern w:val="0"/>
          <w:sz w:val="24"/>
          <w:highlight w:val="none"/>
        </w:rPr>
        <w:t>评标价</w:t>
      </w:r>
      <w:r>
        <w:rPr>
          <w:rFonts w:ascii="宋体" w:hAnsi="宋体"/>
          <w:color w:val="auto"/>
          <w:kern w:val="0"/>
          <w:sz w:val="24"/>
          <w:highlight w:val="none"/>
        </w:rPr>
        <w:t>得分</w:t>
      </w:r>
      <w:r>
        <w:rPr>
          <w:rFonts w:hint="eastAsia" w:ascii="宋体" w:hAnsi="宋体"/>
          <w:color w:val="auto"/>
          <w:kern w:val="0"/>
          <w:sz w:val="24"/>
          <w:highlight w:val="none"/>
        </w:rPr>
        <w:t>分</w:t>
      </w:r>
      <w:r>
        <w:rPr>
          <w:rFonts w:ascii="宋体" w:hAnsi="宋体"/>
          <w:color w:val="auto"/>
          <w:kern w:val="0"/>
          <w:sz w:val="24"/>
          <w:highlight w:val="none"/>
        </w:rPr>
        <w:t>值计算保留小数点后位数</w:t>
      </w:r>
      <w:r>
        <w:rPr>
          <w:rFonts w:hint="eastAsia" w:ascii="宋体" w:hAnsi="宋体"/>
          <w:color w:val="auto"/>
          <w:kern w:val="0"/>
          <w:sz w:val="24"/>
          <w:highlight w:val="none"/>
        </w:rPr>
        <w:t>：</w:t>
      </w:r>
      <w:r>
        <w:rPr>
          <w:rFonts w:ascii="宋体" w:hAnsi="宋体"/>
          <w:color w:val="auto"/>
          <w:kern w:val="0"/>
          <w:sz w:val="24"/>
          <w:highlight w:val="none"/>
        </w:rPr>
        <w:t>见评标办法前附表</w:t>
      </w:r>
      <w:r>
        <w:rPr>
          <w:rFonts w:hint="eastAsia" w:ascii="宋体" w:hAnsi="宋体"/>
          <w:color w:val="auto"/>
          <w:kern w:val="0"/>
          <w:sz w:val="24"/>
          <w:highlight w:val="none"/>
        </w:rPr>
        <w:t>。</w:t>
      </w:r>
    </w:p>
    <w:p w14:paraId="7FF4477F">
      <w:pPr>
        <w:keepLines/>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3.4.3</w:t>
      </w:r>
      <w:r>
        <w:rPr>
          <w:rFonts w:hint="eastAsia" w:ascii="宋体" w:hAnsi="宋体"/>
          <w:color w:val="auto"/>
          <w:kern w:val="0"/>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color w:val="auto"/>
          <w:kern w:val="0"/>
          <w:sz w:val="24"/>
          <w:highlight w:val="none"/>
        </w:rPr>
        <w:t xml:space="preserve"> </w:t>
      </w:r>
    </w:p>
    <w:p w14:paraId="11BCFAAD">
      <w:pPr>
        <w:pStyle w:val="6"/>
        <w:numPr>
          <w:ilvl w:val="0"/>
          <w:numId w:val="0"/>
        </w:numPr>
        <w:spacing w:line="360" w:lineRule="auto"/>
        <w:jc w:val="both"/>
        <w:rPr>
          <w:rFonts w:ascii="Times New Roman" w:hAnsi="Times New Roman"/>
          <w:b w:val="0"/>
          <w:bCs w:val="0"/>
          <w:color w:val="auto"/>
          <w:sz w:val="28"/>
          <w:szCs w:val="32"/>
          <w:highlight w:val="none"/>
        </w:rPr>
      </w:pPr>
      <w:bookmarkStart w:id="673" w:name="_Toc53685662"/>
      <w:r>
        <w:rPr>
          <w:rFonts w:ascii="Times New Roman" w:hAnsi="Times New Roman"/>
          <w:b w:val="0"/>
          <w:bCs w:val="0"/>
          <w:color w:val="auto"/>
          <w:sz w:val="28"/>
          <w:szCs w:val="32"/>
          <w:highlight w:val="none"/>
        </w:rPr>
        <w:t xml:space="preserve">3.5 </w:t>
      </w:r>
      <w:r>
        <w:rPr>
          <w:rFonts w:hint="default" w:ascii="Times New Roman" w:hAnsi="Times New Roman"/>
          <w:b w:val="0"/>
          <w:bCs w:val="0"/>
          <w:color w:val="auto"/>
          <w:sz w:val="28"/>
          <w:szCs w:val="32"/>
          <w:highlight w:val="none"/>
        </w:rPr>
        <w:t>投标文件相关信息的核查</w:t>
      </w:r>
      <w:bookmarkEnd w:id="673"/>
      <w:r>
        <w:rPr>
          <w:rFonts w:ascii="Times New Roman" w:hAnsi="Times New Roman"/>
          <w:b w:val="0"/>
          <w:bCs w:val="0"/>
          <w:color w:val="auto"/>
          <w:sz w:val="28"/>
          <w:szCs w:val="32"/>
          <w:highlight w:val="none"/>
        </w:rPr>
        <w:t xml:space="preserve"> </w:t>
      </w:r>
    </w:p>
    <w:p w14:paraId="43318155">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3.5.1 </w:t>
      </w:r>
      <w:r>
        <w:rPr>
          <w:rFonts w:hint="eastAsia" w:ascii="宋体" w:hAnsi="宋体"/>
          <w:color w:val="auto"/>
          <w:kern w:val="0"/>
          <w:sz w:val="24"/>
          <w:highlight w:val="none"/>
        </w:rPr>
        <w:t>在评标过程中，评标委员会应查询交通运输主管部门“</w:t>
      </w:r>
      <w:r>
        <w:rPr>
          <w:rFonts w:hint="eastAsia" w:ascii="宋体" w:hAnsi="宋体" w:cs="Times New Roman"/>
          <w:color w:val="auto"/>
          <w:kern w:val="0"/>
          <w:sz w:val="24"/>
          <w:szCs w:val="24"/>
          <w:highlight w:val="none"/>
        </w:rPr>
        <w:t>全国公路建设市场监督管理系统</w:t>
      </w:r>
      <w:r>
        <w:rPr>
          <w:rFonts w:hint="eastAsia" w:ascii="宋体" w:hAnsi="宋体"/>
          <w:color w:val="auto"/>
          <w:kern w:val="0"/>
          <w:sz w:val="24"/>
          <w:highlight w:val="none"/>
        </w:rPr>
        <w:t>”，对投标人的资质、业绩、主要人员资历等信息进行核实，</w:t>
      </w:r>
      <w:r>
        <w:rPr>
          <w:rFonts w:hint="eastAsia" w:ascii="宋体" w:hAnsi="宋体"/>
          <w:color w:val="auto"/>
          <w:sz w:val="24"/>
          <w:highlight w:val="none"/>
        </w:rPr>
        <w:t>信用等级</w:t>
      </w:r>
      <w:bookmarkStart w:id="674" w:name="_Hlk93736682"/>
      <w:r>
        <w:rPr>
          <w:rFonts w:hint="eastAsia" w:ascii="宋体" w:hAnsi="宋体"/>
          <w:color w:val="auto"/>
          <w:sz w:val="24"/>
          <w:highlight w:val="none"/>
        </w:rPr>
        <w:t>信息应以“信用交通·四川”上查询结果为准</w:t>
      </w:r>
      <w:bookmarkEnd w:id="674"/>
      <w:r>
        <w:rPr>
          <w:rFonts w:hint="eastAsia" w:ascii="宋体" w:hAnsi="宋体"/>
          <w:color w:val="auto"/>
          <w:kern w:val="0"/>
          <w:sz w:val="24"/>
          <w:highlight w:val="none"/>
        </w:rPr>
        <w:t>。若投标文件</w:t>
      </w:r>
      <w:r>
        <w:rPr>
          <w:rFonts w:hint="eastAsia" w:ascii="宋体" w:hAnsi="宋体"/>
          <w:color w:val="auto"/>
          <w:kern w:val="0"/>
          <w:sz w:val="24"/>
          <w:highlight w:val="none"/>
          <w:lang w:val="en-US" w:eastAsia="zh-CN"/>
        </w:rPr>
        <w:t>提供</w:t>
      </w:r>
      <w:r>
        <w:rPr>
          <w:rFonts w:hint="eastAsia" w:ascii="宋体" w:hAnsi="宋体"/>
          <w:color w:val="auto"/>
          <w:kern w:val="0"/>
          <w:sz w:val="24"/>
          <w:highlight w:val="none"/>
        </w:rPr>
        <w:t>的信息与</w:t>
      </w:r>
      <w:bookmarkStart w:id="675" w:name="_Hlk93736699"/>
      <w:r>
        <w:rPr>
          <w:rFonts w:hint="eastAsia" w:ascii="宋体" w:hAnsi="宋体"/>
          <w:color w:val="auto"/>
          <w:kern w:val="0"/>
          <w:sz w:val="24"/>
          <w:highlight w:val="none"/>
        </w:rPr>
        <w:t>上述</w:t>
      </w:r>
      <w:r>
        <w:rPr>
          <w:rFonts w:ascii="宋体" w:hAnsi="宋体"/>
          <w:color w:val="auto"/>
          <w:kern w:val="0"/>
          <w:sz w:val="24"/>
          <w:highlight w:val="none"/>
        </w:rPr>
        <w:t>信息发布平台</w:t>
      </w:r>
      <w:bookmarkEnd w:id="675"/>
      <w:r>
        <w:rPr>
          <w:rFonts w:hint="eastAsia" w:ascii="宋体" w:hAnsi="宋体"/>
          <w:color w:val="auto"/>
          <w:kern w:val="0"/>
          <w:sz w:val="24"/>
          <w:highlight w:val="none"/>
        </w:rPr>
        <w:t>发布的信息不符，使得投标人的资格条件不符合招标文件规定的，评标委员会应否决其投标。</w:t>
      </w:r>
      <w:r>
        <w:rPr>
          <w:rFonts w:ascii="宋体" w:hAnsi="宋体"/>
          <w:color w:val="auto"/>
          <w:kern w:val="0"/>
          <w:sz w:val="24"/>
          <w:highlight w:val="none"/>
        </w:rPr>
        <w:t xml:space="preserve"> </w:t>
      </w:r>
    </w:p>
    <w:p w14:paraId="5973D627">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3.5.2 </w:t>
      </w:r>
      <w:r>
        <w:rPr>
          <w:rFonts w:hint="eastAsia" w:ascii="宋体" w:hAnsi="宋体"/>
          <w:color w:val="auto"/>
          <w:kern w:val="0"/>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color w:val="auto"/>
          <w:kern w:val="0"/>
          <w:sz w:val="24"/>
          <w:highlight w:val="none"/>
        </w:rPr>
        <w:t xml:space="preserve"> </w:t>
      </w:r>
    </w:p>
    <w:p w14:paraId="01F06EC1">
      <w:pPr>
        <w:widowControl/>
        <w:snapToGrid w:val="0"/>
        <w:spacing w:line="360" w:lineRule="auto"/>
        <w:ind w:left="42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）有下列情形之一的，属于投标人相互串通投标：</w:t>
      </w:r>
      <w:r>
        <w:rPr>
          <w:rFonts w:ascii="宋体" w:hAnsi="宋体"/>
          <w:color w:val="auto"/>
          <w:kern w:val="0"/>
          <w:sz w:val="24"/>
          <w:highlight w:val="none"/>
        </w:rPr>
        <w:t xml:space="preserve"> </w:t>
      </w:r>
    </w:p>
    <w:p w14:paraId="0E28C20A">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投标人之间协商投标报价等投标文件的实质性内容；</w:t>
      </w:r>
      <w:r>
        <w:rPr>
          <w:rFonts w:ascii="宋体" w:hAnsi="宋体"/>
          <w:color w:val="auto"/>
          <w:kern w:val="0"/>
          <w:sz w:val="24"/>
          <w:highlight w:val="none"/>
        </w:rPr>
        <w:t xml:space="preserve"> </w:t>
      </w:r>
    </w:p>
    <w:p w14:paraId="3EFEF655">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投标人之间约定中标人；</w:t>
      </w:r>
      <w:r>
        <w:rPr>
          <w:rFonts w:ascii="宋体" w:hAnsi="宋体"/>
          <w:color w:val="auto"/>
          <w:kern w:val="0"/>
          <w:sz w:val="24"/>
          <w:highlight w:val="none"/>
        </w:rPr>
        <w:t xml:space="preserve"> </w:t>
      </w:r>
    </w:p>
    <w:p w14:paraId="6A79A2B3">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投标人之间约定部分投标人放弃投标或中标；</w:t>
      </w:r>
      <w:r>
        <w:rPr>
          <w:rFonts w:ascii="宋体" w:hAnsi="宋体"/>
          <w:color w:val="auto"/>
          <w:kern w:val="0"/>
          <w:sz w:val="24"/>
          <w:highlight w:val="none"/>
        </w:rPr>
        <w:t xml:space="preserve"> </w:t>
      </w:r>
    </w:p>
    <w:p w14:paraId="3455E548">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属于同一集团、协会、商会等组织成员的投标人按照该组织要求协同投标；</w:t>
      </w:r>
      <w:r>
        <w:rPr>
          <w:rFonts w:ascii="宋体" w:hAnsi="宋体"/>
          <w:color w:val="auto"/>
          <w:kern w:val="0"/>
          <w:sz w:val="24"/>
          <w:highlight w:val="none"/>
        </w:rPr>
        <w:t xml:space="preserve"> </w:t>
      </w:r>
    </w:p>
    <w:p w14:paraId="2C9CB91B">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投标人之间为谋取中标或排斥特定投标人而采取的其他联合行动。</w:t>
      </w:r>
      <w:r>
        <w:rPr>
          <w:rFonts w:ascii="宋体" w:hAnsi="宋体"/>
          <w:color w:val="auto"/>
          <w:kern w:val="0"/>
          <w:sz w:val="24"/>
          <w:highlight w:val="none"/>
        </w:rPr>
        <w:t xml:space="preserve"> </w:t>
      </w:r>
    </w:p>
    <w:p w14:paraId="7E1E7422">
      <w:pPr>
        <w:widowControl/>
        <w:snapToGrid w:val="0"/>
        <w:spacing w:line="360" w:lineRule="auto"/>
        <w:ind w:left="42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）有下列情形之一的，视为投标人相互串通投标：</w:t>
      </w:r>
      <w:r>
        <w:rPr>
          <w:rFonts w:ascii="宋体" w:hAnsi="宋体"/>
          <w:color w:val="auto"/>
          <w:kern w:val="0"/>
          <w:sz w:val="24"/>
          <w:highlight w:val="none"/>
        </w:rPr>
        <w:t xml:space="preserve"> </w:t>
      </w:r>
    </w:p>
    <w:p w14:paraId="36318F2B">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不同投标人的投标文件由同一单位或个人编制；</w:t>
      </w:r>
      <w:r>
        <w:rPr>
          <w:rFonts w:ascii="宋体" w:hAnsi="宋体"/>
          <w:color w:val="auto"/>
          <w:kern w:val="0"/>
          <w:sz w:val="24"/>
          <w:highlight w:val="none"/>
        </w:rPr>
        <w:t xml:space="preserve"> </w:t>
      </w:r>
    </w:p>
    <w:p w14:paraId="323693D5">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不同投标人委托同一单位或个人办理投标事宜；</w:t>
      </w:r>
      <w:r>
        <w:rPr>
          <w:rFonts w:ascii="宋体" w:hAnsi="宋体"/>
          <w:color w:val="auto"/>
          <w:kern w:val="0"/>
          <w:sz w:val="24"/>
          <w:highlight w:val="none"/>
        </w:rPr>
        <w:t xml:space="preserve"> </w:t>
      </w:r>
    </w:p>
    <w:p w14:paraId="58509A03">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不同投标人的投标文件载明的项目管理成员为同一人；</w:t>
      </w:r>
      <w:r>
        <w:rPr>
          <w:rFonts w:ascii="宋体" w:hAnsi="宋体"/>
          <w:color w:val="auto"/>
          <w:kern w:val="0"/>
          <w:sz w:val="24"/>
          <w:highlight w:val="none"/>
        </w:rPr>
        <w:t xml:space="preserve"> </w:t>
      </w:r>
    </w:p>
    <w:p w14:paraId="20E8CC9F">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不同投标人的投标文件异常一致或投标报价呈规律性差异；</w:t>
      </w:r>
      <w:r>
        <w:rPr>
          <w:rFonts w:ascii="宋体" w:hAnsi="宋体"/>
          <w:color w:val="auto"/>
          <w:kern w:val="0"/>
          <w:sz w:val="24"/>
          <w:highlight w:val="none"/>
        </w:rPr>
        <w:t xml:space="preserve"> </w:t>
      </w:r>
    </w:p>
    <w:p w14:paraId="3A9A66F8">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不同投标人的投标文件相互混装；</w:t>
      </w:r>
      <w:r>
        <w:rPr>
          <w:rFonts w:ascii="宋体" w:hAnsi="宋体"/>
          <w:color w:val="auto"/>
          <w:kern w:val="0"/>
          <w:sz w:val="24"/>
          <w:highlight w:val="none"/>
        </w:rPr>
        <w:t xml:space="preserve"> </w:t>
      </w:r>
    </w:p>
    <w:p w14:paraId="57016132">
      <w:pPr>
        <w:widowControl/>
        <w:snapToGrid w:val="0"/>
        <w:spacing w:line="360" w:lineRule="auto"/>
        <w:ind w:left="420"/>
        <w:jc w:val="left"/>
        <w:rPr>
          <w:rFonts w:hint="default" w:ascii="宋体" w:hAnsi="宋体"/>
          <w:color w:val="auto"/>
          <w:kern w:val="0"/>
          <w:sz w:val="24"/>
          <w:highlight w:val="none"/>
          <w:lang w:eastAsia="zh-CN"/>
        </w:rPr>
      </w:pPr>
      <w:r>
        <w:rPr>
          <w:rFonts w:ascii="宋体" w:hAnsi="宋体"/>
          <w:color w:val="auto"/>
          <w:kern w:val="0"/>
          <w:sz w:val="24"/>
          <w:highlight w:val="none"/>
        </w:rPr>
        <w:t>f.</w:t>
      </w:r>
      <w:r>
        <w:rPr>
          <w:rFonts w:hint="eastAsia" w:ascii="宋体" w:hAnsi="宋体"/>
          <w:color w:val="auto"/>
          <w:kern w:val="0"/>
          <w:sz w:val="24"/>
          <w:highlight w:val="none"/>
        </w:rPr>
        <w:t>不同投标人的投标保证金从同一单位或个人的账户转出</w:t>
      </w:r>
      <w:r>
        <w:rPr>
          <w:rFonts w:hint="default" w:ascii="宋体" w:hAnsi="宋体"/>
          <w:color w:val="auto"/>
          <w:kern w:val="0"/>
          <w:sz w:val="24"/>
          <w:highlight w:val="none"/>
          <w:lang w:eastAsia="zh-CN"/>
        </w:rPr>
        <w:t>；</w:t>
      </w:r>
    </w:p>
    <w:p w14:paraId="508D9FBC">
      <w:pPr>
        <w:widowControl/>
        <w:snapToGrid w:val="0"/>
        <w:spacing w:line="360" w:lineRule="auto"/>
        <w:ind w:left="420" w:firstLine="0"/>
        <w:jc w:val="left"/>
        <w:rPr>
          <w:rFonts w:ascii="宋体" w:hAnsi="宋体"/>
          <w:color w:val="auto"/>
          <w:kern w:val="0"/>
          <w:sz w:val="24"/>
          <w:highlight w:val="none"/>
        </w:rPr>
      </w:pPr>
      <w:r>
        <w:rPr>
          <w:rFonts w:ascii="宋体" w:hAnsi="宋体"/>
          <w:color w:val="auto"/>
          <w:kern w:val="0"/>
          <w:sz w:val="24"/>
          <w:highlight w:val="none"/>
        </w:rPr>
        <w:t>g.对同一标段不同投标人电子投标文件的文件制作机器码或文件创建标识码相</w:t>
      </w:r>
    </w:p>
    <w:p w14:paraId="658F647E">
      <w:pPr>
        <w:widowControl/>
        <w:snapToGrid w:val="0"/>
        <w:spacing w:line="360" w:lineRule="auto"/>
        <w:ind w:left="0" w:firstLine="0"/>
        <w:jc w:val="left"/>
        <w:rPr>
          <w:rFonts w:ascii="宋体" w:hAnsi="宋体"/>
          <w:color w:val="auto"/>
          <w:kern w:val="0"/>
          <w:sz w:val="24"/>
          <w:highlight w:val="none"/>
        </w:rPr>
      </w:pPr>
      <w:r>
        <w:rPr>
          <w:rFonts w:ascii="宋体" w:hAnsi="宋体"/>
          <w:color w:val="auto"/>
          <w:kern w:val="0"/>
          <w:sz w:val="24"/>
          <w:highlight w:val="none"/>
        </w:rPr>
        <w:t>同；</w:t>
      </w:r>
    </w:p>
    <w:p w14:paraId="4FAF2139">
      <w:pPr>
        <w:widowControl/>
        <w:snapToGrid w:val="0"/>
        <w:spacing w:line="360" w:lineRule="auto"/>
        <w:ind w:left="420" w:firstLine="0"/>
        <w:jc w:val="left"/>
        <w:rPr>
          <w:rFonts w:ascii="宋体" w:hAnsi="宋体"/>
          <w:color w:val="auto"/>
          <w:kern w:val="0"/>
          <w:sz w:val="24"/>
          <w:highlight w:val="none"/>
        </w:rPr>
      </w:pPr>
      <w:r>
        <w:rPr>
          <w:rFonts w:ascii="宋体" w:hAnsi="宋体"/>
          <w:color w:val="auto"/>
          <w:kern w:val="0"/>
          <w:sz w:val="24"/>
          <w:highlight w:val="none"/>
        </w:rPr>
        <w:t>h.不同投标人从同一投标单位或同一自然人的互联网协议地址上传投标文件、购</w:t>
      </w:r>
    </w:p>
    <w:p w14:paraId="33B3F751">
      <w:pPr>
        <w:widowControl/>
        <w:snapToGrid w:val="0"/>
        <w:spacing w:line="360" w:lineRule="auto"/>
        <w:ind w:left="0" w:firstLine="0"/>
        <w:jc w:val="left"/>
        <w:rPr>
          <w:rFonts w:ascii="宋体" w:hAnsi="宋体"/>
          <w:color w:val="auto"/>
          <w:kern w:val="0"/>
          <w:sz w:val="24"/>
          <w:highlight w:val="none"/>
        </w:rPr>
      </w:pPr>
      <w:r>
        <w:rPr>
          <w:rFonts w:ascii="宋体" w:hAnsi="宋体"/>
          <w:color w:val="auto"/>
          <w:kern w:val="0"/>
          <w:sz w:val="24"/>
          <w:highlight w:val="none"/>
        </w:rPr>
        <w:t>买电子保函或参加投标活动的人员为同一标段其他投标人的在职人员</w:t>
      </w:r>
      <w:r>
        <w:rPr>
          <w:rFonts w:hint="default" w:ascii="宋体" w:hAnsi="宋体"/>
          <w:color w:val="auto"/>
          <w:kern w:val="0"/>
          <w:sz w:val="24"/>
          <w:highlight w:val="none"/>
        </w:rPr>
        <w:t>；</w:t>
      </w:r>
    </w:p>
    <w:p w14:paraId="646DD475">
      <w:pPr>
        <w:widowControl/>
        <w:snapToGrid w:val="0"/>
        <w:spacing w:line="360" w:lineRule="auto"/>
        <w:ind w:left="420" w:firstLine="0"/>
        <w:jc w:val="left"/>
        <w:rPr>
          <w:rFonts w:ascii="宋体" w:hAnsi="宋体"/>
          <w:color w:val="auto"/>
          <w:kern w:val="0"/>
          <w:sz w:val="24"/>
          <w:highlight w:val="none"/>
        </w:rPr>
      </w:pPr>
      <w:r>
        <w:rPr>
          <w:rFonts w:hint="default" w:ascii="宋体" w:hAnsi="宋体"/>
          <w:color w:val="auto"/>
          <w:kern w:val="0"/>
          <w:sz w:val="24"/>
          <w:highlight w:val="none"/>
        </w:rPr>
        <w:t>j.</w:t>
      </w:r>
      <w:r>
        <w:rPr>
          <w:rFonts w:ascii="宋体" w:hAnsi="宋体"/>
          <w:color w:val="auto"/>
          <w:kern w:val="0"/>
          <w:sz w:val="24"/>
          <w:highlight w:val="none"/>
        </w:rPr>
        <w:t xml:space="preserve">不同投标人通过同一单位或者个人账户购买电子保函的。 </w:t>
      </w:r>
    </w:p>
    <w:p w14:paraId="1B448396">
      <w:pPr>
        <w:widowControl/>
        <w:spacing w:line="360" w:lineRule="auto"/>
        <w:ind w:left="42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w:t>
      </w:r>
      <w:r>
        <w:rPr>
          <w:rFonts w:hint="eastAsia" w:ascii="宋体" w:hAnsi="宋体"/>
          <w:color w:val="auto"/>
          <w:kern w:val="0"/>
          <w:sz w:val="24"/>
          <w:highlight w:val="none"/>
        </w:rPr>
        <w:t>）有下列情形之一的，属于招标人与投标人串通投标：</w:t>
      </w:r>
    </w:p>
    <w:p w14:paraId="7A4CBC67">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招标人在开标前开启投标文件并将有关信息泄露给其他投标人；</w:t>
      </w:r>
      <w:r>
        <w:rPr>
          <w:rFonts w:ascii="宋体" w:hAnsi="宋体"/>
          <w:color w:val="auto"/>
          <w:kern w:val="0"/>
          <w:sz w:val="24"/>
          <w:highlight w:val="none"/>
        </w:rPr>
        <w:t xml:space="preserve"> </w:t>
      </w:r>
    </w:p>
    <w:p w14:paraId="4ACA77FD">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招标人直接或间接向投标人泄露标底、评标委员会成员等信息；</w:t>
      </w:r>
      <w:r>
        <w:rPr>
          <w:rFonts w:ascii="宋体" w:hAnsi="宋体"/>
          <w:color w:val="auto"/>
          <w:kern w:val="0"/>
          <w:sz w:val="24"/>
          <w:highlight w:val="none"/>
        </w:rPr>
        <w:t xml:space="preserve"> </w:t>
      </w:r>
    </w:p>
    <w:p w14:paraId="3B9AFFB2">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招标人明示或暗示投标人压低或抬高投标报价；</w:t>
      </w:r>
      <w:r>
        <w:rPr>
          <w:rFonts w:ascii="宋体" w:hAnsi="宋体"/>
          <w:color w:val="auto"/>
          <w:kern w:val="0"/>
          <w:sz w:val="24"/>
          <w:highlight w:val="none"/>
        </w:rPr>
        <w:t xml:space="preserve"> </w:t>
      </w:r>
    </w:p>
    <w:p w14:paraId="4C3ADB26">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招标人授意投标人撤换、修改投标文件；</w:t>
      </w:r>
      <w:r>
        <w:rPr>
          <w:rFonts w:ascii="宋体" w:hAnsi="宋体"/>
          <w:color w:val="auto"/>
          <w:kern w:val="0"/>
          <w:sz w:val="24"/>
          <w:highlight w:val="none"/>
        </w:rPr>
        <w:t xml:space="preserve"> </w:t>
      </w:r>
    </w:p>
    <w:p w14:paraId="6B4A7D04">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招标人明示或暗示投标人为特定投标人中标提供方便；</w:t>
      </w:r>
      <w:r>
        <w:rPr>
          <w:rFonts w:ascii="宋体" w:hAnsi="宋体"/>
          <w:color w:val="auto"/>
          <w:kern w:val="0"/>
          <w:sz w:val="24"/>
          <w:highlight w:val="none"/>
        </w:rPr>
        <w:t xml:space="preserve"> </w:t>
      </w:r>
    </w:p>
    <w:p w14:paraId="0E683A50">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招标人与投标人为谋求特定投标人中标而采取的其他串通行为。</w:t>
      </w:r>
    </w:p>
    <w:p w14:paraId="701E6FD6">
      <w:pPr>
        <w:widowControl/>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w:t>
      </w:r>
      <w:r>
        <w:rPr>
          <w:rFonts w:hint="eastAsia" w:ascii="宋体" w:hAnsi="宋体"/>
          <w:color w:val="auto"/>
          <w:kern w:val="0"/>
          <w:sz w:val="24"/>
          <w:highlight w:val="none"/>
        </w:rPr>
        <w:t>）有下列情形之一的，属于电子招标投标交易平台运营机构或其人员与投标人串通投标：</w:t>
      </w:r>
    </w:p>
    <w:p w14:paraId="1D51B08C">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电子招标投标交易平台运营机构或其人员在开标前开启投标文件并将有关信息泄露给其他投标人；</w:t>
      </w:r>
    </w:p>
    <w:p w14:paraId="6B6F0426">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电子招标投标交易平台运营机构或其人员直接或者间接向投标人泄露标底、评标委员会成员等信息；</w:t>
      </w:r>
    </w:p>
    <w:p w14:paraId="71BAF236">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电子招标投标交易平台运营机构或其人员明示或者暗示投标人压低或者抬高投标报价；</w:t>
      </w:r>
    </w:p>
    <w:p w14:paraId="032F45EA">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电子招标投标交易平台运营机构或其人员授意投标人撤换、修改投标文件；</w:t>
      </w:r>
    </w:p>
    <w:p w14:paraId="3E12BD81">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电子招标投标交易平台运营机构或其人员明示或者暗示投标人为特定投标人中标提供方便；</w:t>
      </w:r>
    </w:p>
    <w:p w14:paraId="4994B09C">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电子招标投标交易平台运营机构或其人员与投标人为谋求特定投标人中标而采取的其他串通行为。</w:t>
      </w:r>
    </w:p>
    <w:p w14:paraId="480C65E4">
      <w:pPr>
        <w:widowControl/>
        <w:snapToGrid w:val="0"/>
        <w:spacing w:line="360" w:lineRule="auto"/>
        <w:ind w:left="42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5</w:t>
      </w:r>
      <w:r>
        <w:rPr>
          <w:rFonts w:hint="eastAsia" w:ascii="宋体" w:hAnsi="宋体"/>
          <w:color w:val="auto"/>
          <w:kern w:val="0"/>
          <w:sz w:val="24"/>
          <w:highlight w:val="none"/>
        </w:rPr>
        <w:t>）投标人有下列情形之一的，属于弄虚作假的行为：</w:t>
      </w:r>
      <w:r>
        <w:rPr>
          <w:rFonts w:ascii="宋体" w:hAnsi="宋体"/>
          <w:color w:val="auto"/>
          <w:kern w:val="0"/>
          <w:sz w:val="24"/>
          <w:highlight w:val="none"/>
        </w:rPr>
        <w:t xml:space="preserve"> </w:t>
      </w:r>
    </w:p>
    <w:p w14:paraId="25F7F74C">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使用通过受让或租借等方式获取的资格、资质证书投标；</w:t>
      </w:r>
      <w:r>
        <w:rPr>
          <w:rFonts w:ascii="宋体" w:hAnsi="宋体"/>
          <w:color w:val="auto"/>
          <w:kern w:val="0"/>
          <w:sz w:val="24"/>
          <w:highlight w:val="none"/>
        </w:rPr>
        <w:t xml:space="preserve"> </w:t>
      </w:r>
    </w:p>
    <w:p w14:paraId="0AB7121E">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使用伪造、变造的许可证件；</w:t>
      </w:r>
      <w:r>
        <w:rPr>
          <w:rFonts w:ascii="宋体" w:hAnsi="宋体"/>
          <w:color w:val="auto"/>
          <w:kern w:val="0"/>
          <w:sz w:val="24"/>
          <w:highlight w:val="none"/>
        </w:rPr>
        <w:t xml:space="preserve"> </w:t>
      </w:r>
    </w:p>
    <w:p w14:paraId="3223286E">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提供虚假的财务状况或业绩；</w:t>
      </w:r>
      <w:r>
        <w:rPr>
          <w:rFonts w:ascii="宋体" w:hAnsi="宋体"/>
          <w:color w:val="auto"/>
          <w:kern w:val="0"/>
          <w:sz w:val="24"/>
          <w:highlight w:val="none"/>
        </w:rPr>
        <w:t xml:space="preserve"> </w:t>
      </w:r>
    </w:p>
    <w:p w14:paraId="5A64E03D">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提供虚假的项目负责人或主要技术人员简历、劳动关系证明；</w:t>
      </w:r>
      <w:r>
        <w:rPr>
          <w:rFonts w:ascii="宋体" w:hAnsi="宋体"/>
          <w:color w:val="auto"/>
          <w:kern w:val="0"/>
          <w:sz w:val="24"/>
          <w:highlight w:val="none"/>
        </w:rPr>
        <w:t xml:space="preserve"> </w:t>
      </w:r>
    </w:p>
    <w:p w14:paraId="56C55B2A">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提供虚假的信用状况；</w:t>
      </w:r>
      <w:r>
        <w:rPr>
          <w:rFonts w:ascii="宋体" w:hAnsi="宋体"/>
          <w:color w:val="auto"/>
          <w:kern w:val="0"/>
          <w:sz w:val="24"/>
          <w:highlight w:val="none"/>
        </w:rPr>
        <w:t xml:space="preserve"> </w:t>
      </w:r>
    </w:p>
    <w:p w14:paraId="62CC5685">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其他弄虚作假的行为。</w:t>
      </w:r>
    </w:p>
    <w:p w14:paraId="79A0FDC1">
      <w:pPr>
        <w:pStyle w:val="6"/>
        <w:numPr>
          <w:ilvl w:val="0"/>
          <w:numId w:val="0"/>
        </w:numPr>
        <w:spacing w:line="360" w:lineRule="auto"/>
        <w:jc w:val="both"/>
        <w:rPr>
          <w:rFonts w:ascii="Times New Roman" w:hAnsi="Times New Roman"/>
          <w:b w:val="0"/>
          <w:bCs w:val="0"/>
          <w:color w:val="auto"/>
          <w:sz w:val="28"/>
          <w:szCs w:val="32"/>
          <w:highlight w:val="none"/>
        </w:rPr>
      </w:pPr>
      <w:bookmarkStart w:id="676" w:name="_Toc53685663"/>
      <w:r>
        <w:rPr>
          <w:rFonts w:ascii="Times New Roman" w:hAnsi="Times New Roman"/>
          <w:b w:val="0"/>
          <w:bCs w:val="0"/>
          <w:color w:val="auto"/>
          <w:sz w:val="28"/>
          <w:szCs w:val="32"/>
          <w:highlight w:val="none"/>
        </w:rPr>
        <w:t xml:space="preserve">3.6 </w:t>
      </w:r>
      <w:r>
        <w:rPr>
          <w:rFonts w:hint="default" w:ascii="Times New Roman" w:hAnsi="Times New Roman"/>
          <w:b w:val="0"/>
          <w:bCs w:val="0"/>
          <w:color w:val="auto"/>
          <w:sz w:val="28"/>
          <w:szCs w:val="32"/>
          <w:highlight w:val="none"/>
        </w:rPr>
        <w:t>投标文件的澄清和说明</w:t>
      </w:r>
      <w:bookmarkEnd w:id="676"/>
      <w:r>
        <w:rPr>
          <w:rFonts w:ascii="Times New Roman" w:hAnsi="Times New Roman"/>
          <w:b w:val="0"/>
          <w:bCs w:val="0"/>
          <w:color w:val="auto"/>
          <w:sz w:val="28"/>
          <w:szCs w:val="32"/>
          <w:highlight w:val="none"/>
        </w:rPr>
        <w:t xml:space="preserve"> </w:t>
      </w:r>
    </w:p>
    <w:p w14:paraId="227DF88D">
      <w:pPr>
        <w:widowControl/>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3.6.1 </w:t>
      </w:r>
      <w:r>
        <w:rPr>
          <w:rFonts w:hint="eastAsia" w:ascii="宋体" w:hAnsi="宋体"/>
          <w:color w:val="auto"/>
          <w:kern w:val="0"/>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color w:val="auto"/>
          <w:kern w:val="0"/>
          <w:sz w:val="24"/>
          <w:highlight w:val="none"/>
        </w:rPr>
        <w:t xml:space="preserve"> </w:t>
      </w:r>
    </w:p>
    <w:p w14:paraId="7BFDA117">
      <w:pPr>
        <w:widowControl/>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3.6.2 </w:t>
      </w:r>
      <w:r>
        <w:rPr>
          <w:rFonts w:hint="eastAsia" w:ascii="宋体" w:hAnsi="宋体"/>
          <w:color w:val="auto"/>
          <w:kern w:val="0"/>
          <w:sz w:val="24"/>
          <w:highlight w:val="none"/>
        </w:rPr>
        <w:t>澄清和说明不得超出投标文件的范围或改变投标文件的实质性内容（算术性错误的修正除外）。投标人的书面澄清、说明属于投标文件的组成部分。</w:t>
      </w:r>
      <w:r>
        <w:rPr>
          <w:rFonts w:ascii="宋体" w:hAnsi="宋体"/>
          <w:color w:val="auto"/>
          <w:kern w:val="0"/>
          <w:sz w:val="24"/>
          <w:highlight w:val="none"/>
        </w:rPr>
        <w:t xml:space="preserve"> </w:t>
      </w:r>
    </w:p>
    <w:p w14:paraId="7299CB6B">
      <w:pPr>
        <w:widowControl/>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3.6.3 </w:t>
      </w:r>
      <w:r>
        <w:rPr>
          <w:rFonts w:hint="eastAsia" w:ascii="宋体" w:hAnsi="宋体"/>
          <w:color w:val="auto"/>
          <w:kern w:val="0"/>
          <w:sz w:val="24"/>
          <w:highlight w:val="none"/>
        </w:rPr>
        <w:t>评标委员会不得暗示或诱导投标人作出澄清、说明，对投标人提交的澄清、说明有疑问的，可以要求投标人进一步澄清或说明，直至满足评标委员会的要求。</w:t>
      </w:r>
      <w:r>
        <w:rPr>
          <w:rFonts w:ascii="宋体" w:hAnsi="宋体"/>
          <w:color w:val="auto"/>
          <w:kern w:val="0"/>
          <w:sz w:val="24"/>
          <w:highlight w:val="none"/>
        </w:rPr>
        <w:t xml:space="preserve"> </w:t>
      </w:r>
    </w:p>
    <w:p w14:paraId="74A3E1D1">
      <w:pPr>
        <w:widowControl/>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3.6.4 </w:t>
      </w:r>
      <w:r>
        <w:rPr>
          <w:rFonts w:hint="eastAsia" w:ascii="宋体" w:hAnsi="宋体"/>
          <w:color w:val="auto"/>
          <w:kern w:val="0"/>
          <w:sz w:val="24"/>
          <w:highlight w:val="none"/>
        </w:rPr>
        <w:t>凡超出招标文件规定的或给发包人带来未曾要求的利益的变化、偏差或其他因素在评标时不予考虑。</w:t>
      </w:r>
      <w:r>
        <w:rPr>
          <w:rFonts w:ascii="宋体" w:hAnsi="宋体"/>
          <w:color w:val="auto"/>
          <w:kern w:val="0"/>
          <w:sz w:val="24"/>
          <w:highlight w:val="none"/>
        </w:rPr>
        <w:t xml:space="preserve"> </w:t>
      </w:r>
    </w:p>
    <w:p w14:paraId="0299AD40">
      <w:pPr>
        <w:pStyle w:val="6"/>
        <w:numPr>
          <w:ilvl w:val="0"/>
          <w:numId w:val="0"/>
        </w:numPr>
        <w:spacing w:line="360" w:lineRule="auto"/>
        <w:jc w:val="both"/>
        <w:rPr>
          <w:rFonts w:ascii="Times New Roman" w:hAnsi="Times New Roman"/>
          <w:b w:val="0"/>
          <w:bCs w:val="0"/>
          <w:color w:val="auto"/>
          <w:sz w:val="28"/>
          <w:szCs w:val="32"/>
          <w:highlight w:val="none"/>
        </w:rPr>
      </w:pPr>
      <w:bookmarkStart w:id="677" w:name="_Toc53685664"/>
      <w:r>
        <w:rPr>
          <w:rFonts w:ascii="Times New Roman" w:hAnsi="Times New Roman"/>
          <w:b w:val="0"/>
          <w:bCs w:val="0"/>
          <w:color w:val="auto"/>
          <w:sz w:val="28"/>
          <w:szCs w:val="32"/>
          <w:highlight w:val="none"/>
        </w:rPr>
        <w:t xml:space="preserve">3.7 </w:t>
      </w:r>
      <w:r>
        <w:rPr>
          <w:rFonts w:hint="default" w:ascii="Times New Roman" w:hAnsi="Times New Roman"/>
          <w:b w:val="0"/>
          <w:bCs w:val="0"/>
          <w:color w:val="auto"/>
          <w:sz w:val="28"/>
          <w:szCs w:val="32"/>
          <w:highlight w:val="none"/>
        </w:rPr>
        <w:t>不得否决投标的情形</w:t>
      </w:r>
      <w:bookmarkEnd w:id="677"/>
      <w:r>
        <w:rPr>
          <w:rFonts w:ascii="Times New Roman" w:hAnsi="Times New Roman"/>
          <w:b w:val="0"/>
          <w:bCs w:val="0"/>
          <w:color w:val="auto"/>
          <w:sz w:val="28"/>
          <w:szCs w:val="32"/>
          <w:highlight w:val="none"/>
        </w:rPr>
        <w:t xml:space="preserve"> </w:t>
      </w:r>
    </w:p>
    <w:p w14:paraId="6B967444">
      <w:pPr>
        <w:widowControl/>
        <w:snapToGrid w:val="0"/>
        <w:spacing w:line="360" w:lineRule="auto"/>
        <w:ind w:firstLine="480"/>
        <w:rPr>
          <w:rFonts w:ascii="宋体" w:hAnsi="宋体"/>
          <w:color w:val="auto"/>
          <w:kern w:val="0"/>
          <w:sz w:val="24"/>
          <w:highlight w:val="none"/>
        </w:rPr>
      </w:pPr>
      <w:r>
        <w:rPr>
          <w:rFonts w:hint="eastAsia" w:ascii="宋体" w:hAnsi="宋体" w:cs="宋体"/>
          <w:color w:val="auto"/>
          <w:sz w:val="24"/>
          <w:highlight w:val="none"/>
        </w:rPr>
        <w:t>投标文件存在第三章“评标办法”前附表中所列任一否决投标情形以外的情况均视为细微偏差，评标委员会不得否决投标人的投标，细微偏差的处理可以按照澄清规定处理</w:t>
      </w:r>
      <w:r>
        <w:rPr>
          <w:rFonts w:hint="eastAsia" w:ascii="宋体" w:hAnsi="宋体"/>
          <w:color w:val="auto"/>
          <w:kern w:val="0"/>
          <w:sz w:val="24"/>
          <w:highlight w:val="none"/>
        </w:rPr>
        <w:t>。</w:t>
      </w:r>
      <w:r>
        <w:rPr>
          <w:rFonts w:ascii="宋体" w:hAnsi="宋体"/>
          <w:color w:val="auto"/>
          <w:kern w:val="0"/>
          <w:sz w:val="24"/>
          <w:highlight w:val="none"/>
        </w:rPr>
        <w:t xml:space="preserve"> </w:t>
      </w:r>
    </w:p>
    <w:p w14:paraId="7253431F">
      <w:pPr>
        <w:pStyle w:val="6"/>
        <w:numPr>
          <w:ilvl w:val="0"/>
          <w:numId w:val="0"/>
        </w:numPr>
        <w:spacing w:line="360" w:lineRule="auto"/>
        <w:jc w:val="both"/>
        <w:rPr>
          <w:rFonts w:ascii="Times New Roman" w:hAnsi="Times New Roman"/>
          <w:b w:val="0"/>
          <w:bCs w:val="0"/>
          <w:color w:val="auto"/>
          <w:sz w:val="28"/>
          <w:szCs w:val="32"/>
          <w:highlight w:val="none"/>
        </w:rPr>
      </w:pPr>
      <w:bookmarkStart w:id="678" w:name="_Toc53685665"/>
      <w:r>
        <w:rPr>
          <w:rFonts w:ascii="Times New Roman" w:hAnsi="Times New Roman"/>
          <w:b w:val="0"/>
          <w:bCs w:val="0"/>
          <w:color w:val="auto"/>
          <w:sz w:val="28"/>
          <w:szCs w:val="32"/>
          <w:highlight w:val="none"/>
        </w:rPr>
        <w:t xml:space="preserve">3.8 </w:t>
      </w:r>
      <w:r>
        <w:rPr>
          <w:rFonts w:hint="default" w:ascii="Times New Roman" w:hAnsi="Times New Roman"/>
          <w:b w:val="0"/>
          <w:bCs w:val="0"/>
          <w:color w:val="auto"/>
          <w:sz w:val="28"/>
          <w:szCs w:val="32"/>
          <w:highlight w:val="none"/>
        </w:rPr>
        <w:t>评标结果</w:t>
      </w:r>
      <w:bookmarkEnd w:id="678"/>
      <w:r>
        <w:rPr>
          <w:rFonts w:ascii="Times New Roman" w:hAnsi="Times New Roman"/>
          <w:b w:val="0"/>
          <w:bCs w:val="0"/>
          <w:color w:val="auto"/>
          <w:sz w:val="28"/>
          <w:szCs w:val="32"/>
          <w:highlight w:val="none"/>
        </w:rPr>
        <w:t xml:space="preserve"> </w:t>
      </w:r>
    </w:p>
    <w:p w14:paraId="1DD99DCF">
      <w:pPr>
        <w:spacing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 xml:space="preserve">3.8.1 </w:t>
      </w:r>
      <w:r>
        <w:rPr>
          <w:rFonts w:hint="eastAsia" w:ascii="宋体" w:hAnsi="宋体"/>
          <w:color w:val="auto"/>
          <w:kern w:val="0"/>
          <w:sz w:val="24"/>
          <w:highlight w:val="none"/>
        </w:rPr>
        <w:t>除第二章</w:t>
      </w:r>
      <w:r>
        <w:rPr>
          <w:rFonts w:ascii="宋体" w:hAnsi="宋体"/>
          <w:color w:val="auto"/>
          <w:kern w:val="0"/>
          <w:sz w:val="24"/>
          <w:highlight w:val="none"/>
        </w:rPr>
        <w:t>“</w:t>
      </w:r>
      <w:r>
        <w:rPr>
          <w:rFonts w:hint="eastAsia" w:ascii="宋体" w:hAnsi="宋体"/>
          <w:color w:val="auto"/>
          <w:kern w:val="0"/>
          <w:sz w:val="24"/>
          <w:highlight w:val="none"/>
        </w:rPr>
        <w:t>投标人须知</w:t>
      </w:r>
      <w:r>
        <w:rPr>
          <w:rFonts w:ascii="宋体" w:hAnsi="宋体"/>
          <w:color w:val="auto"/>
          <w:kern w:val="0"/>
          <w:sz w:val="24"/>
          <w:highlight w:val="none"/>
        </w:rPr>
        <w:t>”</w:t>
      </w:r>
      <w:r>
        <w:rPr>
          <w:rFonts w:hint="eastAsia" w:ascii="宋体" w:hAnsi="宋体"/>
          <w:color w:val="auto"/>
          <w:kern w:val="0"/>
          <w:sz w:val="24"/>
          <w:highlight w:val="none"/>
        </w:rPr>
        <w:t>前附表授权直接确定中标人外，评标委员会按照综合得分由高到低的顺序推荐中标候选人，并标明排序。</w:t>
      </w:r>
    </w:p>
    <w:p w14:paraId="583B395F">
      <w:pPr>
        <w:ind w:firstLine="480" w:firstLineChars="200"/>
        <w:rPr>
          <w:rFonts w:hint="eastAsia" w:ascii="Times New Roman" w:hAnsi="Times New Roman"/>
          <w:b/>
          <w:bCs/>
          <w:color w:val="auto"/>
          <w:sz w:val="36"/>
          <w:szCs w:val="44"/>
          <w:highlight w:val="none"/>
        </w:rPr>
        <w:sectPr>
          <w:headerReference r:id="rId9" w:type="default"/>
          <w:footnotePr>
            <w:numFmt w:val="decimalEnclosedCircleChinese"/>
            <w:numRestart w:val="eachPage"/>
          </w:footnotePr>
          <w:pgSz w:w="11900" w:h="16838"/>
          <w:pgMar w:top="1417" w:right="1417" w:bottom="1417" w:left="1701" w:header="850" w:footer="624" w:gutter="0"/>
          <w:cols w:space="0" w:num="1"/>
          <w:rtlGutter w:val="0"/>
          <w:docGrid w:linePitch="312" w:charSpace="0"/>
        </w:sectPr>
      </w:pPr>
      <w:r>
        <w:rPr>
          <w:rFonts w:ascii="宋体" w:hAnsi="宋体"/>
          <w:color w:val="auto"/>
          <w:kern w:val="0"/>
          <w:sz w:val="24"/>
          <w:highlight w:val="none"/>
        </w:rPr>
        <w:t>3.8.2评标委员会完成评标后，应向招标人提交评标报告。</w:t>
      </w:r>
      <w:bookmarkStart w:id="679" w:name="_Toc53685666"/>
    </w:p>
    <w:p w14:paraId="27EC1200">
      <w:pPr>
        <w:pStyle w:val="4"/>
        <w:rPr>
          <w:rFonts w:hint="eastAsia" w:ascii="Arial" w:hAnsi="Arial" w:cs="Times New Roman"/>
          <w:bCs/>
          <w:color w:val="auto"/>
          <w:sz w:val="36"/>
          <w:szCs w:val="32"/>
          <w:highlight w:val="none"/>
        </w:rPr>
      </w:pPr>
      <w:r>
        <w:rPr>
          <w:rFonts w:hint="default"/>
          <w:b/>
          <w:bCs/>
          <w:color w:val="auto"/>
          <w:sz w:val="36"/>
          <w:szCs w:val="32"/>
          <w:highlight w:val="none"/>
        </w:rPr>
        <w:t>第三章</w:t>
      </w:r>
      <w:r>
        <w:rPr>
          <w:rFonts w:hint="eastAsia"/>
          <w:b/>
          <w:bCs/>
          <w:color w:val="auto"/>
          <w:sz w:val="36"/>
          <w:szCs w:val="32"/>
          <w:highlight w:val="none"/>
        </w:rPr>
        <w:t xml:space="preserve">  </w:t>
      </w:r>
      <w:r>
        <w:rPr>
          <w:rFonts w:hint="default"/>
          <w:b/>
          <w:bCs/>
          <w:color w:val="auto"/>
          <w:sz w:val="36"/>
          <w:szCs w:val="32"/>
          <w:highlight w:val="none"/>
        </w:rPr>
        <w:t>评标办</w:t>
      </w:r>
      <w:r>
        <w:rPr>
          <w:rFonts w:hint="default" w:ascii="Arial" w:hAnsi="Arial"/>
          <w:b/>
          <w:bCs/>
          <w:color w:val="auto"/>
          <w:sz w:val="36"/>
          <w:szCs w:val="32"/>
          <w:highlight w:val="none"/>
        </w:rPr>
        <w:t>法（技术评分最低标价法）</w:t>
      </w:r>
    </w:p>
    <w:p w14:paraId="00E3FE20">
      <w:pPr>
        <w:pStyle w:val="5"/>
        <w:adjustRightInd/>
        <w:snapToGrid/>
        <w:spacing w:before="0" w:beforeLines="-2147483648" w:after="0" w:afterLines="-2147483648" w:line="360" w:lineRule="auto"/>
        <w:jc w:val="left"/>
        <w:rPr>
          <w:color w:val="auto"/>
          <w:highlight w:val="none"/>
        </w:rPr>
      </w:pPr>
      <w:r>
        <w:rPr>
          <w:color w:val="auto"/>
          <w:highlight w:val="none"/>
        </w:rPr>
        <w:t>评标办法前附表</w:t>
      </w:r>
      <w:bookmarkEnd w:id="679"/>
    </w:p>
    <w:p w14:paraId="134C9A6E">
      <w:pPr>
        <w:widowControl/>
        <w:spacing w:line="360" w:lineRule="auto"/>
        <w:ind w:firstLine="357"/>
        <w:rPr>
          <w:rFonts w:ascii="宋体" w:hAnsi="宋体"/>
          <w:color w:val="auto"/>
          <w:kern w:val="0"/>
          <w:sz w:val="24"/>
          <w:highlight w:val="none"/>
        </w:rPr>
      </w:pPr>
      <w:bookmarkStart w:id="680" w:name="_Hlk99802275"/>
      <w:r>
        <w:rPr>
          <w:rFonts w:hint="eastAsia"/>
          <w:color w:val="auto"/>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bookmarkEnd w:id="680"/>
    </w:p>
    <w:tbl>
      <w:tblPr>
        <w:tblStyle w:val="49"/>
        <w:tblW w:w="8979" w:type="dxa"/>
        <w:tblInd w:w="-34" w:type="dxa"/>
        <w:tblLayout w:type="fixed"/>
        <w:tblCellMar>
          <w:top w:w="0" w:type="dxa"/>
          <w:left w:w="108" w:type="dxa"/>
          <w:bottom w:w="0" w:type="dxa"/>
          <w:right w:w="108" w:type="dxa"/>
        </w:tblCellMar>
      </w:tblPr>
      <w:tblGrid>
        <w:gridCol w:w="723"/>
        <w:gridCol w:w="827"/>
        <w:gridCol w:w="2292"/>
        <w:gridCol w:w="5137"/>
      </w:tblGrid>
      <w:tr w14:paraId="39B4F06F">
        <w:trPr>
          <w:trHeight w:val="461" w:hRule="atLeast"/>
          <w:tblHeader/>
        </w:trPr>
        <w:tc>
          <w:tcPr>
            <w:tcW w:w="1550" w:type="dxa"/>
            <w:gridSpan w:val="2"/>
            <w:tcBorders>
              <w:top w:val="single" w:color="000000" w:sz="4" w:space="0"/>
              <w:left w:val="single" w:color="000000" w:sz="4" w:space="0"/>
              <w:bottom w:val="single" w:color="000000" w:sz="4" w:space="0"/>
              <w:right w:val="single" w:color="000000" w:sz="4" w:space="0"/>
            </w:tcBorders>
            <w:vAlign w:val="center"/>
          </w:tcPr>
          <w:p w14:paraId="5218FD32">
            <w:pPr>
              <w:widowControl/>
              <w:adjustRightInd w:val="0"/>
              <w:snapToGrid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条款号</w:t>
            </w:r>
          </w:p>
        </w:tc>
        <w:tc>
          <w:tcPr>
            <w:tcW w:w="7429" w:type="dxa"/>
            <w:gridSpan w:val="2"/>
            <w:tcBorders>
              <w:top w:val="single" w:color="000000" w:sz="4" w:space="0"/>
              <w:left w:val="nil"/>
              <w:bottom w:val="single" w:color="000000" w:sz="4" w:space="0"/>
              <w:right w:val="single" w:color="000000" w:sz="4" w:space="0"/>
            </w:tcBorders>
            <w:vAlign w:val="center"/>
          </w:tcPr>
          <w:p w14:paraId="4CE4516C">
            <w:pPr>
              <w:widowControl/>
              <w:adjustRightInd w:val="0"/>
              <w:snapToGrid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评审因素与评审标准</w:t>
            </w:r>
          </w:p>
        </w:tc>
      </w:tr>
      <w:tr w14:paraId="6D59A415">
        <w:tblPrEx>
          <w:tblCellMar>
            <w:top w:w="0" w:type="dxa"/>
            <w:left w:w="108" w:type="dxa"/>
            <w:bottom w:w="0" w:type="dxa"/>
            <w:right w:w="108" w:type="dxa"/>
          </w:tblCellMar>
        </w:tblPrEx>
        <w:trPr>
          <w:trHeight w:val="216" w:hRule="atLeast"/>
        </w:trPr>
        <w:tc>
          <w:tcPr>
            <w:tcW w:w="723" w:type="dxa"/>
            <w:tcBorders>
              <w:top w:val="nil"/>
              <w:left w:val="single" w:color="000000" w:sz="4" w:space="0"/>
              <w:bottom w:val="single" w:color="auto" w:sz="4" w:space="0"/>
              <w:right w:val="single" w:color="000000" w:sz="4" w:space="0"/>
            </w:tcBorders>
            <w:vAlign w:val="center"/>
          </w:tcPr>
          <w:p w14:paraId="1CC03D4F">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27" w:type="dxa"/>
            <w:tcBorders>
              <w:top w:val="single" w:color="000000" w:sz="4" w:space="0"/>
              <w:left w:val="nil"/>
              <w:bottom w:val="single" w:color="auto" w:sz="4" w:space="0"/>
              <w:right w:val="single" w:color="000000" w:sz="4" w:space="0"/>
            </w:tcBorders>
            <w:vAlign w:val="center"/>
          </w:tcPr>
          <w:p w14:paraId="0F668E33">
            <w:pPr>
              <w:widowControl/>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评标</w:t>
            </w:r>
          </w:p>
          <w:p w14:paraId="1665A3EF">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方法</w:t>
            </w:r>
          </w:p>
        </w:tc>
        <w:tc>
          <w:tcPr>
            <w:tcW w:w="7429" w:type="dxa"/>
            <w:gridSpan w:val="2"/>
            <w:tcBorders>
              <w:top w:val="single" w:color="000000" w:sz="4" w:space="0"/>
              <w:left w:val="nil"/>
              <w:bottom w:val="single" w:color="000000" w:sz="4" w:space="0"/>
              <w:right w:val="single" w:color="000000" w:sz="4" w:space="0"/>
            </w:tcBorders>
            <w:vAlign w:val="center"/>
          </w:tcPr>
          <w:p w14:paraId="2011CBFB">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textAlignment w:val="auto"/>
              <w:rPr>
                <w:rFonts w:ascii="宋体" w:hAnsi="宋体"/>
                <w:b/>
                <w:color w:val="auto"/>
                <w:kern w:val="0"/>
                <w:szCs w:val="21"/>
                <w:highlight w:val="none"/>
              </w:rPr>
            </w:pPr>
            <w:r>
              <w:rPr>
                <w:rFonts w:ascii="宋体" w:hAnsi="宋体"/>
                <w:b/>
                <w:color w:val="auto"/>
                <w:kern w:val="0"/>
                <w:szCs w:val="21"/>
                <w:highlight w:val="none"/>
              </w:rPr>
              <w:t>1.</w:t>
            </w:r>
            <w:r>
              <w:rPr>
                <w:rFonts w:hint="eastAsia" w:ascii="宋体" w:hAnsi="宋体"/>
                <w:b/>
                <w:color w:val="auto"/>
                <w:kern w:val="0"/>
                <w:szCs w:val="21"/>
                <w:highlight w:val="none"/>
              </w:rPr>
              <w:t>本次评标采用技术评分最低标价法，推荐中标候选人具体原则为：</w:t>
            </w:r>
          </w:p>
          <w:p w14:paraId="0E5A8D94">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ascii="宋体" w:hAnsi="宋体" w:cs="宋体"/>
                <w:b/>
                <w:color w:val="auto"/>
                <w:kern w:val="0"/>
                <w:szCs w:val="21"/>
                <w:highlight w:val="none"/>
              </w:rPr>
              <w:t xml:space="preserve"> </w:t>
            </w:r>
            <w:r>
              <w:rPr>
                <w:rFonts w:hint="eastAsia" w:ascii="宋体" w:hAnsi="宋体" w:cs="宋体"/>
                <w:b/>
                <w:color w:val="auto"/>
                <w:kern w:val="0"/>
                <w:szCs w:val="21"/>
                <w:highlight w:val="none"/>
              </w:rPr>
              <w:t>允许中</w:t>
            </w:r>
            <w:r>
              <w:rPr>
                <w:rFonts w:ascii="宋体" w:hAnsi="宋体" w:cs="宋体"/>
                <w:b/>
                <w:color w:val="auto"/>
                <w:kern w:val="0"/>
                <w:szCs w:val="21"/>
                <w:highlight w:val="none"/>
              </w:rPr>
              <w:t>1个标段时适用</w:t>
            </w:r>
          </w:p>
          <w:p w14:paraId="0BAF764C">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210" w:firstLineChars="100"/>
              <w:textAlignment w:val="auto"/>
              <w:rPr>
                <w:rFonts w:ascii="宋体" w:hAnsi="宋体"/>
                <w:color w:val="auto"/>
                <w:kern w:val="0"/>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kern w:val="0"/>
                <w:szCs w:val="21"/>
                <w:highlight w:val="none"/>
              </w:rPr>
              <w:t>评标委员会对通过第一个信封（商务及技术文件）和第二个信封（报价文件）评审的所有投标人，按照评标价由低到高进行排序。若多个投标人评标价相同时，评标委员会依次按照以下原则排序：</w:t>
            </w:r>
          </w:p>
          <w:p w14:paraId="2BA5E95B">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textAlignment w:val="auto"/>
              <w:rPr>
                <w:rFonts w:hint="eastAsia" w:eastAsia="宋体" w:asciiTheme="minorEastAsia" w:hAnsiTheme="minorEastAsia"/>
                <w:color w:val="auto"/>
                <w:kern w:val="0"/>
                <w:szCs w:val="21"/>
                <w:highlight w:val="none"/>
                <w:lang w:val="en-US" w:eastAsia="zh-CN"/>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①</w:t>
            </w:r>
            <w:r>
              <w:rPr>
                <w:rFonts w:ascii="宋体" w:hAnsi="宋体"/>
                <w:color w:val="auto"/>
                <w:kern w:val="0"/>
                <w:szCs w:val="21"/>
                <w:highlight w:val="none"/>
              </w:rPr>
              <w:fldChar w:fldCharType="end"/>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Theme="minorEastAsia" w:hAnsiTheme="minorEastAsia" w:eastAsiaTheme="minorEastAsia"/>
                <w:color w:val="auto"/>
                <w:kern w:val="0"/>
                <w:szCs w:val="21"/>
                <w:highlight w:val="none"/>
              </w:rPr>
              <w:t>四川省重点公路建设从业单位信用评价等级高的优先；</w:t>
            </w:r>
          </w:p>
          <w:p w14:paraId="57C884D1">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630" w:firstLineChars="300"/>
              <w:textAlignment w:val="auto"/>
              <w:rPr>
                <w:rFonts w:asciiTheme="minorEastAsia" w:hAnsiTheme="minorEastAsia" w:eastAsiaTheme="minorEastAsia"/>
                <w:color w:val="auto"/>
                <w:kern w:val="0"/>
                <w:szCs w:val="21"/>
                <w:highlight w:val="none"/>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w:t>
            </w:r>
            <w:r>
              <w:rPr>
                <w:rFonts w:hint="eastAsia" w:asciiTheme="minorEastAsia" w:hAnsiTheme="minorEastAsia" w:eastAsiaTheme="minorEastAsia"/>
                <w:color w:val="auto"/>
                <w:kern w:val="0"/>
                <w:szCs w:val="21"/>
                <w:highlight w:val="none"/>
              </w:rPr>
              <w:t>信用评价等级高的优先；</w:t>
            </w:r>
          </w:p>
          <w:p w14:paraId="7B3B50C5">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textAlignment w:val="auto"/>
              <w:rPr>
                <w:rFonts w:ascii="宋体" w:hAnsi="宋体"/>
                <w:color w:val="auto"/>
                <w:kern w:val="0"/>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2 \* GB3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kern w:val="0"/>
                <w:szCs w:val="21"/>
                <w:highlight w:val="none"/>
              </w:rPr>
              <w:t>第一个信封综合得分高的优先；</w:t>
            </w:r>
          </w:p>
          <w:p w14:paraId="1B6DF498">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textAlignment w:val="auto"/>
              <w:rPr>
                <w:rFonts w:ascii="宋体" w:hAnsi="宋体"/>
                <w:color w:val="auto"/>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3 \* GB3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③</w:t>
            </w:r>
            <w:r>
              <w:rPr>
                <w:rFonts w:ascii="宋体" w:hAnsi="宋体"/>
                <w:color w:val="auto"/>
                <w:kern w:val="0"/>
                <w:szCs w:val="21"/>
                <w:highlight w:val="none"/>
              </w:rPr>
              <w:fldChar w:fldCharType="end"/>
            </w:r>
            <w:r>
              <w:rPr>
                <w:rFonts w:hint="eastAsia" w:ascii="宋体" w:hAnsi="宋体"/>
                <w:color w:val="auto"/>
                <w:kern w:val="0"/>
                <w:szCs w:val="21"/>
                <w:highlight w:val="none"/>
              </w:rPr>
              <w:t>投标人财务评审中近一年度净资产高的优先</w:t>
            </w:r>
            <w:r>
              <w:rPr>
                <w:rFonts w:hint="eastAsia" w:ascii="宋体" w:hAnsi="宋体"/>
                <w:color w:val="auto"/>
                <w:szCs w:val="21"/>
                <w:highlight w:val="none"/>
              </w:rPr>
              <w:t>；</w:t>
            </w:r>
          </w:p>
          <w:p w14:paraId="288345E2">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textAlignment w:val="auto"/>
              <w:rPr>
                <w:rFonts w:ascii="宋体" w:hAnsi="宋体"/>
                <w:color w:val="auto"/>
                <w:kern w:val="0"/>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4 \* GB3 </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若上述情况都相同时，</w:t>
            </w:r>
            <w:r>
              <w:rPr>
                <w:rFonts w:hint="eastAsia" w:ascii="宋体" w:hAnsi="宋体"/>
                <w:color w:val="auto"/>
                <w:kern w:val="0"/>
                <w:szCs w:val="21"/>
                <w:highlight w:val="none"/>
              </w:rPr>
              <w:t>则排序按照：</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szCs w:val="21"/>
                <w:highlight w:val="none"/>
              </w:rPr>
              <w:t xml:space="preserve"> </w:t>
            </w:r>
          </w:p>
          <w:p w14:paraId="1AFF42F3">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210" w:firstLineChars="100"/>
              <w:textAlignment w:val="auto"/>
              <w:rPr>
                <w:rFonts w:hint="eastAsia"/>
                <w:color w:val="auto"/>
                <w:highlight w:val="none"/>
                <w:lang w:eastAsia="zh-CN"/>
              </w:rPr>
            </w:pPr>
            <w:r>
              <w:rPr>
                <w:rFonts w:hint="eastAsia" w:ascii="宋体" w:hAnsi="宋体" w:cs="宋体"/>
                <w:b w:val="0"/>
                <w:bCs/>
                <w:color w:val="auto"/>
                <w:kern w:val="0"/>
                <w:szCs w:val="21"/>
                <w:highlight w:val="none"/>
              </w:rPr>
              <w:sym w:font="Wingdings 2" w:char="00A3"/>
            </w:r>
            <w:r>
              <w:rPr>
                <w:rFonts w:hint="eastAsia" w:ascii="宋体" w:hAnsi="宋体"/>
                <w:color w:val="auto"/>
                <w:kern w:val="0"/>
                <w:szCs w:val="21"/>
                <w:highlight w:val="none"/>
              </w:rPr>
              <w:t>（</w:t>
            </w:r>
            <w:r>
              <w:rPr>
                <w:rFonts w:ascii="宋体" w:hAnsi="宋体"/>
                <w:color w:val="auto"/>
                <w:kern w:val="0"/>
                <w:szCs w:val="21"/>
                <w:highlight w:val="none"/>
              </w:rPr>
              <w:t>2）</w:t>
            </w:r>
            <w:r>
              <w:rPr>
                <w:color w:val="auto"/>
                <w:highlight w:val="none"/>
              </w:rPr>
              <w:t>若同一投标人在</w:t>
            </w:r>
            <w:r>
              <w:rPr>
                <w:rFonts w:hint="eastAsia"/>
                <w:color w:val="auto"/>
                <w:highlight w:val="none"/>
                <w:lang w:val="en-US" w:eastAsia="zh-CN"/>
              </w:rPr>
              <w:t>2</w:t>
            </w:r>
            <w:r>
              <w:rPr>
                <w:color w:val="auto"/>
                <w:highlight w:val="none"/>
              </w:rPr>
              <w:t>个</w:t>
            </w:r>
            <w:r>
              <w:rPr>
                <w:rFonts w:hint="eastAsia"/>
                <w:color w:val="auto"/>
                <w:highlight w:val="none"/>
                <w:lang w:val="en-US" w:eastAsia="zh-CN"/>
              </w:rPr>
              <w:t>及以上</w:t>
            </w:r>
            <w:r>
              <w:rPr>
                <w:color w:val="auto"/>
                <w:highlight w:val="none"/>
              </w:rPr>
              <w:t>标段排序均</w:t>
            </w:r>
            <w:r>
              <w:rPr>
                <w:rFonts w:hint="eastAsia"/>
                <w:color w:val="auto"/>
                <w:highlight w:val="none"/>
                <w:lang w:val="en-US" w:eastAsia="zh-CN"/>
              </w:rPr>
              <w:t>为</w:t>
            </w:r>
            <w:r>
              <w:rPr>
                <w:color w:val="auto"/>
                <w:highlight w:val="none"/>
              </w:rPr>
              <w:t>第一</w:t>
            </w:r>
            <w:r>
              <w:rPr>
                <w:rFonts w:hint="eastAsia"/>
                <w:color w:val="auto"/>
                <w:highlight w:val="none"/>
              </w:rPr>
              <w:t>，</w:t>
            </w:r>
            <w:r>
              <w:rPr>
                <w:color w:val="auto"/>
                <w:highlight w:val="none"/>
              </w:rPr>
              <w:t>按以下原则依次排序</w:t>
            </w:r>
            <w:r>
              <w:rPr>
                <w:rFonts w:hint="eastAsia"/>
                <w:color w:val="auto"/>
                <w:highlight w:val="none"/>
                <w:lang w:eastAsia="zh-CN"/>
              </w:rPr>
              <w:t>：</w:t>
            </w:r>
          </w:p>
          <w:p w14:paraId="72832483">
            <w:pPr>
              <w:pStyle w:val="299"/>
              <w:keepNext w:val="0"/>
              <w:keepLines w:val="0"/>
              <w:pageBreakBefore w:val="0"/>
              <w:widowControl/>
              <w:kinsoku/>
              <w:wordWrap/>
              <w:overflowPunct/>
              <w:topLinePunct w:val="0"/>
              <w:autoSpaceDE/>
              <w:autoSpaceDN/>
              <w:bidi w:val="0"/>
              <w:adjustRightInd w:val="0"/>
              <w:snapToGrid w:val="0"/>
              <w:spacing w:line="400" w:lineRule="exact"/>
              <w:ind w:left="399" w:leftChars="190" w:firstLine="0" w:firstLineChars="0"/>
              <w:textAlignment w:val="auto"/>
              <w:rPr>
                <w:rFonts w:hint="eastAsia" w:ascii="宋体" w:hAnsi="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olor w:val="auto"/>
                <w:kern w:val="0"/>
                <w:szCs w:val="21"/>
                <w:highlight w:val="none"/>
                <w:lang w:val="en-US" w:eastAsia="zh-CN"/>
              </w:rPr>
              <w:t xml:space="preserve"> </w:t>
            </w:r>
            <w:r>
              <w:rPr>
                <w:rFonts w:hint="eastAsia" w:ascii="宋体" w:hAnsi="宋体"/>
                <w:color w:val="auto"/>
                <w:kern w:val="0"/>
                <w:szCs w:val="21"/>
                <w:highlight w:val="none"/>
              </w:rPr>
              <w:t>保留该投标人在评标价高的标段的第一排名，取消其在评标价低的标段的排名，其余投标人按</w:t>
            </w:r>
            <w:r>
              <w:rPr>
                <w:rFonts w:hint="eastAsia" w:ascii="宋体" w:hAnsi="宋体"/>
                <w:color w:val="auto"/>
                <w:szCs w:val="21"/>
                <w:highlight w:val="none"/>
              </w:rPr>
              <w:t>评标价</w:t>
            </w:r>
            <w:r>
              <w:rPr>
                <w:rFonts w:hint="eastAsia" w:ascii="宋体" w:hAnsi="宋体"/>
                <w:color w:val="auto"/>
                <w:kern w:val="0"/>
                <w:szCs w:val="21"/>
                <w:highlight w:val="none"/>
              </w:rPr>
              <w:t>由低到高重新排序。评标价也相同时，则排序按照：</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BFFD46E">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color w:val="auto"/>
                <w:kern w:val="0"/>
                <w:szCs w:val="21"/>
                <w:highlight w:val="none"/>
              </w:rPr>
            </w:pPr>
            <w:r>
              <w:rPr>
                <w:rFonts w:hint="eastAsia" w:ascii="宋体" w:hAnsi="宋体" w:cs="宋体"/>
                <w:bCs/>
                <w:color w:val="auto"/>
                <w:kern w:val="0"/>
                <w:szCs w:val="21"/>
                <w:highlight w:val="none"/>
              </w:rPr>
              <w:sym w:font="Wingdings 2" w:char="00A3"/>
            </w:r>
            <w:r>
              <w:rPr>
                <w:rFonts w:hint="eastAsia" w:ascii="宋体" w:hAnsi="宋体" w:cs="宋体"/>
                <w:bCs/>
                <w:color w:val="auto"/>
                <w:kern w:val="0"/>
                <w:szCs w:val="21"/>
                <w:highlight w:val="none"/>
              </w:rPr>
              <w:t xml:space="preserve"> 排序方式为：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F956137">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210" w:firstLineChars="100"/>
              <w:textAlignment w:val="auto"/>
              <w:rPr>
                <w:rFonts w:ascii="宋体" w:hAnsi="宋体"/>
                <w:color w:val="auto"/>
                <w:kern w:val="0"/>
                <w:szCs w:val="21"/>
                <w:highlight w:val="none"/>
              </w:rPr>
            </w:pPr>
            <w:r>
              <w:rPr>
                <w:rFonts w:hint="eastAsia" w:ascii="宋体" w:hAnsi="宋体" w:cs="宋体"/>
                <w:b w:val="0"/>
                <w:bCs/>
                <w:color w:val="auto"/>
                <w:kern w:val="0"/>
                <w:szCs w:val="21"/>
                <w:highlight w:val="none"/>
              </w:rPr>
              <w:sym w:font="Wingdings 2" w:char="00A3"/>
            </w:r>
            <w:r>
              <w:rPr>
                <w:rFonts w:hint="eastAsia" w:ascii="宋体" w:hAnsi="宋体"/>
                <w:color w:val="auto"/>
                <w:kern w:val="0"/>
                <w:szCs w:val="21"/>
                <w:highlight w:val="none"/>
              </w:rPr>
              <w:t>（</w:t>
            </w:r>
            <w:r>
              <w:rPr>
                <w:rFonts w:ascii="宋体" w:hAnsi="宋体"/>
                <w:color w:val="auto"/>
                <w:kern w:val="0"/>
                <w:szCs w:val="21"/>
                <w:highlight w:val="none"/>
              </w:rPr>
              <w:t>3）</w:t>
            </w:r>
            <w:r>
              <w:rPr>
                <w:color w:val="auto"/>
                <w:highlight w:val="none"/>
              </w:rPr>
              <w:t>若同一投标人</w:t>
            </w:r>
            <w:r>
              <w:rPr>
                <w:rFonts w:hint="eastAsia"/>
                <w:color w:val="auto"/>
                <w:highlight w:val="none"/>
              </w:rPr>
              <w:t>参与2</w:t>
            </w:r>
            <w:r>
              <w:rPr>
                <w:color w:val="auto"/>
                <w:highlight w:val="none"/>
              </w:rPr>
              <w:t>个</w:t>
            </w:r>
            <w:r>
              <w:rPr>
                <w:rFonts w:hint="eastAsia"/>
                <w:color w:val="auto"/>
                <w:highlight w:val="none"/>
              </w:rPr>
              <w:t>及以上</w:t>
            </w:r>
            <w:r>
              <w:rPr>
                <w:color w:val="auto"/>
                <w:highlight w:val="none"/>
              </w:rPr>
              <w:t>标段</w:t>
            </w:r>
            <w:r>
              <w:rPr>
                <w:rFonts w:hint="eastAsia"/>
                <w:color w:val="auto"/>
                <w:highlight w:val="none"/>
              </w:rPr>
              <w:t>的投标，</w:t>
            </w:r>
            <w:r>
              <w:rPr>
                <w:rFonts w:ascii="宋体" w:hAnsi="宋体"/>
                <w:color w:val="auto"/>
                <w:kern w:val="0"/>
                <w:szCs w:val="21"/>
                <w:highlight w:val="none"/>
              </w:rPr>
              <w:t>在其中一个标段已经推荐为第一中标候选人，则在其他标段不再作为中标候选人推荐，其余投标人按</w:t>
            </w:r>
            <w:r>
              <w:rPr>
                <w:rFonts w:hint="eastAsia" w:ascii="宋体" w:hAnsi="宋体"/>
                <w:color w:val="auto"/>
                <w:szCs w:val="21"/>
                <w:highlight w:val="none"/>
              </w:rPr>
              <w:t>评标价</w:t>
            </w:r>
            <w:r>
              <w:rPr>
                <w:rFonts w:hint="eastAsia" w:ascii="宋体" w:hAnsi="宋体"/>
                <w:color w:val="auto"/>
                <w:kern w:val="0"/>
                <w:szCs w:val="21"/>
                <w:highlight w:val="none"/>
              </w:rPr>
              <w:t>由低到高重新排序。</w:t>
            </w:r>
          </w:p>
          <w:p w14:paraId="09263FC2">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210" w:firstLineChars="100"/>
              <w:textAlignment w:val="auto"/>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评标委员会按最终的</w:t>
            </w:r>
            <w:r>
              <w:rPr>
                <w:rFonts w:hint="eastAsia" w:ascii="宋体" w:hAnsi="宋体"/>
                <w:color w:val="auto"/>
                <w:szCs w:val="21"/>
                <w:highlight w:val="none"/>
              </w:rPr>
              <w:t>评标价</w:t>
            </w:r>
            <w:r>
              <w:rPr>
                <w:rFonts w:hint="eastAsia" w:ascii="宋体" w:hAnsi="宋体"/>
                <w:color w:val="auto"/>
                <w:kern w:val="0"/>
                <w:szCs w:val="21"/>
                <w:highlight w:val="none"/>
              </w:rPr>
              <w:t>排序推荐前</w:t>
            </w:r>
            <w:r>
              <w:rPr>
                <w:rFonts w:ascii="宋体" w:hAnsi="宋体"/>
                <w:color w:val="auto"/>
                <w:kern w:val="0"/>
                <w:szCs w:val="21"/>
                <w:highlight w:val="none"/>
              </w:rPr>
              <w:t>3名中标候选人（若不足3名，则按相应数量推荐）。</w:t>
            </w:r>
          </w:p>
          <w:p w14:paraId="754D50AF">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ascii="宋体" w:hAnsi="宋体" w:cs="宋体"/>
                <w:b/>
                <w:color w:val="auto"/>
                <w:kern w:val="0"/>
                <w:szCs w:val="21"/>
                <w:highlight w:val="none"/>
              </w:rPr>
              <w:t xml:space="preserve"> </w:t>
            </w:r>
            <w:r>
              <w:rPr>
                <w:rFonts w:hint="eastAsia" w:ascii="宋体" w:hAnsi="宋体" w:cs="宋体"/>
                <w:b/>
                <w:color w:val="auto"/>
                <w:kern w:val="0"/>
                <w:szCs w:val="21"/>
                <w:highlight w:val="none"/>
              </w:rPr>
              <w:t>允许中</w:t>
            </w:r>
            <w:r>
              <w:rPr>
                <w:rFonts w:ascii="宋体" w:hAnsi="宋体" w:cs="宋体"/>
                <w:b/>
                <w:color w:val="auto"/>
                <w:kern w:val="0"/>
                <w:szCs w:val="21"/>
                <w:highlight w:val="none"/>
              </w:rPr>
              <w:t>2个及以上标段适用</w:t>
            </w:r>
          </w:p>
          <w:p w14:paraId="7B7B1004">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textAlignment w:val="auto"/>
              <w:rPr>
                <w:rFonts w:ascii="宋体" w:hAnsi="宋体"/>
                <w:b/>
                <w:color w:val="auto"/>
                <w:szCs w:val="21"/>
                <w:highlight w:val="none"/>
                <w:u w:val="single"/>
              </w:rPr>
            </w:pPr>
            <w:r>
              <w:rPr>
                <w:rFonts w:hint="eastAsia" w:ascii="宋体" w:hAnsi="宋体"/>
                <w:color w:val="auto"/>
                <w:kern w:val="0"/>
                <w:szCs w:val="21"/>
                <w:highlight w:val="none"/>
                <w:u w:val="none"/>
                <w:lang w:val="en-US" w:eastAsia="zh-CN"/>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none"/>
              </w:rPr>
              <w:t xml:space="preserve">   </w:t>
            </w:r>
            <w:r>
              <w:rPr>
                <w:rFonts w:ascii="宋体" w:hAnsi="宋体"/>
                <w:b/>
                <w:color w:val="auto"/>
                <w:szCs w:val="21"/>
                <w:highlight w:val="none"/>
                <w:u w:val="none"/>
              </w:rPr>
              <w:t xml:space="preserve">  </w:t>
            </w:r>
          </w:p>
          <w:p w14:paraId="739F1A10">
            <w:pPr>
              <w:pStyle w:val="299"/>
              <w:keepNext w:val="0"/>
              <w:keepLines w:val="0"/>
              <w:pageBreakBefore w:val="0"/>
              <w:widowControl/>
              <w:kinsoku/>
              <w:wordWrap/>
              <w:overflowPunct/>
              <w:topLinePunct w:val="0"/>
              <w:autoSpaceDE/>
              <w:autoSpaceDN/>
              <w:bidi w:val="0"/>
              <w:adjustRightInd w:val="0"/>
              <w:snapToGrid w:val="0"/>
              <w:spacing w:line="400" w:lineRule="exact"/>
              <w:ind w:left="0" w:leftChars="0"/>
              <w:textAlignment w:val="auto"/>
              <w:rPr>
                <w:rFonts w:ascii="宋体" w:hAnsi="宋体"/>
                <w:color w:val="auto"/>
                <w:kern w:val="0"/>
                <w:szCs w:val="21"/>
                <w:highlight w:val="none"/>
                <w:u w:val="single"/>
              </w:rPr>
            </w:pPr>
            <w:r>
              <w:rPr>
                <w:rFonts w:ascii="宋体" w:hAnsi="宋体"/>
                <w:b/>
                <w:color w:val="auto"/>
                <w:szCs w:val="21"/>
                <w:highlight w:val="none"/>
              </w:rPr>
              <w:t>2.</w:t>
            </w:r>
            <w:r>
              <w:rPr>
                <w:rFonts w:hint="eastAsia"/>
                <w:color w:val="auto"/>
                <w:szCs w:val="21"/>
                <w:highlight w:val="none"/>
              </w:rPr>
              <w:t>在评标过程中，如有效投标不足</w:t>
            </w:r>
            <w:r>
              <w:rPr>
                <w:color w:val="auto"/>
                <w:szCs w:val="21"/>
                <w:highlight w:val="none"/>
              </w:rPr>
              <w:t>3</w:t>
            </w:r>
            <w:r>
              <w:rPr>
                <w:rFonts w:hint="eastAsia"/>
                <w:color w:val="auto"/>
                <w:szCs w:val="21"/>
                <w:highlight w:val="none"/>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w:t>
            </w:r>
            <w:r>
              <w:rPr>
                <w:rFonts w:hint="eastAsia"/>
                <w:color w:val="auto"/>
                <w:szCs w:val="21"/>
                <w:highlight w:val="none"/>
                <w:lang w:eastAsia="zh-CN"/>
              </w:rPr>
              <w:t>否决</w:t>
            </w:r>
            <w:r>
              <w:rPr>
                <w:rFonts w:hint="eastAsia"/>
                <w:color w:val="auto"/>
                <w:szCs w:val="21"/>
                <w:highlight w:val="none"/>
              </w:rPr>
              <w:t>全部投标，并在评标报告中</w:t>
            </w:r>
            <w:r>
              <w:rPr>
                <w:rFonts w:hint="eastAsia"/>
                <w:color w:val="auto"/>
                <w:szCs w:val="21"/>
                <w:highlight w:val="none"/>
                <w:lang w:val="en-US" w:eastAsia="zh-CN"/>
              </w:rPr>
              <w:t>作</w:t>
            </w:r>
            <w:r>
              <w:rPr>
                <w:rFonts w:hint="eastAsia"/>
                <w:color w:val="auto"/>
                <w:szCs w:val="21"/>
                <w:highlight w:val="none"/>
              </w:rPr>
              <w:t>出说明。</w:t>
            </w:r>
          </w:p>
        </w:tc>
      </w:tr>
      <w:tr w14:paraId="152A99E9">
        <w:tblPrEx>
          <w:tblCellMar>
            <w:top w:w="0" w:type="dxa"/>
            <w:left w:w="108" w:type="dxa"/>
            <w:bottom w:w="0" w:type="dxa"/>
            <w:right w:w="108" w:type="dxa"/>
          </w:tblCellMar>
        </w:tblPrEx>
        <w:trPr>
          <w:trHeight w:val="1269" w:hRule="atLeast"/>
        </w:trPr>
        <w:tc>
          <w:tcPr>
            <w:tcW w:w="723" w:type="dxa"/>
            <w:tcBorders>
              <w:top w:val="nil"/>
              <w:left w:val="single" w:color="000000" w:sz="4" w:space="0"/>
              <w:bottom w:val="single" w:color="auto" w:sz="4" w:space="0"/>
              <w:right w:val="single" w:color="000000" w:sz="4" w:space="0"/>
            </w:tcBorders>
            <w:vAlign w:val="center"/>
          </w:tcPr>
          <w:p w14:paraId="56207512">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27" w:type="dxa"/>
            <w:tcBorders>
              <w:top w:val="single" w:color="000000" w:sz="4" w:space="0"/>
              <w:left w:val="nil"/>
              <w:bottom w:val="single" w:color="auto" w:sz="4" w:space="0"/>
              <w:right w:val="single" w:color="000000" w:sz="4" w:space="0"/>
            </w:tcBorders>
            <w:vAlign w:val="center"/>
          </w:tcPr>
          <w:p w14:paraId="7A7C978B">
            <w:pPr>
              <w:pStyle w:val="299"/>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评标</w:t>
            </w:r>
          </w:p>
          <w:p w14:paraId="07EDA8C7">
            <w:pPr>
              <w:pStyle w:val="299"/>
              <w:adjustRightInd w:val="0"/>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方法</w:t>
            </w:r>
          </w:p>
        </w:tc>
        <w:tc>
          <w:tcPr>
            <w:tcW w:w="7429" w:type="dxa"/>
            <w:gridSpan w:val="2"/>
            <w:tcBorders>
              <w:top w:val="single" w:color="000000" w:sz="4" w:space="0"/>
              <w:left w:val="nil"/>
              <w:bottom w:val="single" w:color="auto" w:sz="4" w:space="0"/>
              <w:right w:val="single" w:color="000000" w:sz="4" w:space="0"/>
            </w:tcBorders>
            <w:vAlign w:val="center"/>
          </w:tcPr>
          <w:p w14:paraId="451B83BB">
            <w:pPr>
              <w:pStyle w:val="299"/>
              <w:numPr>
                <w:ilvl w:val="255"/>
                <w:numId w:val="0"/>
              </w:numPr>
              <w:adjustRightInd w:val="0"/>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 3.协助评标</w:t>
            </w:r>
          </w:p>
          <w:p w14:paraId="2ED6CFD7">
            <w:pPr>
              <w:pStyle w:val="299"/>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招标人按照</w:t>
            </w:r>
            <w:r>
              <w:rPr>
                <w:rFonts w:hint="eastAsia" w:ascii="宋体" w:hAnsi="宋体" w:cs="宋体"/>
                <w:color w:val="auto"/>
                <w:szCs w:val="21"/>
                <w:highlight w:val="none"/>
                <w:u w:val="single"/>
              </w:rPr>
              <w:t>《公路工程建设项目招标投标管理办法》（交通运输部令</w:t>
            </w:r>
            <w:r>
              <w:rPr>
                <w:rFonts w:ascii="宋体" w:hAnsi="宋体" w:cs="宋体"/>
                <w:color w:val="auto"/>
                <w:szCs w:val="21"/>
                <w:highlight w:val="none"/>
                <w:u w:val="single"/>
              </w:rPr>
              <w:t>2015年第24号）、《公路工程建设项目评标工作细则》（交公路规〔2022〕8号）、《四川省公路工程建设项目招标投标管理实施细则》（川交发</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2019</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32号）</w:t>
            </w:r>
            <w:r>
              <w:rPr>
                <w:rFonts w:hint="eastAsia" w:ascii="宋体" w:hAnsi="宋体" w:cs="宋体"/>
                <w:color w:val="auto"/>
                <w:szCs w:val="21"/>
                <w:highlight w:val="none"/>
              </w:rPr>
              <w:t>规定，协助评标委员会工作并提供相关信息：</w:t>
            </w:r>
            <w:r>
              <w:rPr>
                <w:rFonts w:ascii="宋体" w:hAnsi="宋体" w:cs="宋体"/>
                <w:color w:val="auto"/>
                <w:szCs w:val="21"/>
                <w:highlight w:val="none"/>
              </w:rPr>
              <w:t xml:space="preserve"> </w:t>
            </w:r>
          </w:p>
          <w:p w14:paraId="0E9EF374">
            <w:pPr>
              <w:pStyle w:val="299"/>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1）根据招标文件，编制评标使用的相应表格； </w:t>
            </w:r>
          </w:p>
          <w:p w14:paraId="60BCD733">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对投标人的</w:t>
            </w:r>
            <w:r>
              <w:rPr>
                <w:rFonts w:hint="eastAsia" w:ascii="宋体" w:hAnsi="宋体" w:cs="宋体"/>
                <w:color w:val="auto"/>
                <w:szCs w:val="21"/>
                <w:highlight w:val="none"/>
                <w:u w:val="single"/>
              </w:rPr>
              <w:t>资质、业绩、信誉和从业人员各类注册资格证书</w:t>
            </w:r>
            <w:r>
              <w:rPr>
                <w:rFonts w:hint="eastAsia" w:ascii="宋体" w:hAnsi="宋体" w:cs="宋体"/>
                <w:color w:val="auto"/>
                <w:szCs w:val="21"/>
                <w:highlight w:val="none"/>
              </w:rPr>
              <w:t>等信息按招标文件中约定的网站进行核实；</w:t>
            </w:r>
          </w:p>
          <w:p w14:paraId="7D21E055">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3）对投标报价进行算术性校核；</w:t>
            </w:r>
          </w:p>
          <w:p w14:paraId="6085F225">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4）以评标标准和方法为依据，列出投标文件相对于招标文件的所有偏差，并进行匿名归类汇总；</w:t>
            </w:r>
          </w:p>
          <w:p w14:paraId="144C58D6">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5）在评标过程中，对评标委员会各成员的评分表进行复核，统计汇总；对评标过程资料进行整理。</w:t>
            </w:r>
          </w:p>
          <w:p w14:paraId="3B1CD913">
            <w:pPr>
              <w:pStyle w:val="299"/>
              <w:adjustRightInd w:val="0"/>
              <w:snapToGrid w:val="0"/>
              <w:spacing w:line="400" w:lineRule="exact"/>
              <w:ind w:firstLine="210" w:firstLineChars="100"/>
              <w:rPr>
                <w:rFonts w:ascii="宋体" w:hAnsi="宋体"/>
                <w:color w:val="auto"/>
                <w:szCs w:val="21"/>
                <w:highlight w:val="none"/>
              </w:rPr>
            </w:pPr>
            <w:r>
              <w:rPr>
                <w:rFonts w:hint="eastAsia" w:ascii="宋体" w:hAnsi="宋体" w:cs="宋体"/>
                <w:color w:val="auto"/>
                <w:szCs w:val="21"/>
                <w:highlight w:val="none"/>
              </w:rPr>
              <w:t>招标人不得对投标文件作出任何评价，不得故意遗漏或者片面摘录，不得在评标委员会对所有偏差定性之前透露存有偏差的投标人名称。</w:t>
            </w:r>
          </w:p>
        </w:tc>
      </w:tr>
      <w:tr w14:paraId="3D3FE1C9">
        <w:tblPrEx>
          <w:tblCellMar>
            <w:top w:w="0" w:type="dxa"/>
            <w:left w:w="108" w:type="dxa"/>
            <w:bottom w:w="0" w:type="dxa"/>
            <w:right w:w="108" w:type="dxa"/>
          </w:tblCellMar>
        </w:tblPrEx>
        <w:trPr>
          <w:trHeight w:val="360" w:hRule="atLeast"/>
        </w:trPr>
        <w:tc>
          <w:tcPr>
            <w:tcW w:w="723" w:type="dxa"/>
            <w:vMerge w:val="restart"/>
            <w:tcBorders>
              <w:top w:val="single" w:color="auto" w:sz="4" w:space="0"/>
              <w:left w:val="single" w:color="auto" w:sz="4" w:space="0"/>
              <w:right w:val="single" w:color="auto" w:sz="4" w:space="0"/>
            </w:tcBorders>
            <w:vAlign w:val="center"/>
          </w:tcPr>
          <w:p w14:paraId="492E6F93">
            <w:pPr>
              <w:pStyle w:val="27"/>
              <w:adjustRightInd w:val="0"/>
              <w:snapToGrid w:val="0"/>
              <w:spacing w:line="400" w:lineRule="exact"/>
              <w:ind w:left="-210" w:leftChars="-100" w:right="-210" w:rightChars="-100"/>
              <w:jc w:val="center"/>
              <w:rPr>
                <w:rFonts w:hAnsi="宋体" w:cs="Courier New"/>
                <w:color w:val="auto"/>
                <w:highlight w:val="none"/>
              </w:rPr>
            </w:pPr>
            <w:r>
              <w:rPr>
                <w:rFonts w:hAnsi="宋体" w:cs="Courier New"/>
                <w:color w:val="auto"/>
                <w:highlight w:val="none"/>
              </w:rPr>
              <w:t>2.1</w:t>
            </w:r>
          </w:p>
          <w:p w14:paraId="6B69591C">
            <w:pPr>
              <w:pStyle w:val="27"/>
              <w:adjustRightInd w:val="0"/>
              <w:snapToGrid w:val="0"/>
              <w:spacing w:line="400" w:lineRule="exact"/>
              <w:ind w:left="-210" w:leftChars="-100" w:right="-210" w:rightChars="-100"/>
              <w:jc w:val="center"/>
              <w:rPr>
                <w:rFonts w:hAnsi="宋体" w:cs="Courier New"/>
                <w:color w:val="auto"/>
                <w:highlight w:val="none"/>
              </w:rPr>
            </w:pPr>
            <w:r>
              <w:rPr>
                <w:rFonts w:hint="eastAsia" w:hAnsi="宋体" w:cs="Courier New"/>
                <w:color w:val="auto"/>
                <w:highlight w:val="none"/>
              </w:rPr>
              <w:t>初步评</w:t>
            </w:r>
          </w:p>
          <w:p w14:paraId="2423B689">
            <w:pPr>
              <w:pStyle w:val="27"/>
              <w:adjustRightInd w:val="0"/>
              <w:snapToGrid w:val="0"/>
              <w:spacing w:line="400" w:lineRule="exact"/>
              <w:ind w:left="-210" w:leftChars="-100" w:right="-210" w:rightChars="-100"/>
              <w:jc w:val="center"/>
              <w:rPr>
                <w:rFonts w:hint="eastAsia" w:hAnsi="宋体" w:cs="Courier New"/>
                <w:color w:val="auto"/>
                <w:highlight w:val="none"/>
              </w:rPr>
            </w:pPr>
            <w:r>
              <w:rPr>
                <w:rFonts w:hint="eastAsia" w:hAnsi="宋体" w:cs="Courier New"/>
                <w:color w:val="auto"/>
                <w:highlight w:val="none"/>
              </w:rPr>
              <w:t>审标准</w:t>
            </w:r>
            <w:r>
              <w:rPr>
                <w:rFonts w:hAnsi="宋体" w:cs="Courier New"/>
                <w:color w:val="auto"/>
                <w:highlight w:val="none"/>
              </w:rPr>
              <w:t xml:space="preserve">      </w:t>
            </w:r>
            <w:r>
              <w:rPr>
                <w:rFonts w:hint="eastAsia" w:hAnsi="宋体" w:cs="Courier New"/>
                <w:color w:val="auto"/>
                <w:highlight w:val="none"/>
              </w:rPr>
              <w:t>（第一个</w:t>
            </w:r>
          </w:p>
          <w:p w14:paraId="32E62809">
            <w:pPr>
              <w:pStyle w:val="27"/>
              <w:adjustRightInd w:val="0"/>
              <w:snapToGrid w:val="0"/>
              <w:spacing w:line="400" w:lineRule="exact"/>
              <w:ind w:left="-210" w:leftChars="-100" w:right="-210" w:rightChars="-100"/>
              <w:jc w:val="center"/>
              <w:rPr>
                <w:rFonts w:hAnsi="宋体" w:cs="Courier New"/>
                <w:color w:val="auto"/>
                <w:highlight w:val="none"/>
              </w:rPr>
            </w:pPr>
            <w:r>
              <w:rPr>
                <w:rFonts w:hint="eastAsia" w:hAnsi="宋体" w:cs="Courier New"/>
                <w:color w:val="auto"/>
                <w:highlight w:val="none"/>
              </w:rPr>
              <w:t>信封）</w:t>
            </w:r>
          </w:p>
        </w:tc>
        <w:tc>
          <w:tcPr>
            <w:tcW w:w="827" w:type="dxa"/>
            <w:vMerge w:val="restart"/>
            <w:tcBorders>
              <w:top w:val="single" w:color="auto" w:sz="4" w:space="0"/>
              <w:left w:val="single" w:color="auto" w:sz="4" w:space="0"/>
              <w:right w:val="single" w:color="auto" w:sz="4" w:space="0"/>
            </w:tcBorders>
            <w:vAlign w:val="center"/>
          </w:tcPr>
          <w:p w14:paraId="6EB7668D">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2.1.1</w:t>
            </w:r>
          </w:p>
          <w:p w14:paraId="5625282D">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形式评审标准</w:t>
            </w:r>
          </w:p>
        </w:tc>
        <w:tc>
          <w:tcPr>
            <w:tcW w:w="2292" w:type="dxa"/>
            <w:tcBorders>
              <w:top w:val="single" w:color="auto" w:sz="4" w:space="0"/>
              <w:bottom w:val="single" w:color="auto" w:sz="4" w:space="0"/>
              <w:right w:val="single" w:color="auto" w:sz="4" w:space="0"/>
            </w:tcBorders>
            <w:vAlign w:val="center"/>
          </w:tcPr>
          <w:p w14:paraId="727BE2CE">
            <w:pPr>
              <w:adjustRightInd w:val="0"/>
              <w:snapToGrid w:val="0"/>
              <w:spacing w:line="400" w:lineRule="exact"/>
              <w:rPr>
                <w:color w:val="auto"/>
                <w:szCs w:val="21"/>
                <w:highlight w:val="none"/>
              </w:rPr>
            </w:pPr>
            <w:r>
              <w:rPr>
                <w:color w:val="auto"/>
                <w:szCs w:val="21"/>
                <w:highlight w:val="none"/>
              </w:rPr>
              <w:t>1.</w:t>
            </w:r>
            <w:r>
              <w:rPr>
                <w:rFonts w:hint="eastAsia"/>
                <w:color w:val="auto"/>
                <w:szCs w:val="21"/>
                <w:highlight w:val="none"/>
              </w:rPr>
              <w:t>投标文件格式按照招标文件规定的格式、内容填写</w:t>
            </w:r>
          </w:p>
        </w:tc>
        <w:tc>
          <w:tcPr>
            <w:tcW w:w="5137" w:type="dxa"/>
            <w:tcBorders>
              <w:top w:val="single" w:color="auto" w:sz="4" w:space="0"/>
              <w:left w:val="single" w:color="auto" w:sz="4" w:space="0"/>
              <w:bottom w:val="single" w:color="auto" w:sz="4" w:space="0"/>
              <w:right w:val="single" w:color="auto" w:sz="4" w:space="0"/>
            </w:tcBorders>
            <w:vAlign w:val="center"/>
          </w:tcPr>
          <w:p w14:paraId="285677A6">
            <w:pPr>
              <w:pStyle w:val="299"/>
              <w:adjustRightInd w:val="0"/>
              <w:snapToGrid w:val="0"/>
              <w:spacing w:line="400" w:lineRule="exact"/>
              <w:rPr>
                <w:rFonts w:hint="eastAsia" w:eastAsia="宋体"/>
                <w:color w:val="auto"/>
                <w:szCs w:val="21"/>
                <w:highlight w:val="none"/>
                <w:lang w:eastAsia="zh-CN"/>
              </w:rPr>
            </w:pPr>
            <w:r>
              <w:rPr>
                <w:rFonts w:hint="eastAsia"/>
                <w:color w:val="auto"/>
                <w:szCs w:val="21"/>
                <w:highlight w:val="none"/>
              </w:rPr>
              <w:t>（</w:t>
            </w:r>
            <w:r>
              <w:rPr>
                <w:color w:val="auto"/>
                <w:szCs w:val="21"/>
                <w:highlight w:val="none"/>
              </w:rPr>
              <w:t>1</w:t>
            </w:r>
            <w:r>
              <w:rPr>
                <w:rFonts w:hint="eastAsia"/>
                <w:color w:val="auto"/>
                <w:szCs w:val="21"/>
                <w:highlight w:val="none"/>
              </w:rPr>
              <w:t>）投标函按照招标文件的规定填报了招标项目名称、标段号、工期</w:t>
            </w:r>
            <w:r>
              <w:rPr>
                <w:rFonts w:hint="eastAsia"/>
                <w:color w:val="auto"/>
                <w:szCs w:val="21"/>
                <w:highlight w:val="none"/>
                <w:lang w:eastAsia="zh-CN"/>
              </w:rPr>
              <w:t>。</w:t>
            </w:r>
          </w:p>
          <w:p w14:paraId="6DD90365">
            <w:pPr>
              <w:pStyle w:val="299"/>
              <w:adjustRightInd w:val="0"/>
              <w:snapToGrid w:val="0"/>
              <w:spacing w:line="400" w:lineRule="exact"/>
              <w:rPr>
                <w:rFonts w:hint="eastAsia" w:eastAsia="宋体"/>
                <w:color w:val="auto"/>
                <w:szCs w:val="21"/>
                <w:highlight w:val="none"/>
                <w:lang w:eastAsia="zh-CN"/>
              </w:rPr>
            </w:pPr>
            <w:r>
              <w:rPr>
                <w:rFonts w:hint="eastAsia"/>
                <w:color w:val="auto"/>
                <w:szCs w:val="21"/>
                <w:highlight w:val="none"/>
              </w:rPr>
              <w:t>（</w:t>
            </w:r>
            <w:r>
              <w:rPr>
                <w:color w:val="auto"/>
                <w:szCs w:val="21"/>
                <w:highlight w:val="none"/>
              </w:rPr>
              <w:t>2</w:t>
            </w:r>
            <w:r>
              <w:rPr>
                <w:rFonts w:hint="eastAsia"/>
                <w:color w:val="auto"/>
                <w:szCs w:val="21"/>
                <w:highlight w:val="none"/>
              </w:rPr>
              <w:t>）投标函附录的所有数据均符合招标文件的规定</w:t>
            </w:r>
            <w:r>
              <w:rPr>
                <w:rFonts w:hint="eastAsia"/>
                <w:color w:val="auto"/>
                <w:szCs w:val="21"/>
                <w:highlight w:val="none"/>
                <w:lang w:eastAsia="zh-CN"/>
              </w:rPr>
              <w:t>。</w:t>
            </w:r>
          </w:p>
          <w:p w14:paraId="614FF2C4">
            <w:pPr>
              <w:pStyle w:val="299"/>
              <w:adjustRightInd w:val="0"/>
              <w:snapToGrid w:val="0"/>
              <w:spacing w:line="400" w:lineRule="exac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）投标文件组成齐全完整、内容均按规定填写。</w:t>
            </w:r>
          </w:p>
        </w:tc>
      </w:tr>
      <w:tr w14:paraId="237ABBE5">
        <w:tblPrEx>
          <w:tblCellMar>
            <w:top w:w="0" w:type="dxa"/>
            <w:left w:w="108" w:type="dxa"/>
            <w:bottom w:w="0" w:type="dxa"/>
            <w:right w:w="108" w:type="dxa"/>
          </w:tblCellMar>
        </w:tblPrEx>
        <w:trPr>
          <w:trHeight w:val="360" w:hRule="atLeast"/>
        </w:trPr>
        <w:tc>
          <w:tcPr>
            <w:tcW w:w="723" w:type="dxa"/>
            <w:vMerge w:val="continue"/>
            <w:tcBorders>
              <w:left w:val="single" w:color="auto" w:sz="4" w:space="0"/>
              <w:right w:val="single" w:color="auto" w:sz="4" w:space="0"/>
            </w:tcBorders>
            <w:vAlign w:val="center"/>
          </w:tcPr>
          <w:p w14:paraId="139C82E0">
            <w:pPr>
              <w:pStyle w:val="27"/>
              <w:adjustRightInd w:val="0"/>
              <w:snapToGrid w:val="0"/>
              <w:spacing w:line="400" w:lineRule="exact"/>
              <w:ind w:left="-210" w:leftChars="-100" w:right="-210" w:rightChars="-100"/>
              <w:jc w:val="center"/>
              <w:rPr>
                <w:rFonts w:hAnsi="宋体" w:cs="Courier New"/>
                <w:color w:val="auto"/>
                <w:highlight w:val="none"/>
              </w:rPr>
            </w:pPr>
          </w:p>
        </w:tc>
        <w:tc>
          <w:tcPr>
            <w:tcW w:w="827" w:type="dxa"/>
            <w:vMerge w:val="continue"/>
            <w:tcBorders>
              <w:left w:val="single" w:color="auto" w:sz="4" w:space="0"/>
              <w:right w:val="single" w:color="auto" w:sz="4" w:space="0"/>
            </w:tcBorders>
            <w:vAlign w:val="center"/>
          </w:tcPr>
          <w:p w14:paraId="330A7D27">
            <w:pPr>
              <w:pStyle w:val="27"/>
              <w:adjustRightInd w:val="0"/>
              <w:snapToGrid w:val="0"/>
              <w:spacing w:line="400" w:lineRule="exact"/>
              <w:jc w:val="center"/>
              <w:rPr>
                <w:rFonts w:hAnsi="宋体" w:cs="Courier New"/>
                <w:color w:val="auto"/>
                <w:highlight w:val="none"/>
              </w:rPr>
            </w:pPr>
          </w:p>
        </w:tc>
        <w:tc>
          <w:tcPr>
            <w:tcW w:w="2292" w:type="dxa"/>
            <w:tcBorders>
              <w:top w:val="single" w:color="auto" w:sz="4" w:space="0"/>
              <w:bottom w:val="single" w:color="auto" w:sz="4" w:space="0"/>
            </w:tcBorders>
            <w:vAlign w:val="center"/>
          </w:tcPr>
          <w:p w14:paraId="18686203">
            <w:pPr>
              <w:adjustRightInd w:val="0"/>
              <w:snapToGrid w:val="0"/>
              <w:spacing w:line="400" w:lineRule="exact"/>
              <w:rPr>
                <w:rFonts w:ascii="宋体" w:hAnsi="宋体"/>
                <w:color w:val="auto"/>
                <w:kern w:val="0"/>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5137" w:type="dxa"/>
            <w:tcBorders>
              <w:top w:val="single" w:color="auto" w:sz="4" w:space="0"/>
              <w:left w:val="single" w:color="auto" w:sz="4" w:space="0"/>
              <w:bottom w:val="single" w:color="auto" w:sz="4" w:space="0"/>
              <w:right w:val="single" w:color="000000" w:sz="4" w:space="0"/>
            </w:tcBorders>
            <w:vAlign w:val="center"/>
          </w:tcPr>
          <w:p w14:paraId="439FEA85">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ascii="宋体" w:hAnsi="宋体"/>
                <w:color w:val="auto"/>
                <w:szCs w:val="21"/>
                <w:highlight w:val="none"/>
              </w:rPr>
              <w:t>及投标文件格式</w:t>
            </w:r>
            <w:r>
              <w:rPr>
                <w:rFonts w:ascii="宋体" w:hAnsi="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，投标人均应使用单位CA数字证书加盖投标人的单位电子印章；投标函</w:t>
            </w:r>
            <w:r>
              <w:rPr>
                <w:rFonts w:hint="eastAsia" w:ascii="宋体" w:hAnsi="宋体"/>
                <w:color w:val="auto"/>
                <w:szCs w:val="21"/>
                <w:highlight w:val="none"/>
              </w:rPr>
              <w:t>及投标文件格式</w:t>
            </w:r>
            <w:r>
              <w:rPr>
                <w:rFonts w:ascii="宋体" w:hAnsi="宋体" w:cs="宋体"/>
                <w:color w:val="auto"/>
                <w:szCs w:val="21"/>
                <w:highlight w:val="none"/>
              </w:rPr>
              <w:t>中要求签字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，投标人均应使用个人CA数字证书加盖法定代表人</w:t>
            </w:r>
            <w:r>
              <w:rPr>
                <w:rFonts w:hint="eastAsia" w:ascii="宋体" w:hAnsi="宋体" w:cs="宋体"/>
                <w:color w:val="auto"/>
                <w:szCs w:val="21"/>
                <w:highlight w:val="none"/>
              </w:rPr>
              <w:t>或其委托代理人的个人电子签名章或个人电子印章。</w:t>
            </w:r>
          </w:p>
          <w:p w14:paraId="3882F67A">
            <w:pPr>
              <w:adjustRightInd w:val="0"/>
              <w:snapToGrid w:val="0"/>
              <w:spacing w:line="400" w:lineRule="exact"/>
              <w:rPr>
                <w:rFonts w:ascii="宋体" w:hAnsi="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lang w:val="en-US" w:eastAsia="zh-CN"/>
              </w:rPr>
              <w:t>以</w:t>
            </w:r>
            <w:r>
              <w:rPr>
                <w:rFonts w:ascii="宋体" w:hAnsi="宋体" w:cs="宋体"/>
                <w:color w:val="auto"/>
                <w:szCs w:val="21"/>
                <w:highlight w:val="none"/>
              </w:rPr>
              <w:t>联合体</w:t>
            </w:r>
            <w:r>
              <w:rPr>
                <w:rFonts w:hint="eastAsia" w:ascii="宋体" w:hAnsi="宋体" w:cs="宋体"/>
                <w:color w:val="auto"/>
                <w:szCs w:val="21"/>
                <w:highlight w:val="none"/>
                <w:lang w:val="en-US" w:eastAsia="zh-CN"/>
              </w:rPr>
              <w:t>形式</w:t>
            </w:r>
            <w:r>
              <w:rPr>
                <w:rFonts w:ascii="宋体" w:hAnsi="宋体" w:cs="宋体"/>
                <w:color w:val="auto"/>
                <w:szCs w:val="21"/>
                <w:highlight w:val="none"/>
              </w:rPr>
              <w:t>投标的，投标函由联合体牵头人按</w:t>
            </w:r>
            <w:r>
              <w:rPr>
                <w:rFonts w:hint="eastAsia" w:ascii="宋体" w:hAnsi="宋体" w:cs="宋体"/>
                <w:color w:val="auto"/>
                <w:szCs w:val="21"/>
                <w:highlight w:val="none"/>
              </w:rPr>
              <w:t>上述</w:t>
            </w:r>
            <w:r>
              <w:rPr>
                <w:rFonts w:hint="eastAsia" w:ascii="宋体" w:hAnsi="宋体" w:cs="宋体"/>
                <w:color w:val="auto"/>
                <w:szCs w:val="21"/>
                <w:highlight w:val="none"/>
                <w:lang w:val="en-US" w:eastAsia="zh-CN"/>
              </w:rPr>
              <w:t>规定</w:t>
            </w:r>
            <w:r>
              <w:rPr>
                <w:rFonts w:hint="eastAsia" w:ascii="宋体" w:hAnsi="宋体" w:cs="宋体"/>
                <w:color w:val="auto"/>
                <w:szCs w:val="21"/>
                <w:highlight w:val="none"/>
              </w:rPr>
              <w:t>完成签字、盖章。</w:t>
            </w:r>
          </w:p>
        </w:tc>
      </w:tr>
      <w:tr w14:paraId="7788A858">
        <w:tblPrEx>
          <w:tblCellMar>
            <w:top w:w="0" w:type="dxa"/>
            <w:left w:w="108" w:type="dxa"/>
            <w:bottom w:w="0" w:type="dxa"/>
            <w:right w:w="108" w:type="dxa"/>
          </w:tblCellMar>
        </w:tblPrEx>
        <w:trPr>
          <w:trHeight w:val="0" w:hRule="atLeast"/>
        </w:trPr>
        <w:tc>
          <w:tcPr>
            <w:tcW w:w="723" w:type="dxa"/>
            <w:vMerge w:val="continue"/>
            <w:tcBorders>
              <w:left w:val="single" w:color="auto" w:sz="4" w:space="0"/>
              <w:bottom w:val="single" w:color="auto" w:sz="4" w:space="0"/>
              <w:right w:val="single" w:color="auto" w:sz="4" w:space="0"/>
            </w:tcBorders>
            <w:vAlign w:val="center"/>
          </w:tcPr>
          <w:p w14:paraId="25968F91">
            <w:pPr>
              <w:pStyle w:val="27"/>
              <w:adjustRightInd w:val="0"/>
              <w:snapToGrid w:val="0"/>
              <w:spacing w:line="400" w:lineRule="exact"/>
              <w:jc w:val="center"/>
              <w:rPr>
                <w:rFonts w:hAnsi="宋体" w:cs="Courier New"/>
                <w:color w:val="auto"/>
                <w:highlight w:val="none"/>
              </w:rPr>
            </w:pPr>
          </w:p>
        </w:tc>
        <w:tc>
          <w:tcPr>
            <w:tcW w:w="827" w:type="dxa"/>
            <w:vMerge w:val="continue"/>
            <w:tcBorders>
              <w:left w:val="single" w:color="auto" w:sz="4" w:space="0"/>
              <w:bottom w:val="single" w:color="auto" w:sz="4" w:space="0"/>
              <w:right w:val="single" w:color="auto" w:sz="4" w:space="0"/>
            </w:tcBorders>
            <w:vAlign w:val="center"/>
          </w:tcPr>
          <w:p w14:paraId="65ED6F6C">
            <w:pPr>
              <w:pStyle w:val="27"/>
              <w:adjustRightInd w:val="0"/>
              <w:snapToGrid w:val="0"/>
              <w:spacing w:line="400" w:lineRule="exact"/>
              <w:jc w:val="center"/>
              <w:rPr>
                <w:rFonts w:hAnsi="宋体" w:cs="Courier New"/>
                <w:color w:val="auto"/>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14:paraId="48441498">
            <w:pPr>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．投标人按照招标文件规定的金额、形式、时效、内容提供了投标保证金</w:t>
            </w:r>
          </w:p>
        </w:tc>
        <w:tc>
          <w:tcPr>
            <w:tcW w:w="5137" w:type="dxa"/>
            <w:tcBorders>
              <w:top w:val="single" w:color="auto" w:sz="4" w:space="0"/>
              <w:left w:val="single" w:color="auto" w:sz="4" w:space="0"/>
              <w:bottom w:val="single" w:color="auto" w:sz="4" w:space="0"/>
              <w:right w:val="single" w:color="auto" w:sz="4" w:space="0"/>
            </w:tcBorders>
            <w:vAlign w:val="center"/>
          </w:tcPr>
          <w:p w14:paraId="3802E8C3">
            <w:pPr>
              <w:widowControl/>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1）投标保证金金额符合</w:t>
            </w:r>
            <w:r>
              <w:rPr>
                <w:rFonts w:hint="eastAsia" w:ascii="宋体" w:hAnsi="宋体"/>
                <w:color w:val="auto"/>
                <w:szCs w:val="21"/>
                <w:highlight w:val="none"/>
              </w:rPr>
              <w:t>第二章“投标人须知”前附表</w:t>
            </w:r>
            <w:r>
              <w:rPr>
                <w:rFonts w:ascii="宋体" w:hAnsi="宋体"/>
                <w:color w:val="auto"/>
                <w:kern w:val="0"/>
                <w:szCs w:val="21"/>
                <w:highlight w:val="none"/>
              </w:rPr>
              <w:t>第3.4.1</w:t>
            </w:r>
            <w:r>
              <w:rPr>
                <w:rFonts w:hint="eastAsia" w:ascii="宋体" w:hAnsi="宋体"/>
                <w:color w:val="auto"/>
                <w:kern w:val="0"/>
                <w:szCs w:val="21"/>
                <w:highlight w:val="none"/>
              </w:rPr>
              <w:t>项</w:t>
            </w:r>
            <w:r>
              <w:rPr>
                <w:rFonts w:ascii="宋体" w:hAnsi="宋体"/>
                <w:color w:val="auto"/>
                <w:kern w:val="0"/>
                <w:szCs w:val="21"/>
                <w:highlight w:val="none"/>
              </w:rPr>
              <w:t>要求</w:t>
            </w:r>
            <w:r>
              <w:rPr>
                <w:rFonts w:hint="eastAsia" w:ascii="宋体" w:hAnsi="宋体"/>
                <w:color w:val="auto"/>
                <w:szCs w:val="21"/>
                <w:highlight w:val="none"/>
              </w:rPr>
              <w:t>，且投标保证金有效期不少于投标有效期</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w:t>
            </w:r>
          </w:p>
          <w:p w14:paraId="3E0CF493">
            <w:pPr>
              <w:pStyle w:val="299"/>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b/>
                <w:color w:val="auto"/>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2）采用现金或支票形式担保，投标保证金由投标人基本账户</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或基本存款账户</w:t>
            </w:r>
            <w:r>
              <w:rPr>
                <w:rFonts w:hint="eastAsia" w:ascii="宋体" w:hAnsi="宋体"/>
                <w:color w:val="auto"/>
                <w:kern w:val="0"/>
                <w:szCs w:val="21"/>
                <w:highlight w:val="none"/>
                <w:lang w:eastAsia="zh-CN"/>
              </w:rPr>
              <w:t>）</w:t>
            </w:r>
            <w:r>
              <w:rPr>
                <w:rFonts w:ascii="宋体" w:hAnsi="宋体"/>
                <w:color w:val="auto"/>
                <w:kern w:val="0"/>
                <w:szCs w:val="21"/>
                <w:highlight w:val="none"/>
              </w:rPr>
              <w:t>汇出，并在规定时间到达招标人指定账户</w:t>
            </w:r>
            <w:r>
              <w:rPr>
                <w:rFonts w:hint="eastAsia" w:ascii="宋体" w:hAnsi="宋体"/>
                <w:color w:val="auto"/>
                <w:kern w:val="0"/>
                <w:szCs w:val="21"/>
                <w:highlight w:val="none"/>
                <w:lang w:eastAsia="zh-CN"/>
              </w:rPr>
              <w:t>。</w:t>
            </w:r>
          </w:p>
          <w:p w14:paraId="51EE3F33">
            <w:pPr>
              <w:pStyle w:val="299"/>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b/>
                <w:color w:val="auto"/>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3）采用银行保函，银行保函的格式、开具保函的银行级别、银行保函有效期及银行保函提交均满足</w:t>
            </w:r>
            <w:r>
              <w:rPr>
                <w:rFonts w:hint="eastAsia" w:ascii="宋体" w:hAnsi="宋体"/>
                <w:color w:val="auto"/>
                <w:szCs w:val="21"/>
                <w:highlight w:val="none"/>
              </w:rPr>
              <w:t>第二章“投标人须知”前附表</w:t>
            </w:r>
            <w:r>
              <w:rPr>
                <w:rFonts w:ascii="宋体" w:hAnsi="宋体"/>
                <w:color w:val="auto"/>
                <w:kern w:val="0"/>
                <w:szCs w:val="21"/>
                <w:highlight w:val="none"/>
              </w:rPr>
              <w:t>第3.4.1</w:t>
            </w:r>
            <w:r>
              <w:rPr>
                <w:rFonts w:hint="eastAsia" w:ascii="宋体" w:hAnsi="宋体"/>
                <w:color w:val="auto"/>
                <w:kern w:val="0"/>
                <w:szCs w:val="21"/>
                <w:highlight w:val="none"/>
              </w:rPr>
              <w:t>项</w:t>
            </w:r>
            <w:r>
              <w:rPr>
                <w:rFonts w:ascii="宋体" w:hAnsi="宋体"/>
                <w:color w:val="auto"/>
                <w:kern w:val="0"/>
                <w:szCs w:val="21"/>
                <w:highlight w:val="none"/>
              </w:rPr>
              <w:t>要求，</w:t>
            </w:r>
            <w:r>
              <w:rPr>
                <w:rFonts w:hint="eastAsia" w:ascii="宋体" w:hAnsi="宋体"/>
                <w:color w:val="auto"/>
                <w:szCs w:val="21"/>
                <w:highlight w:val="none"/>
              </w:rPr>
              <w:t>且</w:t>
            </w:r>
            <w:r>
              <w:rPr>
                <w:rFonts w:ascii="宋体" w:hAnsi="宋体"/>
                <w:color w:val="auto"/>
                <w:szCs w:val="21"/>
                <w:highlight w:val="none"/>
              </w:rPr>
              <w:t>其提交的银行保函内容</w:t>
            </w:r>
            <w:r>
              <w:rPr>
                <w:rFonts w:hint="eastAsia" w:ascii="宋体" w:hAnsi="宋体"/>
                <w:color w:val="auto"/>
                <w:szCs w:val="21"/>
                <w:highlight w:val="none"/>
              </w:rPr>
              <w:t>不得作出降低担保效力的实质性修改</w:t>
            </w:r>
            <w:r>
              <w:rPr>
                <w:rFonts w:hint="eastAsia" w:ascii="宋体" w:hAnsi="宋体"/>
                <w:color w:val="auto"/>
                <w:kern w:val="0"/>
                <w:szCs w:val="21"/>
                <w:highlight w:val="none"/>
                <w:lang w:eastAsia="zh-CN"/>
              </w:rPr>
              <w:t>。</w:t>
            </w:r>
          </w:p>
          <w:p w14:paraId="248929B9">
            <w:pPr>
              <w:pStyle w:val="299"/>
              <w:adjustRightInd w:val="0"/>
              <w:snapToGrid w:val="0"/>
              <w:spacing w:line="400" w:lineRule="exact"/>
              <w:rPr>
                <w:rFonts w:ascii="宋体" w:hAnsi="宋体"/>
                <w:color w:val="auto"/>
                <w:szCs w:val="21"/>
                <w:highlight w:val="none"/>
                <w:u w:val="singl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4）若采用上述情形以外的形式提交投标保证金的，应符合的要求：</w:t>
            </w:r>
            <w:r>
              <w:rPr>
                <w:rFonts w:ascii="宋体" w:hAnsi="宋体"/>
                <w:color w:val="auto"/>
                <w:szCs w:val="21"/>
                <w:highlight w:val="none"/>
                <w:u w:val="single"/>
              </w:rPr>
              <w:t xml:space="preserve">           </w:t>
            </w:r>
            <w:r>
              <w:rPr>
                <w:rFonts w:ascii="宋体" w:hAnsi="宋体"/>
                <w:color w:val="auto"/>
                <w:szCs w:val="21"/>
                <w:highlight w:val="none"/>
              </w:rPr>
              <w:t>。</w:t>
            </w:r>
          </w:p>
          <w:p w14:paraId="52DB7100">
            <w:pPr>
              <w:widowControl/>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lang w:val="en-US" w:eastAsia="zh-CN"/>
              </w:rPr>
              <w:t>以</w:t>
            </w:r>
            <w:r>
              <w:rPr>
                <w:rFonts w:hint="eastAsia" w:ascii="宋体" w:hAnsi="宋体"/>
                <w:color w:val="auto"/>
                <w:kern w:val="0"/>
                <w:szCs w:val="21"/>
                <w:highlight w:val="none"/>
              </w:rPr>
              <w:t>联合体形式投标的，投标保证金应由联合体牵头人提交。</w:t>
            </w:r>
          </w:p>
        </w:tc>
      </w:tr>
      <w:tr w14:paraId="266351BD">
        <w:tblPrEx>
          <w:tblCellMar>
            <w:top w:w="0" w:type="dxa"/>
            <w:left w:w="108" w:type="dxa"/>
            <w:bottom w:w="0" w:type="dxa"/>
            <w:right w:w="108" w:type="dxa"/>
          </w:tblCellMar>
        </w:tblPrEx>
        <w:tc>
          <w:tcPr>
            <w:tcW w:w="723" w:type="dxa"/>
            <w:vMerge w:val="restart"/>
            <w:tcBorders>
              <w:top w:val="single" w:color="auto" w:sz="4" w:space="0"/>
              <w:left w:val="single" w:color="auto" w:sz="4" w:space="0"/>
              <w:right w:val="single" w:color="auto" w:sz="4" w:space="0"/>
            </w:tcBorders>
            <w:vAlign w:val="center"/>
          </w:tcPr>
          <w:p w14:paraId="0B9849E3">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w:t>
            </w:r>
          </w:p>
          <w:p w14:paraId="556689B8">
            <w:pPr>
              <w:pStyle w:val="27"/>
              <w:adjustRightInd w:val="0"/>
              <w:snapToGrid w:val="0"/>
              <w:spacing w:line="400" w:lineRule="exact"/>
              <w:jc w:val="center"/>
              <w:rPr>
                <w:rFonts w:ascii="宋体" w:hAnsi="宋体" w:eastAsia="宋体" w:cs="Courier New"/>
                <w:color w:val="auto"/>
                <w:kern w:val="2"/>
                <w:sz w:val="21"/>
                <w:szCs w:val="21"/>
                <w:highlight w:val="none"/>
                <w:lang w:val="en-US" w:eastAsia="zh-CN" w:bidi="ar-SA"/>
              </w:rPr>
            </w:pPr>
            <w:r>
              <w:rPr>
                <w:rFonts w:hint="eastAsia" w:hAnsi="宋体" w:cs="Courier New"/>
                <w:color w:val="auto"/>
                <w:highlight w:val="none"/>
              </w:rPr>
              <w:t>初步评审标准</w:t>
            </w:r>
            <w:r>
              <w:rPr>
                <w:rFonts w:hAnsi="宋体" w:cs="Courier New"/>
                <w:color w:val="auto"/>
                <w:highlight w:val="none"/>
              </w:rPr>
              <w:t xml:space="preserve">      </w:t>
            </w:r>
            <w:r>
              <w:rPr>
                <w:rFonts w:hint="eastAsia" w:hAnsi="宋体" w:cs="Courier New"/>
                <w:color w:val="auto"/>
                <w:highlight w:val="none"/>
              </w:rPr>
              <w:t>（第一个信封）</w:t>
            </w:r>
          </w:p>
        </w:tc>
        <w:tc>
          <w:tcPr>
            <w:tcW w:w="827" w:type="dxa"/>
            <w:vMerge w:val="restart"/>
            <w:tcBorders>
              <w:top w:val="single" w:color="auto" w:sz="4" w:space="0"/>
              <w:left w:val="single" w:color="auto" w:sz="4" w:space="0"/>
              <w:right w:val="single" w:color="auto" w:sz="4" w:space="0"/>
            </w:tcBorders>
            <w:vAlign w:val="center"/>
          </w:tcPr>
          <w:p w14:paraId="70EFC526">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2.1.1</w:t>
            </w:r>
          </w:p>
          <w:p w14:paraId="62F43CDC">
            <w:pPr>
              <w:pStyle w:val="27"/>
              <w:adjustRightInd w:val="0"/>
              <w:snapToGrid w:val="0"/>
              <w:spacing w:line="400" w:lineRule="exact"/>
              <w:jc w:val="center"/>
              <w:rPr>
                <w:rFonts w:ascii="宋体" w:hAnsi="宋体" w:eastAsia="宋体" w:cs="Courier New"/>
                <w:color w:val="auto"/>
                <w:kern w:val="2"/>
                <w:sz w:val="21"/>
                <w:szCs w:val="21"/>
                <w:highlight w:val="none"/>
                <w:lang w:val="en-US" w:eastAsia="zh-CN" w:bidi="ar-SA"/>
              </w:rPr>
            </w:pPr>
            <w:r>
              <w:rPr>
                <w:rFonts w:hint="eastAsia" w:hAnsi="宋体" w:cs="Courier New"/>
                <w:color w:val="auto"/>
                <w:highlight w:val="none"/>
              </w:rPr>
              <w:t>形式评审标准</w:t>
            </w:r>
          </w:p>
        </w:tc>
        <w:tc>
          <w:tcPr>
            <w:tcW w:w="2292" w:type="dxa"/>
            <w:tcBorders>
              <w:top w:val="single" w:color="auto" w:sz="4" w:space="0"/>
              <w:left w:val="single" w:color="auto" w:sz="4" w:space="0"/>
              <w:bottom w:val="single" w:color="auto" w:sz="4" w:space="0"/>
              <w:right w:val="single" w:color="auto" w:sz="4" w:space="0"/>
            </w:tcBorders>
            <w:vAlign w:val="center"/>
          </w:tcPr>
          <w:p w14:paraId="529739E5">
            <w:pPr>
              <w:adjustRightInd w:val="0"/>
              <w:snapToGrid w:val="0"/>
              <w:spacing w:line="400" w:lineRule="exact"/>
              <w:rPr>
                <w:rFonts w:ascii="宋体" w:hAnsi="宋体"/>
                <w:color w:val="auto"/>
                <w:kern w:val="0"/>
                <w:szCs w:val="21"/>
                <w:highlight w:val="none"/>
              </w:rPr>
            </w:pPr>
            <w:r>
              <w:rPr>
                <w:rFonts w:ascii="宋体" w:hAnsi="宋体"/>
                <w:color w:val="auto"/>
                <w:szCs w:val="21"/>
                <w:highlight w:val="none"/>
              </w:rPr>
              <w:t>4</w:t>
            </w:r>
            <w:r>
              <w:rPr>
                <w:rFonts w:hint="eastAsia" w:ascii="宋体" w:hAnsi="宋体"/>
                <w:color w:val="auto"/>
                <w:szCs w:val="21"/>
                <w:highlight w:val="none"/>
              </w:rPr>
              <w:t>．如由投标人法定代表人的委托代理人签署投标文件的，提供的相关证明材料符合招标文件要求</w:t>
            </w:r>
            <w:r>
              <w:rPr>
                <w:rFonts w:hint="eastAsia" w:ascii="宋体" w:hAnsi="宋体" w:cs="宋体"/>
                <w:color w:val="auto"/>
                <w:szCs w:val="21"/>
                <w:highlight w:val="none"/>
              </w:rPr>
              <w:t>（</w:t>
            </w:r>
            <w:r>
              <w:rPr>
                <w:rFonts w:hint="eastAsia" w:ascii="宋体" w:hAnsi="宋体"/>
                <w:color w:val="auto"/>
                <w:szCs w:val="21"/>
                <w:highlight w:val="none"/>
              </w:rPr>
              <w:t>本</w:t>
            </w:r>
            <w:r>
              <w:rPr>
                <w:rFonts w:hint="eastAsia" w:ascii="宋体" w:hAnsi="宋体"/>
                <w:color w:val="auto"/>
                <w:szCs w:val="21"/>
                <w:highlight w:val="none"/>
                <w:lang w:val="en-US" w:eastAsia="zh-CN"/>
              </w:rPr>
              <w:t>目</w:t>
            </w:r>
            <w:r>
              <w:rPr>
                <w:rFonts w:hint="eastAsia" w:ascii="宋体" w:hAnsi="宋体"/>
                <w:color w:val="auto"/>
                <w:szCs w:val="21"/>
                <w:highlight w:val="none"/>
              </w:rPr>
              <w:t>适用于如果</w:t>
            </w:r>
            <w:r>
              <w:rPr>
                <w:rFonts w:ascii="宋体" w:hAnsi="宋体"/>
                <w:color w:val="auto"/>
                <w:szCs w:val="21"/>
                <w:highlight w:val="none"/>
              </w:rPr>
              <w:t>投标文件</w:t>
            </w:r>
            <w:r>
              <w:rPr>
                <w:rFonts w:hint="eastAsia" w:ascii="宋体" w:hAnsi="宋体"/>
                <w:color w:val="auto"/>
                <w:szCs w:val="21"/>
                <w:highlight w:val="none"/>
              </w:rPr>
              <w:t>由</w:t>
            </w:r>
            <w:r>
              <w:rPr>
                <w:rFonts w:ascii="宋体" w:hAnsi="宋体"/>
                <w:color w:val="auto"/>
                <w:szCs w:val="21"/>
                <w:highlight w:val="none"/>
              </w:rPr>
              <w:t>投标人</w:t>
            </w:r>
            <w:r>
              <w:rPr>
                <w:rFonts w:hint="eastAsia" w:ascii="宋体" w:hAnsi="宋体"/>
                <w:color w:val="auto"/>
                <w:szCs w:val="21"/>
                <w:highlight w:val="none"/>
              </w:rPr>
              <w:t>法定代表人的</w:t>
            </w:r>
            <w:r>
              <w:rPr>
                <w:rFonts w:ascii="宋体" w:hAnsi="宋体"/>
                <w:color w:val="auto"/>
                <w:szCs w:val="21"/>
                <w:highlight w:val="none"/>
              </w:rPr>
              <w:t>委托</w:t>
            </w:r>
            <w:r>
              <w:rPr>
                <w:rFonts w:hint="eastAsia" w:ascii="宋体" w:hAnsi="宋体"/>
                <w:color w:val="auto"/>
                <w:szCs w:val="21"/>
                <w:highlight w:val="none"/>
              </w:rPr>
              <w:t>代理人</w:t>
            </w:r>
            <w:r>
              <w:rPr>
                <w:rFonts w:ascii="宋体" w:hAnsi="宋体"/>
                <w:color w:val="auto"/>
                <w:szCs w:val="21"/>
                <w:highlight w:val="none"/>
              </w:rPr>
              <w:t>签署的</w:t>
            </w:r>
            <w:r>
              <w:rPr>
                <w:rFonts w:hint="eastAsia" w:ascii="宋体" w:hAnsi="宋体"/>
                <w:color w:val="auto"/>
                <w:szCs w:val="21"/>
                <w:highlight w:val="none"/>
              </w:rPr>
              <w:t>情形</w:t>
            </w:r>
            <w:r>
              <w:rPr>
                <w:rFonts w:hint="eastAsia" w:ascii="宋体" w:hAnsi="宋体" w:cs="宋体"/>
                <w:color w:val="auto"/>
                <w:szCs w:val="21"/>
                <w:highlight w:val="none"/>
              </w:rPr>
              <w:t>）</w:t>
            </w:r>
          </w:p>
        </w:tc>
        <w:tc>
          <w:tcPr>
            <w:tcW w:w="5137" w:type="dxa"/>
            <w:tcBorders>
              <w:top w:val="single" w:color="auto" w:sz="4" w:space="0"/>
              <w:left w:val="single" w:color="auto" w:sz="4" w:space="0"/>
              <w:bottom w:val="single" w:color="auto" w:sz="4" w:space="0"/>
              <w:right w:val="single" w:color="auto" w:sz="4" w:space="0"/>
            </w:tcBorders>
            <w:vAlign w:val="center"/>
          </w:tcPr>
          <w:p w14:paraId="43D8ABC4">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1）提交了授权委托书</w:t>
            </w:r>
            <w:r>
              <w:rPr>
                <w:rFonts w:hint="eastAsia" w:ascii="宋体" w:hAnsi="宋体"/>
                <w:color w:val="auto"/>
                <w:szCs w:val="21"/>
                <w:highlight w:val="none"/>
                <w:lang w:eastAsia="zh-CN"/>
              </w:rPr>
              <w:t>。</w:t>
            </w:r>
          </w:p>
          <w:p w14:paraId="3D5C34C9">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2）授权委托书上要求盖单位电子印章</w:t>
            </w:r>
            <w:r>
              <w:rPr>
                <w:rFonts w:hint="eastAsia" w:ascii="宋体" w:hAnsi="宋体"/>
                <w:color w:val="auto"/>
                <w:szCs w:val="21"/>
                <w:highlight w:val="none"/>
                <w:lang w:eastAsia="zh-CN"/>
              </w:rPr>
              <w:t>之处</w:t>
            </w:r>
            <w:r>
              <w:rPr>
                <w:rFonts w:ascii="宋体" w:hAnsi="宋体"/>
                <w:color w:val="auto"/>
                <w:szCs w:val="21"/>
                <w:highlight w:val="none"/>
              </w:rPr>
              <w:t>，投标人均应使用单位CA数字证书加盖投标人的单位电子印章；要求法定代表人签字</w:t>
            </w:r>
            <w:r>
              <w:rPr>
                <w:rFonts w:hint="eastAsia" w:ascii="宋体" w:hAnsi="宋体"/>
                <w:color w:val="auto"/>
                <w:szCs w:val="21"/>
                <w:highlight w:val="none"/>
                <w:lang w:eastAsia="zh-CN"/>
              </w:rPr>
              <w:t>之处</w:t>
            </w:r>
            <w:r>
              <w:rPr>
                <w:rFonts w:ascii="宋体" w:hAnsi="宋体"/>
                <w:color w:val="auto"/>
                <w:szCs w:val="21"/>
                <w:highlight w:val="none"/>
              </w:rPr>
              <w:t>，投标人均应使用个人CA数字证书加盖投标人法定代表人的个人电子签名章或个人电子印章；要求委托代理人签字</w:t>
            </w:r>
            <w:r>
              <w:rPr>
                <w:rFonts w:hint="eastAsia" w:ascii="宋体" w:hAnsi="宋体"/>
                <w:color w:val="auto"/>
                <w:szCs w:val="21"/>
                <w:highlight w:val="none"/>
                <w:lang w:eastAsia="zh-CN"/>
              </w:rPr>
              <w:t>之处</w:t>
            </w:r>
            <w:r>
              <w:rPr>
                <w:rFonts w:ascii="宋体" w:hAnsi="宋体"/>
                <w:color w:val="auto"/>
                <w:szCs w:val="21"/>
                <w:highlight w:val="none"/>
              </w:rPr>
              <w:t>，</w:t>
            </w:r>
            <w:r>
              <w:rPr>
                <w:rFonts w:asciiTheme="minorEastAsia" w:hAnsiTheme="minorEastAsia" w:eastAsiaTheme="minorEastAsia"/>
                <w:color w:val="auto"/>
                <w:szCs w:val="21"/>
                <w:highlight w:val="none"/>
              </w:rPr>
              <w:t>投标人均应使用单位CA</w:t>
            </w:r>
            <w:r>
              <w:rPr>
                <w:rFonts w:hint="eastAsia" w:asciiTheme="minorEastAsia" w:hAnsiTheme="minorEastAsia" w:eastAsiaTheme="minorEastAsia"/>
                <w:color w:val="auto"/>
                <w:szCs w:val="21"/>
                <w:highlight w:val="none"/>
              </w:rPr>
              <w:t>数字证书</w:t>
            </w:r>
            <w:r>
              <w:rPr>
                <w:rFonts w:hint="eastAsia" w:ascii="宋体" w:hAnsi="宋体"/>
                <w:color w:val="auto"/>
                <w:szCs w:val="21"/>
                <w:highlight w:val="none"/>
              </w:rPr>
              <w:t>加盖委托代理人个人电子签名章或个人电子印章</w:t>
            </w:r>
            <w:r>
              <w:rPr>
                <w:rFonts w:hint="eastAsia" w:ascii="宋体" w:hAnsi="宋体"/>
                <w:color w:val="auto"/>
                <w:szCs w:val="21"/>
                <w:highlight w:val="none"/>
                <w:lang w:eastAsia="zh-CN"/>
              </w:rPr>
              <w:t>。</w:t>
            </w:r>
          </w:p>
          <w:p w14:paraId="1F3DD8FA">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3）授权委托书中委托代理人只能是一个人，且不能再授予他人</w:t>
            </w:r>
            <w:r>
              <w:rPr>
                <w:rFonts w:hint="eastAsia" w:ascii="宋体" w:hAnsi="宋体"/>
                <w:color w:val="auto"/>
                <w:szCs w:val="21"/>
                <w:highlight w:val="none"/>
                <w:lang w:eastAsia="zh-CN"/>
              </w:rPr>
              <w:t>。</w:t>
            </w:r>
          </w:p>
          <w:p w14:paraId="4B933D56">
            <w:pPr>
              <w:pStyle w:val="299"/>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4）授权委托书后应附法定代表人和委托代理人身份证</w:t>
            </w:r>
            <w:r>
              <w:rPr>
                <w:rFonts w:hint="eastAsia" w:ascii="宋体" w:hAnsi="宋体" w:cs="宋体"/>
                <w:color w:val="auto"/>
                <w:szCs w:val="21"/>
                <w:highlight w:val="none"/>
              </w:rPr>
              <w:t>原件原色扫描件</w:t>
            </w:r>
            <w:r>
              <w:rPr>
                <w:rFonts w:hint="eastAsia" w:ascii="宋体" w:hAnsi="宋体"/>
                <w:color w:val="auto"/>
                <w:szCs w:val="21"/>
                <w:highlight w:val="none"/>
              </w:rPr>
              <w:t>，且身份证原件</w:t>
            </w:r>
            <w:r>
              <w:rPr>
                <w:rFonts w:ascii="宋体" w:hAnsi="宋体"/>
                <w:color w:val="auto"/>
                <w:szCs w:val="21"/>
                <w:highlight w:val="none"/>
              </w:rPr>
              <w:t>原色</w:t>
            </w:r>
            <w:r>
              <w:rPr>
                <w:rFonts w:hint="eastAsia" w:ascii="宋体" w:hAnsi="宋体"/>
                <w:color w:val="auto"/>
                <w:szCs w:val="21"/>
                <w:highlight w:val="none"/>
              </w:rPr>
              <w:t>扫描件应清晰、有效。</w:t>
            </w:r>
          </w:p>
          <w:p w14:paraId="5652D3C8">
            <w:pPr>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olor w:val="auto"/>
                <w:szCs w:val="21"/>
                <w:highlight w:val="none"/>
                <w:lang w:val="en-US" w:eastAsia="zh-CN"/>
              </w:rPr>
              <w:t>以</w:t>
            </w:r>
            <w:r>
              <w:rPr>
                <w:rFonts w:hint="eastAsia" w:ascii="宋体" w:hAnsi="宋体"/>
                <w:color w:val="auto"/>
                <w:szCs w:val="21"/>
                <w:highlight w:val="none"/>
              </w:rPr>
              <w:t>联合体</w:t>
            </w:r>
            <w:r>
              <w:rPr>
                <w:rFonts w:hint="eastAsia" w:ascii="宋体" w:hAnsi="宋体"/>
                <w:color w:val="auto"/>
                <w:szCs w:val="21"/>
                <w:highlight w:val="none"/>
                <w:lang w:val="en-US" w:eastAsia="zh-CN"/>
              </w:rPr>
              <w:t>形式</w:t>
            </w:r>
            <w:r>
              <w:rPr>
                <w:rFonts w:hint="eastAsia" w:ascii="宋体" w:hAnsi="宋体"/>
                <w:color w:val="auto"/>
                <w:szCs w:val="21"/>
                <w:highlight w:val="none"/>
              </w:rPr>
              <w:t>投标的，其授权委托书应由联合体牵头人按上述规定出具。</w:t>
            </w:r>
          </w:p>
        </w:tc>
      </w:tr>
      <w:tr w14:paraId="4293B57F">
        <w:tblPrEx>
          <w:tblCellMar>
            <w:top w:w="0" w:type="dxa"/>
            <w:left w:w="108" w:type="dxa"/>
            <w:bottom w:w="0" w:type="dxa"/>
            <w:right w:w="108" w:type="dxa"/>
          </w:tblCellMar>
        </w:tblPrEx>
        <w:tc>
          <w:tcPr>
            <w:tcW w:w="723" w:type="dxa"/>
            <w:vMerge w:val="continue"/>
            <w:tcBorders>
              <w:left w:val="single" w:color="auto" w:sz="4" w:space="0"/>
              <w:bottom w:val="single" w:color="auto" w:sz="4" w:space="0"/>
              <w:right w:val="single" w:color="auto" w:sz="4" w:space="0"/>
            </w:tcBorders>
            <w:vAlign w:val="center"/>
          </w:tcPr>
          <w:p w14:paraId="4AE6CE2E">
            <w:pPr>
              <w:pStyle w:val="27"/>
              <w:adjustRightInd w:val="0"/>
              <w:snapToGrid w:val="0"/>
              <w:spacing w:line="400" w:lineRule="exact"/>
              <w:jc w:val="center"/>
              <w:rPr>
                <w:rFonts w:hAnsi="宋体" w:cs="Courier New"/>
                <w:color w:val="auto"/>
                <w:highlight w:val="none"/>
              </w:rPr>
            </w:pPr>
          </w:p>
        </w:tc>
        <w:tc>
          <w:tcPr>
            <w:tcW w:w="827" w:type="dxa"/>
            <w:vMerge w:val="continue"/>
            <w:tcBorders>
              <w:left w:val="single" w:color="auto" w:sz="4" w:space="0"/>
              <w:bottom w:val="single" w:color="auto" w:sz="4" w:space="0"/>
              <w:right w:val="single" w:color="auto" w:sz="4" w:space="0"/>
            </w:tcBorders>
            <w:vAlign w:val="center"/>
          </w:tcPr>
          <w:p w14:paraId="1B5A7559">
            <w:pPr>
              <w:pStyle w:val="27"/>
              <w:adjustRightInd w:val="0"/>
              <w:snapToGrid w:val="0"/>
              <w:spacing w:line="400" w:lineRule="exact"/>
              <w:jc w:val="center"/>
              <w:rPr>
                <w:rFonts w:hAnsi="宋体" w:cs="Courier New"/>
                <w:color w:val="auto"/>
                <w:highlight w:val="none"/>
              </w:rPr>
            </w:pPr>
          </w:p>
        </w:tc>
        <w:tc>
          <w:tcPr>
            <w:tcW w:w="2292" w:type="dxa"/>
            <w:tcBorders>
              <w:top w:val="single" w:color="auto" w:sz="4" w:space="0"/>
              <w:left w:val="single" w:color="auto" w:sz="4" w:space="0"/>
              <w:bottom w:val="single" w:color="auto" w:sz="4" w:space="0"/>
              <w:right w:val="single" w:color="000000" w:sz="4" w:space="0"/>
            </w:tcBorders>
            <w:vAlign w:val="center"/>
          </w:tcPr>
          <w:p w14:paraId="4330551C">
            <w:pPr>
              <w:widowControl/>
              <w:adjustRightInd w:val="0"/>
              <w:snapToGrid w:val="0"/>
              <w:spacing w:line="400" w:lineRule="exact"/>
              <w:rPr>
                <w:rFonts w:ascii="宋体" w:hAnsi="宋体"/>
                <w:color w:val="auto"/>
                <w:szCs w:val="21"/>
                <w:highlight w:val="none"/>
              </w:rPr>
            </w:pPr>
            <w:r>
              <w:rPr>
                <w:rFonts w:ascii="宋体" w:hAnsi="宋体"/>
                <w:color w:val="auto"/>
                <w:kern w:val="0"/>
                <w:szCs w:val="21"/>
                <w:highlight w:val="none"/>
              </w:rPr>
              <w:t>5</w:t>
            </w:r>
            <w:r>
              <w:rPr>
                <w:rFonts w:hint="eastAsia" w:ascii="宋体" w:hAnsi="宋体"/>
                <w:color w:val="auto"/>
                <w:kern w:val="0"/>
                <w:szCs w:val="21"/>
                <w:highlight w:val="none"/>
              </w:rPr>
              <w:t>．投标人法定代表人若亲自签署投标文件的，提供</w:t>
            </w:r>
            <w:r>
              <w:rPr>
                <w:rFonts w:hint="eastAsia" w:ascii="宋体" w:hAnsi="宋体"/>
                <w:color w:val="auto"/>
                <w:kern w:val="0"/>
                <w:szCs w:val="21"/>
                <w:highlight w:val="none"/>
                <w:lang w:val="en-US" w:eastAsia="zh-CN"/>
              </w:rPr>
              <w:t>的相关</w:t>
            </w:r>
            <w:r>
              <w:rPr>
                <w:rFonts w:hint="eastAsia" w:ascii="宋体" w:hAnsi="宋体"/>
                <w:color w:val="auto"/>
                <w:kern w:val="0"/>
                <w:szCs w:val="21"/>
                <w:highlight w:val="none"/>
              </w:rPr>
              <w:t>证明</w:t>
            </w:r>
            <w:r>
              <w:rPr>
                <w:rFonts w:hint="eastAsia" w:ascii="宋体" w:hAnsi="宋体"/>
                <w:color w:val="auto"/>
                <w:kern w:val="0"/>
                <w:szCs w:val="21"/>
                <w:highlight w:val="none"/>
                <w:lang w:val="en-US" w:eastAsia="zh-CN"/>
              </w:rPr>
              <w:t>材料</w:t>
            </w:r>
            <w:r>
              <w:rPr>
                <w:rFonts w:hint="eastAsia" w:ascii="宋体" w:hAnsi="宋体"/>
                <w:color w:val="auto"/>
                <w:kern w:val="0"/>
                <w:szCs w:val="21"/>
                <w:highlight w:val="none"/>
              </w:rPr>
              <w:t>符合招标文件要求</w:t>
            </w:r>
            <w:r>
              <w:rPr>
                <w:rFonts w:hint="eastAsia" w:ascii="宋体" w:hAnsi="宋体" w:cs="宋体"/>
                <w:color w:val="auto"/>
                <w:szCs w:val="21"/>
                <w:highlight w:val="none"/>
              </w:rPr>
              <w:t>（</w:t>
            </w:r>
            <w:r>
              <w:rPr>
                <w:rFonts w:hint="eastAsia" w:ascii="宋体" w:hAnsi="宋体"/>
                <w:color w:val="auto"/>
                <w:szCs w:val="21"/>
                <w:highlight w:val="none"/>
              </w:rPr>
              <w:t>本</w:t>
            </w:r>
            <w:r>
              <w:rPr>
                <w:rFonts w:hint="eastAsia" w:ascii="宋体" w:hAnsi="宋体"/>
                <w:color w:val="auto"/>
                <w:szCs w:val="21"/>
                <w:highlight w:val="none"/>
                <w:lang w:val="en-US" w:eastAsia="zh-CN"/>
              </w:rPr>
              <w:t>目</w:t>
            </w:r>
            <w:r>
              <w:rPr>
                <w:rFonts w:hint="eastAsia" w:ascii="宋体" w:hAnsi="宋体"/>
                <w:color w:val="auto"/>
                <w:szCs w:val="21"/>
                <w:highlight w:val="none"/>
              </w:rPr>
              <w:t>适用于如果</w:t>
            </w:r>
            <w:r>
              <w:rPr>
                <w:rFonts w:ascii="宋体" w:hAnsi="宋体"/>
                <w:color w:val="auto"/>
                <w:szCs w:val="21"/>
                <w:highlight w:val="none"/>
              </w:rPr>
              <w:t>投标文件</w:t>
            </w:r>
            <w:r>
              <w:rPr>
                <w:rFonts w:hint="eastAsia" w:ascii="宋体" w:hAnsi="宋体"/>
                <w:color w:val="auto"/>
                <w:szCs w:val="21"/>
                <w:highlight w:val="none"/>
              </w:rPr>
              <w:t>由</w:t>
            </w:r>
            <w:r>
              <w:rPr>
                <w:rFonts w:ascii="宋体" w:hAnsi="宋体"/>
                <w:color w:val="auto"/>
                <w:szCs w:val="21"/>
                <w:highlight w:val="none"/>
              </w:rPr>
              <w:t>投标人</w:t>
            </w:r>
            <w:r>
              <w:rPr>
                <w:rFonts w:hint="eastAsia" w:ascii="宋体" w:hAnsi="宋体"/>
                <w:color w:val="auto"/>
                <w:szCs w:val="21"/>
                <w:highlight w:val="none"/>
              </w:rPr>
              <w:t>法定代表人</w:t>
            </w:r>
            <w:r>
              <w:rPr>
                <w:rFonts w:ascii="宋体" w:hAnsi="宋体"/>
                <w:color w:val="auto"/>
                <w:szCs w:val="21"/>
                <w:highlight w:val="none"/>
              </w:rPr>
              <w:t>签署的</w:t>
            </w:r>
            <w:r>
              <w:rPr>
                <w:rFonts w:hint="eastAsia" w:ascii="宋体" w:hAnsi="宋体"/>
                <w:color w:val="auto"/>
                <w:szCs w:val="21"/>
                <w:highlight w:val="none"/>
              </w:rPr>
              <w:t>情形</w:t>
            </w:r>
            <w:r>
              <w:rPr>
                <w:rFonts w:hint="eastAsia" w:ascii="宋体" w:hAnsi="宋体" w:cs="宋体"/>
                <w:color w:val="auto"/>
                <w:szCs w:val="21"/>
                <w:highlight w:val="none"/>
              </w:rPr>
              <w:t>）</w:t>
            </w:r>
          </w:p>
        </w:tc>
        <w:tc>
          <w:tcPr>
            <w:tcW w:w="5137" w:type="dxa"/>
            <w:tcBorders>
              <w:top w:val="single" w:color="auto" w:sz="4" w:space="0"/>
              <w:left w:val="nil"/>
              <w:bottom w:val="single" w:color="auto" w:sz="4" w:space="0"/>
              <w:right w:val="single" w:color="000000" w:sz="4" w:space="0"/>
            </w:tcBorders>
            <w:vAlign w:val="center"/>
          </w:tcPr>
          <w:p w14:paraId="47F0D2C1">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1）提</w:t>
            </w:r>
            <w:r>
              <w:rPr>
                <w:rFonts w:hint="default" w:ascii="宋体" w:hAnsi="宋体"/>
                <w:bCs/>
                <w:color w:val="auto"/>
                <w:szCs w:val="21"/>
                <w:highlight w:val="none"/>
                <w:lang w:val="en-US"/>
              </w:rPr>
              <w:t>供</w:t>
            </w:r>
            <w:r>
              <w:rPr>
                <w:rFonts w:hint="eastAsia" w:ascii="宋体" w:hAnsi="宋体"/>
                <w:bCs/>
                <w:color w:val="auto"/>
                <w:szCs w:val="21"/>
                <w:highlight w:val="none"/>
                <w:lang w:val="en-US" w:eastAsia="zh-CN"/>
              </w:rPr>
              <w:t>了</w:t>
            </w:r>
            <w:r>
              <w:rPr>
                <w:rFonts w:ascii="宋体" w:hAnsi="宋体"/>
                <w:bCs/>
                <w:color w:val="auto"/>
                <w:szCs w:val="21"/>
                <w:highlight w:val="none"/>
              </w:rPr>
              <w:t xml:space="preserve">法定代表人身份证明； </w:t>
            </w:r>
          </w:p>
          <w:p w14:paraId="0C5C583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color w:val="auto"/>
                <w:szCs w:val="21"/>
                <w:highlight w:val="none"/>
              </w:rPr>
              <w:t>法定代表人身份证明上要求盖单位电子印章之处，投标人均应使用单位</w:t>
            </w:r>
            <w:r>
              <w:rPr>
                <w:rFonts w:ascii="宋体" w:hAnsi="宋体"/>
                <w:color w:val="auto"/>
                <w:szCs w:val="21"/>
                <w:highlight w:val="none"/>
              </w:rPr>
              <w:t>CA数字证书加盖投标人的单位电子印章；要求法定代表人签字</w:t>
            </w:r>
            <w:r>
              <w:rPr>
                <w:rFonts w:hint="eastAsia" w:ascii="宋体" w:hAnsi="宋体"/>
                <w:color w:val="auto"/>
                <w:szCs w:val="21"/>
                <w:highlight w:val="none"/>
              </w:rPr>
              <w:t>之处</w:t>
            </w:r>
            <w:r>
              <w:rPr>
                <w:rFonts w:ascii="宋体" w:hAnsi="宋体"/>
                <w:color w:val="auto"/>
                <w:szCs w:val="21"/>
                <w:highlight w:val="none"/>
              </w:rPr>
              <w:t>，投标人均应使用个人CA数字证书加盖投标人法定代表人</w:t>
            </w:r>
            <w:r>
              <w:rPr>
                <w:rFonts w:hint="eastAsia" w:ascii="宋体" w:hAnsi="宋体"/>
                <w:color w:val="auto"/>
                <w:szCs w:val="21"/>
                <w:highlight w:val="none"/>
              </w:rPr>
              <w:t>的</w:t>
            </w:r>
            <w:r>
              <w:rPr>
                <w:rFonts w:hint="eastAsia" w:ascii="宋体" w:hAnsi="宋体"/>
                <w:color w:val="auto"/>
                <w:szCs w:val="21"/>
                <w:highlight w:val="none"/>
                <w:lang w:val="en-US" w:eastAsia="zh-CN"/>
              </w:rPr>
              <w:t>个人电子签名章或</w:t>
            </w:r>
            <w:r>
              <w:rPr>
                <w:rFonts w:hint="eastAsia" w:ascii="宋体" w:hAnsi="宋体"/>
                <w:color w:val="auto"/>
                <w:szCs w:val="21"/>
                <w:highlight w:val="none"/>
              </w:rPr>
              <w:t>个人电子印章</w:t>
            </w:r>
            <w:r>
              <w:rPr>
                <w:rFonts w:hint="eastAsia" w:ascii="宋体" w:hAnsi="宋体"/>
                <w:color w:val="auto"/>
                <w:szCs w:val="21"/>
                <w:highlight w:val="none"/>
                <w:lang w:eastAsia="zh-CN"/>
              </w:rPr>
              <w:t>。</w:t>
            </w:r>
            <w:r>
              <w:rPr>
                <w:rFonts w:ascii="宋体" w:hAnsi="宋体"/>
                <w:bCs/>
                <w:color w:val="auto"/>
                <w:szCs w:val="21"/>
                <w:highlight w:val="none"/>
              </w:rPr>
              <w:t xml:space="preserve"> </w:t>
            </w:r>
          </w:p>
          <w:p w14:paraId="6E7CBBD6">
            <w:pPr>
              <w:pStyle w:val="299"/>
              <w:adjustRightInd w:val="0"/>
              <w:snapToGrid w:val="0"/>
              <w:spacing w:line="400" w:lineRule="exact"/>
              <w:rPr>
                <w:rFonts w:hint="eastAsia" w:ascii="宋体" w:hAnsi="宋体" w:eastAsia="宋体"/>
                <w:bCs/>
                <w:color w:val="auto"/>
                <w:szCs w:val="21"/>
                <w:highlight w:val="none"/>
                <w:lang w:eastAsia="zh-CN"/>
              </w:rPr>
            </w:pPr>
            <w:r>
              <w:rPr>
                <w:rFonts w:hint="eastAsia" w:ascii="宋体" w:hAnsi="宋体"/>
                <w:bCs/>
                <w:color w:val="auto"/>
                <w:szCs w:val="21"/>
                <w:highlight w:val="none"/>
              </w:rPr>
              <w:t>（</w:t>
            </w:r>
            <w:r>
              <w:rPr>
                <w:rFonts w:ascii="宋体" w:hAnsi="宋体"/>
                <w:bCs/>
                <w:color w:val="auto"/>
                <w:szCs w:val="21"/>
                <w:highlight w:val="none"/>
              </w:rPr>
              <w:t>3）法定代表人身份证明后应附法定代表人身份证</w:t>
            </w:r>
            <w:r>
              <w:rPr>
                <w:rFonts w:hint="eastAsia" w:ascii="宋体" w:hAnsi="宋体" w:cs="宋体"/>
                <w:color w:val="auto"/>
                <w:szCs w:val="21"/>
                <w:highlight w:val="none"/>
              </w:rPr>
              <w:t>原件原色扫描件</w:t>
            </w:r>
            <w:r>
              <w:rPr>
                <w:rFonts w:hint="eastAsia" w:ascii="宋体" w:hAnsi="宋体"/>
                <w:bCs/>
                <w:color w:val="auto"/>
                <w:szCs w:val="21"/>
                <w:highlight w:val="none"/>
              </w:rPr>
              <w:t>，且身份证原件原色扫描件应清晰</w:t>
            </w:r>
            <w:r>
              <w:rPr>
                <w:rFonts w:hint="eastAsia" w:ascii="宋体" w:hAnsi="宋体"/>
                <w:bCs/>
                <w:color w:val="auto"/>
                <w:szCs w:val="21"/>
                <w:highlight w:val="none"/>
                <w:lang w:eastAsia="zh-CN"/>
              </w:rPr>
              <w:t>、</w:t>
            </w:r>
            <w:r>
              <w:rPr>
                <w:rFonts w:hint="eastAsia" w:ascii="宋体" w:hAnsi="宋体"/>
                <w:bCs/>
                <w:color w:val="auto"/>
                <w:szCs w:val="21"/>
                <w:highlight w:val="none"/>
              </w:rPr>
              <w:t>有效</w:t>
            </w:r>
            <w:r>
              <w:rPr>
                <w:rFonts w:hint="eastAsia" w:ascii="宋体" w:hAnsi="宋体"/>
                <w:bCs/>
                <w:color w:val="auto"/>
                <w:szCs w:val="21"/>
                <w:highlight w:val="none"/>
                <w:lang w:eastAsia="zh-CN"/>
              </w:rPr>
              <w:t>。</w:t>
            </w:r>
          </w:p>
          <w:p w14:paraId="62EB8D95">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）以</w:t>
            </w:r>
            <w:r>
              <w:rPr>
                <w:rFonts w:hint="eastAsia" w:ascii="宋体" w:hAnsi="宋体"/>
                <w:bCs/>
                <w:color w:val="auto"/>
                <w:szCs w:val="21"/>
                <w:highlight w:val="none"/>
              </w:rPr>
              <w:t>联合体形式投标的，应由联合体牵头人按上述规定出具。</w:t>
            </w:r>
          </w:p>
        </w:tc>
      </w:tr>
      <w:tr w14:paraId="23DD9581">
        <w:tblPrEx>
          <w:tblCellMar>
            <w:top w:w="0" w:type="dxa"/>
            <w:left w:w="108" w:type="dxa"/>
            <w:bottom w:w="0" w:type="dxa"/>
            <w:right w:w="108" w:type="dxa"/>
          </w:tblCellMar>
        </w:tblPrEx>
        <w:trPr>
          <w:trHeight w:val="913" w:hRule="atLeast"/>
        </w:trPr>
        <w:tc>
          <w:tcPr>
            <w:tcW w:w="723" w:type="dxa"/>
            <w:vMerge w:val="restart"/>
            <w:tcBorders>
              <w:top w:val="single" w:color="auto" w:sz="4" w:space="0"/>
              <w:left w:val="single" w:color="auto" w:sz="4" w:space="0"/>
              <w:right w:val="single" w:color="auto" w:sz="4" w:space="0"/>
            </w:tcBorders>
            <w:vAlign w:val="center"/>
          </w:tcPr>
          <w:p w14:paraId="7081B5FA">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w:t>
            </w:r>
          </w:p>
          <w:p w14:paraId="24EDF602">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初步评审标准</w:t>
            </w:r>
          </w:p>
          <w:p w14:paraId="5935B4B5">
            <w:pPr>
              <w:widowControl/>
              <w:adjustRightInd w:val="0"/>
              <w:snapToGrid w:val="0"/>
              <w:spacing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（第一个信封</w:t>
            </w:r>
            <w:r>
              <w:rPr>
                <w:rFonts w:hint="eastAsia" w:ascii="宋体" w:hAnsi="宋体" w:cs="宋体"/>
                <w:color w:val="auto"/>
                <w:kern w:val="0"/>
                <w:szCs w:val="21"/>
                <w:highlight w:val="none"/>
                <w:lang w:eastAsia="zh-CN"/>
              </w:rPr>
              <w:t>）</w:t>
            </w:r>
          </w:p>
        </w:tc>
        <w:tc>
          <w:tcPr>
            <w:tcW w:w="827" w:type="dxa"/>
            <w:vMerge w:val="restart"/>
            <w:tcBorders>
              <w:top w:val="single" w:color="auto" w:sz="4" w:space="0"/>
              <w:left w:val="single" w:color="auto" w:sz="4" w:space="0"/>
              <w:right w:val="single" w:color="auto" w:sz="4" w:space="0"/>
            </w:tcBorders>
            <w:vAlign w:val="center"/>
          </w:tcPr>
          <w:p w14:paraId="4A8F5D76">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2.1.1</w:t>
            </w:r>
          </w:p>
          <w:p w14:paraId="68A5BEF0">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形式评审标准</w:t>
            </w:r>
          </w:p>
        </w:tc>
        <w:tc>
          <w:tcPr>
            <w:tcW w:w="2292" w:type="dxa"/>
            <w:tcBorders>
              <w:top w:val="single" w:color="auto" w:sz="4" w:space="0"/>
              <w:left w:val="single" w:color="auto" w:sz="4" w:space="0"/>
              <w:bottom w:val="single" w:color="auto" w:sz="4" w:space="0"/>
              <w:right w:val="single" w:color="auto" w:sz="4" w:space="0"/>
            </w:tcBorders>
            <w:vAlign w:val="center"/>
          </w:tcPr>
          <w:p w14:paraId="59098D00">
            <w:pPr>
              <w:widowControl/>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ascii="宋体" w:hAnsi="宋体"/>
                <w:color w:val="auto"/>
                <w:kern w:val="0"/>
                <w:szCs w:val="21"/>
                <w:highlight w:val="none"/>
              </w:rPr>
              <w:t>6</w:t>
            </w:r>
            <w:r>
              <w:rPr>
                <w:rFonts w:hint="eastAsia" w:ascii="宋体" w:hAnsi="宋体"/>
                <w:color w:val="auto"/>
                <w:kern w:val="0"/>
                <w:szCs w:val="21"/>
                <w:highlight w:val="none"/>
              </w:rPr>
              <w:t>．投标人以联合体形式投标时，联合体协议书满足招标文件的要求</w:t>
            </w:r>
          </w:p>
        </w:tc>
        <w:tc>
          <w:tcPr>
            <w:tcW w:w="5137" w:type="dxa"/>
            <w:tcBorders>
              <w:top w:val="single" w:color="auto" w:sz="4" w:space="0"/>
              <w:left w:val="single" w:color="auto" w:sz="4" w:space="0"/>
              <w:bottom w:val="single" w:color="auto" w:sz="4" w:space="0"/>
              <w:right w:val="single" w:color="auto" w:sz="4" w:space="0"/>
            </w:tcBorders>
            <w:vAlign w:val="center"/>
          </w:tcPr>
          <w:p w14:paraId="2EA38345">
            <w:pPr>
              <w:adjustRightInd w:val="0"/>
              <w:snapToGrid w:val="0"/>
              <w:spacing w:line="400" w:lineRule="exact"/>
              <w:rPr>
                <w:rFonts w:ascii="宋体" w:hAnsi="宋体"/>
                <w:bCs/>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按招标文件提供的格式和要求签订联合体协议书，且</w:t>
            </w:r>
            <w:r>
              <w:rPr>
                <w:rFonts w:hint="eastAsia" w:ascii="宋体" w:hAnsi="宋体" w:cs="宋体"/>
                <w:color w:val="auto"/>
                <w:szCs w:val="21"/>
                <w:highlight w:val="none"/>
                <w:lang w:val="en-US" w:eastAsia="zh-CN"/>
              </w:rPr>
              <w:t>联合体协议书中的</w:t>
            </w:r>
            <w:r>
              <w:rPr>
                <w:rFonts w:hint="eastAsia" w:ascii="宋体" w:hAnsi="宋体" w:cs="宋体"/>
                <w:color w:val="auto"/>
                <w:szCs w:val="21"/>
                <w:highlight w:val="none"/>
              </w:rPr>
              <w:t>签字、盖章符合第</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章“投标文件格式”要求。</w:t>
            </w:r>
          </w:p>
        </w:tc>
      </w:tr>
      <w:tr w14:paraId="41F801E4">
        <w:tblPrEx>
          <w:tblCellMar>
            <w:top w:w="0" w:type="dxa"/>
            <w:left w:w="108" w:type="dxa"/>
            <w:bottom w:w="0" w:type="dxa"/>
            <w:right w:w="108" w:type="dxa"/>
          </w:tblCellMar>
        </w:tblPrEx>
        <w:trPr>
          <w:trHeight w:val="1341" w:hRule="atLeast"/>
        </w:trPr>
        <w:tc>
          <w:tcPr>
            <w:tcW w:w="723" w:type="dxa"/>
            <w:vMerge w:val="continue"/>
            <w:tcBorders>
              <w:left w:val="single" w:color="auto" w:sz="4" w:space="0"/>
              <w:right w:val="single" w:color="auto" w:sz="4" w:space="0"/>
            </w:tcBorders>
            <w:vAlign w:val="center"/>
          </w:tcPr>
          <w:p w14:paraId="3D59AE65">
            <w:pPr>
              <w:pStyle w:val="27"/>
              <w:adjustRightInd w:val="0"/>
              <w:snapToGrid w:val="0"/>
              <w:spacing w:line="400" w:lineRule="exact"/>
              <w:jc w:val="center"/>
              <w:rPr>
                <w:rFonts w:hAnsi="宋体" w:cs="Courier New"/>
                <w:color w:val="auto"/>
                <w:highlight w:val="none"/>
              </w:rPr>
            </w:pPr>
          </w:p>
        </w:tc>
        <w:tc>
          <w:tcPr>
            <w:tcW w:w="827" w:type="dxa"/>
            <w:vMerge w:val="continue"/>
            <w:tcBorders>
              <w:left w:val="single" w:color="auto" w:sz="4" w:space="0"/>
              <w:bottom w:val="single" w:color="auto" w:sz="4" w:space="0"/>
              <w:right w:val="single" w:color="auto" w:sz="4" w:space="0"/>
            </w:tcBorders>
            <w:vAlign w:val="center"/>
          </w:tcPr>
          <w:p w14:paraId="743A5EF0">
            <w:pPr>
              <w:pStyle w:val="27"/>
              <w:adjustRightInd w:val="0"/>
              <w:snapToGrid w:val="0"/>
              <w:spacing w:line="400" w:lineRule="exact"/>
              <w:jc w:val="center"/>
              <w:rPr>
                <w:rFonts w:hAnsi="宋体" w:cs="Courier New"/>
                <w:color w:val="auto"/>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14:paraId="6629CD2C">
            <w:pPr>
              <w:widowControl/>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7.投标文件应符合的其他规定</w:t>
            </w:r>
          </w:p>
        </w:tc>
        <w:tc>
          <w:tcPr>
            <w:tcW w:w="5137" w:type="dxa"/>
            <w:tcBorders>
              <w:top w:val="single" w:color="auto" w:sz="4" w:space="0"/>
              <w:left w:val="single" w:color="auto" w:sz="4" w:space="0"/>
              <w:bottom w:val="single" w:color="auto" w:sz="4" w:space="0"/>
              <w:right w:val="single" w:color="auto" w:sz="4" w:space="0"/>
            </w:tcBorders>
            <w:vAlign w:val="center"/>
          </w:tcPr>
          <w:p w14:paraId="7D698296">
            <w:pPr>
              <w:widowControl/>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w:t>
            </w:r>
            <w:r>
              <w:rPr>
                <w:rFonts w:ascii="宋体" w:hAnsi="宋体"/>
                <w:color w:val="auto"/>
                <w:kern w:val="0"/>
                <w:szCs w:val="21"/>
                <w:highlight w:val="none"/>
              </w:rPr>
              <w:t>1）投标人如有分包计划，</w:t>
            </w:r>
            <w:r>
              <w:rPr>
                <w:rFonts w:hint="default" w:ascii="宋体" w:hAnsi="宋体"/>
                <w:color w:val="auto"/>
                <w:kern w:val="0"/>
                <w:szCs w:val="21"/>
                <w:highlight w:val="none"/>
                <w:lang w:val="en-US"/>
              </w:rPr>
              <w:t>应</w:t>
            </w:r>
            <w:r>
              <w:rPr>
                <w:rFonts w:ascii="宋体" w:hAnsi="宋体"/>
                <w:color w:val="auto"/>
                <w:kern w:val="0"/>
                <w:szCs w:val="21"/>
                <w:highlight w:val="none"/>
              </w:rPr>
              <w:t>按第九章“投标文件格式”的要求填写“拟分包项目情况表”</w:t>
            </w:r>
            <w:r>
              <w:rPr>
                <w:rFonts w:hint="eastAsia" w:ascii="宋体" w:hAnsi="宋体"/>
                <w:color w:val="auto"/>
                <w:kern w:val="0"/>
                <w:szCs w:val="21"/>
                <w:highlight w:val="none"/>
                <w:lang w:eastAsia="zh-CN"/>
              </w:rPr>
              <w:t>。</w:t>
            </w:r>
          </w:p>
          <w:p w14:paraId="69FF800D">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投标文件中未出现有关投标报价的内容。</w:t>
            </w:r>
          </w:p>
          <w:p w14:paraId="152EC843">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3）同一投标人对同一标段未提交两个以上不同的投标文件</w:t>
            </w:r>
            <w:r>
              <w:rPr>
                <w:rFonts w:hint="eastAsia"/>
                <w:color w:val="auto"/>
                <w:highlight w:val="none"/>
              </w:rPr>
              <w:t>，但招标文件要求提交</w:t>
            </w:r>
            <w:r>
              <w:rPr>
                <w:rFonts w:hint="eastAsia"/>
                <w:color w:val="auto"/>
                <w:highlight w:val="none"/>
                <w:lang w:eastAsia="zh-CN"/>
              </w:rPr>
              <w:t>备选投标方案</w:t>
            </w:r>
            <w:r>
              <w:rPr>
                <w:rFonts w:hint="eastAsia"/>
                <w:color w:val="auto"/>
                <w:highlight w:val="none"/>
              </w:rPr>
              <w:t>的除外</w:t>
            </w:r>
            <w:r>
              <w:rPr>
                <w:rFonts w:ascii="宋体" w:hAnsi="宋体"/>
                <w:color w:val="auto"/>
                <w:kern w:val="0"/>
                <w:szCs w:val="21"/>
                <w:highlight w:val="none"/>
              </w:rPr>
              <w:t>。</w:t>
            </w:r>
          </w:p>
          <w:p w14:paraId="5677FF42">
            <w:pPr>
              <w:adjustRightInd w:val="0"/>
              <w:snapToGrid w:val="0"/>
              <w:spacing w:line="400" w:lineRule="exact"/>
              <w:rPr>
                <w:rFonts w:ascii="宋体" w:hAnsi="宋体" w:cs="宋体"/>
                <w:color w:val="auto"/>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w:t>
            </w:r>
            <w:r>
              <w:rPr>
                <w:rFonts w:hint="eastAsia" w:ascii="宋体" w:hAnsi="宋体" w:cs="宋体"/>
                <w:color w:val="auto"/>
                <w:szCs w:val="21"/>
                <w:highlight w:val="none"/>
              </w:rPr>
              <w:t>投标人投标标段数量超过允许投标人投标标段数量时，相关投标均无效。</w:t>
            </w:r>
          </w:p>
          <w:p w14:paraId="29692144">
            <w:pPr>
              <w:adjustRightInd w:val="0"/>
              <w:snapToGrid w:val="0"/>
              <w:spacing w:line="400" w:lineRule="exact"/>
              <w:rPr>
                <w:rFonts w:ascii="宋体" w:hAnsi="宋体"/>
                <w:bCs/>
                <w:color w:val="auto"/>
                <w:szCs w:val="21"/>
                <w:highlight w:val="none"/>
              </w:rPr>
            </w:pPr>
            <w:r>
              <w:rPr>
                <w:rFonts w:hint="eastAsia" w:ascii="宋体" w:hAnsi="宋体"/>
                <w:color w:val="auto"/>
                <w:kern w:val="0"/>
                <w:szCs w:val="21"/>
                <w:highlight w:val="none"/>
                <w:u w:val="none"/>
              </w:rPr>
              <w:t>……</w:t>
            </w:r>
          </w:p>
        </w:tc>
      </w:tr>
      <w:tr w14:paraId="5F3399EA">
        <w:tblPrEx>
          <w:tblCellMar>
            <w:top w:w="0" w:type="dxa"/>
            <w:left w:w="108" w:type="dxa"/>
            <w:bottom w:w="0" w:type="dxa"/>
            <w:right w:w="108" w:type="dxa"/>
          </w:tblCellMar>
        </w:tblPrEx>
        <w:tc>
          <w:tcPr>
            <w:tcW w:w="723" w:type="dxa"/>
            <w:vMerge w:val="continue"/>
            <w:tcBorders>
              <w:left w:val="single" w:color="auto" w:sz="4" w:space="0"/>
              <w:right w:val="single" w:color="auto" w:sz="4" w:space="0"/>
            </w:tcBorders>
            <w:vAlign w:val="center"/>
          </w:tcPr>
          <w:p w14:paraId="74F37144">
            <w:pPr>
              <w:widowControl/>
              <w:adjustRightInd w:val="0"/>
              <w:snapToGrid w:val="0"/>
              <w:spacing w:line="400" w:lineRule="exact"/>
              <w:jc w:val="center"/>
              <w:rPr>
                <w:rFonts w:ascii="宋体" w:hAnsi="宋体" w:cs="宋体"/>
                <w:color w:val="auto"/>
                <w:kern w:val="0"/>
                <w:szCs w:val="21"/>
                <w:highlight w:val="none"/>
              </w:rPr>
            </w:pPr>
          </w:p>
        </w:tc>
        <w:tc>
          <w:tcPr>
            <w:tcW w:w="827" w:type="dxa"/>
            <w:vMerge w:val="restart"/>
            <w:tcBorders>
              <w:top w:val="single" w:color="auto" w:sz="4" w:space="0"/>
              <w:left w:val="single" w:color="auto" w:sz="4" w:space="0"/>
              <w:right w:val="single" w:color="auto" w:sz="4" w:space="0"/>
            </w:tcBorders>
            <w:vAlign w:val="center"/>
          </w:tcPr>
          <w:p w14:paraId="08BEF828">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2.1.2</w:t>
            </w:r>
          </w:p>
          <w:p w14:paraId="27AB09FC">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资格评</w:t>
            </w:r>
          </w:p>
          <w:p w14:paraId="4324DA3A">
            <w:pPr>
              <w:adjustRightInd w:val="0"/>
              <w:snapToGrid w:val="0"/>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审标准</w:t>
            </w:r>
          </w:p>
        </w:tc>
        <w:tc>
          <w:tcPr>
            <w:tcW w:w="2292" w:type="dxa"/>
            <w:tcBorders>
              <w:top w:val="single" w:color="auto" w:sz="4" w:space="0"/>
              <w:left w:val="single" w:color="auto" w:sz="4" w:space="0"/>
              <w:bottom w:val="single" w:color="auto" w:sz="4" w:space="0"/>
              <w:right w:val="single" w:color="auto" w:sz="4" w:space="0"/>
            </w:tcBorders>
            <w:vAlign w:val="center"/>
          </w:tcPr>
          <w:p w14:paraId="58B15A8E">
            <w:pPr>
              <w:widowControl/>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1．投标人具备有效的营业执照、资质证书、安全生产许可证、开户许可证</w:t>
            </w:r>
            <w:r>
              <w:rPr>
                <w:rFonts w:hint="eastAsia" w:ascii="宋体" w:hAnsi="宋体"/>
                <w:color w:val="auto"/>
                <w:kern w:val="0"/>
                <w:szCs w:val="21"/>
                <w:highlight w:val="none"/>
                <w:lang w:eastAsia="zh-CN"/>
              </w:rPr>
              <w:t>（</w:t>
            </w:r>
            <w:r>
              <w:rPr>
                <w:rFonts w:ascii="宋体" w:hAnsi="宋体"/>
                <w:color w:val="auto"/>
                <w:kern w:val="0"/>
                <w:szCs w:val="21"/>
                <w:highlight w:val="none"/>
              </w:rPr>
              <w:t>基本账户</w:t>
            </w:r>
            <w:r>
              <w:rPr>
                <w:rFonts w:hint="eastAsia" w:ascii="宋体" w:hAnsi="宋体"/>
                <w:color w:val="auto"/>
                <w:kern w:val="0"/>
                <w:szCs w:val="21"/>
                <w:highlight w:val="none"/>
                <w:lang w:val="en-US" w:eastAsia="zh-CN"/>
              </w:rPr>
              <w:t>或基本存款账户</w:t>
            </w:r>
            <w:r>
              <w:rPr>
                <w:rFonts w:hint="eastAsia" w:ascii="宋体" w:hAnsi="宋体"/>
                <w:color w:val="auto"/>
                <w:kern w:val="0"/>
                <w:szCs w:val="21"/>
                <w:highlight w:val="none"/>
                <w:lang w:eastAsia="zh-CN"/>
              </w:rPr>
              <w:t>）</w:t>
            </w:r>
            <w:r>
              <w:rPr>
                <w:rFonts w:hint="eastAsia" w:ascii="宋体" w:hAnsi="宋体" w:cs="宋体"/>
                <w:color w:val="auto"/>
                <w:szCs w:val="21"/>
                <w:highlight w:val="none"/>
              </w:rPr>
              <w:t>或基本存款账户信息表</w:t>
            </w:r>
          </w:p>
        </w:tc>
        <w:tc>
          <w:tcPr>
            <w:tcW w:w="5137" w:type="dxa"/>
            <w:tcBorders>
              <w:top w:val="single" w:color="000000" w:sz="4" w:space="0"/>
              <w:left w:val="single" w:color="auto" w:sz="4" w:space="0"/>
              <w:bottom w:val="single" w:color="000000" w:sz="4" w:space="0"/>
              <w:right w:val="single" w:color="auto" w:sz="4" w:space="0"/>
            </w:tcBorders>
            <w:vAlign w:val="center"/>
          </w:tcPr>
          <w:p w14:paraId="6D1D9EAF">
            <w:pPr>
              <w:widowControl/>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w:t>
            </w:r>
            <w:r>
              <w:rPr>
                <w:rFonts w:ascii="宋体" w:hAnsi="宋体"/>
                <w:color w:val="auto"/>
                <w:kern w:val="0"/>
                <w:szCs w:val="21"/>
                <w:highlight w:val="none"/>
              </w:rPr>
              <w:t>1）投标人的营业执照、资质证书、安全生产许可证、开户许可证</w:t>
            </w:r>
            <w:r>
              <w:rPr>
                <w:rFonts w:hint="eastAsia" w:ascii="宋体" w:hAnsi="宋体"/>
                <w:color w:val="auto"/>
                <w:kern w:val="0"/>
                <w:szCs w:val="21"/>
                <w:highlight w:val="none"/>
                <w:lang w:eastAsia="zh-CN"/>
              </w:rPr>
              <w:t>（</w:t>
            </w:r>
            <w:r>
              <w:rPr>
                <w:rFonts w:ascii="宋体" w:hAnsi="宋体"/>
                <w:color w:val="auto"/>
                <w:kern w:val="0"/>
                <w:szCs w:val="21"/>
                <w:highlight w:val="none"/>
              </w:rPr>
              <w:t>基本账户</w:t>
            </w:r>
            <w:r>
              <w:rPr>
                <w:rFonts w:hint="eastAsia" w:ascii="宋体" w:hAnsi="宋体"/>
                <w:color w:val="auto"/>
                <w:kern w:val="0"/>
                <w:szCs w:val="21"/>
                <w:highlight w:val="none"/>
                <w:lang w:val="en-US" w:eastAsia="zh-CN"/>
              </w:rPr>
              <w:t>或基本存款账户</w:t>
            </w:r>
            <w:r>
              <w:rPr>
                <w:rFonts w:hint="eastAsia" w:ascii="宋体" w:hAnsi="宋体"/>
                <w:color w:val="auto"/>
                <w:kern w:val="0"/>
                <w:szCs w:val="21"/>
                <w:highlight w:val="none"/>
                <w:lang w:eastAsia="zh-CN"/>
              </w:rPr>
              <w:t>）</w:t>
            </w:r>
            <w:r>
              <w:rPr>
                <w:rFonts w:hint="eastAsia" w:ascii="宋体" w:hAnsi="宋体" w:cs="宋体"/>
                <w:color w:val="auto"/>
                <w:szCs w:val="21"/>
                <w:highlight w:val="none"/>
              </w:rPr>
              <w:t>或基本存款账户信息表</w:t>
            </w:r>
            <w:r>
              <w:rPr>
                <w:rFonts w:ascii="宋体" w:hAnsi="宋体"/>
                <w:color w:val="auto"/>
                <w:kern w:val="0"/>
                <w:szCs w:val="21"/>
                <w:highlight w:val="none"/>
              </w:rPr>
              <w:t>有效</w:t>
            </w:r>
            <w:r>
              <w:rPr>
                <w:rFonts w:hint="eastAsia" w:ascii="宋体" w:hAnsi="宋体"/>
                <w:color w:val="auto"/>
                <w:kern w:val="0"/>
                <w:szCs w:val="21"/>
                <w:highlight w:val="none"/>
                <w:lang w:eastAsia="zh-CN"/>
              </w:rPr>
              <w:t>。</w:t>
            </w:r>
          </w:p>
          <w:p w14:paraId="002B0D95">
            <w:pPr>
              <w:widowControl/>
              <w:adjustRightInd w:val="0"/>
              <w:snapToGrid w:val="0"/>
              <w:spacing w:line="400" w:lineRule="exact"/>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证明材料</w:t>
            </w:r>
            <w:r>
              <w:rPr>
                <w:rFonts w:hint="eastAsia" w:ascii="宋体" w:hAnsi="宋体"/>
                <w:color w:val="auto"/>
                <w:kern w:val="0"/>
                <w:szCs w:val="21"/>
                <w:highlight w:val="none"/>
                <w:lang w:val="en-US" w:eastAsia="zh-CN"/>
              </w:rPr>
              <w:t>符合</w:t>
            </w:r>
            <w:r>
              <w:rPr>
                <w:rFonts w:hint="eastAsia" w:ascii="宋体" w:hAnsi="宋体"/>
                <w:color w:val="auto"/>
                <w:kern w:val="0"/>
                <w:szCs w:val="21"/>
                <w:highlight w:val="none"/>
              </w:rPr>
              <w:t>第九章“</w:t>
            </w:r>
            <w:r>
              <w:rPr>
                <w:rFonts w:ascii="宋体" w:hAnsi="宋体"/>
                <w:color w:val="auto"/>
                <w:kern w:val="0"/>
                <w:szCs w:val="21"/>
                <w:highlight w:val="none"/>
              </w:rPr>
              <w:t>投标文件格式</w:t>
            </w:r>
            <w:r>
              <w:rPr>
                <w:rFonts w:hint="eastAsia" w:ascii="宋体" w:hAnsi="宋体"/>
                <w:color w:val="auto"/>
                <w:kern w:val="0"/>
                <w:szCs w:val="21"/>
                <w:highlight w:val="none"/>
              </w:rPr>
              <w:t>”资格审查资料“（一）投标人</w:t>
            </w:r>
            <w:r>
              <w:rPr>
                <w:rFonts w:ascii="宋体" w:hAnsi="宋体"/>
                <w:color w:val="auto"/>
                <w:kern w:val="0"/>
                <w:szCs w:val="21"/>
                <w:highlight w:val="none"/>
              </w:rPr>
              <w:t>基本情况表</w:t>
            </w:r>
            <w:r>
              <w:rPr>
                <w:rFonts w:hint="eastAsia" w:ascii="宋体" w:hAnsi="宋体"/>
                <w:color w:val="auto"/>
                <w:kern w:val="0"/>
                <w:szCs w:val="21"/>
                <w:highlight w:val="none"/>
              </w:rPr>
              <w:t>”的附件要求</w:t>
            </w:r>
            <w:r>
              <w:rPr>
                <w:rFonts w:hint="eastAsia" w:ascii="宋体" w:hAnsi="宋体" w:cs="宋体"/>
                <w:color w:val="auto"/>
                <w:szCs w:val="21"/>
                <w:highlight w:val="none"/>
              </w:rPr>
              <w:t>。</w:t>
            </w:r>
          </w:p>
        </w:tc>
      </w:tr>
      <w:tr w14:paraId="40CD4484">
        <w:tblPrEx>
          <w:tblCellMar>
            <w:top w:w="0" w:type="dxa"/>
            <w:left w:w="108" w:type="dxa"/>
            <w:bottom w:w="0" w:type="dxa"/>
            <w:right w:w="108" w:type="dxa"/>
          </w:tblCellMar>
        </w:tblPrEx>
        <w:tc>
          <w:tcPr>
            <w:tcW w:w="723" w:type="dxa"/>
            <w:vMerge w:val="continue"/>
            <w:tcBorders>
              <w:left w:val="single" w:color="auto" w:sz="4" w:space="0"/>
              <w:right w:val="single" w:color="auto" w:sz="4" w:space="0"/>
            </w:tcBorders>
            <w:vAlign w:val="center"/>
          </w:tcPr>
          <w:p w14:paraId="57343A31">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27" w:type="dxa"/>
            <w:vMerge w:val="continue"/>
            <w:tcBorders>
              <w:left w:val="single" w:color="auto" w:sz="4" w:space="0"/>
              <w:right w:val="single" w:color="auto" w:sz="4" w:space="0"/>
            </w:tcBorders>
            <w:vAlign w:val="center"/>
          </w:tcPr>
          <w:p w14:paraId="14647441">
            <w:pPr>
              <w:adjustRightInd w:val="0"/>
              <w:snapToGrid w:val="0"/>
              <w:spacing w:line="400" w:lineRule="exact"/>
              <w:jc w:val="center"/>
              <w:rPr>
                <w:rFonts w:ascii="宋体" w:hAnsi="宋体" w:cs="宋体"/>
                <w:color w:val="auto"/>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14:paraId="091FA84A">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2．投标人的资质等级符合第二章“投标人须知”前附表第1.4.1项规定</w:t>
            </w:r>
          </w:p>
        </w:tc>
        <w:tc>
          <w:tcPr>
            <w:tcW w:w="5137" w:type="dxa"/>
            <w:tcBorders>
              <w:top w:val="single" w:color="000000" w:sz="4" w:space="0"/>
              <w:left w:val="single" w:color="auto" w:sz="4" w:space="0"/>
              <w:bottom w:val="single" w:color="000000" w:sz="4" w:space="0"/>
              <w:right w:val="single" w:color="auto" w:sz="4" w:space="0"/>
            </w:tcBorders>
            <w:vAlign w:val="center"/>
          </w:tcPr>
          <w:p w14:paraId="3F127E34">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1）投标人</w:t>
            </w:r>
            <w:r>
              <w:rPr>
                <w:rFonts w:hint="eastAsia" w:ascii="宋体" w:hAnsi="宋体"/>
                <w:color w:val="auto"/>
                <w:szCs w:val="21"/>
                <w:highlight w:val="none"/>
              </w:rPr>
              <w:t>的资质等级符合第二章“投标人须知”前附表第</w:t>
            </w:r>
            <w:r>
              <w:rPr>
                <w:rFonts w:ascii="宋体" w:hAnsi="宋体"/>
                <w:color w:val="auto"/>
                <w:szCs w:val="21"/>
                <w:highlight w:val="none"/>
              </w:rPr>
              <w:t>1.4.1项规定。</w:t>
            </w:r>
          </w:p>
          <w:p w14:paraId="6460AE1E">
            <w:pPr>
              <w:widowControl/>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2）提供的证明材料符合</w:t>
            </w:r>
            <w:r>
              <w:rPr>
                <w:rFonts w:hint="eastAsia" w:ascii="宋体" w:hAnsi="宋体"/>
                <w:color w:val="auto"/>
                <w:szCs w:val="21"/>
                <w:highlight w:val="none"/>
              </w:rPr>
              <w:t>第九章“投标文件格式”要求</w:t>
            </w:r>
            <w:r>
              <w:rPr>
                <w:rFonts w:hint="eastAsia" w:ascii="宋体" w:hAnsi="宋体"/>
                <w:color w:val="auto"/>
                <w:szCs w:val="21"/>
                <w:highlight w:val="none"/>
                <w:lang w:eastAsia="zh-CN"/>
              </w:rPr>
              <w:t>。</w:t>
            </w:r>
          </w:p>
        </w:tc>
      </w:tr>
      <w:tr w14:paraId="3A5A6983">
        <w:tblPrEx>
          <w:tblCellMar>
            <w:top w:w="0" w:type="dxa"/>
            <w:left w:w="108" w:type="dxa"/>
            <w:bottom w:w="0" w:type="dxa"/>
            <w:right w:w="108" w:type="dxa"/>
          </w:tblCellMar>
        </w:tblPrEx>
        <w:trPr>
          <w:trHeight w:val="405" w:hRule="atLeast"/>
        </w:trPr>
        <w:tc>
          <w:tcPr>
            <w:tcW w:w="723" w:type="dxa"/>
            <w:vMerge w:val="continue"/>
            <w:tcBorders>
              <w:left w:val="single" w:color="auto" w:sz="4" w:space="0"/>
              <w:right w:val="single" w:color="auto" w:sz="4" w:space="0"/>
            </w:tcBorders>
            <w:vAlign w:val="center"/>
          </w:tcPr>
          <w:p w14:paraId="3DFEEBCF">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27" w:type="dxa"/>
            <w:vMerge w:val="continue"/>
            <w:tcBorders>
              <w:left w:val="single" w:color="auto" w:sz="4" w:space="0"/>
              <w:right w:val="single" w:color="auto" w:sz="4" w:space="0"/>
            </w:tcBorders>
            <w:vAlign w:val="center"/>
          </w:tcPr>
          <w:p w14:paraId="0F3DCD76">
            <w:pPr>
              <w:adjustRightInd w:val="0"/>
              <w:snapToGrid w:val="0"/>
              <w:spacing w:line="400" w:lineRule="exact"/>
              <w:jc w:val="center"/>
              <w:rPr>
                <w:rFonts w:ascii="宋体" w:hAnsi="宋体" w:cs="宋体"/>
                <w:color w:val="auto"/>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14:paraId="3D1BB4A1">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3.投标人的财务状况符合第二章“投标人须知”前附表第1.4.1项规定</w:t>
            </w:r>
          </w:p>
        </w:tc>
        <w:tc>
          <w:tcPr>
            <w:tcW w:w="5137" w:type="dxa"/>
            <w:tcBorders>
              <w:top w:val="single" w:color="000000" w:sz="4" w:space="0"/>
              <w:left w:val="single" w:color="auto" w:sz="4" w:space="0"/>
              <w:bottom w:val="single" w:color="auto" w:sz="4" w:space="0"/>
              <w:right w:val="single" w:color="auto" w:sz="4" w:space="0"/>
            </w:tcBorders>
            <w:vAlign w:val="center"/>
          </w:tcPr>
          <w:p w14:paraId="083C6D8E">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的财务状况符合第二章“投标人须知”前附表第</w:t>
            </w:r>
            <w:r>
              <w:rPr>
                <w:rFonts w:ascii="宋体" w:hAnsi="宋体" w:cs="宋体"/>
                <w:color w:val="auto"/>
                <w:kern w:val="0"/>
                <w:szCs w:val="21"/>
                <w:highlight w:val="none"/>
              </w:rPr>
              <w:t>1.4.1项规定。</w:t>
            </w:r>
          </w:p>
          <w:p w14:paraId="38C1A005">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6452ABF7">
        <w:tblPrEx>
          <w:tblCellMar>
            <w:top w:w="0" w:type="dxa"/>
            <w:left w:w="108" w:type="dxa"/>
            <w:bottom w:w="0" w:type="dxa"/>
            <w:right w:w="108" w:type="dxa"/>
          </w:tblCellMar>
        </w:tblPrEx>
        <w:trPr>
          <w:trHeight w:val="502" w:hRule="atLeast"/>
        </w:trPr>
        <w:tc>
          <w:tcPr>
            <w:tcW w:w="723" w:type="dxa"/>
            <w:vMerge w:val="continue"/>
            <w:tcBorders>
              <w:left w:val="single" w:color="auto" w:sz="4" w:space="0"/>
              <w:right w:val="single" w:color="auto" w:sz="4" w:space="0"/>
            </w:tcBorders>
            <w:vAlign w:val="center"/>
          </w:tcPr>
          <w:p w14:paraId="3A4ED9E4">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27" w:type="dxa"/>
            <w:vMerge w:val="continue"/>
            <w:tcBorders>
              <w:left w:val="single" w:color="auto" w:sz="4" w:space="0"/>
              <w:right w:val="single" w:color="auto" w:sz="4" w:space="0"/>
            </w:tcBorders>
            <w:vAlign w:val="center"/>
          </w:tcPr>
          <w:p w14:paraId="1709357F">
            <w:pPr>
              <w:adjustRightInd w:val="0"/>
              <w:snapToGrid w:val="0"/>
              <w:spacing w:line="400" w:lineRule="exact"/>
              <w:jc w:val="center"/>
              <w:rPr>
                <w:rFonts w:ascii="宋体" w:hAnsi="宋体" w:cs="宋体"/>
                <w:color w:val="auto"/>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14:paraId="557FA84C">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4．投标人的类似项目业绩符合第二章“投标人须知”前附表第1.4.1项规定。</w:t>
            </w:r>
          </w:p>
        </w:tc>
        <w:tc>
          <w:tcPr>
            <w:tcW w:w="5137" w:type="dxa"/>
            <w:tcBorders>
              <w:top w:val="single" w:color="auto" w:sz="4" w:space="0"/>
              <w:left w:val="single" w:color="auto" w:sz="4" w:space="0"/>
              <w:bottom w:val="single" w:color="auto" w:sz="4" w:space="0"/>
              <w:right w:val="single" w:color="auto" w:sz="4" w:space="0"/>
            </w:tcBorders>
            <w:vAlign w:val="center"/>
          </w:tcPr>
          <w:p w14:paraId="03B103EE">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的类似项目业绩符合第二章“投标人须知”</w:t>
            </w:r>
            <w:r>
              <w:rPr>
                <w:rFonts w:ascii="宋体" w:hAnsi="宋体" w:cs="宋体"/>
                <w:color w:val="auto"/>
                <w:kern w:val="0"/>
                <w:szCs w:val="21"/>
                <w:highlight w:val="none"/>
              </w:rPr>
              <w:t>前附表</w:t>
            </w:r>
            <w:r>
              <w:rPr>
                <w:rFonts w:hint="eastAsia" w:ascii="宋体" w:hAnsi="宋体" w:cs="宋体"/>
                <w:color w:val="auto"/>
                <w:kern w:val="0"/>
                <w:szCs w:val="21"/>
                <w:highlight w:val="none"/>
              </w:rPr>
              <w:t>第</w:t>
            </w:r>
            <w:r>
              <w:rPr>
                <w:rFonts w:ascii="宋体" w:hAnsi="宋体" w:cs="宋体"/>
                <w:color w:val="auto"/>
                <w:kern w:val="0"/>
                <w:szCs w:val="21"/>
                <w:highlight w:val="none"/>
              </w:rPr>
              <w:t>1.4.1项规定。</w:t>
            </w:r>
          </w:p>
          <w:p w14:paraId="4C6267F1">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710070EF">
        <w:tblPrEx>
          <w:tblCellMar>
            <w:top w:w="0" w:type="dxa"/>
            <w:left w:w="108" w:type="dxa"/>
            <w:bottom w:w="0" w:type="dxa"/>
            <w:right w:w="108" w:type="dxa"/>
          </w:tblCellMar>
        </w:tblPrEx>
        <w:trPr>
          <w:trHeight w:val="370" w:hRule="atLeast"/>
        </w:trPr>
        <w:tc>
          <w:tcPr>
            <w:tcW w:w="723" w:type="dxa"/>
            <w:vMerge w:val="continue"/>
            <w:tcBorders>
              <w:left w:val="single" w:color="auto" w:sz="4" w:space="0"/>
              <w:bottom w:val="single" w:color="auto" w:sz="4" w:space="0"/>
              <w:right w:val="single" w:color="auto" w:sz="4" w:space="0"/>
            </w:tcBorders>
            <w:vAlign w:val="center"/>
          </w:tcPr>
          <w:p w14:paraId="530FD58B">
            <w:pPr>
              <w:adjustRightInd w:val="0"/>
              <w:snapToGrid w:val="0"/>
              <w:spacing w:line="400" w:lineRule="exact"/>
              <w:ind w:left="-210" w:leftChars="-100" w:right="-210" w:rightChars="-100"/>
              <w:jc w:val="center"/>
              <w:rPr>
                <w:rFonts w:hint="eastAsia" w:ascii="宋体" w:hAnsi="宋体" w:eastAsia="宋体" w:cs="宋体"/>
                <w:color w:val="auto"/>
                <w:kern w:val="0"/>
                <w:sz w:val="21"/>
                <w:szCs w:val="21"/>
                <w:highlight w:val="none"/>
                <w:lang w:val="en-US" w:eastAsia="zh-CN" w:bidi="ar-SA"/>
              </w:rPr>
            </w:pPr>
          </w:p>
        </w:tc>
        <w:tc>
          <w:tcPr>
            <w:tcW w:w="827" w:type="dxa"/>
            <w:vMerge w:val="continue"/>
            <w:tcBorders>
              <w:left w:val="single" w:color="auto" w:sz="4" w:space="0"/>
              <w:bottom w:val="single" w:color="auto" w:sz="4" w:space="0"/>
              <w:right w:val="single" w:color="auto" w:sz="4" w:space="0"/>
            </w:tcBorders>
            <w:vAlign w:val="center"/>
          </w:tcPr>
          <w:p w14:paraId="380AE374">
            <w:pPr>
              <w:adjustRightInd w:val="0"/>
              <w:snapToGrid w:val="0"/>
              <w:spacing w:line="400" w:lineRule="exact"/>
              <w:jc w:val="center"/>
              <w:rPr>
                <w:rFonts w:ascii="宋体" w:hAnsi="宋体" w:eastAsia="宋体" w:cs="宋体"/>
                <w:color w:val="auto"/>
                <w:kern w:val="0"/>
                <w:sz w:val="21"/>
                <w:szCs w:val="21"/>
                <w:highlight w:val="none"/>
                <w:lang w:val="en-US" w:eastAsia="zh-CN" w:bidi="ar-SA"/>
              </w:rPr>
            </w:pPr>
          </w:p>
        </w:tc>
        <w:tc>
          <w:tcPr>
            <w:tcW w:w="2292" w:type="dxa"/>
            <w:tcBorders>
              <w:top w:val="single" w:color="auto" w:sz="4" w:space="0"/>
              <w:left w:val="single" w:color="auto" w:sz="4" w:space="0"/>
              <w:bottom w:val="single" w:color="auto" w:sz="4" w:space="0"/>
              <w:right w:val="single" w:color="auto" w:sz="4" w:space="0"/>
            </w:tcBorders>
            <w:vAlign w:val="center"/>
          </w:tcPr>
          <w:p w14:paraId="3CED6B14">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5．投标人的信誉符合第二章“投标人须知”前附表第1.4.1项规定。</w:t>
            </w:r>
          </w:p>
        </w:tc>
        <w:tc>
          <w:tcPr>
            <w:tcW w:w="5137" w:type="dxa"/>
            <w:tcBorders>
              <w:top w:val="single" w:color="auto" w:sz="4" w:space="0"/>
              <w:left w:val="single" w:color="auto" w:sz="4" w:space="0"/>
              <w:bottom w:val="single" w:color="auto" w:sz="4" w:space="0"/>
              <w:right w:val="single" w:color="auto" w:sz="4" w:space="0"/>
            </w:tcBorders>
            <w:vAlign w:val="center"/>
          </w:tcPr>
          <w:p w14:paraId="1DC746D8">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的信誉符合第二章“投标人须知”前附表第</w:t>
            </w:r>
            <w:r>
              <w:rPr>
                <w:rFonts w:ascii="宋体" w:hAnsi="宋体" w:cs="宋体"/>
                <w:color w:val="auto"/>
                <w:kern w:val="0"/>
                <w:szCs w:val="21"/>
                <w:highlight w:val="none"/>
              </w:rPr>
              <w:t>1.4.1项规定。</w:t>
            </w:r>
          </w:p>
          <w:p w14:paraId="59E441E3">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03C68894">
        <w:tblPrEx>
          <w:tblCellMar>
            <w:top w:w="0" w:type="dxa"/>
            <w:left w:w="108" w:type="dxa"/>
            <w:bottom w:w="0" w:type="dxa"/>
            <w:right w:w="108" w:type="dxa"/>
          </w:tblCellMar>
        </w:tblPrEx>
        <w:trPr>
          <w:trHeight w:val="1583" w:hRule="atLeast"/>
        </w:trPr>
        <w:tc>
          <w:tcPr>
            <w:tcW w:w="723" w:type="dxa"/>
            <w:vMerge w:val="restart"/>
            <w:tcBorders>
              <w:top w:val="single" w:color="auto" w:sz="4" w:space="0"/>
              <w:left w:val="single" w:color="auto" w:sz="4" w:space="0"/>
              <w:right w:val="single" w:color="auto" w:sz="4" w:space="0"/>
            </w:tcBorders>
            <w:vAlign w:val="center"/>
          </w:tcPr>
          <w:p w14:paraId="6C94A752">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w:t>
            </w:r>
          </w:p>
          <w:p w14:paraId="7262CE2C">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初步评审标准</w:t>
            </w:r>
          </w:p>
          <w:p w14:paraId="734F0C45">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w:t>
            </w:r>
          </w:p>
          <w:p w14:paraId="40DA2E0C">
            <w:pPr>
              <w:adjustRightInd w:val="0"/>
              <w:snapToGrid w:val="0"/>
              <w:spacing w:line="400" w:lineRule="exact"/>
              <w:ind w:left="-210" w:leftChars="-100" w:right="-210" w:rightChars="-100"/>
              <w:jc w:val="center"/>
              <w:rPr>
                <w:rFonts w:ascii="宋体" w:hAnsi="宋体" w:cs="宋体"/>
                <w:color w:val="auto"/>
                <w:kern w:val="0"/>
                <w:szCs w:val="21"/>
                <w:highlight w:val="none"/>
              </w:rPr>
            </w:pPr>
            <w:r>
              <w:rPr>
                <w:rFonts w:hint="eastAsia" w:ascii="宋体" w:hAnsi="宋体" w:cs="宋体"/>
                <w:color w:val="auto"/>
                <w:kern w:val="0"/>
                <w:szCs w:val="21"/>
                <w:highlight w:val="none"/>
              </w:rPr>
              <w:t>一个</w:t>
            </w:r>
          </w:p>
          <w:p w14:paraId="4D5CCFF5">
            <w:pPr>
              <w:adjustRightInd w:val="0"/>
              <w:snapToGrid w:val="0"/>
              <w:spacing w:line="400" w:lineRule="exact"/>
              <w:ind w:left="-210" w:leftChars="-100" w:right="-210" w:rightChars="-100"/>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信封</w:t>
            </w:r>
            <w:r>
              <w:rPr>
                <w:rFonts w:hint="eastAsia" w:ascii="宋体" w:hAnsi="宋体" w:cs="宋体"/>
                <w:color w:val="auto"/>
                <w:kern w:val="0"/>
                <w:szCs w:val="21"/>
                <w:highlight w:val="none"/>
                <w:lang w:eastAsia="zh-CN"/>
              </w:rPr>
              <w:t>）</w:t>
            </w:r>
          </w:p>
        </w:tc>
        <w:tc>
          <w:tcPr>
            <w:tcW w:w="827" w:type="dxa"/>
            <w:vMerge w:val="restart"/>
            <w:tcBorders>
              <w:top w:val="single" w:color="auto" w:sz="4" w:space="0"/>
              <w:left w:val="single" w:color="auto" w:sz="4" w:space="0"/>
              <w:right w:val="single" w:color="auto" w:sz="4" w:space="0"/>
            </w:tcBorders>
            <w:vAlign w:val="center"/>
          </w:tcPr>
          <w:p w14:paraId="3B89C9E6">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2.1.2</w:t>
            </w:r>
          </w:p>
          <w:p w14:paraId="042F24DC">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资格评</w:t>
            </w:r>
          </w:p>
          <w:p w14:paraId="6D120FD4">
            <w:pPr>
              <w:adjustRightInd w:val="0"/>
              <w:snapToGrid w:val="0"/>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审标准</w:t>
            </w:r>
          </w:p>
        </w:tc>
        <w:tc>
          <w:tcPr>
            <w:tcW w:w="2292" w:type="dxa"/>
            <w:tcBorders>
              <w:top w:val="single" w:color="auto" w:sz="4" w:space="0"/>
              <w:left w:val="single" w:color="auto" w:sz="4" w:space="0"/>
              <w:bottom w:val="single" w:color="auto" w:sz="4" w:space="0"/>
              <w:right w:val="single" w:color="auto" w:sz="4" w:space="0"/>
            </w:tcBorders>
            <w:vAlign w:val="center"/>
          </w:tcPr>
          <w:p w14:paraId="43FC2328">
            <w:pPr>
              <w:widowControl/>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6．</w:t>
            </w:r>
            <w:r>
              <w:rPr>
                <w:rFonts w:hint="eastAsia" w:ascii="宋体" w:hAnsi="宋体" w:cs="宋体"/>
                <w:color w:val="auto"/>
                <w:kern w:val="0"/>
                <w:szCs w:val="21"/>
                <w:highlight w:val="none"/>
              </w:rPr>
              <w:t>投标人的主要人员符合第二章“投标人须知”前附表第</w:t>
            </w:r>
            <w:r>
              <w:rPr>
                <w:rFonts w:ascii="宋体" w:hAnsi="宋体" w:cs="宋体"/>
                <w:color w:val="auto"/>
                <w:kern w:val="0"/>
                <w:szCs w:val="21"/>
                <w:highlight w:val="none"/>
              </w:rPr>
              <w:t>1.4.1项规定。</w:t>
            </w:r>
          </w:p>
        </w:tc>
        <w:tc>
          <w:tcPr>
            <w:tcW w:w="5137" w:type="dxa"/>
            <w:tcBorders>
              <w:top w:val="single" w:color="auto" w:sz="4" w:space="0"/>
              <w:left w:val="single" w:color="auto" w:sz="4" w:space="0"/>
              <w:bottom w:val="single" w:color="auto" w:sz="4" w:space="0"/>
              <w:right w:val="single" w:color="auto" w:sz="4" w:space="0"/>
            </w:tcBorders>
            <w:vAlign w:val="center"/>
          </w:tcPr>
          <w:p w14:paraId="6DDBBED9">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的主要人员符合第二章“投标人须知”前附表第</w:t>
            </w:r>
            <w:r>
              <w:rPr>
                <w:rFonts w:ascii="宋体" w:hAnsi="宋体" w:cs="宋体"/>
                <w:color w:val="auto"/>
                <w:kern w:val="0"/>
                <w:szCs w:val="21"/>
                <w:highlight w:val="none"/>
              </w:rPr>
              <w:t>1.4.1项规定。</w:t>
            </w:r>
          </w:p>
          <w:p w14:paraId="3ECE9989">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1860CF48">
        <w:tblPrEx>
          <w:tblCellMar>
            <w:top w:w="0" w:type="dxa"/>
            <w:left w:w="108" w:type="dxa"/>
            <w:bottom w:w="0" w:type="dxa"/>
            <w:right w:w="108" w:type="dxa"/>
          </w:tblCellMar>
        </w:tblPrEx>
        <w:trPr>
          <w:trHeight w:val="1583" w:hRule="atLeast"/>
        </w:trPr>
        <w:tc>
          <w:tcPr>
            <w:tcW w:w="723" w:type="dxa"/>
            <w:vMerge w:val="continue"/>
            <w:tcBorders>
              <w:left w:val="single" w:color="auto" w:sz="4" w:space="0"/>
              <w:right w:val="single" w:color="auto" w:sz="4" w:space="0"/>
            </w:tcBorders>
            <w:vAlign w:val="center"/>
          </w:tcPr>
          <w:p w14:paraId="4BC7BD45">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27" w:type="dxa"/>
            <w:vMerge w:val="continue"/>
            <w:tcBorders>
              <w:left w:val="single" w:color="auto" w:sz="4" w:space="0"/>
              <w:right w:val="single" w:color="auto" w:sz="4" w:space="0"/>
            </w:tcBorders>
            <w:vAlign w:val="center"/>
          </w:tcPr>
          <w:p w14:paraId="2A5EF37E">
            <w:pPr>
              <w:adjustRightInd w:val="0"/>
              <w:snapToGrid w:val="0"/>
              <w:spacing w:line="400" w:lineRule="exact"/>
              <w:jc w:val="center"/>
              <w:rPr>
                <w:rFonts w:ascii="宋体" w:hAnsi="宋体" w:cs="宋体"/>
                <w:color w:val="auto"/>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14:paraId="59946A59">
            <w:pPr>
              <w:widowControl/>
              <w:adjustRightInd w:val="0"/>
              <w:snapToGrid w:val="0"/>
              <w:spacing w:line="400" w:lineRule="exact"/>
              <w:rPr>
                <w:rFonts w:ascii="宋体" w:hAnsi="宋体"/>
                <w:color w:val="auto"/>
                <w:szCs w:val="21"/>
                <w:highlight w:val="none"/>
              </w:rPr>
            </w:pPr>
            <w:r>
              <w:rPr>
                <w:rFonts w:hint="eastAsia" w:ascii="宋体" w:hAnsi="宋体" w:cs="宋体"/>
                <w:b/>
                <w:color w:val="auto"/>
                <w:szCs w:val="21"/>
                <w:highlight w:val="none"/>
              </w:rPr>
              <w:sym w:font="Wingdings 2" w:char="00A3"/>
            </w:r>
            <w:r>
              <w:rPr>
                <w:rFonts w:ascii="宋体" w:hAnsi="宋体" w:cs="宋体"/>
                <w:b/>
                <w:color w:val="auto"/>
                <w:szCs w:val="21"/>
                <w:highlight w:val="none"/>
              </w:rPr>
              <w:t xml:space="preserve"> </w:t>
            </w:r>
            <w:r>
              <w:rPr>
                <w:rFonts w:ascii="宋体" w:hAnsi="宋体"/>
                <w:color w:val="auto"/>
                <w:szCs w:val="21"/>
                <w:highlight w:val="none"/>
              </w:rPr>
              <w:t>7．</w:t>
            </w:r>
            <w:r>
              <w:rPr>
                <w:rFonts w:hint="eastAsia" w:ascii="宋体" w:hAnsi="宋体" w:cs="宋体"/>
                <w:color w:val="auto"/>
                <w:szCs w:val="21"/>
                <w:highlight w:val="none"/>
              </w:rPr>
              <w:t>投标人的其他要求</w:t>
            </w:r>
            <w:r>
              <w:rPr>
                <w:rStyle w:val="59"/>
                <w:rFonts w:ascii="宋体" w:hAnsi="宋体" w:cs="宋体"/>
                <w:color w:val="auto"/>
                <w:kern w:val="0"/>
                <w:szCs w:val="21"/>
                <w:highlight w:val="none"/>
              </w:rPr>
              <w:footnoteReference w:id="130"/>
            </w:r>
            <w:r>
              <w:rPr>
                <w:rFonts w:hint="eastAsia" w:ascii="宋体" w:hAnsi="宋体" w:cs="宋体"/>
                <w:color w:val="auto"/>
                <w:szCs w:val="21"/>
                <w:highlight w:val="none"/>
              </w:rPr>
              <w:t>符合第二章“投标人须知”前附表第</w:t>
            </w:r>
            <w:r>
              <w:rPr>
                <w:rFonts w:ascii="宋体" w:hAnsi="宋体" w:cs="宋体"/>
                <w:color w:val="auto"/>
                <w:szCs w:val="21"/>
                <w:highlight w:val="none"/>
              </w:rPr>
              <w:t>1.4.1项规定</w:t>
            </w:r>
          </w:p>
        </w:tc>
        <w:tc>
          <w:tcPr>
            <w:tcW w:w="5137" w:type="dxa"/>
            <w:tcBorders>
              <w:top w:val="single" w:color="auto" w:sz="4" w:space="0"/>
              <w:left w:val="single" w:color="auto" w:sz="4" w:space="0"/>
              <w:bottom w:val="single" w:color="auto" w:sz="4" w:space="0"/>
              <w:right w:val="single" w:color="auto" w:sz="4" w:space="0"/>
            </w:tcBorders>
            <w:vAlign w:val="center"/>
          </w:tcPr>
          <w:p w14:paraId="46D5DC68">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的其他要求符合第二章“投标人须知”前附表第</w:t>
            </w:r>
            <w:r>
              <w:rPr>
                <w:rFonts w:ascii="宋体" w:hAnsi="宋体" w:cs="宋体"/>
                <w:color w:val="auto"/>
                <w:kern w:val="0"/>
                <w:szCs w:val="21"/>
                <w:highlight w:val="none"/>
              </w:rPr>
              <w:t>1.4.1项规定</w:t>
            </w:r>
            <w:r>
              <w:rPr>
                <w:rFonts w:hint="eastAsia" w:ascii="宋体" w:hAnsi="宋体" w:cs="宋体"/>
                <w:color w:val="auto"/>
                <w:kern w:val="0"/>
                <w:szCs w:val="21"/>
                <w:highlight w:val="none"/>
              </w:rPr>
              <w:t>。</w:t>
            </w:r>
          </w:p>
          <w:p w14:paraId="34BD0836">
            <w:pPr>
              <w:widowControl/>
              <w:adjustRightInd w:val="0"/>
              <w:snapToGrid w:val="0"/>
              <w:spacing w:line="400" w:lineRule="exact"/>
              <w:rPr>
                <w:rFonts w:hint="eastAsia" w:ascii="宋体" w:hAnsi="宋体" w:cs="宋体"/>
                <w:b/>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szCs w:val="21"/>
                <w:highlight w:val="none"/>
              </w:rPr>
              <w:t>提供的证明材料符合第九章“投标文件格式”要求。</w:t>
            </w:r>
          </w:p>
        </w:tc>
      </w:tr>
      <w:tr w14:paraId="128321D9">
        <w:tblPrEx>
          <w:tblCellMar>
            <w:top w:w="0" w:type="dxa"/>
            <w:left w:w="108" w:type="dxa"/>
            <w:bottom w:w="0" w:type="dxa"/>
            <w:right w:w="108" w:type="dxa"/>
          </w:tblCellMar>
        </w:tblPrEx>
        <w:trPr>
          <w:trHeight w:val="3189" w:hRule="atLeast"/>
        </w:trPr>
        <w:tc>
          <w:tcPr>
            <w:tcW w:w="723" w:type="dxa"/>
            <w:vMerge w:val="continue"/>
            <w:tcBorders>
              <w:left w:val="single" w:color="auto" w:sz="4" w:space="0"/>
              <w:right w:val="single" w:color="auto" w:sz="4" w:space="0"/>
            </w:tcBorders>
            <w:vAlign w:val="center"/>
          </w:tcPr>
          <w:p w14:paraId="65770D00">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27" w:type="dxa"/>
            <w:vMerge w:val="continue"/>
            <w:tcBorders>
              <w:left w:val="single" w:color="auto" w:sz="4" w:space="0"/>
              <w:bottom w:val="single" w:color="auto" w:sz="4" w:space="0"/>
              <w:right w:val="single" w:color="auto" w:sz="4" w:space="0"/>
            </w:tcBorders>
            <w:vAlign w:val="center"/>
          </w:tcPr>
          <w:p w14:paraId="664F6023">
            <w:pPr>
              <w:adjustRightInd w:val="0"/>
              <w:snapToGrid w:val="0"/>
              <w:spacing w:line="400" w:lineRule="exact"/>
              <w:jc w:val="center"/>
              <w:rPr>
                <w:rFonts w:ascii="宋体" w:hAnsi="宋体" w:cs="宋体"/>
                <w:color w:val="auto"/>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14:paraId="4EB561F3">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还应符合的其他</w:t>
            </w:r>
            <w:r>
              <w:rPr>
                <w:rFonts w:ascii="宋体" w:hAnsi="宋体" w:cs="宋体"/>
                <w:color w:val="auto"/>
                <w:szCs w:val="21"/>
                <w:highlight w:val="none"/>
              </w:rPr>
              <w:t>规定</w:t>
            </w:r>
          </w:p>
        </w:tc>
        <w:tc>
          <w:tcPr>
            <w:tcW w:w="5137" w:type="dxa"/>
            <w:tcBorders>
              <w:top w:val="single" w:color="auto" w:sz="4" w:space="0"/>
              <w:left w:val="single" w:color="auto" w:sz="4" w:space="0"/>
              <w:bottom w:val="single" w:color="auto" w:sz="4" w:space="0"/>
              <w:right w:val="single" w:color="auto" w:sz="4" w:space="0"/>
            </w:tcBorders>
            <w:vAlign w:val="center"/>
          </w:tcPr>
          <w:p w14:paraId="015A5E0E">
            <w:pPr>
              <w:widowControl/>
              <w:adjustRightInd w:val="0"/>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olor w:val="auto"/>
                <w:szCs w:val="21"/>
                <w:highlight w:val="none"/>
              </w:rPr>
              <w:t>投标人不存在第二章“投标人须知”第</w:t>
            </w:r>
            <w:r>
              <w:rPr>
                <w:rFonts w:ascii="宋体" w:hAnsi="宋体"/>
                <w:color w:val="auto"/>
                <w:szCs w:val="21"/>
                <w:highlight w:val="none"/>
              </w:rPr>
              <w:t>1.4.3项或</w:t>
            </w:r>
            <w:r>
              <w:rPr>
                <w:rFonts w:hint="eastAsia" w:ascii="宋体" w:hAnsi="宋体"/>
                <w:color w:val="auto"/>
                <w:szCs w:val="21"/>
                <w:highlight w:val="none"/>
              </w:rPr>
              <w:t>第</w:t>
            </w:r>
            <w:r>
              <w:rPr>
                <w:rFonts w:ascii="宋体" w:hAnsi="宋体"/>
                <w:color w:val="auto"/>
                <w:szCs w:val="21"/>
                <w:highlight w:val="none"/>
              </w:rPr>
              <w:t>1.4.4项规定的任何一种情形</w:t>
            </w:r>
            <w:r>
              <w:rPr>
                <w:rFonts w:hint="eastAsia" w:ascii="宋体" w:hAnsi="宋体" w:cs="宋体"/>
                <w:color w:val="auto"/>
                <w:szCs w:val="21"/>
                <w:highlight w:val="none"/>
              </w:rPr>
              <w:t>（按本项资格评审标准第</w:t>
            </w:r>
            <w:r>
              <w:rPr>
                <w:rFonts w:ascii="宋体" w:hAnsi="宋体" w:cs="宋体"/>
                <w:color w:val="auto"/>
                <w:szCs w:val="21"/>
                <w:highlight w:val="none"/>
              </w:rPr>
              <w:t>5</w:t>
            </w:r>
            <w:r>
              <w:rPr>
                <w:rFonts w:hint="eastAsia" w:ascii="宋体" w:hAnsi="宋体" w:cs="宋体"/>
                <w:color w:val="auto"/>
                <w:szCs w:val="21"/>
                <w:highlight w:val="none"/>
              </w:rPr>
              <w:t>目</w:t>
            </w:r>
            <w:r>
              <w:rPr>
                <w:rFonts w:ascii="宋体" w:hAnsi="宋体" w:cs="宋体"/>
                <w:color w:val="auto"/>
                <w:szCs w:val="21"/>
                <w:highlight w:val="none"/>
              </w:rPr>
              <w:t>信誉要求已评审的，此处不再评审）</w:t>
            </w:r>
            <w:r>
              <w:rPr>
                <w:rFonts w:hint="eastAsia" w:ascii="宋体" w:hAnsi="宋体"/>
                <w:color w:val="auto"/>
                <w:szCs w:val="21"/>
                <w:highlight w:val="none"/>
              </w:rPr>
              <w:t>。</w:t>
            </w:r>
          </w:p>
          <w:p w14:paraId="1E1F5C95">
            <w:pPr>
              <w:widowControl/>
              <w:adjustRightInd w:val="0"/>
              <w:snapToGrid w:val="0"/>
              <w:spacing w:line="400" w:lineRule="exact"/>
              <w:rPr>
                <w:rFonts w:ascii="宋体" w:hAnsi="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hint="eastAsia" w:ascii="宋体" w:hAnsi="宋体"/>
                <w:color w:val="auto"/>
                <w:szCs w:val="21"/>
                <w:highlight w:val="none"/>
              </w:rPr>
              <w:t>以联合体形式投标的，联合体各方均未再以自己名义单独或参加其他联合体在同一标段中投标；独立投标的，投标人未同时参加联合体在同一标段中投标。</w:t>
            </w:r>
          </w:p>
          <w:p w14:paraId="01AD020D">
            <w:pPr>
              <w:widowControl/>
              <w:adjustRightInd w:val="0"/>
              <w:snapToGrid w:val="0"/>
              <w:spacing w:line="400" w:lineRule="exact"/>
              <w:rPr>
                <w:rFonts w:ascii="宋体" w:hAnsi="宋体" w:cs="宋体"/>
                <w:color w:val="auto"/>
                <w:kern w:val="0"/>
                <w:szCs w:val="21"/>
                <w:highlight w:val="none"/>
              </w:rPr>
            </w:pPr>
            <w:r>
              <w:rPr>
                <w:rFonts w:hint="eastAsia" w:ascii="宋体" w:hAnsi="宋体" w:eastAsia="宋体" w:cs="宋体"/>
                <w:color w:val="auto"/>
                <w:szCs w:val="21"/>
                <w:highlight w:val="none"/>
              </w:rPr>
              <w:t>……</w:t>
            </w:r>
          </w:p>
        </w:tc>
      </w:tr>
      <w:tr w14:paraId="12C6F651">
        <w:tblPrEx>
          <w:tblCellMar>
            <w:top w:w="0" w:type="dxa"/>
            <w:left w:w="108" w:type="dxa"/>
            <w:bottom w:w="0" w:type="dxa"/>
            <w:right w:w="108" w:type="dxa"/>
          </w:tblCellMar>
        </w:tblPrEx>
        <w:trPr>
          <w:trHeight w:val="678" w:hRule="atLeast"/>
        </w:trPr>
        <w:tc>
          <w:tcPr>
            <w:tcW w:w="723" w:type="dxa"/>
            <w:vMerge w:val="continue"/>
            <w:tcBorders>
              <w:left w:val="single" w:color="auto" w:sz="4" w:space="0"/>
              <w:right w:val="single" w:color="auto" w:sz="4" w:space="0"/>
            </w:tcBorders>
            <w:vAlign w:val="center"/>
          </w:tcPr>
          <w:p w14:paraId="34F7E986">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27" w:type="dxa"/>
            <w:vMerge w:val="restart"/>
            <w:tcBorders>
              <w:top w:val="single" w:color="auto" w:sz="4" w:space="0"/>
              <w:left w:val="single" w:color="auto" w:sz="4" w:space="0"/>
              <w:bottom w:val="single" w:color="auto" w:sz="4" w:space="0"/>
              <w:right w:val="single" w:color="auto" w:sz="4" w:space="0"/>
            </w:tcBorders>
            <w:vAlign w:val="center"/>
          </w:tcPr>
          <w:p w14:paraId="35F48BFC">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2.1.3</w:t>
            </w:r>
          </w:p>
          <w:p w14:paraId="6E2E30B7">
            <w:pPr>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响应性评审标准</w:t>
            </w:r>
          </w:p>
        </w:tc>
        <w:tc>
          <w:tcPr>
            <w:tcW w:w="7429" w:type="dxa"/>
            <w:gridSpan w:val="2"/>
            <w:tcBorders>
              <w:top w:val="single" w:color="auto" w:sz="4" w:space="0"/>
              <w:left w:val="single" w:color="auto" w:sz="4" w:space="0"/>
              <w:bottom w:val="single" w:color="auto" w:sz="4" w:space="0"/>
              <w:right w:val="single" w:color="auto" w:sz="4" w:space="0"/>
            </w:tcBorders>
            <w:vAlign w:val="center"/>
          </w:tcPr>
          <w:p w14:paraId="4862D455">
            <w:pPr>
              <w:pStyle w:val="299"/>
              <w:adjustRightInd w:val="0"/>
              <w:snapToGrid w:val="0"/>
              <w:spacing w:line="40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投标函上载明的招标项目工期符合招标文件规定的时间。</w:t>
            </w:r>
          </w:p>
        </w:tc>
      </w:tr>
      <w:tr w14:paraId="65A388E6">
        <w:tblPrEx>
          <w:tblCellMar>
            <w:top w:w="0" w:type="dxa"/>
            <w:left w:w="108" w:type="dxa"/>
            <w:bottom w:w="0" w:type="dxa"/>
            <w:right w:w="108" w:type="dxa"/>
          </w:tblCellMar>
        </w:tblPrEx>
        <w:trPr>
          <w:trHeight w:val="658" w:hRule="atLeast"/>
        </w:trPr>
        <w:tc>
          <w:tcPr>
            <w:tcW w:w="723" w:type="dxa"/>
            <w:vMerge w:val="continue"/>
            <w:tcBorders>
              <w:left w:val="single" w:color="auto" w:sz="4" w:space="0"/>
              <w:right w:val="single" w:color="auto" w:sz="4" w:space="0"/>
            </w:tcBorders>
            <w:vAlign w:val="center"/>
          </w:tcPr>
          <w:p w14:paraId="6F42C576">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14:paraId="6E194790">
            <w:pPr>
              <w:widowControl/>
              <w:adjustRightInd w:val="0"/>
              <w:snapToGrid w:val="0"/>
              <w:spacing w:line="400" w:lineRule="exact"/>
              <w:jc w:val="center"/>
              <w:rPr>
                <w:rFonts w:ascii="宋体" w:hAnsi="宋体" w:cs="宋体"/>
                <w:color w:val="auto"/>
                <w:kern w:val="0"/>
                <w:szCs w:val="21"/>
                <w:highlight w:val="none"/>
              </w:rPr>
            </w:pPr>
          </w:p>
        </w:tc>
        <w:tc>
          <w:tcPr>
            <w:tcW w:w="7429" w:type="dxa"/>
            <w:gridSpan w:val="2"/>
            <w:tcBorders>
              <w:top w:val="single" w:color="auto" w:sz="4" w:space="0"/>
              <w:left w:val="single" w:color="auto" w:sz="4" w:space="0"/>
              <w:bottom w:val="single" w:color="auto" w:sz="4" w:space="0"/>
              <w:right w:val="single" w:color="auto" w:sz="4" w:space="0"/>
            </w:tcBorders>
            <w:vAlign w:val="center"/>
          </w:tcPr>
          <w:p w14:paraId="3E16EDB0">
            <w:pPr>
              <w:pStyle w:val="299"/>
              <w:adjustRightInd w:val="0"/>
              <w:snapToGrid w:val="0"/>
              <w:spacing w:line="40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投标文件对招标文件的实质性要求和条件在投标函</w:t>
            </w:r>
            <w:r>
              <w:rPr>
                <w:rFonts w:hint="eastAsia" w:ascii="宋体" w:hAnsi="宋体"/>
                <w:color w:val="auto"/>
                <w:szCs w:val="21"/>
                <w:highlight w:val="none"/>
                <w:lang w:val="en-US" w:eastAsia="zh-CN"/>
              </w:rPr>
              <w:t>作</w:t>
            </w:r>
            <w:r>
              <w:rPr>
                <w:rFonts w:hint="eastAsia" w:ascii="宋体" w:hAnsi="宋体"/>
                <w:color w:val="auto"/>
                <w:szCs w:val="21"/>
                <w:highlight w:val="none"/>
              </w:rPr>
              <w:t>出响应。</w:t>
            </w:r>
          </w:p>
        </w:tc>
      </w:tr>
      <w:tr w14:paraId="0A2B51EA">
        <w:tblPrEx>
          <w:tblCellMar>
            <w:top w:w="0" w:type="dxa"/>
            <w:left w:w="108" w:type="dxa"/>
            <w:bottom w:w="0" w:type="dxa"/>
            <w:right w:w="108" w:type="dxa"/>
          </w:tblCellMar>
        </w:tblPrEx>
        <w:trPr>
          <w:trHeight w:val="302" w:hRule="atLeast"/>
        </w:trPr>
        <w:tc>
          <w:tcPr>
            <w:tcW w:w="723" w:type="dxa"/>
            <w:vMerge w:val="continue"/>
            <w:tcBorders>
              <w:left w:val="single" w:color="auto" w:sz="4" w:space="0"/>
              <w:bottom w:val="single" w:color="auto" w:sz="4" w:space="0"/>
              <w:right w:val="single" w:color="auto" w:sz="4" w:space="0"/>
            </w:tcBorders>
            <w:vAlign w:val="center"/>
          </w:tcPr>
          <w:p w14:paraId="0EC14DAB">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14:paraId="600DA352">
            <w:pPr>
              <w:widowControl/>
              <w:adjustRightInd w:val="0"/>
              <w:snapToGrid w:val="0"/>
              <w:spacing w:line="400" w:lineRule="exact"/>
              <w:jc w:val="center"/>
              <w:rPr>
                <w:rFonts w:ascii="宋体" w:hAnsi="宋体" w:cs="宋体"/>
                <w:color w:val="auto"/>
                <w:kern w:val="0"/>
                <w:szCs w:val="21"/>
                <w:highlight w:val="none"/>
              </w:rPr>
            </w:pPr>
          </w:p>
        </w:tc>
        <w:tc>
          <w:tcPr>
            <w:tcW w:w="7429" w:type="dxa"/>
            <w:gridSpan w:val="2"/>
            <w:tcBorders>
              <w:top w:val="single" w:color="auto" w:sz="4" w:space="0"/>
              <w:left w:val="single" w:color="auto" w:sz="4" w:space="0"/>
              <w:bottom w:val="single" w:color="auto" w:sz="4" w:space="0"/>
              <w:right w:val="single" w:color="auto" w:sz="4" w:space="0"/>
            </w:tcBorders>
            <w:vAlign w:val="center"/>
          </w:tcPr>
          <w:p w14:paraId="6BD0ACC4">
            <w:pPr>
              <w:pStyle w:val="299"/>
              <w:adjustRightInd w:val="0"/>
              <w:snapToGrid w:val="0"/>
              <w:spacing w:line="40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合同</w:t>
            </w:r>
            <w:r>
              <w:rPr>
                <w:rFonts w:hint="eastAsia" w:ascii="宋体" w:hAnsi="宋体"/>
                <w:color w:val="auto"/>
                <w:szCs w:val="21"/>
                <w:highlight w:val="none"/>
              </w:rPr>
              <w:t>权利义务按招标文件规定在投标函</w:t>
            </w:r>
            <w:r>
              <w:rPr>
                <w:rFonts w:hint="eastAsia" w:ascii="宋体" w:hAnsi="宋体"/>
                <w:color w:val="auto"/>
                <w:szCs w:val="21"/>
                <w:highlight w:val="none"/>
                <w:lang w:val="en-US" w:eastAsia="zh-CN"/>
              </w:rPr>
              <w:t>作</w:t>
            </w:r>
            <w:r>
              <w:rPr>
                <w:rFonts w:hint="eastAsia" w:ascii="宋体" w:hAnsi="宋体"/>
                <w:color w:val="auto"/>
                <w:szCs w:val="21"/>
                <w:highlight w:val="none"/>
              </w:rPr>
              <w:t>出承诺。</w:t>
            </w:r>
          </w:p>
        </w:tc>
      </w:tr>
      <w:tr w14:paraId="75C59FB4">
        <w:tblPrEx>
          <w:tblCellMar>
            <w:top w:w="0" w:type="dxa"/>
            <w:left w:w="108" w:type="dxa"/>
            <w:bottom w:w="0" w:type="dxa"/>
            <w:right w:w="108" w:type="dxa"/>
          </w:tblCellMar>
        </w:tblPrEx>
        <w:trPr>
          <w:trHeight w:val="1651"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76816FBA">
            <w:pPr>
              <w:widowControl/>
              <w:adjustRightInd w:val="0"/>
              <w:snapToGrid w:val="0"/>
              <w:spacing w:line="400" w:lineRule="exact"/>
              <w:ind w:left="-210" w:leftChars="-100" w:right="-210" w:rightChars="-100"/>
              <w:jc w:val="center"/>
              <w:rPr>
                <w:rFonts w:ascii="宋体" w:hAnsi="宋体"/>
                <w:color w:val="auto"/>
                <w:kern w:val="0"/>
                <w:szCs w:val="21"/>
                <w:highlight w:val="none"/>
              </w:rPr>
            </w:pPr>
            <w:r>
              <w:rPr>
                <w:rFonts w:ascii="宋体" w:hAnsi="宋体"/>
                <w:color w:val="auto"/>
                <w:kern w:val="0"/>
                <w:szCs w:val="21"/>
                <w:highlight w:val="none"/>
              </w:rPr>
              <w:t>2.1</w:t>
            </w:r>
          </w:p>
          <w:p w14:paraId="7097DD03">
            <w:pPr>
              <w:widowControl/>
              <w:adjustRightInd w:val="0"/>
              <w:snapToGrid w:val="0"/>
              <w:spacing w:line="400" w:lineRule="exact"/>
              <w:ind w:left="-210" w:leftChars="-100" w:right="-210" w:rightChars="-100"/>
              <w:jc w:val="center"/>
              <w:rPr>
                <w:rFonts w:hint="eastAsia" w:ascii="宋体" w:hAnsi="宋体"/>
                <w:color w:val="auto"/>
                <w:kern w:val="0"/>
                <w:szCs w:val="21"/>
                <w:highlight w:val="none"/>
              </w:rPr>
            </w:pPr>
            <w:r>
              <w:rPr>
                <w:rFonts w:hint="eastAsia" w:ascii="宋体" w:hAnsi="宋体"/>
                <w:color w:val="auto"/>
                <w:kern w:val="0"/>
                <w:szCs w:val="21"/>
                <w:highlight w:val="none"/>
              </w:rPr>
              <w:t>初步</w:t>
            </w:r>
          </w:p>
          <w:p w14:paraId="27277045">
            <w:pPr>
              <w:widowControl/>
              <w:adjustRightInd w:val="0"/>
              <w:snapToGrid w:val="0"/>
              <w:spacing w:line="400" w:lineRule="exact"/>
              <w:ind w:left="-210" w:leftChars="-100" w:right="-210" w:rightChars="-100"/>
              <w:jc w:val="center"/>
              <w:rPr>
                <w:rFonts w:hint="eastAsia" w:ascii="宋体" w:hAnsi="宋体"/>
                <w:color w:val="auto"/>
                <w:kern w:val="0"/>
                <w:szCs w:val="21"/>
                <w:highlight w:val="none"/>
              </w:rPr>
            </w:pPr>
            <w:r>
              <w:rPr>
                <w:rFonts w:hint="eastAsia" w:ascii="宋体" w:hAnsi="宋体"/>
                <w:color w:val="auto"/>
                <w:kern w:val="0"/>
                <w:szCs w:val="21"/>
                <w:highlight w:val="none"/>
              </w:rPr>
              <w:t>评审</w:t>
            </w:r>
          </w:p>
          <w:p w14:paraId="4E170E02">
            <w:pPr>
              <w:widowControl/>
              <w:adjustRightInd w:val="0"/>
              <w:snapToGrid w:val="0"/>
              <w:spacing w:line="400" w:lineRule="exact"/>
              <w:ind w:left="-210" w:leftChars="-100" w:right="-210" w:rightChars="-100"/>
              <w:jc w:val="center"/>
              <w:rPr>
                <w:rFonts w:ascii="宋体" w:hAnsi="宋体"/>
                <w:color w:val="auto"/>
                <w:kern w:val="0"/>
                <w:szCs w:val="21"/>
                <w:highlight w:val="none"/>
              </w:rPr>
            </w:pPr>
            <w:r>
              <w:rPr>
                <w:rFonts w:hint="eastAsia" w:ascii="宋体" w:hAnsi="宋体"/>
                <w:color w:val="auto"/>
                <w:kern w:val="0"/>
                <w:szCs w:val="21"/>
                <w:highlight w:val="none"/>
              </w:rPr>
              <w:t>标准</w:t>
            </w:r>
          </w:p>
          <w:p w14:paraId="5720FD11">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（第二</w:t>
            </w:r>
          </w:p>
          <w:p w14:paraId="3C1ECFD6">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个信</w:t>
            </w:r>
          </w:p>
          <w:p w14:paraId="1A6079E5">
            <w:pPr>
              <w:adjustRightInd w:val="0"/>
              <w:snapToGrid w:val="0"/>
              <w:spacing w:line="400" w:lineRule="exact"/>
              <w:ind w:left="-210" w:leftChars="-100" w:right="-210" w:rightChars="-100"/>
              <w:jc w:val="center"/>
              <w:rPr>
                <w:rFonts w:ascii="宋体" w:hAnsi="宋体"/>
                <w:color w:val="auto"/>
                <w:kern w:val="0"/>
                <w:szCs w:val="21"/>
                <w:highlight w:val="none"/>
              </w:rPr>
            </w:pPr>
            <w:r>
              <w:rPr>
                <w:rFonts w:hint="eastAsia" w:ascii="宋体" w:hAnsi="宋体" w:cs="宋体"/>
                <w:color w:val="auto"/>
                <w:kern w:val="0"/>
                <w:szCs w:val="21"/>
                <w:highlight w:val="none"/>
              </w:rPr>
              <w:t>封）</w:t>
            </w:r>
          </w:p>
        </w:tc>
        <w:tc>
          <w:tcPr>
            <w:tcW w:w="827" w:type="dxa"/>
            <w:vMerge w:val="restart"/>
            <w:tcBorders>
              <w:top w:val="single" w:color="auto" w:sz="4" w:space="0"/>
              <w:left w:val="single" w:color="auto" w:sz="4" w:space="0"/>
              <w:bottom w:val="single" w:color="auto" w:sz="4" w:space="0"/>
              <w:right w:val="single" w:color="auto" w:sz="4" w:space="0"/>
            </w:tcBorders>
            <w:vAlign w:val="center"/>
          </w:tcPr>
          <w:p w14:paraId="35D18F4A">
            <w:pPr>
              <w:widowControl/>
              <w:adjustRightInd w:val="0"/>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2.1.1</w:t>
            </w:r>
          </w:p>
          <w:p w14:paraId="1C61A5F2">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形式评审标准</w:t>
            </w:r>
          </w:p>
        </w:tc>
        <w:tc>
          <w:tcPr>
            <w:tcW w:w="2292" w:type="dxa"/>
            <w:tcBorders>
              <w:top w:val="single" w:color="auto" w:sz="4" w:space="0"/>
              <w:left w:val="single" w:color="auto" w:sz="4" w:space="0"/>
              <w:bottom w:val="single" w:color="auto" w:sz="4" w:space="0"/>
              <w:right w:val="single" w:color="auto" w:sz="4" w:space="0"/>
            </w:tcBorders>
            <w:vAlign w:val="center"/>
          </w:tcPr>
          <w:p w14:paraId="27BC833C">
            <w:pPr>
              <w:widowControl/>
              <w:adjustRightInd w:val="0"/>
              <w:snapToGrid w:val="0"/>
              <w:spacing w:line="400" w:lineRule="exact"/>
              <w:rPr>
                <w:rFonts w:ascii="宋体" w:hAnsi="宋体"/>
                <w:color w:val="auto"/>
                <w:kern w:val="0"/>
                <w:szCs w:val="21"/>
                <w:highlight w:val="none"/>
              </w:rPr>
            </w:pPr>
            <w:r>
              <w:rPr>
                <w:rFonts w:ascii="宋体" w:hAnsi="宋体"/>
                <w:color w:val="auto"/>
                <w:szCs w:val="21"/>
                <w:highlight w:val="none"/>
              </w:rPr>
              <w:t>1．投标文件中的重要内容按照招标文件规定的格式、内容填写，字迹、印章清晰可辨</w:t>
            </w:r>
          </w:p>
        </w:tc>
        <w:tc>
          <w:tcPr>
            <w:tcW w:w="5137" w:type="dxa"/>
            <w:tcBorders>
              <w:top w:val="single" w:color="auto" w:sz="4" w:space="0"/>
              <w:left w:val="single" w:color="auto" w:sz="4" w:space="0"/>
              <w:bottom w:val="single" w:color="auto" w:sz="4" w:space="0"/>
              <w:right w:val="single" w:color="auto" w:sz="4" w:space="0"/>
            </w:tcBorders>
            <w:vAlign w:val="center"/>
          </w:tcPr>
          <w:p w14:paraId="317B568E">
            <w:pPr>
              <w:widowControl/>
              <w:adjustRightInd w:val="0"/>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color w:val="auto"/>
                <w:szCs w:val="21"/>
                <w:highlight w:val="none"/>
              </w:rPr>
              <w:t>投标函</w:t>
            </w:r>
            <w:r>
              <w:rPr>
                <w:rFonts w:hint="eastAsia"/>
                <w:color w:val="auto"/>
                <w:szCs w:val="21"/>
                <w:highlight w:val="none"/>
                <w:lang w:eastAsia="zh-CN"/>
              </w:rPr>
              <w:t>（</w:t>
            </w:r>
            <w:r>
              <w:rPr>
                <w:rFonts w:hint="eastAsia"/>
                <w:color w:val="auto"/>
                <w:szCs w:val="21"/>
                <w:highlight w:val="none"/>
                <w:lang w:val="en-US" w:eastAsia="zh-CN"/>
              </w:rPr>
              <w:t>第二个信封</w:t>
            </w:r>
            <w:r>
              <w:rPr>
                <w:rFonts w:hint="eastAsia"/>
                <w:color w:val="auto"/>
                <w:szCs w:val="21"/>
                <w:highlight w:val="none"/>
                <w:lang w:eastAsia="zh-CN"/>
              </w:rPr>
              <w:t>）</w:t>
            </w:r>
            <w:r>
              <w:rPr>
                <w:rFonts w:hint="eastAsia"/>
                <w:color w:val="auto"/>
                <w:szCs w:val="21"/>
                <w:highlight w:val="none"/>
              </w:rPr>
              <w:t>符合第九章“投标文件格式”要求</w:t>
            </w:r>
            <w:r>
              <w:rPr>
                <w:rFonts w:hint="eastAsia"/>
                <w:color w:val="auto"/>
                <w:szCs w:val="21"/>
                <w:highlight w:val="none"/>
                <w:lang w:eastAsia="zh-CN"/>
              </w:rPr>
              <w:t>。</w:t>
            </w:r>
          </w:p>
          <w:p w14:paraId="4A30EE64">
            <w:pPr>
              <w:widowControl/>
              <w:adjustRightInd w:val="0"/>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r>
              <w:rPr>
                <w:rFonts w:ascii="宋体" w:hAnsi="宋体" w:cs="宋体"/>
                <w:color w:val="auto"/>
                <w:kern w:val="0"/>
                <w:szCs w:val="21"/>
                <w:highlight w:val="none"/>
              </w:rPr>
              <w:t>2）已标价工程量清单说明与招标文件规定一致,未进行修改和删减</w:t>
            </w:r>
            <w:r>
              <w:rPr>
                <w:rFonts w:hint="eastAsia" w:ascii="宋体" w:hAnsi="宋体" w:cs="宋体"/>
                <w:color w:val="auto"/>
                <w:kern w:val="0"/>
                <w:szCs w:val="21"/>
                <w:highlight w:val="none"/>
                <w:lang w:eastAsia="zh-CN"/>
              </w:rPr>
              <w:t>。</w:t>
            </w:r>
          </w:p>
          <w:p w14:paraId="203006F5">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3）投标文件组成齐全完整，内容均按规定填写。</w:t>
            </w:r>
          </w:p>
        </w:tc>
      </w:tr>
      <w:tr w14:paraId="6B87805F">
        <w:tblPrEx>
          <w:tblCellMar>
            <w:top w:w="0" w:type="dxa"/>
            <w:left w:w="108" w:type="dxa"/>
            <w:bottom w:w="0" w:type="dxa"/>
            <w:right w:w="108" w:type="dxa"/>
          </w:tblCellMar>
        </w:tblPrEx>
        <w:trPr>
          <w:trHeight w:val="247"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177884C5">
            <w:pPr>
              <w:adjustRightInd w:val="0"/>
              <w:snapToGrid w:val="0"/>
              <w:spacing w:line="400" w:lineRule="exact"/>
              <w:ind w:left="-210" w:leftChars="-100" w:right="-210" w:rightChars="-100"/>
              <w:jc w:val="center"/>
              <w:rPr>
                <w:rFonts w:ascii="宋体" w:hAnsi="宋体" w:cs="宋体"/>
                <w:b/>
                <w:bCs/>
                <w:color w:val="auto"/>
                <w:kern w:val="0"/>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14:paraId="28D6A7EC">
            <w:pPr>
              <w:widowControl/>
              <w:adjustRightInd w:val="0"/>
              <w:snapToGrid w:val="0"/>
              <w:spacing w:line="400" w:lineRule="exact"/>
              <w:jc w:val="left"/>
              <w:rPr>
                <w:rFonts w:ascii="宋体" w:hAnsi="宋体" w:cs="宋体"/>
                <w:b/>
                <w:bCs/>
                <w:color w:val="auto"/>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14:paraId="64250570">
            <w:pPr>
              <w:widowControl/>
              <w:adjustRightInd w:val="0"/>
              <w:snapToGrid w:val="0"/>
              <w:spacing w:line="400" w:lineRule="exact"/>
              <w:rPr>
                <w:rFonts w:ascii="宋体" w:hAnsi="宋体"/>
                <w:color w:val="auto"/>
                <w:kern w:val="0"/>
                <w:szCs w:val="21"/>
                <w:highlight w:val="none"/>
              </w:rPr>
            </w:pPr>
            <w:r>
              <w:rPr>
                <w:rFonts w:ascii="宋体" w:hAnsi="宋体"/>
                <w:color w:val="auto"/>
                <w:szCs w:val="21"/>
                <w:highlight w:val="none"/>
              </w:rPr>
              <w:t>2．</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5137" w:type="dxa"/>
            <w:tcBorders>
              <w:top w:val="single" w:color="auto" w:sz="4" w:space="0"/>
              <w:left w:val="single" w:color="auto" w:sz="4" w:space="0"/>
              <w:bottom w:val="single" w:color="auto" w:sz="4" w:space="0"/>
              <w:right w:val="single" w:color="000000" w:sz="4" w:space="0"/>
            </w:tcBorders>
            <w:vAlign w:val="center"/>
          </w:tcPr>
          <w:p w14:paraId="15415174">
            <w:pPr>
              <w:pStyle w:val="299"/>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color w:val="auto"/>
                <w:szCs w:val="21"/>
                <w:highlight w:val="none"/>
                <w:lang w:eastAsia="zh-CN"/>
              </w:rPr>
              <w:t>（</w:t>
            </w:r>
            <w:r>
              <w:rPr>
                <w:rFonts w:hint="eastAsia"/>
                <w:color w:val="auto"/>
                <w:szCs w:val="21"/>
                <w:highlight w:val="none"/>
                <w:lang w:val="en-US" w:eastAsia="zh-CN"/>
              </w:rPr>
              <w:t>第二个信封</w:t>
            </w:r>
            <w:r>
              <w:rPr>
                <w:rFonts w:hint="eastAsia"/>
                <w:color w:val="auto"/>
                <w:szCs w:val="21"/>
                <w:highlight w:val="none"/>
                <w:lang w:eastAsia="zh-CN"/>
              </w:rPr>
              <w:t>）</w:t>
            </w:r>
            <w:r>
              <w:rPr>
                <w:rFonts w:ascii="宋体" w:hAnsi="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，投标人均应使用单位CA数字证书加盖投标人的单位电子印章；投标函</w:t>
            </w:r>
            <w:r>
              <w:rPr>
                <w:rFonts w:hint="eastAsia"/>
                <w:color w:val="auto"/>
                <w:szCs w:val="21"/>
                <w:highlight w:val="none"/>
                <w:lang w:eastAsia="zh-CN"/>
              </w:rPr>
              <w:t>（</w:t>
            </w:r>
            <w:r>
              <w:rPr>
                <w:rFonts w:hint="eastAsia"/>
                <w:color w:val="auto"/>
                <w:szCs w:val="21"/>
                <w:highlight w:val="none"/>
                <w:lang w:val="en-US" w:eastAsia="zh-CN"/>
              </w:rPr>
              <w:t>第二个信封</w:t>
            </w:r>
            <w:r>
              <w:rPr>
                <w:rFonts w:hint="eastAsia"/>
                <w:color w:val="auto"/>
                <w:szCs w:val="21"/>
                <w:highlight w:val="none"/>
                <w:lang w:eastAsia="zh-CN"/>
              </w:rPr>
              <w:t>）</w:t>
            </w:r>
            <w:r>
              <w:rPr>
                <w:rFonts w:ascii="宋体" w:hAnsi="宋体" w:cs="宋体"/>
                <w:color w:val="auto"/>
                <w:szCs w:val="21"/>
                <w:highlight w:val="none"/>
              </w:rPr>
              <w:t>中要求签字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，投标人均应使用个人CA数字证书加盖法定代表人或其委托代理人的个人电子签名章或个人电子印章。</w:t>
            </w:r>
          </w:p>
          <w:p w14:paraId="56CD48E3">
            <w:pPr>
              <w:pStyle w:val="299"/>
              <w:adjustRightInd w:val="0"/>
              <w:snapToGrid w:val="0"/>
              <w:spacing w:line="400" w:lineRule="exact"/>
              <w:rPr>
                <w:rFonts w:ascii="宋体" w:hAnsi="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以</w:t>
            </w:r>
            <w:r>
              <w:rPr>
                <w:rFonts w:hint="eastAsia" w:ascii="宋体" w:hAnsi="宋体"/>
                <w:color w:val="auto"/>
                <w:szCs w:val="21"/>
                <w:highlight w:val="none"/>
              </w:rPr>
              <w:t>联合体</w:t>
            </w:r>
            <w:r>
              <w:rPr>
                <w:rFonts w:hint="eastAsia" w:ascii="宋体" w:hAnsi="宋体"/>
                <w:color w:val="auto"/>
                <w:szCs w:val="21"/>
                <w:highlight w:val="none"/>
                <w:lang w:val="en-US" w:eastAsia="zh-CN"/>
              </w:rPr>
              <w:t>形式</w:t>
            </w:r>
            <w:r>
              <w:rPr>
                <w:rFonts w:hint="eastAsia" w:ascii="宋体" w:hAnsi="宋体"/>
                <w:color w:val="auto"/>
                <w:szCs w:val="21"/>
                <w:highlight w:val="none"/>
              </w:rPr>
              <w:t>投标的，投标函</w:t>
            </w:r>
            <w:r>
              <w:rPr>
                <w:rFonts w:hint="eastAsia"/>
                <w:color w:val="auto"/>
                <w:szCs w:val="21"/>
                <w:highlight w:val="none"/>
                <w:lang w:eastAsia="zh-CN"/>
              </w:rPr>
              <w:t>（</w:t>
            </w:r>
            <w:r>
              <w:rPr>
                <w:rFonts w:hint="eastAsia"/>
                <w:color w:val="auto"/>
                <w:szCs w:val="21"/>
                <w:highlight w:val="none"/>
                <w:lang w:val="en-US" w:eastAsia="zh-CN"/>
              </w:rPr>
              <w:t>第二个信封</w:t>
            </w:r>
            <w:r>
              <w:rPr>
                <w:rFonts w:hint="eastAsia"/>
                <w:color w:val="auto"/>
                <w:szCs w:val="21"/>
                <w:highlight w:val="none"/>
                <w:lang w:eastAsia="zh-CN"/>
              </w:rPr>
              <w:t>）</w:t>
            </w:r>
            <w:r>
              <w:rPr>
                <w:rFonts w:hint="eastAsia" w:ascii="宋体" w:hAnsi="宋体"/>
                <w:color w:val="auto"/>
                <w:szCs w:val="21"/>
                <w:highlight w:val="none"/>
              </w:rPr>
              <w:t>由联合体牵头人按上述</w:t>
            </w:r>
            <w:r>
              <w:rPr>
                <w:rFonts w:hint="eastAsia" w:ascii="宋体" w:hAnsi="宋体"/>
                <w:color w:val="auto"/>
                <w:szCs w:val="21"/>
                <w:highlight w:val="none"/>
                <w:lang w:val="en-US" w:eastAsia="zh-CN"/>
              </w:rPr>
              <w:t>规定</w:t>
            </w:r>
            <w:r>
              <w:rPr>
                <w:rFonts w:hint="eastAsia" w:ascii="宋体" w:hAnsi="宋体"/>
                <w:color w:val="auto"/>
                <w:szCs w:val="21"/>
                <w:highlight w:val="none"/>
              </w:rPr>
              <w:t>完成签字、盖章。</w:t>
            </w:r>
          </w:p>
        </w:tc>
      </w:tr>
      <w:tr w14:paraId="3E53D84D">
        <w:tblPrEx>
          <w:tblCellMar>
            <w:top w:w="0" w:type="dxa"/>
            <w:left w:w="108" w:type="dxa"/>
            <w:bottom w:w="0" w:type="dxa"/>
            <w:right w:w="108" w:type="dxa"/>
          </w:tblCellMar>
        </w:tblPrEx>
        <w:tc>
          <w:tcPr>
            <w:tcW w:w="723" w:type="dxa"/>
            <w:vMerge w:val="continue"/>
            <w:tcBorders>
              <w:top w:val="single" w:color="auto" w:sz="4" w:space="0"/>
              <w:left w:val="single" w:color="auto" w:sz="4" w:space="0"/>
              <w:bottom w:val="single" w:color="auto" w:sz="4" w:space="0"/>
              <w:right w:val="single" w:color="auto" w:sz="4" w:space="0"/>
            </w:tcBorders>
            <w:vAlign w:val="center"/>
          </w:tcPr>
          <w:p w14:paraId="037A8C02">
            <w:pPr>
              <w:adjustRightInd w:val="0"/>
              <w:snapToGrid w:val="0"/>
              <w:spacing w:line="400" w:lineRule="exact"/>
              <w:ind w:left="-210" w:leftChars="-100" w:right="-210" w:rightChars="-100"/>
              <w:jc w:val="center"/>
              <w:rPr>
                <w:rFonts w:ascii="宋体" w:hAnsi="宋体"/>
                <w:color w:val="auto"/>
                <w:kern w:val="0"/>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6D688566">
            <w:pPr>
              <w:widowControl/>
              <w:adjustRightInd w:val="0"/>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2.1.3</w:t>
            </w:r>
          </w:p>
          <w:p w14:paraId="017B6F51">
            <w:pPr>
              <w:adjustRightInd w:val="0"/>
              <w:snapToGrid w:val="0"/>
              <w:spacing w:line="400" w:lineRule="exact"/>
              <w:jc w:val="center"/>
              <w:rPr>
                <w:rFonts w:ascii="宋体" w:hAnsi="宋体"/>
                <w:color w:val="auto"/>
                <w:kern w:val="0"/>
                <w:szCs w:val="21"/>
                <w:highlight w:val="none"/>
              </w:rPr>
            </w:pPr>
            <w:r>
              <w:rPr>
                <w:rFonts w:hint="eastAsia" w:ascii="宋体" w:hAnsi="宋体"/>
                <w:color w:val="auto"/>
                <w:szCs w:val="21"/>
                <w:highlight w:val="none"/>
              </w:rPr>
              <w:t>响应性评审标准</w:t>
            </w:r>
          </w:p>
        </w:tc>
        <w:tc>
          <w:tcPr>
            <w:tcW w:w="2292" w:type="dxa"/>
            <w:tcBorders>
              <w:top w:val="single" w:color="auto" w:sz="4" w:space="0"/>
              <w:left w:val="single" w:color="auto" w:sz="4" w:space="0"/>
              <w:bottom w:val="single" w:color="auto" w:sz="4" w:space="0"/>
              <w:right w:val="single" w:color="auto" w:sz="4" w:space="0"/>
            </w:tcBorders>
            <w:vAlign w:val="center"/>
          </w:tcPr>
          <w:p w14:paraId="672BB77B">
            <w:pPr>
              <w:widowControl/>
              <w:adjustRightInd w:val="0"/>
              <w:snapToGrid w:val="0"/>
              <w:spacing w:line="400" w:lineRule="exact"/>
              <w:rPr>
                <w:rFonts w:ascii="宋体" w:hAnsi="宋体"/>
                <w:color w:val="auto"/>
                <w:szCs w:val="21"/>
                <w:highlight w:val="none"/>
              </w:rPr>
            </w:pPr>
            <w:r>
              <w:rPr>
                <w:rFonts w:ascii="宋体" w:hAnsi="宋体" w:cs="宋体"/>
                <w:color w:val="auto"/>
                <w:szCs w:val="21"/>
                <w:highlight w:val="none"/>
              </w:rPr>
              <w:t>1.投标文件应符合的其他规定</w:t>
            </w:r>
          </w:p>
        </w:tc>
        <w:tc>
          <w:tcPr>
            <w:tcW w:w="5137" w:type="dxa"/>
            <w:tcBorders>
              <w:top w:val="single" w:color="auto" w:sz="4" w:space="0"/>
              <w:left w:val="single" w:color="auto" w:sz="4" w:space="0"/>
              <w:bottom w:val="single" w:color="auto" w:sz="4" w:space="0"/>
              <w:right w:val="single" w:color="auto" w:sz="4" w:space="0"/>
            </w:tcBorders>
            <w:vAlign w:val="center"/>
          </w:tcPr>
          <w:p w14:paraId="6DBE7408">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1）投标报价未超过招标文件设定的最高投标限价（如有）。</w:t>
            </w:r>
          </w:p>
          <w:p w14:paraId="33422DC2">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2）投标报价的大写金额能够确定具体数值。</w:t>
            </w:r>
            <w:r>
              <w:rPr>
                <w:rStyle w:val="59"/>
                <w:rFonts w:ascii="宋体" w:hAnsi="宋体"/>
                <w:color w:val="auto"/>
                <w:szCs w:val="21"/>
                <w:highlight w:val="none"/>
              </w:rPr>
              <w:footnoteReference w:id="131"/>
            </w:r>
          </w:p>
          <w:p w14:paraId="28798815">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s="宋体"/>
                <w:color w:val="auto"/>
                <w:szCs w:val="21"/>
                <w:highlight w:val="none"/>
              </w:rPr>
              <w:t>同一投标人未提交两个</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以上</w:t>
            </w:r>
            <w:r>
              <w:rPr>
                <w:rFonts w:ascii="宋体" w:hAnsi="宋体" w:cs="宋体"/>
                <w:color w:val="auto"/>
                <w:szCs w:val="21"/>
                <w:highlight w:val="none"/>
              </w:rPr>
              <w:t>投标报价，</w:t>
            </w:r>
            <w:r>
              <w:rPr>
                <w:rFonts w:hint="eastAsia" w:ascii="宋体" w:hAnsi="宋体" w:cs="宋体"/>
                <w:color w:val="auto"/>
                <w:szCs w:val="21"/>
                <w:highlight w:val="none"/>
              </w:rPr>
              <w:t>但招标文件要求提交备选</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方案的除外</w:t>
            </w:r>
            <w:r>
              <w:rPr>
                <w:rFonts w:ascii="宋体" w:hAnsi="宋体"/>
                <w:color w:val="auto"/>
                <w:szCs w:val="21"/>
                <w:highlight w:val="none"/>
              </w:rPr>
              <w:t>。</w:t>
            </w:r>
          </w:p>
          <w:p w14:paraId="3AD9C5FF">
            <w:pPr>
              <w:widowControl/>
              <w:adjustRightInd w:val="0"/>
              <w:snapToGrid w:val="0"/>
              <w:spacing w:line="400" w:lineRule="exact"/>
              <w:rPr>
                <w:rFonts w:hint="eastAsia" w:ascii="宋体" w:hAnsi="宋体"/>
                <w:color w:val="auto"/>
                <w:kern w:val="0"/>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kern w:val="0"/>
                <w:szCs w:val="21"/>
                <w:highlight w:val="none"/>
              </w:rPr>
              <w:t>若采用工程量固化清单电子方式，投标人填写完毕的工程量固化清单未对工程量固化清单电子文件中的数据、格式和运算定义进行修改。</w:t>
            </w:r>
          </w:p>
          <w:p w14:paraId="3DFE7471">
            <w:pPr>
              <w:widowControl/>
              <w:adjustRightInd w:val="0"/>
              <w:snapToGrid w:val="0"/>
              <w:spacing w:line="400" w:lineRule="exact"/>
              <w:rPr>
                <w:rFonts w:hint="eastAsia" w:ascii="宋体" w:hAnsi="宋体"/>
                <w:color w:val="auto"/>
                <w:kern w:val="0"/>
                <w:szCs w:val="21"/>
                <w:highlight w:val="none"/>
              </w:rPr>
            </w:pPr>
            <w:r>
              <w:rPr>
                <w:rFonts w:hint="eastAsia" w:ascii="宋体" w:hAnsi="宋体" w:eastAsia="宋体" w:cs="宋体"/>
                <w:color w:val="auto"/>
                <w:kern w:val="0"/>
                <w:szCs w:val="21"/>
                <w:highlight w:val="none"/>
              </w:rPr>
              <w:t>……</w:t>
            </w:r>
          </w:p>
        </w:tc>
      </w:tr>
    </w:tbl>
    <w:p w14:paraId="3A223DD6">
      <w:pPr>
        <w:rPr>
          <w:color w:val="auto"/>
          <w:highlight w:val="none"/>
        </w:rPr>
      </w:pPr>
    </w:p>
    <w:p w14:paraId="368770D5">
      <w:pPr>
        <w:rPr>
          <w:color w:val="auto"/>
          <w:highlight w:val="none"/>
        </w:rPr>
      </w:pPr>
    </w:p>
    <w:p w14:paraId="2E90DE3D">
      <w:pPr>
        <w:rPr>
          <w:rFonts w:hint="eastAsia"/>
          <w:color w:val="auto"/>
          <w:highlight w:val="none"/>
          <w:lang w:val="en-US" w:eastAsia="zh-CN"/>
        </w:rPr>
      </w:pPr>
      <w:r>
        <w:rPr>
          <w:rFonts w:hint="eastAsia"/>
          <w:color w:val="auto"/>
          <w:highlight w:val="none"/>
          <w:lang w:val="en-US" w:eastAsia="zh-CN"/>
        </w:rPr>
        <w:br w:type="page"/>
      </w:r>
    </w:p>
    <w:p w14:paraId="25DC50CB">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9"/>
        <w:tblW w:w="8818" w:type="dxa"/>
        <w:tblInd w:w="-34" w:type="dxa"/>
        <w:tblLayout w:type="fixed"/>
        <w:tblCellMar>
          <w:top w:w="0" w:type="dxa"/>
          <w:left w:w="108" w:type="dxa"/>
          <w:bottom w:w="0" w:type="dxa"/>
          <w:right w:w="108" w:type="dxa"/>
        </w:tblCellMar>
      </w:tblPr>
      <w:tblGrid>
        <w:gridCol w:w="993"/>
        <w:gridCol w:w="1134"/>
        <w:gridCol w:w="6691"/>
      </w:tblGrid>
      <w:tr w14:paraId="726BAA17">
        <w:tblPrEx>
          <w:tblCellMar>
            <w:top w:w="0" w:type="dxa"/>
            <w:left w:w="108" w:type="dxa"/>
            <w:bottom w:w="0" w:type="dxa"/>
            <w:right w:w="108" w:type="dxa"/>
          </w:tblCellMar>
        </w:tblPrEx>
        <w:trPr>
          <w:trHeight w:val="437" w:hRule="atLeast"/>
        </w:trPr>
        <w:tc>
          <w:tcPr>
            <w:tcW w:w="993" w:type="dxa"/>
            <w:tcBorders>
              <w:top w:val="single" w:color="auto" w:sz="4" w:space="0"/>
              <w:left w:val="single" w:color="auto" w:sz="4" w:space="0"/>
              <w:bottom w:val="single" w:color="auto" w:sz="4" w:space="0"/>
              <w:right w:val="single" w:color="auto" w:sz="4" w:space="0"/>
            </w:tcBorders>
            <w:vAlign w:val="center"/>
          </w:tcPr>
          <w:p w14:paraId="45765D23">
            <w:pPr>
              <w:spacing w:line="400" w:lineRule="exact"/>
              <w:jc w:val="center"/>
              <w:rPr>
                <w:rFonts w:hint="eastAsia" w:ascii="宋体" w:hAnsi="宋体" w:eastAsia="宋体" w:cs="宋体"/>
                <w:b/>
                <w:bCs/>
                <w:color w:val="auto"/>
                <w:kern w:val="0"/>
                <w:szCs w:val="21"/>
                <w:highlight w:val="none"/>
                <w:u w:val="none"/>
                <w:lang w:val="en-US" w:eastAsia="zh-CN"/>
              </w:rPr>
            </w:pPr>
            <w:r>
              <w:rPr>
                <w:rFonts w:hint="eastAsia" w:ascii="宋体" w:hAnsi="宋体" w:cs="宋体"/>
                <w:b/>
                <w:bCs/>
                <w:color w:val="auto"/>
                <w:kern w:val="0"/>
                <w:szCs w:val="21"/>
                <w:highlight w:val="none"/>
                <w:u w:val="none"/>
                <w:lang w:val="en-US" w:eastAsia="zh-CN"/>
              </w:rPr>
              <w:t>条款号</w:t>
            </w:r>
          </w:p>
        </w:tc>
        <w:tc>
          <w:tcPr>
            <w:tcW w:w="1134" w:type="dxa"/>
            <w:tcBorders>
              <w:top w:val="single" w:color="auto" w:sz="4" w:space="0"/>
              <w:left w:val="single" w:color="auto" w:sz="4" w:space="0"/>
              <w:bottom w:val="single" w:color="auto" w:sz="4" w:space="0"/>
              <w:right w:val="single" w:color="000000" w:sz="4" w:space="0"/>
            </w:tcBorders>
            <w:vAlign w:val="center"/>
          </w:tcPr>
          <w:p w14:paraId="40024B63">
            <w:pPr>
              <w:widowControl/>
              <w:adjustRightInd w:val="0"/>
              <w:snapToGrid w:val="0"/>
              <w:spacing w:line="400" w:lineRule="exact"/>
              <w:jc w:val="center"/>
              <w:rPr>
                <w:rFonts w:hint="eastAsia" w:ascii="宋体" w:hAnsi="宋体" w:eastAsia="宋体" w:cs="宋体"/>
                <w:b/>
                <w:bCs/>
                <w:color w:val="auto"/>
                <w:kern w:val="0"/>
                <w:szCs w:val="21"/>
                <w:highlight w:val="none"/>
                <w:u w:val="none"/>
                <w:lang w:val="en-US" w:eastAsia="zh-CN"/>
              </w:rPr>
            </w:pPr>
            <w:r>
              <w:rPr>
                <w:rFonts w:hint="eastAsia" w:ascii="宋体" w:hAnsi="宋体" w:cs="宋体"/>
                <w:b/>
                <w:bCs/>
                <w:color w:val="auto"/>
                <w:kern w:val="0"/>
                <w:szCs w:val="21"/>
                <w:highlight w:val="none"/>
                <w:u w:val="none"/>
                <w:lang w:val="en-US" w:eastAsia="zh-CN"/>
              </w:rPr>
              <w:t>条款内容</w:t>
            </w:r>
          </w:p>
        </w:tc>
        <w:tc>
          <w:tcPr>
            <w:tcW w:w="6691" w:type="dxa"/>
            <w:tcBorders>
              <w:top w:val="single" w:color="auto" w:sz="4" w:space="0"/>
              <w:left w:val="single" w:color="auto" w:sz="4" w:space="0"/>
              <w:bottom w:val="single" w:color="auto" w:sz="4" w:space="0"/>
              <w:right w:val="single" w:color="auto" w:sz="4" w:space="0"/>
            </w:tcBorders>
            <w:vAlign w:val="center"/>
          </w:tcPr>
          <w:p w14:paraId="3BC218C4">
            <w:pPr>
              <w:widowControl/>
              <w:adjustRightInd w:val="0"/>
              <w:snapToGrid w:val="0"/>
              <w:spacing w:line="400" w:lineRule="exact"/>
              <w:ind w:firstLine="632" w:firstLineChars="300"/>
              <w:jc w:val="center"/>
              <w:rPr>
                <w:rFonts w:hint="eastAsia" w:ascii="宋体" w:hAnsi="宋体" w:eastAsia="宋体" w:cs="宋体"/>
                <w:b/>
                <w:bCs/>
                <w:color w:val="auto"/>
                <w:szCs w:val="21"/>
                <w:highlight w:val="none"/>
                <w:u w:val="none"/>
                <w:lang w:val="en-US" w:eastAsia="zh-CN"/>
              </w:rPr>
            </w:pPr>
            <w:r>
              <w:rPr>
                <w:rFonts w:hint="eastAsia" w:ascii="宋体" w:hAnsi="宋体" w:cs="宋体"/>
                <w:b/>
                <w:bCs/>
                <w:color w:val="auto"/>
                <w:szCs w:val="21"/>
                <w:highlight w:val="none"/>
                <w:u w:val="none"/>
                <w:lang w:val="en-US" w:eastAsia="zh-CN"/>
              </w:rPr>
              <w:t>编列内容</w:t>
            </w:r>
          </w:p>
        </w:tc>
      </w:tr>
      <w:tr w14:paraId="2468A353">
        <w:tblPrEx>
          <w:tblCellMar>
            <w:top w:w="0" w:type="dxa"/>
            <w:left w:w="108" w:type="dxa"/>
            <w:bottom w:w="0" w:type="dxa"/>
            <w:right w:w="108" w:type="dxa"/>
          </w:tblCellMar>
        </w:tblPrEx>
        <w:trPr>
          <w:trHeight w:val="657" w:hRule="atLeast"/>
        </w:trPr>
        <w:tc>
          <w:tcPr>
            <w:tcW w:w="993" w:type="dxa"/>
            <w:tcBorders>
              <w:top w:val="single" w:color="auto" w:sz="4" w:space="0"/>
              <w:left w:val="single" w:color="auto" w:sz="4" w:space="0"/>
              <w:bottom w:val="single" w:color="auto" w:sz="4" w:space="0"/>
              <w:right w:val="single" w:color="auto" w:sz="4" w:space="0"/>
            </w:tcBorders>
            <w:vAlign w:val="center"/>
          </w:tcPr>
          <w:p w14:paraId="688273C7">
            <w:pPr>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2.2.1</w:t>
            </w:r>
          </w:p>
        </w:tc>
        <w:tc>
          <w:tcPr>
            <w:tcW w:w="1134" w:type="dxa"/>
            <w:tcBorders>
              <w:top w:val="single" w:color="auto" w:sz="4" w:space="0"/>
              <w:left w:val="single" w:color="auto" w:sz="4" w:space="0"/>
              <w:bottom w:val="single" w:color="auto" w:sz="4" w:space="0"/>
              <w:right w:val="single" w:color="000000" w:sz="4" w:space="0"/>
            </w:tcBorders>
            <w:vAlign w:val="center"/>
          </w:tcPr>
          <w:p w14:paraId="40C6D227">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第一个信封评分分值构成</w:t>
            </w:r>
            <w:r>
              <w:rPr>
                <w:rFonts w:ascii="宋体" w:hAnsi="宋体" w:cs="宋体"/>
                <w:color w:val="auto"/>
                <w:szCs w:val="21"/>
                <w:highlight w:val="none"/>
                <w:vertAlign w:val="superscript"/>
              </w:rPr>
              <w:footnoteReference w:id="132"/>
            </w:r>
          </w:p>
          <w:p w14:paraId="02EE3762">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（总分</w:t>
            </w:r>
            <w:r>
              <w:rPr>
                <w:rFonts w:ascii="宋体" w:hAnsi="宋体" w:cs="宋体"/>
                <w:color w:val="auto"/>
                <w:kern w:val="0"/>
                <w:szCs w:val="21"/>
                <w:highlight w:val="none"/>
              </w:rPr>
              <w:t>100分）</w:t>
            </w:r>
          </w:p>
        </w:tc>
        <w:tc>
          <w:tcPr>
            <w:tcW w:w="6691" w:type="dxa"/>
            <w:tcBorders>
              <w:top w:val="single" w:color="auto" w:sz="4" w:space="0"/>
              <w:left w:val="single" w:color="auto" w:sz="4" w:space="0"/>
              <w:bottom w:val="single" w:color="auto" w:sz="4" w:space="0"/>
              <w:right w:val="single" w:color="auto" w:sz="4" w:space="0"/>
            </w:tcBorders>
            <w:vAlign w:val="center"/>
          </w:tcPr>
          <w:p w14:paraId="4B0EC358">
            <w:pPr>
              <w:pStyle w:val="299"/>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标段</w:t>
            </w:r>
          </w:p>
          <w:p w14:paraId="1691241C">
            <w:pPr>
              <w:pStyle w:val="299"/>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施工组织设计：</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40EA747D">
            <w:pPr>
              <w:pStyle w:val="299"/>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主要人员：</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30CCBE35">
            <w:pPr>
              <w:pStyle w:val="299"/>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其他因素：</w:t>
            </w:r>
            <w:r>
              <w:rPr>
                <w:rFonts w:ascii="宋体" w:hAnsi="宋体" w:cs="宋体"/>
                <w:color w:val="auto"/>
                <w:szCs w:val="21"/>
                <w:highlight w:val="none"/>
                <w:u w:val="single"/>
              </w:rPr>
              <w:t xml:space="preserve">     </w:t>
            </w:r>
            <w:r>
              <w:rPr>
                <w:rFonts w:ascii="宋体" w:hAnsi="宋体" w:cs="宋体"/>
                <w:color w:val="auto"/>
                <w:szCs w:val="21"/>
                <w:highlight w:val="none"/>
              </w:rPr>
              <w:t>分，其中：</w:t>
            </w:r>
          </w:p>
          <w:p w14:paraId="3E2E803A">
            <w:pPr>
              <w:pStyle w:val="299"/>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技术能力</w:t>
            </w:r>
            <w:r>
              <w:rPr>
                <w:rStyle w:val="59"/>
                <w:rFonts w:ascii="宋体" w:hAnsi="宋体" w:cs="宋体"/>
                <w:color w:val="auto"/>
                <w:szCs w:val="21"/>
                <w:highlight w:val="none"/>
              </w:rPr>
              <w:footnoteReference w:id="133"/>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66C8B638">
            <w:pPr>
              <w:pStyle w:val="299"/>
              <w:adjustRightInd w:val="0"/>
              <w:snapToGrid w:val="0"/>
              <w:spacing w:line="400" w:lineRule="exact"/>
              <w:ind w:firstLine="1050" w:firstLineChars="500"/>
              <w:rPr>
                <w:rFonts w:ascii="宋体" w:hAnsi="宋体" w:cs="宋体"/>
                <w:color w:val="auto"/>
                <w:szCs w:val="21"/>
                <w:highlight w:val="none"/>
              </w:rPr>
            </w:pPr>
            <w:r>
              <w:rPr>
                <w:rFonts w:ascii="宋体" w:hAnsi="宋体" w:cs="宋体"/>
                <w:color w:val="auto"/>
                <w:szCs w:val="21"/>
                <w:highlight w:val="none"/>
              </w:rPr>
              <w:t>业</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绩</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7324A951">
            <w:pPr>
              <w:pStyle w:val="299"/>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履约信誉：</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208C0130">
            <w:pPr>
              <w:pStyle w:val="299"/>
              <w:adjustRightInd w:val="0"/>
              <w:snapToGrid w:val="0"/>
              <w:spacing w:line="400" w:lineRule="exact"/>
              <w:ind w:firstLine="1050" w:firstLineChars="500"/>
              <w:rPr>
                <w:rFonts w:ascii="宋体" w:hAnsi="宋体" w:cs="宋体"/>
                <w:color w:val="auto"/>
                <w:szCs w:val="21"/>
                <w:highlight w:val="none"/>
                <w:u w:val="none"/>
              </w:rPr>
            </w:pPr>
            <w:r>
              <w:rPr>
                <w:rFonts w:hint="eastAsia" w:ascii="宋体" w:hAnsi="宋体" w:cs="宋体"/>
                <w:color w:val="auto"/>
                <w:szCs w:val="21"/>
                <w:highlight w:val="none"/>
                <w:u w:val="none"/>
              </w:rPr>
              <w:t>……</w:t>
            </w:r>
          </w:p>
          <w:p w14:paraId="6966F09F">
            <w:pPr>
              <w:pStyle w:val="299"/>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标段</w:t>
            </w:r>
          </w:p>
          <w:p w14:paraId="4A882ED4">
            <w:pPr>
              <w:widowControl/>
              <w:adjustRightInd w:val="0"/>
              <w:snapToGrid w:val="0"/>
              <w:spacing w:line="400" w:lineRule="exact"/>
              <w:ind w:firstLine="420" w:firstLineChars="200"/>
              <w:jc w:val="left"/>
              <w:rPr>
                <w:rFonts w:ascii="宋体" w:hAnsi="宋体"/>
                <w:color w:val="auto"/>
                <w:kern w:val="0"/>
                <w:szCs w:val="21"/>
                <w:highlight w:val="none"/>
                <w:u w:val="single"/>
              </w:rPr>
            </w:pPr>
            <w:r>
              <w:rPr>
                <w:rFonts w:hint="eastAsia" w:ascii="宋体" w:hAnsi="宋体" w:cs="宋体"/>
                <w:color w:val="auto"/>
                <w:szCs w:val="21"/>
                <w:highlight w:val="none"/>
                <w:u w:val="none"/>
              </w:rPr>
              <w:t xml:space="preserve">…… </w:t>
            </w:r>
            <w:r>
              <w:rPr>
                <w:rFonts w:ascii="宋体" w:hAnsi="宋体" w:cs="宋体"/>
                <w:color w:val="auto"/>
                <w:szCs w:val="21"/>
                <w:highlight w:val="none"/>
                <w:u w:val="none"/>
              </w:rPr>
              <w:t xml:space="preserve">   </w:t>
            </w:r>
          </w:p>
        </w:tc>
      </w:tr>
      <w:tr w14:paraId="16A88CC8">
        <w:tblPrEx>
          <w:tblCellMar>
            <w:top w:w="0" w:type="dxa"/>
            <w:left w:w="108" w:type="dxa"/>
            <w:bottom w:w="0" w:type="dxa"/>
            <w:right w:w="108" w:type="dxa"/>
          </w:tblCellMar>
        </w:tblPrEx>
        <w:trPr>
          <w:trHeight w:val="1101" w:hRule="atLeast"/>
        </w:trPr>
        <w:tc>
          <w:tcPr>
            <w:tcW w:w="993" w:type="dxa"/>
            <w:tcBorders>
              <w:top w:val="single" w:color="auto" w:sz="4" w:space="0"/>
              <w:left w:val="single" w:color="auto" w:sz="4" w:space="0"/>
              <w:bottom w:val="single" w:color="auto" w:sz="4" w:space="0"/>
              <w:right w:val="single" w:color="auto" w:sz="4" w:space="0"/>
            </w:tcBorders>
            <w:vAlign w:val="center"/>
          </w:tcPr>
          <w:p w14:paraId="142D58B0">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2.2.2</w:t>
            </w:r>
          </w:p>
        </w:tc>
        <w:tc>
          <w:tcPr>
            <w:tcW w:w="1134" w:type="dxa"/>
            <w:tcBorders>
              <w:top w:val="single" w:color="auto" w:sz="4" w:space="0"/>
              <w:left w:val="single" w:color="auto" w:sz="4" w:space="0"/>
              <w:bottom w:val="single" w:color="auto" w:sz="4" w:space="0"/>
              <w:right w:val="single" w:color="auto" w:sz="4" w:space="0"/>
            </w:tcBorders>
            <w:vAlign w:val="center"/>
          </w:tcPr>
          <w:p w14:paraId="6E9CF4A8">
            <w:pPr>
              <w:widowControl/>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第一个信封</w:t>
            </w:r>
            <w:r>
              <w:rPr>
                <w:rFonts w:ascii="宋体" w:hAnsi="宋体"/>
                <w:color w:val="auto"/>
                <w:szCs w:val="21"/>
                <w:highlight w:val="none"/>
              </w:rPr>
              <w:t>评分标准</w:t>
            </w:r>
          </w:p>
        </w:tc>
        <w:tc>
          <w:tcPr>
            <w:tcW w:w="6691" w:type="dxa"/>
            <w:tcBorders>
              <w:top w:val="single" w:color="auto" w:sz="4" w:space="0"/>
              <w:left w:val="single" w:color="auto" w:sz="4" w:space="0"/>
              <w:bottom w:val="single" w:color="auto" w:sz="4" w:space="0"/>
              <w:right w:val="single" w:color="auto" w:sz="4" w:space="0"/>
            </w:tcBorders>
            <w:vAlign w:val="center"/>
          </w:tcPr>
          <w:p w14:paraId="2AFCA82F">
            <w:pPr>
              <w:widowControl/>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见“评分因素与权重分值”</w:t>
            </w:r>
          </w:p>
        </w:tc>
      </w:tr>
      <w:tr w14:paraId="0BAF6B72">
        <w:tblPrEx>
          <w:tblCellMar>
            <w:top w:w="0" w:type="dxa"/>
            <w:left w:w="108" w:type="dxa"/>
            <w:bottom w:w="0" w:type="dxa"/>
            <w:right w:w="108" w:type="dxa"/>
          </w:tblCellMar>
        </w:tblPrEx>
        <w:trPr>
          <w:trHeight w:val="1361" w:hRule="atLeast"/>
        </w:trPr>
        <w:tc>
          <w:tcPr>
            <w:tcW w:w="993" w:type="dxa"/>
            <w:tcBorders>
              <w:top w:val="single" w:color="auto" w:sz="4" w:space="0"/>
              <w:left w:val="single" w:color="auto" w:sz="4" w:space="0"/>
              <w:bottom w:val="single" w:color="auto" w:sz="4" w:space="0"/>
              <w:right w:val="single" w:color="auto" w:sz="4" w:space="0"/>
            </w:tcBorders>
            <w:vAlign w:val="center"/>
          </w:tcPr>
          <w:p w14:paraId="172E04AF">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2.2.3</w:t>
            </w:r>
          </w:p>
        </w:tc>
        <w:tc>
          <w:tcPr>
            <w:tcW w:w="1134" w:type="dxa"/>
            <w:tcBorders>
              <w:top w:val="single" w:color="auto" w:sz="4" w:space="0"/>
              <w:left w:val="single" w:color="auto" w:sz="4" w:space="0"/>
              <w:bottom w:val="single" w:color="auto" w:sz="4" w:space="0"/>
              <w:right w:val="single" w:color="auto" w:sz="4" w:space="0"/>
            </w:tcBorders>
            <w:vAlign w:val="center"/>
          </w:tcPr>
          <w:p w14:paraId="475E2D64">
            <w:pPr>
              <w:widowControl/>
              <w:adjustRightInd w:val="0"/>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第二个信封</w:t>
            </w:r>
            <w:r>
              <w:rPr>
                <w:rFonts w:ascii="宋体" w:hAnsi="宋体"/>
                <w:color w:val="auto"/>
                <w:szCs w:val="21"/>
                <w:highlight w:val="none"/>
              </w:rPr>
              <w:t>详细评审</w:t>
            </w:r>
            <w:r>
              <w:rPr>
                <w:rFonts w:hint="eastAsia" w:ascii="宋体" w:hAnsi="宋体"/>
                <w:color w:val="auto"/>
                <w:szCs w:val="21"/>
                <w:highlight w:val="none"/>
                <w:lang w:val="en-US" w:eastAsia="zh-CN"/>
              </w:rPr>
              <w:t>标准</w:t>
            </w:r>
          </w:p>
        </w:tc>
        <w:tc>
          <w:tcPr>
            <w:tcW w:w="6691" w:type="dxa"/>
            <w:tcBorders>
              <w:top w:val="single" w:color="auto" w:sz="4" w:space="0"/>
              <w:left w:val="single" w:color="auto" w:sz="4" w:space="0"/>
              <w:bottom w:val="single" w:color="auto" w:sz="4" w:space="0"/>
              <w:right w:val="single" w:color="auto" w:sz="4" w:space="0"/>
            </w:tcBorders>
            <w:vAlign w:val="center"/>
          </w:tcPr>
          <w:p w14:paraId="4E482FD5">
            <w:pPr>
              <w:widowControl/>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评标价计算公式：</w:t>
            </w:r>
          </w:p>
          <w:p w14:paraId="6FFD94A7">
            <w:pPr>
              <w:widowControl/>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w:t>
            </w:r>
            <w:r>
              <w:rPr>
                <w:rFonts w:hint="eastAsia" w:ascii="宋体" w:hAnsi="宋体" w:cs="宋体"/>
                <w:color w:val="auto"/>
                <w:szCs w:val="21"/>
                <w:highlight w:val="none"/>
                <w:u w:val="single"/>
              </w:rPr>
              <w:t>通过第一个信封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商务及技术文件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评审的投标人投标函</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第二个信封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中投标总报价大写金额</w:t>
            </w:r>
            <w:r>
              <w:rPr>
                <w:rStyle w:val="59"/>
                <w:rFonts w:hint="eastAsia" w:ascii="宋体" w:hAnsi="宋体" w:cs="宋体"/>
                <w:color w:val="auto"/>
                <w:szCs w:val="21"/>
                <w:highlight w:val="none"/>
              </w:rPr>
              <w:footnoteReference w:id="134"/>
            </w:r>
          </w:p>
        </w:tc>
      </w:tr>
    </w:tbl>
    <w:p w14:paraId="3F8A5287">
      <w:pPr>
        <w:rPr>
          <w:color w:val="auto"/>
          <w:highlight w:val="none"/>
        </w:rPr>
      </w:pPr>
    </w:p>
    <w:p w14:paraId="4F9F9D89">
      <w:pPr>
        <w:jc w:val="left"/>
        <w:rPr>
          <w:rFonts w:hint="eastAsia"/>
          <w:color w:val="auto"/>
          <w:highlight w:val="none"/>
          <w:lang w:val="en-US" w:eastAsia="zh-CN"/>
        </w:rPr>
      </w:pPr>
      <w:r>
        <w:rPr>
          <w:rFonts w:hint="eastAsia"/>
          <w:color w:val="auto"/>
          <w:highlight w:val="none"/>
          <w:lang w:val="en-US" w:eastAsia="zh-CN"/>
        </w:rPr>
        <w:br w:type="page"/>
      </w:r>
    </w:p>
    <w:p w14:paraId="5B4A99B1">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9"/>
        <w:tblW w:w="8927" w:type="dxa"/>
        <w:tblInd w:w="-34" w:type="dxa"/>
        <w:tblLayout w:type="fixed"/>
        <w:tblCellMar>
          <w:top w:w="0" w:type="dxa"/>
          <w:left w:w="108" w:type="dxa"/>
          <w:bottom w:w="0" w:type="dxa"/>
          <w:right w:w="108" w:type="dxa"/>
        </w:tblCellMar>
      </w:tblPr>
      <w:tblGrid>
        <w:gridCol w:w="993"/>
        <w:gridCol w:w="1134"/>
        <w:gridCol w:w="6800"/>
      </w:tblGrid>
      <w:tr w14:paraId="45B793D9">
        <w:trPr>
          <w:trHeight w:val="464" w:hRule="atLeast"/>
          <w:tblHeader/>
        </w:trPr>
        <w:tc>
          <w:tcPr>
            <w:tcW w:w="2127" w:type="dxa"/>
            <w:gridSpan w:val="2"/>
            <w:tcBorders>
              <w:top w:val="single" w:color="000000" w:sz="4" w:space="0"/>
              <w:left w:val="single" w:color="000000" w:sz="4" w:space="0"/>
              <w:bottom w:val="single" w:color="auto" w:sz="4" w:space="0"/>
              <w:right w:val="single" w:color="000000" w:sz="4" w:space="0"/>
            </w:tcBorders>
            <w:vAlign w:val="center"/>
          </w:tcPr>
          <w:p w14:paraId="0E836155">
            <w:pPr>
              <w:widowControl/>
              <w:adjustRightInd w:val="0"/>
              <w:snapToGrid w:val="0"/>
              <w:spacing w:line="400" w:lineRule="exact"/>
              <w:jc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条款号</w:t>
            </w:r>
          </w:p>
        </w:tc>
        <w:tc>
          <w:tcPr>
            <w:tcW w:w="6800" w:type="dxa"/>
            <w:tcBorders>
              <w:top w:val="single" w:color="000000" w:sz="4" w:space="0"/>
              <w:left w:val="nil"/>
              <w:bottom w:val="single" w:color="000000" w:sz="4" w:space="0"/>
              <w:right w:val="single" w:color="000000" w:sz="4" w:space="0"/>
            </w:tcBorders>
            <w:vAlign w:val="center"/>
          </w:tcPr>
          <w:p w14:paraId="41AB28A5">
            <w:pPr>
              <w:widowControl/>
              <w:adjustRightInd w:val="0"/>
              <w:snapToGrid w:val="0"/>
              <w:spacing w:line="400" w:lineRule="exact"/>
              <w:jc w:val="center"/>
              <w:rPr>
                <w:rFonts w:hint="default" w:asciiTheme="minorEastAsia" w:hAnsiTheme="minorEastAsia" w:eastAsiaTheme="minorEastAsia"/>
                <w:b/>
                <w:bCs/>
                <w:color w:val="auto"/>
                <w:highlight w:val="none"/>
                <w:lang w:val="en-US" w:eastAsia="zh-CN"/>
              </w:rPr>
            </w:pPr>
            <w:r>
              <w:rPr>
                <w:rFonts w:hint="eastAsia" w:asciiTheme="minorEastAsia" w:hAnsiTheme="minorEastAsia" w:eastAsiaTheme="minorEastAsia"/>
                <w:b/>
                <w:bCs/>
                <w:color w:val="auto"/>
                <w:highlight w:val="none"/>
                <w:lang w:val="en-US" w:eastAsia="zh-CN"/>
              </w:rPr>
              <w:t>评审因素与评审标准</w:t>
            </w:r>
          </w:p>
        </w:tc>
      </w:tr>
      <w:tr w14:paraId="150C9B43">
        <w:tblPrEx>
          <w:tblCellMar>
            <w:top w:w="0" w:type="dxa"/>
            <w:left w:w="108" w:type="dxa"/>
            <w:bottom w:w="0" w:type="dxa"/>
            <w:right w:w="108" w:type="dxa"/>
          </w:tblCellMar>
        </w:tblPrEx>
        <w:trPr>
          <w:trHeight w:val="799" w:hRule="atLeast"/>
        </w:trPr>
        <w:tc>
          <w:tcPr>
            <w:tcW w:w="993" w:type="dxa"/>
            <w:tcBorders>
              <w:top w:val="single" w:color="000000" w:sz="4" w:space="0"/>
              <w:left w:val="single" w:color="000000" w:sz="4" w:space="0"/>
              <w:bottom w:val="single" w:color="auto" w:sz="4" w:space="0"/>
              <w:right w:val="single" w:color="000000" w:sz="4" w:space="0"/>
            </w:tcBorders>
            <w:vAlign w:val="center"/>
          </w:tcPr>
          <w:p w14:paraId="08D46FD9">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3.1</w:t>
            </w:r>
          </w:p>
          <w:p w14:paraId="23F1EAAA">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第一个信封初步评审</w:t>
            </w:r>
          </w:p>
        </w:tc>
        <w:tc>
          <w:tcPr>
            <w:tcW w:w="1134" w:type="dxa"/>
            <w:tcBorders>
              <w:top w:val="single" w:color="auto" w:sz="4" w:space="0"/>
              <w:left w:val="nil"/>
              <w:bottom w:val="single" w:color="000000" w:sz="4" w:space="0"/>
              <w:right w:val="single" w:color="000000" w:sz="4" w:space="0"/>
            </w:tcBorders>
            <w:vAlign w:val="center"/>
          </w:tcPr>
          <w:p w14:paraId="3FAD0087">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3.1.1</w:t>
            </w:r>
          </w:p>
        </w:tc>
        <w:tc>
          <w:tcPr>
            <w:tcW w:w="6800" w:type="dxa"/>
            <w:tcBorders>
              <w:top w:val="single" w:color="000000" w:sz="4" w:space="0"/>
              <w:left w:val="nil"/>
              <w:bottom w:val="single" w:color="000000" w:sz="4" w:space="0"/>
              <w:right w:val="single" w:color="000000" w:sz="4" w:space="0"/>
            </w:tcBorders>
            <w:vAlign w:val="center"/>
          </w:tcPr>
          <w:p w14:paraId="1DC5ECF3">
            <w:pPr>
              <w:widowControl/>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1）评标委员会依据本章第2.1.1</w:t>
            </w:r>
            <w:r>
              <w:rPr>
                <w:rFonts w:hint="eastAsia" w:asciiTheme="minorEastAsia" w:hAnsiTheme="minorEastAsia" w:eastAsiaTheme="minorEastAsia"/>
                <w:color w:val="auto"/>
                <w:szCs w:val="21"/>
                <w:highlight w:val="none"/>
              </w:rPr>
              <w:t>项、第</w:t>
            </w:r>
            <w:r>
              <w:rPr>
                <w:rFonts w:asciiTheme="minorEastAsia" w:hAnsiTheme="minorEastAsia" w:eastAsiaTheme="minorEastAsia"/>
                <w:color w:val="auto"/>
                <w:szCs w:val="21"/>
                <w:highlight w:val="none"/>
              </w:rPr>
              <w:t>2.1.2</w:t>
            </w:r>
            <w:r>
              <w:rPr>
                <w:rFonts w:hint="eastAsia" w:asciiTheme="minorEastAsia" w:hAnsiTheme="minorEastAsia" w:eastAsiaTheme="minorEastAsia"/>
                <w:color w:val="auto"/>
                <w:szCs w:val="21"/>
                <w:highlight w:val="none"/>
              </w:rPr>
              <w:t>项、第</w:t>
            </w:r>
            <w:r>
              <w:rPr>
                <w:rFonts w:asciiTheme="minorEastAsia" w:hAnsiTheme="minorEastAsia" w:eastAsiaTheme="minorEastAsia"/>
                <w:color w:val="auto"/>
                <w:szCs w:val="21"/>
                <w:highlight w:val="none"/>
              </w:rPr>
              <w:t>2.1.3项规定的标准对投标文件第一个信封（商务及技术文件）进行初步评审。有一项不符合评审标准的，评标委员会应否决其投标。</w:t>
            </w:r>
          </w:p>
          <w:p w14:paraId="523BA262">
            <w:pPr>
              <w:pStyle w:val="299"/>
              <w:snapToGrid w:val="0"/>
              <w:spacing w:line="36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asciiTheme="minorEastAsia" w:hAnsiTheme="minorEastAsia" w:eastAsiaTheme="minorEastAsia"/>
                <w:color w:val="auto"/>
                <w:kern w:val="0"/>
                <w:szCs w:val="21"/>
                <w:highlight w:val="none"/>
              </w:rPr>
              <w:t>通过第一个信封</w:t>
            </w:r>
            <w:r>
              <w:rPr>
                <w:rFonts w:hint="eastAsia" w:asciiTheme="minorEastAsia" w:hAnsiTheme="minorEastAsia" w:eastAsiaTheme="minorEastAsia"/>
                <w:color w:val="auto"/>
                <w:kern w:val="0"/>
                <w:szCs w:val="21"/>
                <w:highlight w:val="none"/>
                <w:lang w:eastAsia="zh-CN"/>
              </w:rPr>
              <w:t>（</w:t>
            </w:r>
            <w:r>
              <w:rPr>
                <w:rFonts w:asciiTheme="minorEastAsia" w:hAnsiTheme="minorEastAsia" w:eastAsiaTheme="minorEastAsia"/>
                <w:color w:val="auto"/>
                <w:kern w:val="0"/>
                <w:szCs w:val="21"/>
                <w:highlight w:val="none"/>
              </w:rPr>
              <w:t>商务</w:t>
            </w:r>
            <w:r>
              <w:rPr>
                <w:rFonts w:hint="eastAsia" w:asciiTheme="minorEastAsia" w:hAnsiTheme="minorEastAsia" w:eastAsiaTheme="minorEastAsia"/>
                <w:color w:val="auto"/>
                <w:kern w:val="0"/>
                <w:szCs w:val="21"/>
                <w:highlight w:val="none"/>
                <w:lang w:val="en-US" w:eastAsia="zh-CN"/>
              </w:rPr>
              <w:t>及</w:t>
            </w:r>
            <w:r>
              <w:rPr>
                <w:rFonts w:asciiTheme="minorEastAsia" w:hAnsiTheme="minorEastAsia" w:eastAsiaTheme="minorEastAsia"/>
                <w:color w:val="auto"/>
                <w:kern w:val="0"/>
                <w:szCs w:val="21"/>
                <w:highlight w:val="none"/>
              </w:rPr>
              <w:t>技术文件</w:t>
            </w:r>
            <w:r>
              <w:rPr>
                <w:rFonts w:hint="eastAsia" w:asciiTheme="minorEastAsia" w:hAnsiTheme="minorEastAsia" w:eastAsiaTheme="minorEastAsia"/>
                <w:color w:val="auto"/>
                <w:kern w:val="0"/>
                <w:szCs w:val="21"/>
                <w:highlight w:val="none"/>
                <w:lang w:eastAsia="zh-CN"/>
              </w:rPr>
              <w:t>）</w:t>
            </w:r>
            <w:r>
              <w:rPr>
                <w:rFonts w:asciiTheme="minorEastAsia" w:hAnsiTheme="minorEastAsia" w:eastAsiaTheme="minorEastAsia"/>
                <w:color w:val="auto"/>
                <w:kern w:val="0"/>
                <w:szCs w:val="21"/>
                <w:highlight w:val="none"/>
              </w:rPr>
              <w:t>评审的投标人</w:t>
            </w:r>
            <w:r>
              <w:rPr>
                <w:rFonts w:hint="eastAsia" w:asciiTheme="minorEastAsia" w:hAnsiTheme="minorEastAsia" w:eastAsiaTheme="minorEastAsia"/>
                <w:color w:val="auto"/>
                <w:kern w:val="0"/>
                <w:szCs w:val="21"/>
                <w:highlight w:val="none"/>
                <w:lang w:val="en-US" w:eastAsia="zh-CN"/>
              </w:rPr>
              <w:t>仅有2家</w:t>
            </w:r>
            <w:r>
              <w:rPr>
                <w:rFonts w:asciiTheme="minorEastAsia" w:hAnsiTheme="minorEastAsia" w:eastAsiaTheme="minorEastAsia"/>
                <w:color w:val="auto"/>
                <w:kern w:val="0"/>
                <w:szCs w:val="21"/>
                <w:highlight w:val="none"/>
              </w:rPr>
              <w:t>的，评标委员会可以否决全部投标；未否决全部投标的，评标委员会应当在评标报告中阐明理由，招标人应当按照第二章</w:t>
            </w:r>
            <w:r>
              <w:rPr>
                <w:rFonts w:hint="eastAsia" w:asciiTheme="minorEastAsia" w:hAnsiTheme="minorEastAsia" w:eastAsiaTheme="minorEastAsia"/>
                <w:color w:val="auto"/>
                <w:kern w:val="0"/>
                <w:szCs w:val="21"/>
                <w:highlight w:val="none"/>
              </w:rPr>
              <w:t>“投标人须知”前附表</w:t>
            </w:r>
            <w:r>
              <w:rPr>
                <w:rFonts w:asciiTheme="minorEastAsia" w:hAnsiTheme="minorEastAsia" w:eastAsiaTheme="minorEastAsia"/>
                <w:color w:val="auto"/>
                <w:kern w:val="0"/>
                <w:szCs w:val="21"/>
                <w:highlight w:val="none"/>
              </w:rPr>
              <w:t>第5.2.3项规定的程序进行第二个信封</w:t>
            </w:r>
            <w:r>
              <w:rPr>
                <w:rFonts w:hint="eastAsia" w:asciiTheme="minorEastAsia" w:hAnsiTheme="minorEastAsia" w:eastAsiaTheme="minorEastAsia"/>
                <w:color w:val="auto"/>
                <w:kern w:val="0"/>
                <w:szCs w:val="21"/>
                <w:highlight w:val="none"/>
                <w:lang w:eastAsia="zh-CN"/>
              </w:rPr>
              <w:t>（</w:t>
            </w:r>
            <w:r>
              <w:rPr>
                <w:rFonts w:asciiTheme="minorEastAsia" w:hAnsiTheme="minorEastAsia" w:eastAsiaTheme="minorEastAsia"/>
                <w:color w:val="auto"/>
                <w:kern w:val="0"/>
                <w:szCs w:val="21"/>
                <w:highlight w:val="none"/>
              </w:rPr>
              <w:t>报价文件</w:t>
            </w:r>
            <w:r>
              <w:rPr>
                <w:rFonts w:hint="eastAsia" w:asciiTheme="minorEastAsia" w:hAnsiTheme="minorEastAsia" w:eastAsiaTheme="minorEastAsia"/>
                <w:color w:val="auto"/>
                <w:kern w:val="0"/>
                <w:szCs w:val="21"/>
                <w:highlight w:val="none"/>
                <w:lang w:eastAsia="zh-CN"/>
              </w:rPr>
              <w:t>）</w:t>
            </w:r>
            <w:r>
              <w:rPr>
                <w:rFonts w:asciiTheme="minorEastAsia" w:hAnsiTheme="minorEastAsia" w:eastAsiaTheme="minorEastAsia"/>
                <w:color w:val="auto"/>
                <w:kern w:val="0"/>
                <w:szCs w:val="21"/>
                <w:highlight w:val="none"/>
              </w:rPr>
              <w:t>开标，但评标委员会在进行</w:t>
            </w:r>
            <w:r>
              <w:rPr>
                <w:rFonts w:hint="eastAsia" w:asciiTheme="minorEastAsia" w:hAnsiTheme="minorEastAsia" w:eastAsiaTheme="minorEastAsia"/>
                <w:color w:val="auto"/>
                <w:kern w:val="0"/>
                <w:szCs w:val="21"/>
                <w:highlight w:val="none"/>
                <w:lang w:val="en-US" w:eastAsia="zh-CN"/>
              </w:rPr>
              <w:t>第二个信封（</w:t>
            </w:r>
            <w:r>
              <w:rPr>
                <w:rFonts w:asciiTheme="minorEastAsia" w:hAnsiTheme="minorEastAsia" w:eastAsiaTheme="minorEastAsia"/>
                <w:color w:val="auto"/>
                <w:kern w:val="0"/>
                <w:szCs w:val="21"/>
                <w:highlight w:val="none"/>
              </w:rPr>
              <w:t>报价文件</w:t>
            </w:r>
            <w:r>
              <w:rPr>
                <w:rFonts w:hint="eastAsia" w:asciiTheme="minorEastAsia" w:hAnsiTheme="minorEastAsia" w:eastAsiaTheme="minorEastAsia"/>
                <w:color w:val="auto"/>
                <w:kern w:val="0"/>
                <w:szCs w:val="21"/>
                <w:highlight w:val="none"/>
                <w:lang w:val="en-US" w:eastAsia="zh-CN"/>
              </w:rPr>
              <w:t>）</w:t>
            </w:r>
            <w:r>
              <w:rPr>
                <w:rFonts w:asciiTheme="minorEastAsia" w:hAnsiTheme="minorEastAsia" w:eastAsiaTheme="minorEastAsia"/>
                <w:color w:val="auto"/>
                <w:kern w:val="0"/>
                <w:szCs w:val="21"/>
                <w:highlight w:val="none"/>
              </w:rPr>
              <w:t>评审时仍有权否决全部投标；评标委员会未在</w:t>
            </w:r>
            <w:r>
              <w:rPr>
                <w:rFonts w:hint="eastAsia" w:asciiTheme="minorEastAsia" w:hAnsiTheme="minorEastAsia" w:eastAsiaTheme="minorEastAsia"/>
                <w:color w:val="auto"/>
                <w:kern w:val="0"/>
                <w:szCs w:val="21"/>
                <w:highlight w:val="none"/>
                <w:lang w:val="en-US" w:eastAsia="zh-CN"/>
              </w:rPr>
              <w:t>第二个信封（</w:t>
            </w:r>
            <w:r>
              <w:rPr>
                <w:rFonts w:asciiTheme="minorEastAsia" w:hAnsiTheme="minorEastAsia" w:eastAsiaTheme="minorEastAsia"/>
                <w:color w:val="auto"/>
                <w:kern w:val="0"/>
                <w:szCs w:val="21"/>
                <w:highlight w:val="none"/>
              </w:rPr>
              <w:t>报价文件</w:t>
            </w:r>
            <w:r>
              <w:rPr>
                <w:rFonts w:hint="eastAsia" w:asciiTheme="minorEastAsia" w:hAnsiTheme="minorEastAsia" w:eastAsiaTheme="minorEastAsia"/>
                <w:color w:val="auto"/>
                <w:kern w:val="0"/>
                <w:szCs w:val="21"/>
                <w:highlight w:val="none"/>
                <w:lang w:val="en-US" w:eastAsia="zh-CN"/>
              </w:rPr>
              <w:t>）</w:t>
            </w:r>
            <w:r>
              <w:rPr>
                <w:rFonts w:asciiTheme="minorEastAsia" w:hAnsiTheme="minorEastAsia" w:eastAsiaTheme="minorEastAsia"/>
                <w:color w:val="auto"/>
                <w:kern w:val="0"/>
                <w:szCs w:val="21"/>
                <w:highlight w:val="none"/>
              </w:rPr>
              <w:t>评审时否决全部投标的，应当在评标报告中阐明理由并推荐中标候选人。</w:t>
            </w:r>
          </w:p>
          <w:p w14:paraId="7D48BC50">
            <w:pPr>
              <w:widowControl/>
              <w:adjustRightInd w:val="0"/>
              <w:snapToGrid w:val="0"/>
              <w:spacing w:line="400" w:lineRule="exact"/>
              <w:rPr>
                <w:rFonts w:ascii="宋体" w:hAnsi="宋体"/>
                <w:color w:val="auto"/>
                <w:szCs w:val="21"/>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3）当通过第一个信封</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商务</w:t>
            </w:r>
            <w:r>
              <w:rPr>
                <w:rFonts w:hint="eastAsia" w:asciiTheme="minorEastAsia" w:hAnsiTheme="minorEastAsia" w:eastAsiaTheme="minorEastAsia"/>
                <w:color w:val="auto"/>
                <w:highlight w:val="none"/>
                <w:lang w:val="en-US" w:eastAsia="zh-CN"/>
              </w:rPr>
              <w:t>及</w:t>
            </w:r>
            <w:r>
              <w:rPr>
                <w:rFonts w:asciiTheme="minorEastAsia" w:hAnsiTheme="minorEastAsia" w:eastAsiaTheme="minorEastAsia"/>
                <w:color w:val="auto"/>
                <w:highlight w:val="none"/>
              </w:rPr>
              <w:t>技术文件</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评审的投标人仅有1家时，评标委员会应否决其投标。</w:t>
            </w:r>
          </w:p>
        </w:tc>
      </w:tr>
      <w:tr w14:paraId="31C8B4A4">
        <w:tblPrEx>
          <w:tblCellMar>
            <w:top w:w="0" w:type="dxa"/>
            <w:left w:w="108" w:type="dxa"/>
            <w:bottom w:w="0" w:type="dxa"/>
            <w:right w:w="108" w:type="dxa"/>
          </w:tblCellMar>
        </w:tblPrEx>
        <w:trPr>
          <w:trHeight w:val="165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73B007D1">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w:t>
            </w:r>
          </w:p>
          <w:p w14:paraId="69A2C5ED">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第一个信封详细评审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5D61D4AD">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szCs w:val="21"/>
                <w:highlight w:val="none"/>
              </w:rPr>
              <w:t>3.2.1</w:t>
            </w:r>
          </w:p>
        </w:tc>
        <w:tc>
          <w:tcPr>
            <w:tcW w:w="6800" w:type="dxa"/>
            <w:tcBorders>
              <w:top w:val="single" w:color="auto" w:sz="4" w:space="0"/>
              <w:left w:val="single" w:color="auto" w:sz="4" w:space="0"/>
              <w:bottom w:val="single" w:color="auto" w:sz="4" w:space="0"/>
              <w:right w:val="single" w:color="auto" w:sz="4" w:space="0"/>
            </w:tcBorders>
            <w:vAlign w:val="center"/>
          </w:tcPr>
          <w:p w14:paraId="25826826">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1）按本章第2.2.</w:t>
            </w:r>
            <w:r>
              <w:rPr>
                <w:rFonts w:hint="eastAsia" w:ascii="宋体" w:hAnsi="宋体" w:cs="宋体"/>
                <w:color w:val="auto"/>
                <w:szCs w:val="21"/>
                <w:highlight w:val="none"/>
                <w:lang w:val="en-US" w:eastAsia="zh-CN"/>
              </w:rPr>
              <w:t>2</w:t>
            </w:r>
            <w:r>
              <w:rPr>
                <w:rFonts w:ascii="宋体" w:hAnsi="宋体" w:cs="宋体"/>
                <w:color w:val="auto"/>
                <w:szCs w:val="21"/>
                <w:highlight w:val="none"/>
              </w:rPr>
              <w:t>项（1）目规定的评审因素和分值对施工组织设计部分计算出得分A；</w:t>
            </w:r>
          </w:p>
          <w:p w14:paraId="34F5901D">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2）按本章第2.2.</w:t>
            </w:r>
            <w:r>
              <w:rPr>
                <w:rFonts w:hint="eastAsia" w:ascii="宋体" w:hAnsi="宋体" w:cs="宋体"/>
                <w:color w:val="auto"/>
                <w:szCs w:val="21"/>
                <w:highlight w:val="none"/>
                <w:lang w:val="en-US" w:eastAsia="zh-CN"/>
              </w:rPr>
              <w:t>2</w:t>
            </w:r>
            <w:r>
              <w:rPr>
                <w:rFonts w:ascii="宋体" w:hAnsi="宋体" w:cs="宋体"/>
                <w:color w:val="auto"/>
                <w:szCs w:val="21"/>
                <w:highlight w:val="none"/>
              </w:rPr>
              <w:t>项（2）目规定的评审因素和分值对主要人员部分计算出得分B；</w:t>
            </w:r>
          </w:p>
          <w:p w14:paraId="5D44C20D">
            <w:pPr>
              <w:widowControl/>
              <w:adjustRightInd w:val="0"/>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3）按本章第2.2.</w:t>
            </w:r>
            <w:r>
              <w:rPr>
                <w:rFonts w:hint="eastAsia" w:ascii="宋体" w:hAnsi="宋体" w:cs="宋体"/>
                <w:color w:val="auto"/>
                <w:szCs w:val="21"/>
                <w:highlight w:val="none"/>
                <w:lang w:val="en-US" w:eastAsia="zh-CN"/>
              </w:rPr>
              <w:t>2</w:t>
            </w:r>
            <w:r>
              <w:rPr>
                <w:rFonts w:ascii="宋体" w:hAnsi="宋体" w:cs="宋体"/>
                <w:color w:val="auto"/>
                <w:szCs w:val="21"/>
                <w:highlight w:val="none"/>
              </w:rPr>
              <w:t>项（</w:t>
            </w:r>
            <w:r>
              <w:rPr>
                <w:rFonts w:hint="eastAsia" w:ascii="宋体" w:hAnsi="宋体" w:cs="宋体"/>
                <w:color w:val="auto"/>
                <w:szCs w:val="21"/>
                <w:highlight w:val="none"/>
                <w:lang w:val="en-US" w:eastAsia="zh-CN"/>
              </w:rPr>
              <w:t>3</w:t>
            </w:r>
            <w:r>
              <w:rPr>
                <w:rFonts w:ascii="宋体" w:hAnsi="宋体" w:cs="宋体"/>
                <w:color w:val="auto"/>
                <w:szCs w:val="21"/>
                <w:highlight w:val="none"/>
              </w:rPr>
              <w:t>）目规定的评审因素和分值对其他部分计算出得分D</w:t>
            </w:r>
            <w:r>
              <w:rPr>
                <w:rFonts w:hint="eastAsia" w:ascii="宋体" w:hAnsi="宋体" w:cs="宋体"/>
                <w:color w:val="auto"/>
                <w:szCs w:val="21"/>
                <w:highlight w:val="none"/>
                <w:lang w:val="en-US" w:eastAsia="zh-CN"/>
              </w:rPr>
              <w:t>。</w:t>
            </w:r>
          </w:p>
        </w:tc>
      </w:tr>
      <w:tr w14:paraId="3EEC5564">
        <w:tblPrEx>
          <w:tblCellMar>
            <w:top w:w="0" w:type="dxa"/>
            <w:left w:w="108" w:type="dxa"/>
            <w:bottom w:w="0" w:type="dxa"/>
            <w:right w:w="108" w:type="dxa"/>
          </w:tblCellMar>
        </w:tblPrEx>
        <w:trPr>
          <w:trHeight w:val="83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6EB1958">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EA2A220">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szCs w:val="21"/>
                <w:highlight w:val="none"/>
              </w:rPr>
              <w:t>3.2.2</w:t>
            </w:r>
          </w:p>
        </w:tc>
        <w:tc>
          <w:tcPr>
            <w:tcW w:w="6800" w:type="dxa"/>
            <w:tcBorders>
              <w:top w:val="single" w:color="auto" w:sz="4" w:space="0"/>
              <w:left w:val="single" w:color="auto" w:sz="4" w:space="0"/>
              <w:bottom w:val="single" w:color="auto" w:sz="4" w:space="0"/>
              <w:right w:val="single" w:color="auto" w:sz="4" w:space="0"/>
            </w:tcBorders>
            <w:vAlign w:val="center"/>
          </w:tcPr>
          <w:p w14:paraId="7C47505C">
            <w:pPr>
              <w:widowControl/>
              <w:adjustRightInd w:val="0"/>
              <w:snapToGrid w:val="0"/>
              <w:spacing w:line="400" w:lineRule="exact"/>
              <w:rPr>
                <w:color w:val="auto"/>
                <w:szCs w:val="21"/>
                <w:highlight w:val="none"/>
              </w:rPr>
            </w:pPr>
            <w:r>
              <w:rPr>
                <w:rFonts w:hint="eastAsia" w:ascii="宋体" w:hAnsi="宋体" w:cs="宋体"/>
                <w:color w:val="auto"/>
                <w:szCs w:val="21"/>
                <w:highlight w:val="none"/>
              </w:rPr>
              <w:t>投标人的商务和技术得分分值计算</w:t>
            </w:r>
            <w:r>
              <w:rPr>
                <w:rFonts w:asciiTheme="minorEastAsia" w:hAnsiTheme="minorEastAsia" w:eastAsiaTheme="minorEastAsia"/>
                <w:color w:val="auto"/>
                <w:szCs w:val="21"/>
                <w:highlight w:val="none"/>
              </w:rPr>
              <w:t>“四舍五入”</w:t>
            </w:r>
            <w:r>
              <w:rPr>
                <w:rFonts w:hint="eastAsia"/>
                <w:color w:val="auto"/>
                <w:szCs w:val="21"/>
                <w:highlight w:val="none"/>
              </w:rPr>
              <w:t>至少保留小数点后</w:t>
            </w:r>
          </w:p>
          <w:p w14:paraId="387E14B3">
            <w:pPr>
              <w:widowControl/>
              <w:adjustRightInd w:val="0"/>
              <w:snapToGrid w:val="0"/>
              <w:spacing w:line="400" w:lineRule="exact"/>
              <w:rPr>
                <w:rFonts w:ascii="宋体" w:hAnsi="宋体" w:cs="宋体"/>
                <w:color w:val="auto"/>
                <w:kern w:val="0"/>
                <w:szCs w:val="21"/>
                <w:highlight w:val="none"/>
              </w:rPr>
            </w:pPr>
            <w:r>
              <w:rPr>
                <w:rFonts w:asciiTheme="minorEastAsia" w:hAnsiTheme="minorEastAsia" w:eastAsiaTheme="minorEastAsia"/>
                <w:color w:val="auto"/>
                <w:szCs w:val="21"/>
                <w:highlight w:val="none"/>
                <w:u w:val="single"/>
              </w:rPr>
              <w:t xml:space="preserve">    </w:t>
            </w:r>
            <w:r>
              <w:rPr>
                <w:rFonts w:hint="eastAsia"/>
                <w:color w:val="auto"/>
                <w:szCs w:val="21"/>
                <w:highlight w:val="none"/>
              </w:rPr>
              <w:t>位</w:t>
            </w:r>
            <w:r>
              <w:rPr>
                <w:rFonts w:hint="eastAsia" w:ascii="宋体" w:hAnsi="宋体" w:cs="宋体"/>
                <w:color w:val="auto"/>
                <w:szCs w:val="21"/>
                <w:highlight w:val="none"/>
              </w:rPr>
              <w:t>。</w:t>
            </w:r>
          </w:p>
        </w:tc>
      </w:tr>
      <w:tr w14:paraId="4E37D5A4">
        <w:tblPrEx>
          <w:tblCellMar>
            <w:top w:w="0" w:type="dxa"/>
            <w:left w:w="108" w:type="dxa"/>
            <w:bottom w:w="0" w:type="dxa"/>
            <w:right w:w="108" w:type="dxa"/>
          </w:tblCellMar>
        </w:tblPrEx>
        <w:trPr>
          <w:trHeight w:val="552"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30A113A4">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EBEB183">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szCs w:val="21"/>
                <w:highlight w:val="none"/>
              </w:rPr>
              <w:t>3.2.3</w:t>
            </w:r>
          </w:p>
        </w:tc>
        <w:tc>
          <w:tcPr>
            <w:tcW w:w="6800" w:type="dxa"/>
            <w:tcBorders>
              <w:top w:val="single" w:color="auto" w:sz="4" w:space="0"/>
              <w:left w:val="single" w:color="auto" w:sz="4" w:space="0"/>
              <w:bottom w:val="single" w:color="auto" w:sz="4" w:space="0"/>
              <w:right w:val="single" w:color="auto" w:sz="4" w:space="0"/>
            </w:tcBorders>
            <w:vAlign w:val="center"/>
          </w:tcPr>
          <w:p w14:paraId="0A8786EA">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投标人的商务和技术得分</w:t>
            </w:r>
            <w:r>
              <w:rPr>
                <w:rFonts w:ascii="宋体" w:hAnsi="宋体" w:cs="宋体"/>
                <w:color w:val="auto"/>
                <w:szCs w:val="21"/>
                <w:highlight w:val="none"/>
              </w:rPr>
              <w:t>=A＋B＋D。</w:t>
            </w:r>
          </w:p>
        </w:tc>
      </w:tr>
      <w:tr w14:paraId="1DD9AEC3">
        <w:tblPrEx>
          <w:tblCellMar>
            <w:top w:w="0" w:type="dxa"/>
            <w:left w:w="108" w:type="dxa"/>
            <w:bottom w:w="0" w:type="dxa"/>
            <w:right w:w="108" w:type="dxa"/>
          </w:tblCellMar>
        </w:tblPrEx>
        <w:trPr>
          <w:trHeight w:val="68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84C2CAF">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CBADFD">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3.2.4</w:t>
            </w:r>
          </w:p>
        </w:tc>
        <w:tc>
          <w:tcPr>
            <w:tcW w:w="6800" w:type="dxa"/>
            <w:tcBorders>
              <w:top w:val="single" w:color="auto" w:sz="4" w:space="0"/>
              <w:left w:val="single" w:color="auto" w:sz="4" w:space="0"/>
              <w:bottom w:val="single" w:color="auto" w:sz="4" w:space="0"/>
              <w:right w:val="single" w:color="auto" w:sz="4" w:space="0"/>
            </w:tcBorders>
            <w:vAlign w:val="center"/>
          </w:tcPr>
          <w:p w14:paraId="087EBF42">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按照投标人的</w:t>
            </w:r>
            <w:r>
              <w:rPr>
                <w:rFonts w:ascii="宋体" w:hAnsi="宋体"/>
                <w:color w:val="auto"/>
                <w:szCs w:val="21"/>
                <w:highlight w:val="none"/>
              </w:rPr>
              <w:t>商务和</w:t>
            </w:r>
            <w:r>
              <w:rPr>
                <w:rFonts w:hint="eastAsia" w:ascii="宋体" w:hAnsi="宋体"/>
                <w:color w:val="auto"/>
                <w:szCs w:val="21"/>
                <w:highlight w:val="none"/>
              </w:rPr>
              <w:t>技术</w:t>
            </w:r>
            <w:r>
              <w:rPr>
                <w:rFonts w:ascii="宋体" w:hAnsi="宋体"/>
                <w:color w:val="auto"/>
                <w:szCs w:val="21"/>
                <w:highlight w:val="none"/>
              </w:rPr>
              <w:t>得分</w:t>
            </w:r>
            <w:r>
              <w:rPr>
                <w:rFonts w:hint="eastAsia" w:ascii="宋体" w:hAnsi="宋体"/>
                <w:color w:val="auto"/>
                <w:szCs w:val="21"/>
                <w:highlight w:val="none"/>
              </w:rPr>
              <w:t>由高到低</w:t>
            </w:r>
            <w:r>
              <w:rPr>
                <w:rFonts w:ascii="宋体" w:hAnsi="宋体"/>
                <w:color w:val="auto"/>
                <w:szCs w:val="21"/>
                <w:highlight w:val="none"/>
              </w:rPr>
              <w:t>排序，</w:t>
            </w:r>
            <w:r>
              <w:rPr>
                <w:rFonts w:hint="eastAsia" w:ascii="宋体" w:hAnsi="宋体"/>
                <w:color w:val="auto"/>
                <w:szCs w:val="21"/>
                <w:highlight w:val="none"/>
              </w:rPr>
              <w:t>选择</w:t>
            </w:r>
            <w:r>
              <w:rPr>
                <w:rFonts w:ascii="宋体" w:hAnsi="宋体"/>
                <w:color w:val="auto"/>
                <w:szCs w:val="21"/>
                <w:highlight w:val="none"/>
              </w:rPr>
              <w:t>前</w:t>
            </w:r>
            <w:r>
              <w:rPr>
                <w:rFonts w:ascii="宋体" w:hAnsi="宋体"/>
                <w:color w:val="auto"/>
                <w:szCs w:val="21"/>
                <w:highlight w:val="none"/>
                <w:u w:val="single"/>
              </w:rPr>
              <w:t xml:space="preserve">    </w:t>
            </w:r>
            <w:r>
              <w:rPr>
                <w:rFonts w:hint="eastAsia" w:ascii="宋体" w:hAnsi="宋体"/>
                <w:color w:val="auto"/>
                <w:szCs w:val="21"/>
                <w:highlight w:val="none"/>
              </w:rPr>
              <w:t>名</w:t>
            </w:r>
            <w:r>
              <w:rPr>
                <w:rFonts w:asciiTheme="minorEastAsia" w:hAnsiTheme="minorEastAsia" w:eastAsiaTheme="minorEastAsia"/>
                <w:color w:val="auto"/>
                <w:szCs w:val="21"/>
                <w:highlight w:val="none"/>
                <w:vertAlign w:val="superscript"/>
              </w:rPr>
              <w:footnoteReference w:id="135"/>
            </w:r>
            <w:r>
              <w:rPr>
                <w:rFonts w:hint="eastAsia" w:ascii="宋体" w:hAnsi="宋体"/>
                <w:color w:val="auto"/>
                <w:szCs w:val="21"/>
                <w:highlight w:val="none"/>
              </w:rPr>
              <w:t>通过详细评审，</w:t>
            </w:r>
            <w:r>
              <w:rPr>
                <w:rFonts w:ascii="宋体" w:hAnsi="宋体"/>
                <w:color w:val="auto"/>
                <w:szCs w:val="21"/>
                <w:highlight w:val="none"/>
              </w:rPr>
              <w:t>进入第二个信封</w:t>
            </w:r>
            <w:r>
              <w:rPr>
                <w:rFonts w:hint="eastAsia" w:ascii="宋体" w:hAnsi="宋体"/>
                <w:color w:val="auto"/>
                <w:szCs w:val="21"/>
                <w:highlight w:val="none"/>
              </w:rPr>
              <w:t>开标</w:t>
            </w:r>
            <w:r>
              <w:rPr>
                <w:rFonts w:ascii="宋体" w:hAnsi="宋体"/>
                <w:color w:val="auto"/>
                <w:szCs w:val="21"/>
                <w:highlight w:val="none"/>
              </w:rPr>
              <w:t>。</w:t>
            </w:r>
          </w:p>
        </w:tc>
      </w:tr>
      <w:tr w14:paraId="1EC5C149">
        <w:tblPrEx>
          <w:tblCellMar>
            <w:top w:w="0" w:type="dxa"/>
            <w:left w:w="108" w:type="dxa"/>
            <w:bottom w:w="0" w:type="dxa"/>
            <w:right w:w="108" w:type="dxa"/>
          </w:tblCellMar>
        </w:tblPrEx>
        <w:trPr>
          <w:trHeight w:val="79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1D8E3D03">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w:t>
            </w:r>
          </w:p>
          <w:p w14:paraId="713C732F">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第二个信封初步评审</w:t>
            </w:r>
          </w:p>
        </w:tc>
        <w:tc>
          <w:tcPr>
            <w:tcW w:w="1134" w:type="dxa"/>
            <w:tcBorders>
              <w:top w:val="single" w:color="000000" w:sz="4" w:space="0"/>
              <w:left w:val="single" w:color="auto" w:sz="4" w:space="0"/>
              <w:bottom w:val="single" w:color="000000" w:sz="4" w:space="0"/>
              <w:right w:val="single" w:color="000000" w:sz="4" w:space="0"/>
            </w:tcBorders>
            <w:vAlign w:val="center"/>
          </w:tcPr>
          <w:p w14:paraId="7B4B8AE5">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3.4.1</w:t>
            </w:r>
          </w:p>
        </w:tc>
        <w:tc>
          <w:tcPr>
            <w:tcW w:w="6800" w:type="dxa"/>
            <w:tcBorders>
              <w:top w:val="single" w:color="000000" w:sz="4" w:space="0"/>
              <w:left w:val="nil"/>
              <w:bottom w:val="single" w:color="000000" w:sz="4" w:space="0"/>
              <w:right w:val="single" w:color="000000" w:sz="4" w:space="0"/>
            </w:tcBorders>
            <w:vAlign w:val="center"/>
          </w:tcPr>
          <w:p w14:paraId="5CC1B316">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评标委员会依据本章第</w:t>
            </w:r>
            <w:r>
              <w:rPr>
                <w:rFonts w:ascii="宋体" w:hAnsi="宋体" w:cs="宋体"/>
                <w:color w:val="auto"/>
                <w:kern w:val="0"/>
                <w:szCs w:val="21"/>
                <w:highlight w:val="none"/>
              </w:rPr>
              <w:t>2.1.1</w:t>
            </w:r>
            <w:r>
              <w:rPr>
                <w:rFonts w:hint="eastAsia" w:ascii="宋体" w:hAnsi="宋体" w:cs="宋体"/>
                <w:color w:val="auto"/>
                <w:kern w:val="0"/>
                <w:szCs w:val="21"/>
                <w:highlight w:val="none"/>
              </w:rPr>
              <w:t>项、第</w:t>
            </w:r>
            <w:r>
              <w:rPr>
                <w:rFonts w:ascii="宋体" w:hAnsi="宋体" w:cs="宋体"/>
                <w:color w:val="auto"/>
                <w:kern w:val="0"/>
                <w:szCs w:val="21"/>
                <w:highlight w:val="none"/>
              </w:rPr>
              <w:t>2.1.3项规定的评审标准对投标文件第二个信封（报价文件）进行初步评审，有一项不符合评审标准的，</w:t>
            </w:r>
            <w:r>
              <w:rPr>
                <w:rFonts w:hint="eastAsia" w:ascii="宋体" w:hAnsi="宋体"/>
                <w:color w:val="auto"/>
                <w:szCs w:val="21"/>
                <w:highlight w:val="none"/>
              </w:rPr>
              <w:t>评标委员会应否决其投标</w:t>
            </w:r>
            <w:r>
              <w:rPr>
                <w:rFonts w:hint="eastAsia" w:ascii="宋体" w:hAnsi="宋体" w:cs="宋体"/>
                <w:color w:val="auto"/>
                <w:kern w:val="0"/>
                <w:szCs w:val="21"/>
                <w:highlight w:val="none"/>
              </w:rPr>
              <w:t>。</w:t>
            </w:r>
          </w:p>
        </w:tc>
      </w:tr>
      <w:tr w14:paraId="51387FA1">
        <w:tblPrEx>
          <w:tblCellMar>
            <w:top w:w="0" w:type="dxa"/>
            <w:left w:w="108" w:type="dxa"/>
            <w:bottom w:w="0" w:type="dxa"/>
            <w:right w:w="108" w:type="dxa"/>
          </w:tblCellMar>
        </w:tblPrEx>
        <w:trPr>
          <w:trHeight w:val="73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CFCFC00">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05D52A43">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3.4.2</w:t>
            </w:r>
          </w:p>
        </w:tc>
        <w:tc>
          <w:tcPr>
            <w:tcW w:w="6800" w:type="dxa"/>
            <w:tcBorders>
              <w:top w:val="single" w:color="000000" w:sz="4" w:space="0"/>
              <w:left w:val="nil"/>
              <w:bottom w:val="single" w:color="000000" w:sz="4" w:space="0"/>
              <w:right w:val="single" w:color="000000" w:sz="4" w:space="0"/>
            </w:tcBorders>
            <w:vAlign w:val="center"/>
          </w:tcPr>
          <w:p w14:paraId="4D2DDBC1">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对投标人投标报价进行算术性修正的原则：</w:t>
            </w:r>
          </w:p>
          <w:p w14:paraId="2AE62907">
            <w:pPr>
              <w:pStyle w:val="299"/>
              <w:widowControl/>
              <w:adjustRightInd w:val="0"/>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 方式一：</w:t>
            </w:r>
          </w:p>
          <w:p w14:paraId="1434A639">
            <w:pPr>
              <w:widowControl/>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中的</w:t>
            </w:r>
            <w:r>
              <w:rPr>
                <w:rFonts w:hint="eastAsia" w:ascii="宋体" w:hAnsi="宋体" w:cs="宋体"/>
                <w:color w:val="auto"/>
                <w:kern w:val="0"/>
                <w:szCs w:val="21"/>
                <w:highlight w:val="none"/>
                <w:lang w:val="en-US" w:eastAsia="zh-CN"/>
              </w:rPr>
              <w:t>投标总报价</w:t>
            </w:r>
            <w:r>
              <w:rPr>
                <w:rFonts w:ascii="宋体" w:hAnsi="宋体" w:cs="宋体"/>
                <w:color w:val="auto"/>
                <w:kern w:val="0"/>
                <w:szCs w:val="21"/>
                <w:highlight w:val="none"/>
              </w:rPr>
              <w:t>大写金额与小写金额不一致的，以大写金额为准。</w:t>
            </w:r>
          </w:p>
          <w:p w14:paraId="205D4889">
            <w:pPr>
              <w:widowControl/>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2）清单汇总表投标报价金额与投标函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中的</w:t>
            </w:r>
            <w:r>
              <w:rPr>
                <w:rFonts w:hint="eastAsia" w:ascii="宋体" w:hAnsi="宋体" w:cs="宋体"/>
                <w:color w:val="auto"/>
                <w:kern w:val="0"/>
                <w:szCs w:val="21"/>
                <w:highlight w:val="none"/>
                <w:lang w:val="en-US" w:eastAsia="zh-CN"/>
              </w:rPr>
              <w:t>投标总报价</w:t>
            </w:r>
            <w:r>
              <w:rPr>
                <w:rFonts w:ascii="宋体" w:hAnsi="宋体" w:cs="宋体"/>
                <w:color w:val="auto"/>
                <w:kern w:val="0"/>
                <w:szCs w:val="21"/>
                <w:highlight w:val="none"/>
              </w:rPr>
              <w:t>大写金额不一致的，以</w:t>
            </w:r>
            <w:r>
              <w:rPr>
                <w:rFonts w:hint="eastAsia" w:ascii="宋体" w:hAnsi="宋体" w:cs="宋体"/>
                <w:color w:val="auto"/>
                <w:kern w:val="0"/>
                <w:szCs w:val="21"/>
                <w:highlight w:val="none"/>
                <w:lang w:val="en-US" w:eastAsia="zh-CN"/>
              </w:rPr>
              <w:t>投标函（第二个信封）中投标总报价</w:t>
            </w:r>
            <w:r>
              <w:rPr>
                <w:rFonts w:ascii="宋体" w:hAnsi="宋体" w:cs="宋体"/>
                <w:color w:val="auto"/>
                <w:kern w:val="0"/>
                <w:szCs w:val="21"/>
                <w:highlight w:val="none"/>
              </w:rPr>
              <w:t>大写金额为准。</w:t>
            </w:r>
          </w:p>
          <w:p w14:paraId="1C9B62F7">
            <w:pPr>
              <w:pStyle w:val="299"/>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方式二：</w:t>
            </w:r>
            <w:r>
              <w:rPr>
                <w:rStyle w:val="59"/>
                <w:rFonts w:hint="eastAsia" w:ascii="宋体" w:hAnsi="宋体" w:cs="宋体"/>
                <w:color w:val="auto"/>
                <w:kern w:val="0"/>
                <w:szCs w:val="21"/>
                <w:highlight w:val="none"/>
              </w:rPr>
              <w:footnoteReference w:id="136"/>
            </w:r>
          </w:p>
          <w:p w14:paraId="6EC8EAAE">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w:t>
            </w:r>
          </w:p>
        </w:tc>
      </w:tr>
      <w:tr w14:paraId="6FE45E5A">
        <w:tblPrEx>
          <w:tblCellMar>
            <w:top w:w="0" w:type="dxa"/>
            <w:left w:w="108" w:type="dxa"/>
            <w:bottom w:w="0" w:type="dxa"/>
            <w:right w:w="108" w:type="dxa"/>
          </w:tblCellMar>
        </w:tblPrEx>
        <w:trPr>
          <w:trHeight w:val="111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2A3A11C">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000000" w:sz="4" w:space="0"/>
              <w:left w:val="single" w:color="auto" w:sz="4" w:space="0"/>
              <w:bottom w:val="single" w:color="auto" w:sz="4" w:space="0"/>
              <w:right w:val="single" w:color="000000" w:sz="4" w:space="0"/>
            </w:tcBorders>
            <w:vAlign w:val="center"/>
          </w:tcPr>
          <w:p w14:paraId="384E8C39">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kern w:val="0"/>
                <w:szCs w:val="21"/>
                <w:highlight w:val="none"/>
              </w:rPr>
              <w:t>3.4.3</w:t>
            </w:r>
          </w:p>
        </w:tc>
        <w:tc>
          <w:tcPr>
            <w:tcW w:w="6800" w:type="dxa"/>
            <w:tcBorders>
              <w:top w:val="single" w:color="000000" w:sz="4" w:space="0"/>
              <w:left w:val="nil"/>
              <w:bottom w:val="single" w:color="auto" w:sz="4" w:space="0"/>
              <w:right w:val="single" w:color="000000" w:sz="4" w:space="0"/>
            </w:tcBorders>
            <w:vAlign w:val="center"/>
          </w:tcPr>
          <w:p w14:paraId="24D4ECCC">
            <w:pPr>
              <w:widowControl/>
              <w:adjustRightInd w:val="0"/>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对投标人</w:t>
            </w:r>
            <w:r>
              <w:rPr>
                <w:rFonts w:hint="eastAsia" w:ascii="宋体" w:hAnsi="宋体" w:cs="宋体"/>
                <w:color w:val="auto"/>
                <w:kern w:val="0"/>
                <w:szCs w:val="21"/>
                <w:highlight w:val="none"/>
                <w:lang w:val="en-US" w:eastAsia="zh-CN"/>
              </w:rPr>
              <w:t>已标价</w:t>
            </w:r>
            <w:r>
              <w:rPr>
                <w:rFonts w:hint="eastAsia" w:ascii="宋体" w:hAnsi="宋体" w:cs="宋体"/>
                <w:color w:val="auto"/>
                <w:kern w:val="0"/>
                <w:szCs w:val="21"/>
                <w:highlight w:val="none"/>
              </w:rPr>
              <w:t>工程量清单中的投标报价有其他错误进行修正的原则：</w:t>
            </w:r>
          </w:p>
          <w:p w14:paraId="41AA12BB">
            <w:pPr>
              <w:pStyle w:val="299"/>
              <w:widowControl/>
              <w:adjustRightInd w:val="0"/>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 方式一：</w:t>
            </w:r>
          </w:p>
          <w:p w14:paraId="01C4A8D4">
            <w:pPr>
              <w:widowControl/>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工程量清单中的投标报价有其他错误的，评标阶段不作修正，在签订合同时以投标函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中</w:t>
            </w:r>
            <w:r>
              <w:rPr>
                <w:rFonts w:hint="eastAsia" w:ascii="宋体" w:hAnsi="宋体" w:cs="宋体"/>
                <w:color w:val="auto"/>
                <w:kern w:val="0"/>
                <w:szCs w:val="21"/>
                <w:highlight w:val="none"/>
                <w:lang w:val="en-US" w:eastAsia="zh-CN"/>
              </w:rPr>
              <w:t>投标总报价</w:t>
            </w:r>
            <w:r>
              <w:rPr>
                <w:rFonts w:hint="eastAsia" w:ascii="宋体" w:hAnsi="宋体" w:cs="宋体"/>
                <w:color w:val="auto"/>
                <w:kern w:val="0"/>
                <w:szCs w:val="21"/>
                <w:highlight w:val="none"/>
              </w:rPr>
              <w:t>大写金额为准，按第二章“投标人须知”前附表第</w:t>
            </w:r>
            <w:r>
              <w:rPr>
                <w:rFonts w:ascii="宋体" w:hAnsi="宋体" w:cs="宋体"/>
                <w:color w:val="auto"/>
                <w:kern w:val="0"/>
                <w:szCs w:val="21"/>
                <w:highlight w:val="none"/>
              </w:rPr>
              <w:t>7.8.3项规定修正。</w:t>
            </w:r>
          </w:p>
          <w:p w14:paraId="00DDBBFE">
            <w:pPr>
              <w:pStyle w:val="299"/>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方式二：</w:t>
            </w:r>
            <w:r>
              <w:rPr>
                <w:rStyle w:val="59"/>
                <w:rFonts w:hint="eastAsia" w:ascii="宋体" w:hAnsi="宋体" w:cs="宋体"/>
                <w:color w:val="auto"/>
                <w:kern w:val="0"/>
                <w:szCs w:val="21"/>
                <w:highlight w:val="none"/>
              </w:rPr>
              <w:footnoteReference w:id="137"/>
            </w:r>
          </w:p>
          <w:p w14:paraId="755D3773">
            <w:pPr>
              <w:widowControl/>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w:t>
            </w:r>
          </w:p>
        </w:tc>
      </w:tr>
      <w:tr w14:paraId="789F5A3E">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8A2E80C">
            <w:pPr>
              <w:widowControl/>
              <w:adjustRightInd w:val="0"/>
              <w:snapToGrid w:val="0"/>
              <w:spacing w:line="400" w:lineRule="exact"/>
              <w:jc w:val="center"/>
              <w:rPr>
                <w:rFonts w:ascii="宋体" w:hAnsi="宋体" w:cs="宋体"/>
                <w:b/>
                <w:bCs/>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B65FE2">
            <w:pPr>
              <w:widowControl/>
              <w:adjustRightInd w:val="0"/>
              <w:snapToGrid w:val="0"/>
              <w:spacing w:line="400" w:lineRule="exact"/>
              <w:jc w:val="center"/>
              <w:rPr>
                <w:rFonts w:ascii="宋体" w:hAnsi="宋体" w:cs="宋体"/>
                <w:b/>
                <w:bCs/>
                <w:color w:val="auto"/>
                <w:kern w:val="0"/>
                <w:szCs w:val="21"/>
                <w:highlight w:val="none"/>
              </w:rPr>
            </w:pPr>
            <w:r>
              <w:rPr>
                <w:rFonts w:ascii="宋体" w:hAnsi="宋体" w:cs="宋体"/>
                <w:color w:val="auto"/>
                <w:kern w:val="0"/>
                <w:szCs w:val="21"/>
                <w:highlight w:val="none"/>
              </w:rPr>
              <w:t>3.4.4</w:t>
            </w:r>
          </w:p>
        </w:tc>
        <w:tc>
          <w:tcPr>
            <w:tcW w:w="6800" w:type="dxa"/>
            <w:tcBorders>
              <w:top w:val="single" w:color="auto" w:sz="4" w:space="0"/>
              <w:left w:val="nil"/>
              <w:bottom w:val="single" w:color="auto" w:sz="4" w:space="0"/>
              <w:right w:val="single" w:color="auto" w:sz="4" w:space="0"/>
            </w:tcBorders>
            <w:vAlign w:val="center"/>
          </w:tcPr>
          <w:p w14:paraId="7CABADE4">
            <w:pPr>
              <w:widowControl/>
              <w:adjustRightInd w:val="0"/>
              <w:snapToGrid w:val="0"/>
              <w:spacing w:line="400" w:lineRule="exact"/>
              <w:jc w:val="left"/>
              <w:rPr>
                <w:rFonts w:ascii="宋体" w:hAnsi="宋体" w:cs="宋体"/>
                <w:b/>
                <w:bCs/>
                <w:color w:val="auto"/>
                <w:kern w:val="0"/>
                <w:szCs w:val="21"/>
                <w:highlight w:val="none"/>
              </w:rPr>
            </w:pPr>
            <w:r>
              <w:rPr>
                <w:rFonts w:hint="eastAsia" w:ascii="宋体" w:hAnsi="宋体"/>
                <w:color w:val="auto"/>
                <w:szCs w:val="21"/>
                <w:highlight w:val="none"/>
              </w:rPr>
              <w:t>投标人的投标报价若超过最高投标限价（如有），评标委员会应否决其投标。</w:t>
            </w:r>
          </w:p>
        </w:tc>
      </w:tr>
      <w:tr w14:paraId="7F269982">
        <w:tblPrEx>
          <w:tblCellMar>
            <w:top w:w="0" w:type="dxa"/>
            <w:left w:w="108" w:type="dxa"/>
            <w:bottom w:w="0" w:type="dxa"/>
            <w:right w:w="108" w:type="dxa"/>
          </w:tblCellMar>
        </w:tblPrEx>
        <w:trPr>
          <w:trHeight w:val="840" w:hRule="atLeast"/>
        </w:trPr>
        <w:tc>
          <w:tcPr>
            <w:tcW w:w="993" w:type="dxa"/>
            <w:vMerge w:val="restart"/>
            <w:tcBorders>
              <w:top w:val="single" w:color="000000" w:sz="4" w:space="0"/>
              <w:left w:val="single" w:color="000000" w:sz="4" w:space="0"/>
              <w:right w:val="single" w:color="auto" w:sz="4" w:space="0"/>
            </w:tcBorders>
            <w:vAlign w:val="center"/>
          </w:tcPr>
          <w:p w14:paraId="6798E689">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3.5</w:t>
            </w:r>
          </w:p>
          <w:p w14:paraId="457A2939">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第二个信封详细评审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51CFA3B5">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3.5.1</w:t>
            </w:r>
          </w:p>
        </w:tc>
        <w:tc>
          <w:tcPr>
            <w:tcW w:w="6800" w:type="dxa"/>
            <w:tcBorders>
              <w:top w:val="single" w:color="auto" w:sz="4" w:space="0"/>
              <w:left w:val="single" w:color="auto" w:sz="4" w:space="0"/>
              <w:bottom w:val="single" w:color="auto" w:sz="4" w:space="0"/>
              <w:right w:val="single" w:color="auto" w:sz="4" w:space="0"/>
            </w:tcBorders>
            <w:vAlign w:val="center"/>
          </w:tcPr>
          <w:p w14:paraId="5CEB93FC">
            <w:pPr>
              <w:widowControl/>
              <w:adjustRightInd w:val="0"/>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评标委员会按本章</w:t>
            </w:r>
            <w:r>
              <w:rPr>
                <w:rFonts w:hint="eastAsia" w:ascii="宋体" w:hAnsi="宋体" w:cs="宋体"/>
                <w:color w:val="auto"/>
                <w:szCs w:val="21"/>
                <w:highlight w:val="none"/>
              </w:rPr>
              <w:t>第</w:t>
            </w:r>
            <w:r>
              <w:rPr>
                <w:rFonts w:ascii="宋体" w:hAnsi="宋体" w:cs="宋体"/>
                <w:color w:val="auto"/>
                <w:szCs w:val="21"/>
                <w:highlight w:val="none"/>
              </w:rPr>
              <w:t>2.2.3</w:t>
            </w:r>
            <w:r>
              <w:rPr>
                <w:rFonts w:hint="eastAsia" w:ascii="宋体" w:hAnsi="宋体" w:cs="宋体"/>
                <w:color w:val="auto"/>
                <w:szCs w:val="21"/>
                <w:highlight w:val="none"/>
              </w:rPr>
              <w:t>项</w:t>
            </w:r>
            <w:r>
              <w:rPr>
                <w:rFonts w:hint="eastAsia" w:ascii="宋体" w:hAnsi="宋体" w:cs="宋体"/>
                <w:color w:val="auto"/>
                <w:kern w:val="0"/>
                <w:szCs w:val="21"/>
                <w:highlight w:val="none"/>
              </w:rPr>
              <w:t>规定的评审因素及标准</w:t>
            </w:r>
            <w:r>
              <w:rPr>
                <w:rFonts w:hint="eastAsia" w:ascii="宋体" w:hAnsi="宋体" w:cs="宋体"/>
                <w:color w:val="auto"/>
                <w:szCs w:val="21"/>
                <w:highlight w:val="none"/>
              </w:rPr>
              <w:t>计算出</w:t>
            </w:r>
            <w:r>
              <w:rPr>
                <w:rFonts w:ascii="宋体" w:hAnsi="宋体" w:cs="宋体"/>
                <w:color w:val="auto"/>
                <w:kern w:val="0"/>
                <w:szCs w:val="21"/>
                <w:highlight w:val="none"/>
              </w:rPr>
              <w:t>评标价</w:t>
            </w:r>
            <w:r>
              <w:rPr>
                <w:rFonts w:hint="eastAsia" w:ascii="宋体" w:hAnsi="宋体" w:cs="宋体"/>
                <w:color w:val="auto"/>
                <w:kern w:val="0"/>
                <w:szCs w:val="21"/>
                <w:highlight w:val="none"/>
              </w:rPr>
              <w:t>。</w:t>
            </w:r>
          </w:p>
        </w:tc>
      </w:tr>
      <w:tr w14:paraId="3171E3E3">
        <w:tblPrEx>
          <w:tblCellMar>
            <w:top w:w="0" w:type="dxa"/>
            <w:left w:w="108" w:type="dxa"/>
            <w:bottom w:w="0" w:type="dxa"/>
            <w:right w:w="108" w:type="dxa"/>
          </w:tblCellMar>
        </w:tblPrEx>
        <w:trPr>
          <w:trHeight w:val="704" w:hRule="atLeast"/>
        </w:trPr>
        <w:tc>
          <w:tcPr>
            <w:tcW w:w="993" w:type="dxa"/>
            <w:vMerge w:val="continue"/>
            <w:tcBorders>
              <w:left w:val="single" w:color="000000" w:sz="4" w:space="0"/>
              <w:bottom w:val="single" w:color="auto" w:sz="4" w:space="0"/>
              <w:right w:val="single" w:color="000000" w:sz="4" w:space="0"/>
            </w:tcBorders>
            <w:vAlign w:val="center"/>
          </w:tcPr>
          <w:p w14:paraId="45800CEF">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nil"/>
              <w:bottom w:val="single" w:color="000000" w:sz="4" w:space="0"/>
              <w:right w:val="single" w:color="000000" w:sz="4" w:space="0"/>
            </w:tcBorders>
            <w:vAlign w:val="center"/>
          </w:tcPr>
          <w:p w14:paraId="2631A336">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3.5.2</w:t>
            </w:r>
          </w:p>
        </w:tc>
        <w:tc>
          <w:tcPr>
            <w:tcW w:w="6800" w:type="dxa"/>
            <w:tcBorders>
              <w:top w:val="single" w:color="auto" w:sz="4" w:space="0"/>
              <w:left w:val="nil"/>
              <w:bottom w:val="single" w:color="000000" w:sz="4" w:space="0"/>
              <w:right w:val="single" w:color="000000" w:sz="4" w:space="0"/>
            </w:tcBorders>
            <w:vAlign w:val="center"/>
          </w:tcPr>
          <w:p w14:paraId="514DF2B4">
            <w:pPr>
              <w:widowControl/>
              <w:adjustRightInd w:val="0"/>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评标委员会认定投标人以低于成本报价的，其投标将予以否决。</w:t>
            </w:r>
          </w:p>
        </w:tc>
      </w:tr>
      <w:tr w14:paraId="7A350D0D">
        <w:tblPrEx>
          <w:tblCellMar>
            <w:top w:w="0" w:type="dxa"/>
            <w:left w:w="108" w:type="dxa"/>
            <w:bottom w:w="0" w:type="dxa"/>
            <w:right w:w="108" w:type="dxa"/>
          </w:tblCellMar>
        </w:tblPrEx>
        <w:trPr>
          <w:trHeight w:val="1464"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05A93818">
            <w:pPr>
              <w:widowControl/>
              <w:adjustRightInd w:val="0"/>
              <w:snapToGrid w:val="0"/>
              <w:spacing w:line="400" w:lineRule="exact"/>
              <w:jc w:val="center"/>
              <w:rPr>
                <w:rFonts w:ascii="宋体" w:hAnsi="宋体"/>
                <w:color w:val="auto"/>
                <w:szCs w:val="21"/>
                <w:highlight w:val="none"/>
              </w:rPr>
            </w:pPr>
            <w:r>
              <w:rPr>
                <w:rFonts w:ascii="宋体" w:hAnsi="宋体"/>
                <w:color w:val="auto"/>
                <w:szCs w:val="21"/>
                <w:highlight w:val="none"/>
              </w:rPr>
              <w:t>3.6</w:t>
            </w:r>
          </w:p>
          <w:p w14:paraId="5E267FAD">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olor w:val="auto"/>
                <w:szCs w:val="21"/>
                <w:highlight w:val="none"/>
              </w:rPr>
              <w:t>投标文件相关信息</w:t>
            </w:r>
            <w:r>
              <w:rPr>
                <w:rFonts w:hint="eastAsia" w:ascii="宋体" w:hAnsi="宋体"/>
                <w:color w:val="auto"/>
                <w:szCs w:val="21"/>
                <w:highlight w:val="none"/>
                <w:lang w:val="en-US" w:eastAsia="zh-CN"/>
              </w:rPr>
              <w:t>的</w:t>
            </w:r>
            <w:r>
              <w:rPr>
                <w:rFonts w:hint="eastAsia" w:ascii="宋体" w:hAnsi="宋体"/>
                <w:color w:val="auto"/>
                <w:szCs w:val="21"/>
                <w:highlight w:val="none"/>
              </w:rPr>
              <w:t>核查</w:t>
            </w:r>
          </w:p>
        </w:tc>
        <w:tc>
          <w:tcPr>
            <w:tcW w:w="1134" w:type="dxa"/>
            <w:tcBorders>
              <w:top w:val="single" w:color="000000" w:sz="4" w:space="0"/>
              <w:left w:val="single" w:color="auto" w:sz="4" w:space="0"/>
              <w:bottom w:val="single" w:color="000000" w:sz="4" w:space="0"/>
              <w:right w:val="single" w:color="000000" w:sz="4" w:space="0"/>
            </w:tcBorders>
            <w:vAlign w:val="center"/>
          </w:tcPr>
          <w:p w14:paraId="4F93A984">
            <w:pPr>
              <w:widowControl/>
              <w:adjustRightInd w:val="0"/>
              <w:snapToGrid w:val="0"/>
              <w:spacing w:line="400" w:lineRule="exact"/>
              <w:jc w:val="center"/>
              <w:rPr>
                <w:rFonts w:ascii="宋体" w:hAnsi="宋体" w:cs="宋体"/>
                <w:color w:val="auto"/>
                <w:kern w:val="0"/>
                <w:szCs w:val="21"/>
                <w:highlight w:val="none"/>
              </w:rPr>
            </w:pPr>
            <w:r>
              <w:rPr>
                <w:rFonts w:ascii="宋体" w:hAnsi="宋体"/>
                <w:color w:val="auto"/>
                <w:szCs w:val="21"/>
                <w:highlight w:val="none"/>
              </w:rPr>
              <w:t>3.6.1</w:t>
            </w:r>
          </w:p>
        </w:tc>
        <w:tc>
          <w:tcPr>
            <w:tcW w:w="6800" w:type="dxa"/>
            <w:tcBorders>
              <w:top w:val="single" w:color="000000" w:sz="4" w:space="0"/>
              <w:left w:val="nil"/>
              <w:bottom w:val="single" w:color="000000" w:sz="4" w:space="0"/>
              <w:right w:val="single" w:color="000000" w:sz="4" w:space="0"/>
            </w:tcBorders>
            <w:vAlign w:val="center"/>
          </w:tcPr>
          <w:p w14:paraId="7CC4E9F3">
            <w:pPr>
              <w:widowControl/>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经核实评标委员会认定投标人</w:t>
            </w:r>
            <w:r>
              <w:rPr>
                <w:rFonts w:hint="eastAsia" w:ascii="宋体" w:hAnsi="宋体" w:cs="宋体"/>
                <w:color w:val="auto"/>
                <w:szCs w:val="21"/>
                <w:highlight w:val="none"/>
                <w:lang w:val="en-US" w:eastAsia="zh-CN"/>
              </w:rPr>
              <w:t>按招标文件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章“投标文件格式”要求</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提供的信息与</w:t>
            </w:r>
            <w:r>
              <w:rPr>
                <w:rFonts w:hint="eastAsia" w:ascii="宋体" w:hAnsi="宋体"/>
                <w:color w:val="auto"/>
                <w:szCs w:val="21"/>
                <w:highlight w:val="none"/>
              </w:rPr>
              <w:t>交通运输主管部门</w:t>
            </w:r>
            <w:r>
              <w:rPr>
                <w:rFonts w:ascii="宋体" w:hAnsi="宋体"/>
                <w:color w:val="auto"/>
                <w:szCs w:val="21"/>
                <w:highlight w:val="none"/>
              </w:rPr>
              <w:t>“</w:t>
            </w:r>
            <w:r>
              <w:rPr>
                <w:rFonts w:hint="eastAsia" w:ascii="宋体" w:hAnsi="宋体" w:cs="宋体"/>
                <w:color w:val="auto"/>
                <w:kern w:val="2"/>
                <w:sz w:val="21"/>
                <w:szCs w:val="21"/>
                <w:highlight w:val="none"/>
              </w:rPr>
              <w:t>全国公路建设市场监督管理系统</w:t>
            </w:r>
            <w:r>
              <w:rPr>
                <w:rFonts w:ascii="宋体" w:hAnsi="宋体"/>
                <w:color w:val="auto"/>
                <w:szCs w:val="21"/>
                <w:highlight w:val="none"/>
              </w:rPr>
              <w:t>”</w:t>
            </w:r>
            <w:r>
              <w:rPr>
                <w:rStyle w:val="59"/>
                <w:rFonts w:ascii="宋体" w:hAnsi="宋体"/>
                <w:color w:val="auto"/>
                <w:szCs w:val="21"/>
                <w:highlight w:val="none"/>
              </w:rPr>
              <w:footnoteReference w:id="138"/>
            </w:r>
            <w:r>
              <w:rPr>
                <w:rFonts w:hint="eastAsia" w:ascii="宋体" w:hAnsi="宋体"/>
                <w:color w:val="auto"/>
                <w:szCs w:val="21"/>
                <w:highlight w:val="none"/>
              </w:rPr>
              <w:t>以及“信用交通·四川”</w:t>
            </w:r>
            <w:r>
              <w:rPr>
                <w:rFonts w:hint="eastAsia" w:ascii="宋体" w:hAnsi="宋体"/>
                <w:color w:val="auto"/>
                <w:szCs w:val="21"/>
                <w:highlight w:val="none"/>
                <w:lang w:val="en-US" w:eastAsia="zh-CN"/>
              </w:rPr>
              <w:t>等相关网站</w:t>
            </w:r>
            <w:r>
              <w:rPr>
                <w:rFonts w:hint="eastAsia" w:ascii="宋体" w:hAnsi="宋体"/>
                <w:color w:val="auto"/>
                <w:szCs w:val="21"/>
                <w:highlight w:val="none"/>
              </w:rPr>
              <w:t>发布的信息不符</w:t>
            </w:r>
            <w:r>
              <w:rPr>
                <w:rFonts w:hint="eastAsia" w:ascii="宋体" w:hAnsi="宋体" w:cs="宋体"/>
                <w:color w:val="auto"/>
                <w:szCs w:val="21"/>
                <w:highlight w:val="none"/>
              </w:rPr>
              <w:t>，使得投标人的资格条件不符合招标文件规定的，评标委员会应否决其投标</w:t>
            </w:r>
            <w:r>
              <w:rPr>
                <w:rFonts w:hint="eastAsia" w:ascii="宋体" w:hAnsi="宋体"/>
                <w:color w:val="auto"/>
                <w:szCs w:val="21"/>
                <w:highlight w:val="none"/>
              </w:rPr>
              <w:t>。</w:t>
            </w:r>
          </w:p>
        </w:tc>
      </w:tr>
      <w:tr w14:paraId="16A86EC4">
        <w:tblPrEx>
          <w:tblCellMar>
            <w:top w:w="0" w:type="dxa"/>
            <w:left w:w="108" w:type="dxa"/>
            <w:bottom w:w="0" w:type="dxa"/>
            <w:right w:w="108" w:type="dxa"/>
          </w:tblCellMar>
        </w:tblPrEx>
        <w:trPr>
          <w:trHeight w:val="77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2620CE3">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83070C5">
            <w:pPr>
              <w:widowControl/>
              <w:adjustRightInd w:val="0"/>
              <w:snapToGrid w:val="0"/>
              <w:spacing w:line="400" w:lineRule="exact"/>
              <w:jc w:val="center"/>
              <w:rPr>
                <w:rFonts w:ascii="宋体" w:hAnsi="宋体" w:cs="宋体"/>
                <w:color w:val="auto"/>
                <w:kern w:val="0"/>
                <w:szCs w:val="21"/>
                <w:highlight w:val="none"/>
              </w:rPr>
            </w:pPr>
            <w:r>
              <w:rPr>
                <w:rFonts w:ascii="宋体" w:hAnsi="宋体"/>
                <w:color w:val="auto"/>
                <w:szCs w:val="21"/>
                <w:highlight w:val="none"/>
              </w:rPr>
              <w:t>3.6.2</w:t>
            </w:r>
          </w:p>
        </w:tc>
        <w:tc>
          <w:tcPr>
            <w:tcW w:w="6800" w:type="dxa"/>
            <w:tcBorders>
              <w:top w:val="single" w:color="000000" w:sz="4" w:space="0"/>
              <w:left w:val="nil"/>
              <w:bottom w:val="single" w:color="000000" w:sz="4" w:space="0"/>
              <w:right w:val="single" w:color="000000" w:sz="4" w:space="0"/>
            </w:tcBorders>
            <w:vAlign w:val="center"/>
          </w:tcPr>
          <w:p w14:paraId="3E661AD3">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评标委员会在评标过程中发现投标人存在</w:t>
            </w:r>
            <w:r>
              <w:rPr>
                <w:rFonts w:hint="eastAsia" w:ascii="宋体" w:hAnsi="宋体"/>
                <w:color w:val="auto"/>
                <w:kern w:val="0"/>
                <w:szCs w:val="21"/>
                <w:highlight w:val="none"/>
              </w:rPr>
              <w:t>串通投标、弄虚作假、行贿等违法行为的</w:t>
            </w:r>
            <w:r>
              <w:rPr>
                <w:rFonts w:hint="eastAsia" w:ascii="宋体" w:hAnsi="宋体"/>
                <w:color w:val="auto"/>
                <w:szCs w:val="21"/>
                <w:highlight w:val="none"/>
              </w:rPr>
              <w:t>，评标委员会应否决其投标。</w:t>
            </w:r>
          </w:p>
        </w:tc>
      </w:tr>
      <w:tr w14:paraId="193E1E75">
        <w:tblPrEx>
          <w:tblCellMar>
            <w:top w:w="0" w:type="dxa"/>
            <w:left w:w="108" w:type="dxa"/>
            <w:bottom w:w="0" w:type="dxa"/>
            <w:right w:w="108" w:type="dxa"/>
          </w:tblCellMar>
        </w:tblPrEx>
        <w:trPr>
          <w:trHeight w:val="261" w:hRule="atLeast"/>
        </w:trPr>
        <w:tc>
          <w:tcPr>
            <w:tcW w:w="993" w:type="dxa"/>
            <w:tcBorders>
              <w:top w:val="single" w:color="auto" w:sz="4" w:space="0"/>
              <w:left w:val="single" w:color="000000" w:sz="4" w:space="0"/>
              <w:bottom w:val="single" w:color="auto" w:sz="4" w:space="0"/>
              <w:right w:val="single" w:color="000000" w:sz="4" w:space="0"/>
            </w:tcBorders>
            <w:vAlign w:val="center"/>
          </w:tcPr>
          <w:p w14:paraId="2CFCF0BC">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3.7</w:t>
            </w:r>
          </w:p>
          <w:p w14:paraId="7F26AB64">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投标文件的澄清和说明</w:t>
            </w:r>
          </w:p>
        </w:tc>
        <w:tc>
          <w:tcPr>
            <w:tcW w:w="1134" w:type="dxa"/>
            <w:tcBorders>
              <w:top w:val="single" w:color="000000" w:sz="4" w:space="0"/>
              <w:left w:val="nil"/>
              <w:bottom w:val="single" w:color="000000" w:sz="4" w:space="0"/>
              <w:right w:val="single" w:color="000000" w:sz="4" w:space="0"/>
            </w:tcBorders>
            <w:vAlign w:val="center"/>
          </w:tcPr>
          <w:p w14:paraId="4304D7D8">
            <w:pPr>
              <w:widowControl/>
              <w:adjustRightInd w:val="0"/>
              <w:snapToGrid w:val="0"/>
              <w:spacing w:line="400" w:lineRule="exact"/>
              <w:ind w:firstLine="120"/>
              <w:rPr>
                <w:rFonts w:ascii="宋体" w:hAnsi="宋体" w:cs="宋体"/>
                <w:color w:val="auto"/>
                <w:kern w:val="0"/>
                <w:szCs w:val="21"/>
                <w:highlight w:val="none"/>
              </w:rPr>
            </w:pPr>
            <w:r>
              <w:rPr>
                <w:rFonts w:ascii="宋体" w:hAnsi="宋体" w:cs="宋体"/>
                <w:color w:val="auto"/>
                <w:kern w:val="0"/>
                <w:szCs w:val="21"/>
                <w:highlight w:val="none"/>
              </w:rPr>
              <w:t>3.7.1</w:t>
            </w:r>
          </w:p>
        </w:tc>
        <w:tc>
          <w:tcPr>
            <w:tcW w:w="6800" w:type="dxa"/>
            <w:tcBorders>
              <w:top w:val="single" w:color="000000" w:sz="4" w:space="0"/>
              <w:left w:val="nil"/>
              <w:bottom w:val="single" w:color="000000" w:sz="4" w:space="0"/>
              <w:right w:val="single" w:color="000000" w:sz="4" w:space="0"/>
            </w:tcBorders>
            <w:vAlign w:val="center"/>
          </w:tcPr>
          <w:p w14:paraId="5596331C">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1）在评标过程中，评标委员会通过“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”要求投标人对投标文件中含义不明确的内容、明显文字或计算错误进行澄清或说明。评标委员会不接受投标人主动提出的澄清、说明。</w:t>
            </w:r>
          </w:p>
          <w:p w14:paraId="7C238DAF">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2）投标人收到问题澄清通知后必须在规定时间内通过“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”给予澄清，投标人的澄清必须加盖投标人单位电子印章或法定代表人或其委托代理人的</w:t>
            </w:r>
            <w:r>
              <w:rPr>
                <w:rFonts w:hint="eastAsia" w:ascii="宋体" w:hAnsi="宋体" w:cs="宋体"/>
                <w:color w:val="auto"/>
                <w:szCs w:val="21"/>
                <w:highlight w:val="none"/>
                <w:lang w:val="en-US" w:eastAsia="zh-CN"/>
              </w:rPr>
              <w:t>个人</w:t>
            </w:r>
            <w:r>
              <w:rPr>
                <w:rFonts w:ascii="宋体" w:hAnsi="宋体" w:cs="宋体"/>
                <w:color w:val="auto"/>
                <w:szCs w:val="21"/>
                <w:highlight w:val="none"/>
              </w:rPr>
              <w:t>电子签</w:t>
            </w:r>
            <w:r>
              <w:rPr>
                <w:rFonts w:hint="eastAsia" w:ascii="宋体" w:hAnsi="宋体" w:cs="宋体"/>
                <w:color w:val="auto"/>
                <w:szCs w:val="21"/>
                <w:highlight w:val="none"/>
                <w:lang w:val="en-US" w:eastAsia="zh-CN"/>
              </w:rPr>
              <w:t>名</w:t>
            </w:r>
            <w:r>
              <w:rPr>
                <w:rFonts w:ascii="宋体" w:hAnsi="宋体" w:cs="宋体"/>
                <w:color w:val="auto"/>
                <w:szCs w:val="21"/>
                <w:highlight w:val="none"/>
              </w:rPr>
              <w:t>章</w:t>
            </w:r>
            <w:r>
              <w:rPr>
                <w:rFonts w:hint="eastAsia" w:ascii="宋体" w:hAnsi="宋体" w:cs="宋体"/>
                <w:color w:val="auto"/>
                <w:szCs w:val="21"/>
                <w:highlight w:val="none"/>
                <w:lang w:val="en-US" w:eastAsia="zh-CN"/>
              </w:rPr>
              <w:t>或个人电子印章</w:t>
            </w:r>
            <w:r>
              <w:rPr>
                <w:rFonts w:ascii="宋体" w:hAnsi="宋体" w:cs="宋体"/>
                <w:color w:val="auto"/>
                <w:szCs w:val="21"/>
                <w:highlight w:val="none"/>
              </w:rPr>
              <w:t>。</w:t>
            </w:r>
          </w:p>
          <w:p w14:paraId="5F952785">
            <w:pPr>
              <w:widowControl/>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3）投标人不按评标委员会要求澄清或说明的，评标委员会应否决其投标。</w:t>
            </w:r>
          </w:p>
        </w:tc>
      </w:tr>
      <w:tr w14:paraId="798EB068">
        <w:tblPrEx>
          <w:tblCellMar>
            <w:top w:w="0" w:type="dxa"/>
            <w:left w:w="108" w:type="dxa"/>
            <w:bottom w:w="0" w:type="dxa"/>
            <w:right w:w="108" w:type="dxa"/>
          </w:tblCellMar>
        </w:tblPrEx>
        <w:trPr>
          <w:trHeight w:val="447" w:hRule="atLeast"/>
        </w:trPr>
        <w:tc>
          <w:tcPr>
            <w:tcW w:w="8927" w:type="dxa"/>
            <w:gridSpan w:val="3"/>
            <w:tcBorders>
              <w:top w:val="single" w:color="auto" w:sz="4" w:space="0"/>
              <w:left w:val="single" w:color="000000" w:sz="4" w:space="0"/>
              <w:bottom w:val="single" w:color="000000" w:sz="4" w:space="0"/>
              <w:right w:val="single" w:color="000000" w:sz="4" w:space="0"/>
            </w:tcBorders>
            <w:vAlign w:val="center"/>
          </w:tcPr>
          <w:p w14:paraId="032E16B2">
            <w:pPr>
              <w:pStyle w:val="299"/>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49863F48">
            <w:pPr>
              <w:pStyle w:val="299"/>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w:t>
            </w:r>
          </w:p>
        </w:tc>
      </w:tr>
    </w:tbl>
    <w:p w14:paraId="6705631F">
      <w:pPr>
        <w:ind w:firstLine="0" w:firstLineChars="0"/>
        <w:rPr>
          <w:rFonts w:ascii="黑体" w:hAnsi="黑体" w:eastAsia="黑体" w:cs="宋体"/>
          <w:color w:val="auto"/>
          <w:sz w:val="28"/>
          <w:szCs w:val="28"/>
          <w:highlight w:val="none"/>
          <w:u w:val="single"/>
        </w:rPr>
      </w:pPr>
      <w:r>
        <w:rPr>
          <w:rFonts w:ascii="黑体" w:hAnsi="黑体" w:eastAsia="黑体" w:cs="宋体"/>
          <w:color w:val="auto"/>
          <w:sz w:val="28"/>
          <w:szCs w:val="28"/>
          <w:highlight w:val="none"/>
          <w:u w:val="single"/>
        </w:rPr>
        <w:br w:type="page"/>
      </w:r>
    </w:p>
    <w:p w14:paraId="2998A0F7">
      <w:pPr>
        <w:ind w:firstLine="2800" w:firstLineChars="1000"/>
        <w:rPr>
          <w:rFonts w:ascii="黑体" w:hAnsi="黑体" w:eastAsia="黑体" w:cs="宋体"/>
          <w:color w:val="auto"/>
          <w:sz w:val="28"/>
          <w:szCs w:val="28"/>
          <w:highlight w:val="none"/>
        </w:rPr>
      </w:pP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标段评分因素与权重分值</w:t>
      </w:r>
    </w:p>
    <w:p w14:paraId="61952277">
      <w:pPr>
        <w:rPr>
          <w:rFonts w:ascii="宋体" w:hAnsi="宋体" w:cs="宋体"/>
          <w:color w:val="auto"/>
          <w:highlight w:val="none"/>
        </w:rPr>
      </w:pPr>
    </w:p>
    <w:tbl>
      <w:tblPr>
        <w:tblStyle w:val="4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316"/>
        <w:gridCol w:w="1134"/>
        <w:gridCol w:w="3260"/>
        <w:gridCol w:w="709"/>
        <w:gridCol w:w="1262"/>
      </w:tblGrid>
      <w:tr w14:paraId="102D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089" w:type="dxa"/>
            <w:vMerge w:val="restart"/>
            <w:vAlign w:val="center"/>
          </w:tcPr>
          <w:p w14:paraId="0260F45B">
            <w:pPr>
              <w:pStyle w:val="299"/>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681" w:type="dxa"/>
            <w:gridSpan w:val="5"/>
            <w:vAlign w:val="center"/>
          </w:tcPr>
          <w:p w14:paraId="699F0797">
            <w:pPr>
              <w:pStyle w:val="299"/>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评分因素与权重分值</w:t>
            </w:r>
          </w:p>
        </w:tc>
      </w:tr>
      <w:tr w14:paraId="622A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9" w:type="dxa"/>
            <w:vMerge w:val="continue"/>
            <w:vAlign w:val="center"/>
          </w:tcPr>
          <w:p w14:paraId="1567BF8D">
            <w:pPr>
              <w:pStyle w:val="299"/>
              <w:adjustRightInd w:val="0"/>
              <w:snapToGrid w:val="0"/>
              <w:jc w:val="center"/>
              <w:rPr>
                <w:rFonts w:ascii="宋体" w:hAnsi="宋体" w:cs="宋体"/>
                <w:b/>
                <w:color w:val="auto"/>
                <w:szCs w:val="21"/>
                <w:highlight w:val="none"/>
              </w:rPr>
            </w:pPr>
          </w:p>
        </w:tc>
        <w:tc>
          <w:tcPr>
            <w:tcW w:w="1316" w:type="dxa"/>
            <w:vAlign w:val="center"/>
          </w:tcPr>
          <w:p w14:paraId="1A06707F">
            <w:pPr>
              <w:pStyle w:val="299"/>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1134" w:type="dxa"/>
            <w:vAlign w:val="center"/>
          </w:tcPr>
          <w:p w14:paraId="010C616C">
            <w:pPr>
              <w:pStyle w:val="299"/>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评分因素权重分值</w:t>
            </w:r>
          </w:p>
        </w:tc>
        <w:tc>
          <w:tcPr>
            <w:tcW w:w="3260" w:type="dxa"/>
            <w:vAlign w:val="center"/>
          </w:tcPr>
          <w:p w14:paraId="4B0AC67D">
            <w:pPr>
              <w:pStyle w:val="299"/>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各评分因素细分项</w:t>
            </w:r>
          </w:p>
        </w:tc>
        <w:tc>
          <w:tcPr>
            <w:tcW w:w="709" w:type="dxa"/>
            <w:vAlign w:val="center"/>
          </w:tcPr>
          <w:p w14:paraId="47F455AB">
            <w:pPr>
              <w:pStyle w:val="299"/>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1262" w:type="dxa"/>
            <w:vAlign w:val="center"/>
          </w:tcPr>
          <w:p w14:paraId="47B31A70">
            <w:pPr>
              <w:pStyle w:val="299"/>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评分标准</w:t>
            </w:r>
            <w:r>
              <w:rPr>
                <w:rStyle w:val="59"/>
                <w:rFonts w:ascii="宋体" w:hAnsi="宋体" w:cs="宋体"/>
                <w:b/>
                <w:color w:val="auto"/>
                <w:szCs w:val="21"/>
                <w:highlight w:val="none"/>
              </w:rPr>
              <w:footnoteReference w:id="139"/>
            </w:r>
          </w:p>
        </w:tc>
      </w:tr>
      <w:tr w14:paraId="5D8F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restart"/>
            <w:vAlign w:val="center"/>
          </w:tcPr>
          <w:p w14:paraId="28C12337">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2.2.2</w:t>
            </w:r>
            <w:r>
              <w:rPr>
                <w:rFonts w:hint="eastAsia" w:ascii="宋体" w:hAnsi="宋体" w:cs="宋体"/>
                <w:color w:val="auto"/>
                <w:szCs w:val="21"/>
                <w:highlight w:val="none"/>
              </w:rPr>
              <w:t>（</w:t>
            </w:r>
            <w:r>
              <w:rPr>
                <w:rFonts w:ascii="宋体" w:hAnsi="宋体" w:cs="宋体"/>
                <w:color w:val="auto"/>
                <w:szCs w:val="21"/>
                <w:highlight w:val="none"/>
              </w:rPr>
              <w:t>1）</w:t>
            </w:r>
          </w:p>
        </w:tc>
        <w:tc>
          <w:tcPr>
            <w:tcW w:w="1316" w:type="dxa"/>
            <w:vMerge w:val="restart"/>
            <w:vAlign w:val="center"/>
          </w:tcPr>
          <w:p w14:paraId="49A8959D">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施工组织设计</w:t>
            </w:r>
            <w:r>
              <w:rPr>
                <w:rFonts w:ascii="宋体" w:hAnsi="宋体" w:cs="宋体"/>
                <w:color w:val="auto"/>
                <w:szCs w:val="21"/>
                <w:highlight w:val="none"/>
              </w:rPr>
              <w:t>A</w:t>
            </w:r>
          </w:p>
        </w:tc>
        <w:tc>
          <w:tcPr>
            <w:tcW w:w="1134" w:type="dxa"/>
            <w:vMerge w:val="restart"/>
            <w:vAlign w:val="center"/>
          </w:tcPr>
          <w:p w14:paraId="3B925F3A">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Fonts w:ascii="宋体" w:hAnsi="宋体" w:cs="宋体"/>
                <w:color w:val="auto"/>
                <w:szCs w:val="21"/>
                <w:highlight w:val="none"/>
              </w:rPr>
              <w:t xml:space="preserve"> </w:t>
            </w:r>
          </w:p>
        </w:tc>
        <w:tc>
          <w:tcPr>
            <w:tcW w:w="3260" w:type="dxa"/>
            <w:vAlign w:val="center"/>
          </w:tcPr>
          <w:p w14:paraId="6E699B20">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总体施工组织</w:t>
            </w:r>
            <w:r>
              <w:rPr>
                <w:rFonts w:hint="eastAsia" w:ascii="宋体" w:hAnsi="宋体" w:cs="宋体"/>
                <w:color w:val="auto"/>
                <w:szCs w:val="21"/>
                <w:highlight w:val="none"/>
                <w:lang w:val="en-US" w:eastAsia="zh-CN"/>
              </w:rPr>
              <w:t>布置及规</w:t>
            </w:r>
            <w:r>
              <w:rPr>
                <w:rFonts w:hint="eastAsia" w:ascii="宋体" w:hAnsi="宋体" w:cs="宋体"/>
                <w:color w:val="auto"/>
                <w:szCs w:val="21"/>
                <w:highlight w:val="none"/>
              </w:rPr>
              <w:t>划</w:t>
            </w:r>
            <w:r>
              <w:rPr>
                <w:rFonts w:ascii="宋体" w:hAnsi="宋体" w:cs="宋体"/>
                <w:color w:val="auto"/>
                <w:szCs w:val="21"/>
                <w:highlight w:val="none"/>
                <w:u w:val="none"/>
              </w:rPr>
              <w:t>A</w:t>
            </w:r>
            <w:r>
              <w:rPr>
                <w:rFonts w:ascii="宋体" w:hAnsi="宋体" w:cs="宋体"/>
                <w:color w:val="auto"/>
                <w:szCs w:val="21"/>
                <w:highlight w:val="none"/>
                <w:u w:val="none"/>
                <w:vertAlign w:val="subscript"/>
              </w:rPr>
              <w:t>1</w:t>
            </w:r>
          </w:p>
        </w:tc>
        <w:tc>
          <w:tcPr>
            <w:tcW w:w="709" w:type="dxa"/>
            <w:vAlign w:val="center"/>
          </w:tcPr>
          <w:p w14:paraId="3052FFF7">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72A35F86">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4BC0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57EE87A2">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5B7F8414">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205F8DE7">
            <w:pPr>
              <w:pStyle w:val="299"/>
              <w:adjustRightInd w:val="0"/>
              <w:snapToGrid w:val="0"/>
              <w:spacing w:line="400" w:lineRule="exact"/>
              <w:rPr>
                <w:rFonts w:ascii="宋体" w:hAnsi="宋体" w:cs="宋体"/>
                <w:color w:val="auto"/>
                <w:szCs w:val="21"/>
                <w:highlight w:val="none"/>
              </w:rPr>
            </w:pPr>
          </w:p>
        </w:tc>
        <w:tc>
          <w:tcPr>
            <w:tcW w:w="3260" w:type="dxa"/>
            <w:vAlign w:val="center"/>
          </w:tcPr>
          <w:p w14:paraId="793A6FF5">
            <w:pPr>
              <w:pStyle w:val="299"/>
              <w:adjustRightInd w:val="0"/>
              <w:snapToGrid w:val="0"/>
              <w:spacing w:line="400" w:lineRule="exact"/>
              <w:rPr>
                <w:rFonts w:ascii="宋体" w:hAnsi="宋体" w:cs="宋体"/>
                <w:color w:val="auto"/>
                <w:szCs w:val="21"/>
                <w:highlight w:val="none"/>
              </w:rPr>
            </w:pPr>
            <w:r>
              <w:rPr>
                <w:rFonts w:hint="eastAsia"/>
                <w:color w:val="auto"/>
                <w:highlight w:val="none"/>
              </w:rPr>
              <w:t>重点、关键和难点工程的施工方案</w:t>
            </w:r>
            <w:r>
              <w:rPr>
                <w:rFonts w:ascii="宋体" w:hAnsi="宋体" w:cs="宋体"/>
                <w:color w:val="auto"/>
                <w:szCs w:val="21"/>
                <w:highlight w:val="none"/>
                <w:u w:val="none"/>
              </w:rPr>
              <w:t>A</w:t>
            </w:r>
            <w:r>
              <w:rPr>
                <w:rFonts w:ascii="宋体" w:hAnsi="宋体" w:cs="宋体"/>
                <w:color w:val="auto"/>
                <w:szCs w:val="21"/>
                <w:highlight w:val="none"/>
                <w:u w:val="none"/>
                <w:vertAlign w:val="subscript"/>
              </w:rPr>
              <w:t>2</w:t>
            </w:r>
          </w:p>
        </w:tc>
        <w:tc>
          <w:tcPr>
            <w:tcW w:w="709" w:type="dxa"/>
            <w:vAlign w:val="center"/>
          </w:tcPr>
          <w:p w14:paraId="04B29B65">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3A9A122C">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6E2A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76BE69D6">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75F27EBF">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32A247A7">
            <w:pPr>
              <w:pStyle w:val="299"/>
              <w:adjustRightInd w:val="0"/>
              <w:snapToGrid w:val="0"/>
              <w:spacing w:line="400" w:lineRule="exact"/>
              <w:rPr>
                <w:rFonts w:ascii="宋体" w:hAnsi="宋体" w:cs="宋体"/>
                <w:color w:val="auto"/>
                <w:szCs w:val="21"/>
                <w:highlight w:val="none"/>
              </w:rPr>
            </w:pPr>
          </w:p>
        </w:tc>
        <w:tc>
          <w:tcPr>
            <w:tcW w:w="3260" w:type="dxa"/>
            <w:vAlign w:val="center"/>
          </w:tcPr>
          <w:p w14:paraId="7CD8C18C">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工期保证体系及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3</w:t>
            </w:r>
          </w:p>
        </w:tc>
        <w:tc>
          <w:tcPr>
            <w:tcW w:w="709" w:type="dxa"/>
            <w:vAlign w:val="center"/>
          </w:tcPr>
          <w:p w14:paraId="18B3E52D">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5DA4E2EA">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1C67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24EE7A0E">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5B3684E6">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270EBF8B">
            <w:pPr>
              <w:pStyle w:val="299"/>
              <w:adjustRightInd w:val="0"/>
              <w:snapToGrid w:val="0"/>
              <w:spacing w:line="400" w:lineRule="exact"/>
              <w:rPr>
                <w:rFonts w:ascii="宋体" w:hAnsi="宋体" w:cs="宋体"/>
                <w:color w:val="auto"/>
                <w:szCs w:val="21"/>
                <w:highlight w:val="none"/>
              </w:rPr>
            </w:pPr>
          </w:p>
        </w:tc>
        <w:tc>
          <w:tcPr>
            <w:tcW w:w="3260" w:type="dxa"/>
            <w:vAlign w:val="center"/>
          </w:tcPr>
          <w:p w14:paraId="2591B1A7">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工程质量管理体系及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4</w:t>
            </w:r>
          </w:p>
        </w:tc>
        <w:tc>
          <w:tcPr>
            <w:tcW w:w="709" w:type="dxa"/>
            <w:vAlign w:val="center"/>
          </w:tcPr>
          <w:p w14:paraId="03A6BD67">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43F37198">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173B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228EAD02">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1A27FF9A">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62F95C76">
            <w:pPr>
              <w:pStyle w:val="299"/>
              <w:adjustRightInd w:val="0"/>
              <w:snapToGrid w:val="0"/>
              <w:spacing w:line="400" w:lineRule="exact"/>
              <w:rPr>
                <w:rFonts w:ascii="宋体" w:hAnsi="宋体" w:cs="宋体"/>
                <w:color w:val="auto"/>
                <w:szCs w:val="21"/>
                <w:highlight w:val="none"/>
              </w:rPr>
            </w:pPr>
          </w:p>
        </w:tc>
        <w:tc>
          <w:tcPr>
            <w:tcW w:w="3260" w:type="dxa"/>
            <w:vAlign w:val="center"/>
          </w:tcPr>
          <w:p w14:paraId="480806BE">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安全生产管理体系及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5</w:t>
            </w:r>
          </w:p>
        </w:tc>
        <w:tc>
          <w:tcPr>
            <w:tcW w:w="709" w:type="dxa"/>
            <w:vAlign w:val="center"/>
          </w:tcPr>
          <w:p w14:paraId="20D982AF">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4DBF3E82">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370B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1A942AED">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3FAA0037">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386FF16D">
            <w:pPr>
              <w:pStyle w:val="299"/>
              <w:adjustRightInd w:val="0"/>
              <w:snapToGrid w:val="0"/>
              <w:spacing w:line="400" w:lineRule="exact"/>
              <w:rPr>
                <w:rFonts w:ascii="宋体" w:hAnsi="宋体" w:cs="宋体"/>
                <w:color w:val="auto"/>
                <w:szCs w:val="21"/>
                <w:highlight w:val="none"/>
              </w:rPr>
            </w:pPr>
          </w:p>
        </w:tc>
        <w:tc>
          <w:tcPr>
            <w:tcW w:w="3260" w:type="dxa"/>
            <w:vAlign w:val="center"/>
          </w:tcPr>
          <w:p w14:paraId="795485F1">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环境保护、</w:t>
            </w:r>
            <w:r>
              <w:rPr>
                <w:rFonts w:ascii="宋体" w:hAnsi="宋体" w:cs="宋体"/>
                <w:color w:val="auto"/>
                <w:szCs w:val="21"/>
                <w:highlight w:val="none"/>
              </w:rPr>
              <w:t>水土保持保证</w:t>
            </w:r>
            <w:r>
              <w:rPr>
                <w:rFonts w:hint="eastAsia" w:ascii="宋体" w:hAnsi="宋体" w:cs="宋体"/>
                <w:color w:val="auto"/>
                <w:szCs w:val="21"/>
                <w:highlight w:val="none"/>
              </w:rPr>
              <w:t>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6</w:t>
            </w:r>
          </w:p>
        </w:tc>
        <w:tc>
          <w:tcPr>
            <w:tcW w:w="709" w:type="dxa"/>
            <w:vAlign w:val="center"/>
          </w:tcPr>
          <w:p w14:paraId="7F1CFAF9">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0D0B860B">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1FC9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7AD10D9B">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554BBFB5">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2C1FCED7">
            <w:pPr>
              <w:pStyle w:val="299"/>
              <w:adjustRightInd w:val="0"/>
              <w:snapToGrid w:val="0"/>
              <w:spacing w:line="400" w:lineRule="exact"/>
              <w:rPr>
                <w:rFonts w:ascii="宋体" w:hAnsi="宋体" w:cs="宋体"/>
                <w:color w:val="auto"/>
                <w:szCs w:val="21"/>
                <w:highlight w:val="none"/>
              </w:rPr>
            </w:pPr>
          </w:p>
        </w:tc>
        <w:tc>
          <w:tcPr>
            <w:tcW w:w="3260" w:type="dxa"/>
            <w:vAlign w:val="center"/>
          </w:tcPr>
          <w:p w14:paraId="77583592">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文明施工</w:t>
            </w:r>
            <w:r>
              <w:rPr>
                <w:rFonts w:ascii="宋体" w:hAnsi="宋体" w:cs="宋体"/>
                <w:color w:val="auto"/>
                <w:szCs w:val="21"/>
                <w:highlight w:val="none"/>
              </w:rPr>
              <w:t>、</w:t>
            </w:r>
            <w:r>
              <w:rPr>
                <w:rFonts w:hint="eastAsia" w:ascii="宋体" w:hAnsi="宋体" w:cs="宋体"/>
                <w:color w:val="auto"/>
                <w:szCs w:val="21"/>
                <w:highlight w:val="none"/>
              </w:rPr>
              <w:t>文物保护保证体系及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7</w:t>
            </w:r>
          </w:p>
        </w:tc>
        <w:tc>
          <w:tcPr>
            <w:tcW w:w="709" w:type="dxa"/>
            <w:vAlign w:val="center"/>
          </w:tcPr>
          <w:p w14:paraId="35F60710">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21B6C370">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6CBC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9" w:type="dxa"/>
            <w:vMerge w:val="continue"/>
            <w:vAlign w:val="center"/>
          </w:tcPr>
          <w:p w14:paraId="670DA206">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3E78A489">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5207D85A">
            <w:pPr>
              <w:pStyle w:val="299"/>
              <w:adjustRightInd w:val="0"/>
              <w:snapToGrid w:val="0"/>
              <w:spacing w:line="400" w:lineRule="exact"/>
              <w:rPr>
                <w:rFonts w:ascii="宋体" w:hAnsi="宋体" w:cs="宋体"/>
                <w:color w:val="auto"/>
                <w:szCs w:val="21"/>
                <w:highlight w:val="none"/>
              </w:rPr>
            </w:pPr>
          </w:p>
        </w:tc>
        <w:tc>
          <w:tcPr>
            <w:tcW w:w="3260" w:type="dxa"/>
            <w:vAlign w:val="center"/>
          </w:tcPr>
          <w:p w14:paraId="78FA7957">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标准化、品质工程保证体系及保证措施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8</w:t>
            </w:r>
          </w:p>
        </w:tc>
        <w:tc>
          <w:tcPr>
            <w:tcW w:w="709" w:type="dxa"/>
            <w:vAlign w:val="center"/>
          </w:tcPr>
          <w:p w14:paraId="2DBD6E79">
            <w:pPr>
              <w:pStyle w:val="299"/>
              <w:adjustRightInd w:val="0"/>
              <w:snapToGrid w:val="0"/>
              <w:spacing w:line="400" w:lineRule="exact"/>
              <w:rPr>
                <w:rFonts w:ascii="宋体" w:hAnsi="宋体" w:cs="宋体"/>
                <w:color w:val="auto"/>
                <w:szCs w:val="21"/>
                <w:highlight w:val="none"/>
                <w:u w:val="single"/>
              </w:rPr>
            </w:pPr>
          </w:p>
        </w:tc>
        <w:tc>
          <w:tcPr>
            <w:tcW w:w="1262" w:type="dxa"/>
            <w:vAlign w:val="center"/>
          </w:tcPr>
          <w:p w14:paraId="33DD6DEF">
            <w:pPr>
              <w:pStyle w:val="299"/>
              <w:adjustRightInd w:val="0"/>
              <w:snapToGrid w:val="0"/>
              <w:spacing w:line="400" w:lineRule="exact"/>
              <w:rPr>
                <w:rFonts w:ascii="宋体" w:hAnsi="宋体" w:cs="宋体"/>
                <w:color w:val="auto"/>
                <w:szCs w:val="21"/>
                <w:highlight w:val="none"/>
                <w:u w:val="single"/>
              </w:rPr>
            </w:pPr>
          </w:p>
        </w:tc>
      </w:tr>
      <w:tr w14:paraId="0F93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20CE2BFA">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71157AAA">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05963ECB">
            <w:pPr>
              <w:pStyle w:val="299"/>
              <w:adjustRightInd w:val="0"/>
              <w:snapToGrid w:val="0"/>
              <w:spacing w:line="400" w:lineRule="exact"/>
              <w:rPr>
                <w:rFonts w:ascii="宋体" w:hAnsi="宋体" w:cs="宋体"/>
                <w:color w:val="auto"/>
                <w:szCs w:val="21"/>
                <w:highlight w:val="none"/>
              </w:rPr>
            </w:pPr>
          </w:p>
        </w:tc>
        <w:tc>
          <w:tcPr>
            <w:tcW w:w="3260" w:type="dxa"/>
            <w:vAlign w:val="center"/>
          </w:tcPr>
          <w:p w14:paraId="516E647B">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项目风险预测</w:t>
            </w:r>
            <w:r>
              <w:rPr>
                <w:rFonts w:ascii="宋体" w:hAnsi="宋体" w:cs="宋体"/>
                <w:color w:val="auto"/>
                <w:szCs w:val="21"/>
                <w:highlight w:val="none"/>
              </w:rPr>
              <w:t>与防范、事故应急预案</w:t>
            </w:r>
            <w:r>
              <w:rPr>
                <w:rFonts w:ascii="宋体" w:hAnsi="宋体" w:cs="宋体"/>
                <w:color w:val="auto"/>
                <w:szCs w:val="21"/>
                <w:highlight w:val="none"/>
                <w:u w:val="none"/>
              </w:rPr>
              <w:t>A</w:t>
            </w:r>
            <w:r>
              <w:rPr>
                <w:rFonts w:ascii="宋体" w:hAnsi="宋体" w:cs="宋体"/>
                <w:color w:val="auto"/>
                <w:szCs w:val="21"/>
                <w:highlight w:val="none"/>
                <w:u w:val="none"/>
                <w:vertAlign w:val="subscript"/>
              </w:rPr>
              <w:t>9</w:t>
            </w:r>
          </w:p>
        </w:tc>
        <w:tc>
          <w:tcPr>
            <w:tcW w:w="709" w:type="dxa"/>
            <w:vAlign w:val="center"/>
          </w:tcPr>
          <w:p w14:paraId="4ED234AF">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4961BDFC">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6123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0A0A8A67">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7BE29411">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75AE1D20">
            <w:pPr>
              <w:pStyle w:val="299"/>
              <w:adjustRightInd w:val="0"/>
              <w:snapToGrid w:val="0"/>
              <w:spacing w:line="400" w:lineRule="exact"/>
              <w:rPr>
                <w:rFonts w:ascii="宋体" w:hAnsi="宋体" w:cs="宋体"/>
                <w:color w:val="auto"/>
                <w:szCs w:val="21"/>
                <w:highlight w:val="none"/>
              </w:rPr>
            </w:pPr>
          </w:p>
        </w:tc>
        <w:tc>
          <w:tcPr>
            <w:tcW w:w="3260" w:type="dxa"/>
            <w:vAlign w:val="center"/>
          </w:tcPr>
          <w:p w14:paraId="25539A1F">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709" w:type="dxa"/>
            <w:vAlign w:val="center"/>
          </w:tcPr>
          <w:p w14:paraId="07DE8573">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626B140D">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05A8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3834D6EB">
            <w:pPr>
              <w:pStyle w:val="299"/>
              <w:adjustRightInd w:val="0"/>
              <w:snapToGrid w:val="0"/>
              <w:spacing w:line="400" w:lineRule="exact"/>
              <w:jc w:val="center"/>
              <w:rPr>
                <w:rFonts w:ascii="宋体" w:hAnsi="宋体" w:cs="宋体"/>
                <w:color w:val="auto"/>
                <w:szCs w:val="21"/>
                <w:highlight w:val="none"/>
              </w:rPr>
            </w:pPr>
          </w:p>
        </w:tc>
        <w:tc>
          <w:tcPr>
            <w:tcW w:w="1316" w:type="dxa"/>
            <w:vMerge w:val="continue"/>
            <w:vAlign w:val="center"/>
          </w:tcPr>
          <w:p w14:paraId="3316F78C">
            <w:pPr>
              <w:pStyle w:val="299"/>
              <w:adjustRightInd w:val="0"/>
              <w:snapToGrid w:val="0"/>
              <w:spacing w:line="400" w:lineRule="exact"/>
              <w:jc w:val="center"/>
              <w:rPr>
                <w:rFonts w:ascii="宋体" w:hAnsi="宋体" w:cs="宋体"/>
                <w:color w:val="auto"/>
                <w:szCs w:val="21"/>
                <w:highlight w:val="none"/>
              </w:rPr>
            </w:pPr>
          </w:p>
        </w:tc>
        <w:tc>
          <w:tcPr>
            <w:tcW w:w="1134" w:type="dxa"/>
            <w:vMerge w:val="continue"/>
            <w:vAlign w:val="center"/>
          </w:tcPr>
          <w:p w14:paraId="4F3EE932">
            <w:pPr>
              <w:pStyle w:val="299"/>
              <w:adjustRightInd w:val="0"/>
              <w:snapToGrid w:val="0"/>
              <w:spacing w:line="400" w:lineRule="exact"/>
              <w:rPr>
                <w:rFonts w:ascii="宋体" w:hAnsi="宋体" w:cs="宋体"/>
                <w:color w:val="auto"/>
                <w:szCs w:val="21"/>
                <w:highlight w:val="none"/>
              </w:rPr>
            </w:pPr>
          </w:p>
        </w:tc>
        <w:tc>
          <w:tcPr>
            <w:tcW w:w="5231" w:type="dxa"/>
            <w:gridSpan w:val="3"/>
            <w:vAlign w:val="center"/>
          </w:tcPr>
          <w:p w14:paraId="26276B0F">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注</w:t>
            </w:r>
            <w:r>
              <w:rPr>
                <w:rFonts w:hint="eastAsia" w:ascii="宋体" w:hAnsi="宋体" w:cs="宋体"/>
                <w:color w:val="auto"/>
                <w:szCs w:val="21"/>
                <w:highlight w:val="none"/>
              </w:rPr>
              <w:t>：</w:t>
            </w:r>
          </w:p>
          <w:p w14:paraId="2DCE0E88">
            <w:pPr>
              <w:pStyle w:val="299"/>
              <w:adjustRightInd w:val="0"/>
              <w:snapToGrid w:val="0"/>
              <w:spacing w:line="400" w:lineRule="exact"/>
              <w:rPr>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color w:val="auto"/>
                <w:highlight w:val="none"/>
              </w:rPr>
              <w:t>招标人应根据项目具体情况确定各评分因素及评分因素权重分值，并对各评分因素进行细分（如有）、确定各评分因素细分项的分值，各评分因素权重分值合计应为</w:t>
            </w:r>
            <w:r>
              <w:rPr>
                <w:rFonts w:hint="eastAsia"/>
                <w:color w:val="auto"/>
                <w:highlight w:val="none"/>
                <w:lang w:val="en-US" w:eastAsia="zh-CN"/>
              </w:rPr>
              <w:t>本项评分因素权重分值满分</w:t>
            </w:r>
            <w:r>
              <w:rPr>
                <w:rFonts w:hint="eastAsia"/>
                <w:color w:val="auto"/>
                <w:highlight w:val="none"/>
              </w:rPr>
              <w:t>。各评分因素得分</w:t>
            </w:r>
            <w:r>
              <w:rPr>
                <w:rFonts w:hint="eastAsia"/>
                <w:color w:val="auto"/>
                <w:highlight w:val="none"/>
                <w:lang w:val="en-US" w:eastAsia="zh-CN"/>
              </w:rPr>
              <w:t>一般</w:t>
            </w:r>
            <w:r>
              <w:rPr>
                <w:rFonts w:hint="eastAsia"/>
                <w:color w:val="auto"/>
                <w:highlight w:val="none"/>
              </w:rPr>
              <w:t>不</w:t>
            </w:r>
            <w:r>
              <w:rPr>
                <w:rFonts w:hint="eastAsia"/>
                <w:color w:val="auto"/>
                <w:highlight w:val="none"/>
                <w:lang w:val="en-US" w:eastAsia="zh-CN"/>
              </w:rPr>
              <w:t>得</w:t>
            </w:r>
            <w:r>
              <w:rPr>
                <w:rFonts w:hint="eastAsia"/>
                <w:color w:val="auto"/>
                <w:highlight w:val="none"/>
              </w:rPr>
              <w:t>低于其权重分值的</w:t>
            </w:r>
            <w:r>
              <w:rPr>
                <w:color w:val="auto"/>
                <w:highlight w:val="none"/>
              </w:rPr>
              <w:t>60%</w:t>
            </w:r>
            <w:r>
              <w:rPr>
                <w:rFonts w:hint="eastAsia"/>
                <w:color w:val="auto"/>
                <w:highlight w:val="none"/>
                <w:lang w:eastAsia="zh-CN"/>
              </w:rPr>
              <w:t>。</w:t>
            </w:r>
            <w:r>
              <w:rPr>
                <w:rFonts w:hint="eastAsia"/>
                <w:color w:val="auto"/>
                <w:highlight w:val="none"/>
              </w:rPr>
              <w:t>评标委员会成员对某一项评分因素的评分低于权重分值</w:t>
            </w:r>
            <w:r>
              <w:rPr>
                <w:color w:val="auto"/>
                <w:highlight w:val="none"/>
              </w:rPr>
              <w:t>60%</w:t>
            </w:r>
            <w:r>
              <w:rPr>
                <w:rFonts w:hint="eastAsia"/>
                <w:color w:val="auto"/>
                <w:highlight w:val="none"/>
              </w:rPr>
              <w:t>的，应在评标报告中作出说明。</w:t>
            </w:r>
          </w:p>
          <w:p w14:paraId="36F89316">
            <w:pPr>
              <w:pStyle w:val="299"/>
              <w:adjustRightInd w:val="0"/>
              <w:snapToGrid w:val="0"/>
              <w:spacing w:line="400" w:lineRule="exact"/>
              <w:rPr>
                <w:color w:val="auto"/>
                <w:highlight w:val="none"/>
              </w:rPr>
            </w:pPr>
            <w:r>
              <w:rPr>
                <w:rFonts w:hint="eastAsia"/>
                <w:color w:val="auto"/>
                <w:highlight w:val="none"/>
              </w:rPr>
              <w:t>（2）各评分因素细分项得分计算方式：</w:t>
            </w:r>
          </w:p>
          <w:p w14:paraId="4B49E4EE">
            <w:pPr>
              <w:pStyle w:val="299"/>
              <w:adjustRightInd w:val="0"/>
              <w:snapToGrid w:val="0"/>
              <w:spacing w:line="400" w:lineRule="exact"/>
              <w:ind w:firstLine="210" w:firstLineChars="100"/>
              <w:rPr>
                <w:rFonts w:hint="eastAsia"/>
                <w:color w:val="auto"/>
                <w:highlight w:val="none"/>
              </w:rPr>
            </w:pPr>
            <w:r>
              <w:rPr>
                <w:rFonts w:hint="eastAsia"/>
                <w:color w:val="auto"/>
                <w:szCs w:val="21"/>
                <w:highlight w:val="none"/>
              </w:rPr>
              <w:sym w:font="Wingdings 2" w:char="00A3"/>
            </w:r>
            <w:r>
              <w:rPr>
                <w:rFonts w:hint="eastAsia"/>
                <w:color w:val="auto"/>
                <w:szCs w:val="21"/>
                <w:highlight w:val="none"/>
              </w:rPr>
              <w:t xml:space="preserve"> 方式一：</w:t>
            </w:r>
            <w:r>
              <w:rPr>
                <w:rFonts w:hint="eastAsia"/>
                <w:color w:val="auto"/>
                <w:highlight w:val="none"/>
              </w:rPr>
              <w:t>各评分因素细分项得分应以评标委员会各成员的打分平均值确定。</w:t>
            </w:r>
          </w:p>
          <w:p w14:paraId="77DBEA7F">
            <w:pPr>
              <w:pStyle w:val="299"/>
              <w:adjustRightInd w:val="0"/>
              <w:snapToGrid w:val="0"/>
              <w:spacing w:line="400" w:lineRule="exact"/>
              <w:ind w:firstLine="210" w:firstLineChars="100"/>
              <w:rPr>
                <w:color w:val="auto"/>
                <w:highlight w:val="none"/>
              </w:rPr>
            </w:pPr>
            <w:r>
              <w:rPr>
                <w:rFonts w:hint="eastAsia"/>
                <w:color w:val="auto"/>
                <w:szCs w:val="21"/>
                <w:highlight w:val="none"/>
              </w:rPr>
              <w:sym w:font="Wingdings 2" w:char="00A3"/>
            </w:r>
            <w:r>
              <w:rPr>
                <w:rFonts w:hint="eastAsia"/>
                <w:color w:val="auto"/>
                <w:szCs w:val="21"/>
                <w:highlight w:val="none"/>
              </w:rPr>
              <w:t xml:space="preserve"> 方式</w:t>
            </w:r>
            <w:r>
              <w:rPr>
                <w:rFonts w:hint="eastAsia"/>
                <w:color w:val="auto"/>
                <w:szCs w:val="21"/>
                <w:highlight w:val="none"/>
                <w:lang w:val="en-US" w:eastAsia="zh-CN"/>
              </w:rPr>
              <w:t>二</w:t>
            </w:r>
            <w:r>
              <w:rPr>
                <w:rFonts w:hint="eastAsia"/>
                <w:color w:val="auto"/>
                <w:szCs w:val="21"/>
                <w:highlight w:val="none"/>
              </w:rPr>
              <w:t>：</w:t>
            </w:r>
            <w:r>
              <w:rPr>
                <w:rFonts w:hint="eastAsia"/>
                <w:color w:val="auto"/>
                <w:highlight w:val="none"/>
              </w:rPr>
              <w:t>评标委员会成员总数为</w:t>
            </w:r>
            <w:r>
              <w:rPr>
                <w:color w:val="auto"/>
                <w:highlight w:val="none"/>
              </w:rPr>
              <w:t>7</w:t>
            </w:r>
            <w:r>
              <w:rPr>
                <w:rFonts w:hint="eastAsia"/>
                <w:color w:val="auto"/>
                <w:highlight w:val="none"/>
              </w:rPr>
              <w:t>人（含</w:t>
            </w:r>
            <w:r>
              <w:rPr>
                <w:color w:val="auto"/>
                <w:highlight w:val="none"/>
              </w:rPr>
              <w:t>7</w:t>
            </w:r>
            <w:r>
              <w:rPr>
                <w:rFonts w:hint="eastAsia"/>
                <w:color w:val="auto"/>
                <w:highlight w:val="none"/>
              </w:rPr>
              <w:t>人）以上时，该平均值以去掉一个最高和一个最低分后计算。</w:t>
            </w:r>
          </w:p>
          <w:p w14:paraId="23F98009">
            <w:pPr>
              <w:pStyle w:val="299"/>
              <w:numPr>
                <w:ilvl w:val="255"/>
                <w:numId w:val="0"/>
              </w:numPr>
              <w:adjustRightInd w:val="0"/>
              <w:snapToGrid w:val="0"/>
              <w:spacing w:line="400" w:lineRule="exact"/>
              <w:ind w:firstLine="210" w:firstLineChars="100"/>
              <w:rPr>
                <w:color w:val="auto"/>
                <w:highlight w:val="none"/>
              </w:rPr>
            </w:pPr>
            <w:r>
              <w:rPr>
                <w:rFonts w:hint="eastAsia"/>
                <w:color w:val="auto"/>
                <w:szCs w:val="21"/>
                <w:highlight w:val="none"/>
              </w:rPr>
              <w:sym w:font="Wingdings 2" w:char="00A3"/>
            </w:r>
            <w:r>
              <w:rPr>
                <w:rFonts w:hint="eastAsia"/>
                <w:color w:val="auto"/>
                <w:szCs w:val="21"/>
                <w:highlight w:val="none"/>
              </w:rPr>
              <w:t xml:space="preserve"> 方式</w:t>
            </w:r>
            <w:r>
              <w:rPr>
                <w:rFonts w:hint="eastAsia"/>
                <w:color w:val="auto"/>
                <w:szCs w:val="21"/>
                <w:highlight w:val="none"/>
                <w:lang w:val="en-US" w:eastAsia="zh-CN"/>
              </w:rPr>
              <w:t>三</w:t>
            </w:r>
            <w:r>
              <w:rPr>
                <w:rFonts w:hint="eastAsia"/>
                <w:color w:val="auto"/>
                <w:szCs w:val="21"/>
                <w:highlight w:val="none"/>
              </w:rPr>
              <w:t>：</w:t>
            </w:r>
            <w:r>
              <w:rPr>
                <w:rFonts w:hint="eastAsia"/>
                <w:color w:val="auto"/>
                <w:highlight w:val="none"/>
              </w:rPr>
              <w:t>各评分因素细分项得分计算步骤如下：</w:t>
            </w:r>
          </w:p>
          <w:p w14:paraId="4F9E781B">
            <w:pPr>
              <w:pStyle w:val="299"/>
              <w:numPr>
                <w:ilvl w:val="255"/>
                <w:numId w:val="0"/>
              </w:numPr>
              <w:adjustRightInd w:val="0"/>
              <w:snapToGrid w:val="0"/>
              <w:spacing w:line="400" w:lineRule="exact"/>
              <w:ind w:firstLine="420" w:firstLineChars="200"/>
              <w:rPr>
                <w:color w:val="auto"/>
                <w:highlight w:val="none"/>
              </w:rPr>
            </w:pP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rFonts w:hint="eastAsia"/>
                <w:color w:val="auto"/>
                <w:highlight w:val="none"/>
              </w:rPr>
              <w:t>①</w:t>
            </w:r>
            <w:r>
              <w:rPr>
                <w:rFonts w:hint="eastAsia"/>
                <w:color w:val="auto"/>
                <w:highlight w:val="none"/>
              </w:rPr>
              <w:fldChar w:fldCharType="end"/>
            </w:r>
            <w:r>
              <w:rPr>
                <w:rFonts w:hint="eastAsia"/>
                <w:color w:val="auto"/>
                <w:highlight w:val="none"/>
              </w:rPr>
              <w:t>计算各专家对所有投标人评分因素细分项最高评分与最低评分的差值（简称“分差值”），确定分差值最大专家的个数。</w:t>
            </w:r>
          </w:p>
          <w:p w14:paraId="5A7EACC5">
            <w:pPr>
              <w:pStyle w:val="299"/>
              <w:numPr>
                <w:ilvl w:val="255"/>
                <w:numId w:val="0"/>
              </w:numPr>
              <w:adjustRightInd w:val="0"/>
              <w:snapToGrid w:val="0"/>
              <w:spacing w:line="400" w:lineRule="exact"/>
              <w:ind w:firstLine="420" w:firstLineChars="200"/>
              <w:rPr>
                <w:color w:val="auto"/>
                <w:highlight w:val="none"/>
              </w:rPr>
            </w:pP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rFonts w:hint="eastAsia"/>
                <w:color w:val="auto"/>
                <w:highlight w:val="none"/>
              </w:rPr>
              <w:t>②</w:t>
            </w:r>
            <w:r>
              <w:rPr>
                <w:rFonts w:hint="eastAsia"/>
                <w:color w:val="auto"/>
                <w:highlight w:val="none"/>
              </w:rPr>
              <w:fldChar w:fldCharType="end"/>
            </w:r>
            <w:r>
              <w:rPr>
                <w:rFonts w:hint="eastAsia"/>
                <w:color w:val="auto"/>
                <w:highlight w:val="none"/>
              </w:rPr>
              <w:t>同一细分项，若分差值最大的专家个数≤2名，则去掉分差值最大的专家该细分项评分；若分差值最大的专家个数≥3名，则保留所有专家细分项评分。</w:t>
            </w:r>
          </w:p>
          <w:p w14:paraId="4D2141F8">
            <w:pPr>
              <w:pStyle w:val="299"/>
              <w:adjustRightInd w:val="0"/>
              <w:snapToGrid w:val="0"/>
              <w:spacing w:line="400" w:lineRule="exact"/>
              <w:ind w:firstLine="420" w:firstLineChars="200"/>
              <w:rPr>
                <w:rFonts w:hint="eastAsia"/>
                <w:color w:val="auto"/>
                <w:highlight w:val="none"/>
              </w:rPr>
            </w:pPr>
            <w:r>
              <w:rPr>
                <w:rFonts w:hint="eastAsia"/>
                <w:color w:val="auto"/>
                <w:highlight w:val="none"/>
              </w:rPr>
              <w:fldChar w:fldCharType="begin"/>
            </w:r>
            <w:r>
              <w:rPr>
                <w:rFonts w:hint="eastAsia"/>
                <w:color w:val="auto"/>
                <w:highlight w:val="none"/>
              </w:rPr>
              <w:instrText xml:space="preserve"> = 3 \* GB3 \* MERGEFORMAT </w:instrText>
            </w:r>
            <w:r>
              <w:rPr>
                <w:rFonts w:hint="eastAsia"/>
                <w:color w:val="auto"/>
                <w:highlight w:val="none"/>
              </w:rPr>
              <w:fldChar w:fldCharType="separate"/>
            </w:r>
            <w:r>
              <w:rPr>
                <w:rFonts w:hint="eastAsia"/>
                <w:color w:val="auto"/>
                <w:highlight w:val="none"/>
              </w:rPr>
              <w:t>③</w:t>
            </w:r>
            <w:r>
              <w:rPr>
                <w:rFonts w:hint="eastAsia"/>
                <w:color w:val="auto"/>
                <w:highlight w:val="none"/>
              </w:rPr>
              <w:fldChar w:fldCharType="end"/>
            </w:r>
            <w:r>
              <w:rPr>
                <w:rFonts w:hint="eastAsia"/>
                <w:color w:val="auto"/>
                <w:highlight w:val="none"/>
              </w:rPr>
              <w:t>各评分因素细分项最终得分应以完成上述</w:t>
            </w: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color w:val="auto"/>
                <w:highlight w:val="none"/>
              </w:rPr>
              <w:t>①</w:t>
            </w:r>
            <w:r>
              <w:rPr>
                <w:rFonts w:hint="eastAsia"/>
                <w:color w:val="auto"/>
                <w:highlight w:val="none"/>
              </w:rPr>
              <w:fldChar w:fldCharType="end"/>
            </w: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color w:val="auto"/>
                <w:highlight w:val="none"/>
              </w:rPr>
              <w:t>②</w:t>
            </w:r>
            <w:r>
              <w:rPr>
                <w:rFonts w:hint="eastAsia"/>
                <w:color w:val="auto"/>
                <w:highlight w:val="none"/>
              </w:rPr>
              <w:fldChar w:fldCharType="end"/>
            </w:r>
            <w:r>
              <w:rPr>
                <w:rFonts w:hint="eastAsia"/>
                <w:color w:val="auto"/>
                <w:highlight w:val="none"/>
              </w:rPr>
              <w:t>步骤后，再对仍保留的专家细分项评分去掉一个最高和一个最低分后计算平均值。</w:t>
            </w:r>
          </w:p>
          <w:p w14:paraId="10102297">
            <w:pPr>
              <w:pStyle w:val="299"/>
              <w:adjustRightInd w:val="0"/>
              <w:snapToGrid w:val="0"/>
              <w:spacing w:line="400" w:lineRule="exac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）投标人投标文件中施工组织设计各评分因素细分项无内容的得</w:t>
            </w:r>
            <w:r>
              <w:rPr>
                <w:color w:val="auto"/>
                <w:highlight w:val="none"/>
              </w:rPr>
              <w:t>0</w:t>
            </w:r>
            <w:r>
              <w:rPr>
                <w:rFonts w:hint="eastAsia"/>
                <w:color w:val="auto"/>
                <w:highlight w:val="none"/>
              </w:rPr>
              <w:t>分。</w:t>
            </w:r>
          </w:p>
          <w:p w14:paraId="0AA21B5E">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color w:val="auto"/>
                <w:highlight w:val="none"/>
              </w:rPr>
              <w:t>（</w:t>
            </w:r>
            <w:r>
              <w:rPr>
                <w:rFonts w:hint="eastAsia"/>
                <w:color w:val="auto"/>
                <w:highlight w:val="none"/>
                <w:lang w:val="en-US" w:eastAsia="zh-CN"/>
              </w:rPr>
              <w:t>4</w:t>
            </w:r>
            <w:r>
              <w:rPr>
                <w:rFonts w:hint="eastAsia"/>
                <w:color w:val="auto"/>
                <w:highlight w:val="none"/>
              </w:rPr>
              <w:t>）招标人对施工组织设计评审采用暗标方式的，投标人施工组织设计</w:t>
            </w:r>
            <w:r>
              <w:rPr>
                <w:rFonts w:hint="eastAsia" w:ascii="宋体" w:hAnsi="宋体"/>
                <w:color w:val="auto"/>
                <w:kern w:val="0"/>
                <w:highlight w:val="none"/>
              </w:rPr>
              <w:t>中出现投标人的名称和其他可识别投标人身份的文字、符号、标识等时，其施工组织设计评审得分为</w:t>
            </w:r>
            <w:r>
              <w:rPr>
                <w:rFonts w:ascii="宋体" w:hAnsi="宋体"/>
                <w:color w:val="auto"/>
                <w:kern w:val="0"/>
                <w:highlight w:val="none"/>
                <w:u w:val="single"/>
              </w:rPr>
              <w:t xml:space="preserve"> 0 </w:t>
            </w:r>
            <w:r>
              <w:rPr>
                <w:rFonts w:hint="eastAsia" w:ascii="宋体" w:hAnsi="宋体"/>
                <w:color w:val="auto"/>
                <w:kern w:val="0"/>
                <w:highlight w:val="none"/>
              </w:rPr>
              <w:t>分。</w:t>
            </w:r>
          </w:p>
          <w:p w14:paraId="4C92C678">
            <w:pPr>
              <w:pStyle w:val="299"/>
              <w:adjustRightInd w:val="0"/>
              <w:snapToGrid w:val="0"/>
              <w:spacing w:line="400" w:lineRule="exact"/>
              <w:ind w:firstLine="0" w:firstLineChars="0"/>
              <w:rPr>
                <w:rFonts w:ascii="宋体" w:hAnsi="宋体" w:cs="宋体"/>
                <w:color w:val="auto"/>
                <w:szCs w:val="21"/>
                <w:highlight w:val="none"/>
                <w:u w:val="single"/>
              </w:rPr>
            </w:pPr>
            <w:r>
              <w:rPr>
                <w:rFonts w:hint="eastAsia" w:ascii="宋体" w:hAnsi="宋体" w:cs="宋体"/>
                <w:color w:val="auto"/>
                <w:szCs w:val="21"/>
                <w:highlight w:val="none"/>
              </w:rPr>
              <w:t>……</w:t>
            </w:r>
          </w:p>
        </w:tc>
      </w:tr>
      <w:tr w14:paraId="5C03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14:paraId="277435CB">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76472EED">
            <w:pPr>
              <w:pStyle w:val="299"/>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w:t>
            </w:r>
          </w:p>
        </w:tc>
      </w:tr>
    </w:tbl>
    <w:p w14:paraId="4AAB0886">
      <w:pPr>
        <w:rPr>
          <w:rFonts w:ascii="宋体" w:hAnsi="宋体" w:cs="宋体"/>
          <w:color w:val="auto"/>
          <w:highlight w:val="none"/>
        </w:rPr>
      </w:pPr>
    </w:p>
    <w:p w14:paraId="385EBE9C">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14:paraId="1255478B">
      <w:pPr>
        <w:jc w:val="righ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续上表</w:t>
      </w:r>
    </w:p>
    <w:tbl>
      <w:tblPr>
        <w:tblStyle w:val="4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56"/>
        <w:gridCol w:w="874"/>
        <w:gridCol w:w="851"/>
        <w:gridCol w:w="850"/>
        <w:gridCol w:w="488"/>
        <w:gridCol w:w="709"/>
        <w:gridCol w:w="3594"/>
      </w:tblGrid>
      <w:tr w14:paraId="6BBD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975" w:type="dxa"/>
            <w:vMerge w:val="restart"/>
            <w:vAlign w:val="center"/>
          </w:tcPr>
          <w:p w14:paraId="3A8AD395">
            <w:pPr>
              <w:pStyle w:val="299"/>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22" w:type="dxa"/>
            <w:gridSpan w:val="7"/>
            <w:vAlign w:val="center"/>
          </w:tcPr>
          <w:p w14:paraId="6A147AAE">
            <w:pPr>
              <w:pStyle w:val="299"/>
              <w:ind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评分因素与权重分值</w:t>
            </w:r>
            <w:r>
              <w:rPr>
                <w:rFonts w:ascii="宋体" w:hAnsi="宋体" w:cs="宋体"/>
                <w:b/>
                <w:color w:val="auto"/>
                <w:szCs w:val="21"/>
                <w:highlight w:val="none"/>
                <w:vertAlign w:val="superscript"/>
              </w:rPr>
              <w:footnoteReference w:id="140"/>
            </w:r>
          </w:p>
        </w:tc>
      </w:tr>
      <w:tr w14:paraId="6C71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vMerge w:val="continue"/>
            <w:vAlign w:val="center"/>
          </w:tcPr>
          <w:p w14:paraId="6E5AB5B6">
            <w:pPr>
              <w:pStyle w:val="299"/>
              <w:jc w:val="center"/>
              <w:rPr>
                <w:rFonts w:ascii="宋体" w:hAnsi="宋体" w:cs="宋体"/>
                <w:b/>
                <w:color w:val="auto"/>
                <w:szCs w:val="21"/>
                <w:highlight w:val="none"/>
              </w:rPr>
            </w:pPr>
          </w:p>
        </w:tc>
        <w:tc>
          <w:tcPr>
            <w:tcW w:w="1430" w:type="dxa"/>
            <w:gridSpan w:val="2"/>
            <w:vAlign w:val="center"/>
          </w:tcPr>
          <w:p w14:paraId="37AA0C37">
            <w:pPr>
              <w:pStyle w:val="299"/>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851" w:type="dxa"/>
            <w:vAlign w:val="center"/>
          </w:tcPr>
          <w:p w14:paraId="139B12B7">
            <w:pPr>
              <w:pStyle w:val="299"/>
              <w:jc w:val="center"/>
              <w:rPr>
                <w:rFonts w:ascii="宋体" w:hAnsi="宋体" w:cs="宋体"/>
                <w:b/>
                <w:color w:val="auto"/>
                <w:szCs w:val="21"/>
                <w:highlight w:val="none"/>
              </w:rPr>
            </w:pPr>
            <w:r>
              <w:rPr>
                <w:rFonts w:hint="eastAsia" w:ascii="宋体" w:hAnsi="宋体" w:cs="宋体"/>
                <w:b/>
                <w:color w:val="auto"/>
                <w:szCs w:val="21"/>
                <w:highlight w:val="none"/>
              </w:rPr>
              <w:t>评分因素权重分值</w:t>
            </w:r>
          </w:p>
        </w:tc>
        <w:tc>
          <w:tcPr>
            <w:tcW w:w="1338" w:type="dxa"/>
            <w:gridSpan w:val="2"/>
            <w:vAlign w:val="center"/>
          </w:tcPr>
          <w:p w14:paraId="5689B3B8">
            <w:pPr>
              <w:pStyle w:val="299"/>
              <w:jc w:val="center"/>
              <w:rPr>
                <w:rFonts w:ascii="宋体" w:hAnsi="宋体" w:cs="宋体"/>
                <w:b/>
                <w:color w:val="auto"/>
                <w:szCs w:val="21"/>
                <w:highlight w:val="none"/>
              </w:rPr>
            </w:pPr>
            <w:r>
              <w:rPr>
                <w:rFonts w:hint="eastAsia" w:ascii="宋体" w:hAnsi="宋体" w:cs="宋体"/>
                <w:b/>
                <w:color w:val="auto"/>
                <w:szCs w:val="21"/>
                <w:highlight w:val="none"/>
              </w:rPr>
              <w:t>各评分因素</w:t>
            </w:r>
          </w:p>
          <w:p w14:paraId="419FBE3E">
            <w:pPr>
              <w:pStyle w:val="299"/>
              <w:jc w:val="center"/>
              <w:rPr>
                <w:rFonts w:ascii="宋体" w:hAnsi="宋体" w:cs="宋体"/>
                <w:b/>
                <w:color w:val="auto"/>
                <w:szCs w:val="21"/>
                <w:highlight w:val="none"/>
              </w:rPr>
            </w:pPr>
            <w:r>
              <w:rPr>
                <w:rFonts w:hint="eastAsia" w:ascii="宋体" w:hAnsi="宋体" w:cs="宋体"/>
                <w:b/>
                <w:color w:val="auto"/>
                <w:szCs w:val="21"/>
                <w:highlight w:val="none"/>
              </w:rPr>
              <w:t>细分项</w:t>
            </w:r>
          </w:p>
        </w:tc>
        <w:tc>
          <w:tcPr>
            <w:tcW w:w="709" w:type="dxa"/>
            <w:vAlign w:val="center"/>
          </w:tcPr>
          <w:p w14:paraId="7B6430AD">
            <w:pPr>
              <w:pStyle w:val="299"/>
              <w:jc w:val="center"/>
              <w:rPr>
                <w:rFonts w:ascii="宋体" w:hAnsi="宋体" w:cs="宋体"/>
                <w:b/>
                <w:color w:val="auto"/>
                <w:szCs w:val="21"/>
                <w:highlight w:val="none"/>
                <w:u w:val="single"/>
              </w:rPr>
            </w:pPr>
            <w:r>
              <w:rPr>
                <w:rFonts w:hint="eastAsia" w:ascii="宋体" w:hAnsi="宋体" w:cs="宋体"/>
                <w:b/>
                <w:color w:val="auto"/>
                <w:szCs w:val="21"/>
                <w:highlight w:val="none"/>
              </w:rPr>
              <w:t>分值</w:t>
            </w:r>
          </w:p>
        </w:tc>
        <w:tc>
          <w:tcPr>
            <w:tcW w:w="3594" w:type="dxa"/>
            <w:vAlign w:val="center"/>
          </w:tcPr>
          <w:p w14:paraId="1FC8E312">
            <w:pPr>
              <w:pStyle w:val="299"/>
              <w:ind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14:paraId="2409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75" w:type="dxa"/>
            <w:vAlign w:val="center"/>
          </w:tcPr>
          <w:p w14:paraId="48F04A12">
            <w:pPr>
              <w:pStyle w:val="299"/>
              <w:spacing w:line="400" w:lineRule="exact"/>
              <w:jc w:val="center"/>
              <w:rPr>
                <w:rFonts w:ascii="宋体" w:hAnsi="宋体" w:cs="宋体"/>
                <w:color w:val="auto"/>
                <w:szCs w:val="21"/>
                <w:highlight w:val="none"/>
              </w:rPr>
            </w:pPr>
            <w:r>
              <w:rPr>
                <w:rFonts w:ascii="宋体" w:hAnsi="宋体" w:cs="宋体"/>
                <w:color w:val="auto"/>
                <w:szCs w:val="21"/>
                <w:highlight w:val="none"/>
              </w:rPr>
              <w:t>2.2.2</w:t>
            </w:r>
            <w:r>
              <w:rPr>
                <w:rFonts w:hint="eastAsia" w:ascii="宋体" w:hAnsi="宋体" w:cs="宋体"/>
                <w:color w:val="auto"/>
                <w:szCs w:val="21"/>
                <w:highlight w:val="none"/>
              </w:rPr>
              <w:t>（</w:t>
            </w:r>
            <w:r>
              <w:rPr>
                <w:rFonts w:ascii="宋体" w:hAnsi="宋体" w:cs="宋体"/>
                <w:color w:val="auto"/>
                <w:szCs w:val="21"/>
                <w:highlight w:val="none"/>
              </w:rPr>
              <w:t>2）</w:t>
            </w:r>
          </w:p>
        </w:tc>
        <w:tc>
          <w:tcPr>
            <w:tcW w:w="1430" w:type="dxa"/>
            <w:gridSpan w:val="2"/>
            <w:vAlign w:val="center"/>
          </w:tcPr>
          <w:p w14:paraId="451A01FD">
            <w:pPr>
              <w:pStyle w:val="299"/>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主要人员</w:t>
            </w:r>
          </w:p>
          <w:p w14:paraId="483661AF">
            <w:pPr>
              <w:pStyle w:val="299"/>
              <w:spacing w:line="400" w:lineRule="exact"/>
              <w:jc w:val="center"/>
              <w:rPr>
                <w:rFonts w:ascii="宋体" w:hAnsi="宋体" w:cs="宋体"/>
                <w:color w:val="auto"/>
                <w:szCs w:val="21"/>
                <w:highlight w:val="none"/>
              </w:rPr>
            </w:pPr>
            <w:r>
              <w:rPr>
                <w:rFonts w:ascii="宋体" w:hAnsi="宋体" w:cs="宋体"/>
                <w:color w:val="auto"/>
                <w:szCs w:val="21"/>
                <w:highlight w:val="none"/>
              </w:rPr>
              <w:t>B</w:t>
            </w:r>
          </w:p>
        </w:tc>
        <w:tc>
          <w:tcPr>
            <w:tcW w:w="851" w:type="dxa"/>
            <w:vAlign w:val="center"/>
          </w:tcPr>
          <w:p w14:paraId="419675B9">
            <w:pPr>
              <w:pStyle w:val="299"/>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Style w:val="59"/>
                <w:rFonts w:ascii="宋体" w:hAnsi="宋体" w:cs="宋体"/>
                <w:color w:val="auto"/>
                <w:szCs w:val="21"/>
                <w:highlight w:val="none"/>
              </w:rPr>
              <w:footnoteReference w:id="141"/>
            </w:r>
          </w:p>
        </w:tc>
        <w:tc>
          <w:tcPr>
            <w:tcW w:w="1338" w:type="dxa"/>
            <w:gridSpan w:val="2"/>
            <w:vAlign w:val="center"/>
          </w:tcPr>
          <w:p w14:paraId="19994913">
            <w:pPr>
              <w:pStyle w:val="299"/>
              <w:spacing w:line="400" w:lineRule="exact"/>
              <w:rPr>
                <w:rFonts w:ascii="宋体" w:hAnsi="宋体" w:cs="宋体"/>
                <w:color w:val="auto"/>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项目经理任职资格与业绩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1</w:t>
            </w:r>
            <w:r>
              <w:rPr>
                <w:rStyle w:val="59"/>
                <w:rFonts w:ascii="宋体" w:hAnsi="宋体" w:cs="宋体"/>
                <w:color w:val="auto"/>
                <w:kern w:val="0"/>
                <w:szCs w:val="21"/>
                <w:highlight w:val="none"/>
              </w:rPr>
              <w:footnoteReference w:id="142"/>
            </w:r>
          </w:p>
        </w:tc>
        <w:tc>
          <w:tcPr>
            <w:tcW w:w="709" w:type="dxa"/>
            <w:vAlign w:val="center"/>
          </w:tcPr>
          <w:p w14:paraId="08E4A6D1">
            <w:pPr>
              <w:pStyle w:val="299"/>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613B1EAE">
            <w:pPr>
              <w:widowControl/>
              <w:adjustRightInd w:val="0"/>
              <w:snapToGrid w:val="0"/>
              <w:spacing w:line="420" w:lineRule="exact"/>
              <w:ind w:left="0" w:hanging="210" w:hangingChars="100"/>
              <w:rPr>
                <w:rFonts w:ascii="宋体" w:hAnsi="宋体" w:cs="宋体"/>
                <w:color w:val="auto"/>
                <w:kern w:val="0"/>
                <w:szCs w:val="21"/>
                <w:highlight w:val="none"/>
                <w:u w:val="single"/>
              </w:rPr>
            </w:pPr>
            <w:r>
              <w:rPr>
                <w:rFonts w:hint="eastAsia" w:ascii="宋体" w:hAnsi="宋体" w:cs="宋体"/>
                <w:color w:val="auto"/>
                <w:kern w:val="0"/>
                <w:szCs w:val="21"/>
                <w:highlight w:val="none"/>
              </w:rPr>
              <w:t>（</w:t>
            </w:r>
            <w:r>
              <w:rPr>
                <w:rFonts w:ascii="宋体" w:hAnsi="宋体" w:cs="宋体"/>
                <w:color w:val="auto"/>
                <w:kern w:val="0"/>
                <w:szCs w:val="21"/>
                <w:highlight w:val="none"/>
              </w:rPr>
              <w:t>1）满足资格审查条件最低要求得</w:t>
            </w:r>
          </w:p>
          <w:p w14:paraId="30419743">
            <w:pPr>
              <w:widowControl/>
              <w:adjustRightInd w:val="0"/>
              <w:snapToGrid w:val="0"/>
              <w:spacing w:line="420" w:lineRule="exact"/>
              <w:ind w:left="0" w:hanging="210" w:hangingChars="100"/>
              <w:rPr>
                <w:rFonts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5936A922">
            <w:pPr>
              <w:widowControl/>
              <w:adjustRightInd w:val="0"/>
              <w:snapToGrid w:val="0"/>
              <w:spacing w:line="420" w:lineRule="exact"/>
              <w:ind w:left="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2）技术职称每升高一级加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Style w:val="59"/>
                <w:rFonts w:ascii="宋体" w:hAnsi="宋体" w:cs="宋体"/>
                <w:color w:val="auto"/>
                <w:kern w:val="0"/>
                <w:szCs w:val="21"/>
                <w:highlight w:val="none"/>
              </w:rPr>
              <w:footnoteReference w:id="143"/>
            </w:r>
          </w:p>
          <w:p w14:paraId="77537BF4">
            <w:pPr>
              <w:widowControl/>
              <w:adjustRightInd w:val="0"/>
              <w:snapToGrid w:val="0"/>
              <w:spacing w:line="420" w:lineRule="exact"/>
              <w:ind w:left="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3）扣除满足资格条件最低要求的业绩</w:t>
            </w:r>
            <w:r>
              <w:rPr>
                <w:rFonts w:hint="eastAsia" w:ascii="宋体" w:hAnsi="宋体" w:cs="宋体"/>
                <w:color w:val="auto"/>
                <w:kern w:val="0"/>
                <w:szCs w:val="21"/>
                <w:highlight w:val="none"/>
              </w:rPr>
              <w:t>数量后：</w:t>
            </w:r>
          </w:p>
          <w:p w14:paraId="7CDABA05">
            <w:pPr>
              <w:widowControl/>
              <w:adjustRightInd w:val="0"/>
              <w:snapToGrid w:val="0"/>
              <w:spacing w:line="420" w:lineRule="exact"/>
              <w:ind w:left="0"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w:t>
            </w:r>
            <w:r>
              <w:rPr>
                <w:rFonts w:hint="eastAsia" w:ascii="宋体" w:hAnsi="宋体" w:cs="宋体"/>
                <w:color w:val="auto"/>
                <w:szCs w:val="21"/>
                <w:highlight w:val="none"/>
              </w:rPr>
              <w:t>（□新建；□改扩建；□新建或改扩建）</w:t>
            </w:r>
            <w:r>
              <w:rPr>
                <w:rStyle w:val="59"/>
                <w:rFonts w:ascii="宋体" w:hAnsi="宋体" w:cs="宋体"/>
                <w:color w:val="auto"/>
                <w:szCs w:val="21"/>
                <w:highlight w:val="none"/>
              </w:rPr>
              <w:footnoteReference w:id="144"/>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公路路基土建工程</w:t>
            </w:r>
            <w:r>
              <w:rPr>
                <w:rStyle w:val="59"/>
                <w:rFonts w:ascii="宋体" w:hAnsi="宋体" w:cs="宋体"/>
                <w:color w:val="auto"/>
                <w:szCs w:val="21"/>
                <w:highlight w:val="none"/>
              </w:rPr>
              <w:footnoteReference w:id="145"/>
            </w:r>
            <w:r>
              <w:rPr>
                <w:rFonts w:hint="eastAsia" w:ascii="宋体" w:hAnsi="宋体" w:cs="宋体"/>
                <w:color w:val="auto"/>
                <w:kern w:val="0"/>
                <w:szCs w:val="21"/>
                <w:highlight w:val="none"/>
              </w:rPr>
              <w:t>施工资格审查要求职务业绩加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063BF937">
            <w:pPr>
              <w:widowControl/>
              <w:adjustRightInd w:val="0"/>
              <w:snapToGrid w:val="0"/>
              <w:spacing w:line="420" w:lineRule="exact"/>
              <w:ind w:left="211" w:leftChars="0"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座国内（□新建；□改扩建；□新建或改扩建）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Fonts w:ascii="宋体" w:hAnsi="宋体" w:cs="宋体"/>
                <w:color w:val="auto"/>
                <w:szCs w:val="21"/>
                <w:highlight w:val="none"/>
                <w:vertAlign w:val="superscript"/>
              </w:rPr>
              <w:footnoteReference w:id="146"/>
            </w:r>
            <w:r>
              <w:rPr>
                <w:rFonts w:hint="eastAsia" w:ascii="宋体" w:hAnsi="宋体" w:cs="宋体"/>
                <w:color w:val="auto"/>
                <w:kern w:val="0"/>
                <w:szCs w:val="21"/>
                <w:highlight w:val="none"/>
              </w:rPr>
              <w:t>施工资格审查要求职务业绩加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Style w:val="59"/>
                <w:rFonts w:ascii="宋体" w:hAnsi="宋体" w:cs="宋体"/>
                <w:color w:val="auto"/>
                <w:kern w:val="0"/>
                <w:szCs w:val="21"/>
                <w:highlight w:val="none"/>
              </w:rPr>
              <w:footnoteReference w:id="147"/>
            </w:r>
            <w:r>
              <w:rPr>
                <w:rFonts w:hint="eastAsia" w:ascii="宋体" w:hAnsi="宋体" w:cs="宋体"/>
                <w:color w:val="auto"/>
                <w:kern w:val="0"/>
                <w:szCs w:val="21"/>
                <w:highlight w:val="none"/>
              </w:rPr>
              <w:t>特大桥加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p>
          <w:p w14:paraId="2F9213C7">
            <w:pPr>
              <w:widowControl/>
              <w:adjustRightInd w:val="0"/>
              <w:snapToGrid w:val="0"/>
              <w:spacing w:line="420" w:lineRule="exact"/>
              <w:ind w:left="210" w:leftChars="100" w:firstLine="0" w:firstLineChars="0"/>
              <w:rPr>
                <w:rFonts w:ascii="宋体" w:hAnsi="宋体" w:cs="宋体"/>
                <w:color w:val="auto"/>
                <w:kern w:val="0"/>
                <w:szCs w:val="21"/>
                <w:highlight w:val="none"/>
                <w:u w:val="singl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4548588E">
            <w:pPr>
              <w:adjustRightInd w:val="0"/>
              <w:snapToGrid w:val="0"/>
              <w:spacing w:line="420" w:lineRule="exact"/>
              <w:ind w:left="211" w:leftChars="0"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座国内（□新建；□改扩建；□新建或改扩建）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p>
        </w:tc>
      </w:tr>
      <w:tr w14:paraId="318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14:paraId="759034D6">
            <w:pPr>
              <w:pStyle w:val="299"/>
              <w:spacing w:line="400" w:lineRule="exact"/>
              <w:jc w:val="center"/>
              <w:rPr>
                <w:rFonts w:ascii="宋体" w:hAnsi="宋体" w:cs="宋体"/>
                <w:color w:val="auto"/>
                <w:szCs w:val="21"/>
                <w:highlight w:val="none"/>
              </w:rPr>
            </w:pPr>
            <w:r>
              <w:rPr>
                <w:rFonts w:ascii="宋体" w:hAnsi="宋体" w:cs="宋体"/>
                <w:color w:val="auto"/>
                <w:szCs w:val="21"/>
                <w:highlight w:val="none"/>
              </w:rPr>
              <w:t>2.2.2</w:t>
            </w:r>
            <w:r>
              <w:rPr>
                <w:rFonts w:hint="eastAsia" w:ascii="宋体" w:hAnsi="宋体" w:cs="宋体"/>
                <w:color w:val="auto"/>
                <w:szCs w:val="21"/>
                <w:highlight w:val="none"/>
              </w:rPr>
              <w:t>（</w:t>
            </w:r>
            <w:r>
              <w:rPr>
                <w:rFonts w:ascii="宋体" w:hAnsi="宋体" w:cs="宋体"/>
                <w:color w:val="auto"/>
                <w:szCs w:val="21"/>
                <w:highlight w:val="none"/>
              </w:rPr>
              <w:t>2）</w:t>
            </w:r>
          </w:p>
        </w:tc>
        <w:tc>
          <w:tcPr>
            <w:tcW w:w="1430" w:type="dxa"/>
            <w:gridSpan w:val="2"/>
            <w:vMerge w:val="restart"/>
            <w:vAlign w:val="center"/>
          </w:tcPr>
          <w:p w14:paraId="38952FE2">
            <w:pPr>
              <w:pStyle w:val="299"/>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主要人员</w:t>
            </w:r>
          </w:p>
          <w:p w14:paraId="7591B9D3">
            <w:pPr>
              <w:pStyle w:val="299"/>
              <w:spacing w:line="400" w:lineRule="exact"/>
              <w:jc w:val="center"/>
              <w:rPr>
                <w:rFonts w:ascii="宋体" w:hAnsi="宋体" w:cs="宋体"/>
                <w:color w:val="auto"/>
                <w:szCs w:val="21"/>
                <w:highlight w:val="none"/>
              </w:rPr>
            </w:pPr>
            <w:r>
              <w:rPr>
                <w:rFonts w:ascii="宋体" w:hAnsi="宋体" w:cs="宋体"/>
                <w:color w:val="auto"/>
                <w:szCs w:val="21"/>
                <w:highlight w:val="none"/>
              </w:rPr>
              <w:t>B</w:t>
            </w:r>
          </w:p>
        </w:tc>
        <w:tc>
          <w:tcPr>
            <w:tcW w:w="851" w:type="dxa"/>
            <w:vMerge w:val="restart"/>
            <w:vAlign w:val="center"/>
          </w:tcPr>
          <w:p w14:paraId="5E4F3008">
            <w:pPr>
              <w:pStyle w:val="299"/>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38" w:type="dxa"/>
            <w:gridSpan w:val="2"/>
            <w:vAlign w:val="center"/>
          </w:tcPr>
          <w:p w14:paraId="2B92844F">
            <w:pPr>
              <w:pStyle w:val="299"/>
              <w:spacing w:line="400" w:lineRule="exact"/>
              <w:rPr>
                <w:rFonts w:ascii="宋体" w:hAnsi="宋体" w:cs="宋体"/>
                <w:color w:val="auto"/>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项目经理任职资格与业绩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1</w:t>
            </w:r>
          </w:p>
        </w:tc>
        <w:tc>
          <w:tcPr>
            <w:tcW w:w="709" w:type="dxa"/>
            <w:vAlign w:val="center"/>
          </w:tcPr>
          <w:p w14:paraId="5138D724">
            <w:pPr>
              <w:pStyle w:val="299"/>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2178A849">
            <w:pPr>
              <w:adjustRightInd w:val="0"/>
              <w:snapToGrid w:val="0"/>
              <w:spacing w:line="400" w:lineRule="exact"/>
              <w:ind w:left="210" w:leftChars="100"/>
              <w:rPr>
                <w:rFonts w:hint="eastAsia" w:ascii="宋体" w:hAnsi="宋体" w:cs="宋体"/>
                <w:color w:val="auto"/>
                <w:szCs w:val="21"/>
                <w:highlight w:val="none"/>
              </w:rPr>
            </w:pPr>
            <w:r>
              <w:rPr>
                <w:rFonts w:hint="eastAsia" w:ascii="宋体" w:hAnsi="宋体" w:cs="宋体"/>
                <w:color w:val="auto"/>
                <w:szCs w:val="21"/>
                <w:highlight w:val="none"/>
              </w:rPr>
              <w:t>公路（□中隧道及以上；□长隧道及以上；□特长隧道；□单洞长度</w:t>
            </w:r>
            <w:r>
              <w:rPr>
                <w:rStyle w:val="59"/>
                <w:rFonts w:ascii="宋体" w:hAnsi="宋体" w:cs="宋体"/>
                <w:color w:val="auto"/>
                <w:szCs w:val="21"/>
                <w:highlight w:val="none"/>
              </w:rPr>
              <w:footnoteReference w:id="148"/>
            </w:r>
          </w:p>
          <w:p w14:paraId="2A467A8A">
            <w:pPr>
              <w:adjustRightInd w:val="0"/>
              <w:snapToGrid w:val="0"/>
              <w:spacing w:line="400" w:lineRule="exact"/>
              <w:ind w:left="210" w:leftChars="100"/>
              <w:rPr>
                <w:rFonts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米及以上特长隧道）</w:t>
            </w:r>
            <w:r>
              <w:rPr>
                <w:rStyle w:val="59"/>
                <w:rFonts w:ascii="宋体" w:hAnsi="宋体" w:cs="宋体"/>
                <w:color w:val="auto"/>
                <w:szCs w:val="21"/>
                <w:highlight w:val="none"/>
              </w:rPr>
              <w:footnoteReference w:id="149"/>
            </w:r>
            <w:r>
              <w:rPr>
                <w:rFonts w:hint="eastAsia" w:ascii="宋体" w:hAnsi="宋体" w:cs="宋体"/>
                <w:color w:val="auto"/>
                <w:szCs w:val="21"/>
                <w:highlight w:val="none"/>
              </w:rPr>
              <w:t>施工项目</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52509443">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w:t>
            </w:r>
          </w:p>
          <w:p w14:paraId="12916727">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p>
          <w:p w14:paraId="465C517D">
            <w:pPr>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公路路面工程施工项目中担任</w:t>
            </w:r>
            <w:r>
              <w:rPr>
                <w:rFonts w:hint="eastAsia" w:ascii="宋体" w:hAnsi="宋体" w:cs="宋体"/>
                <w:color w:val="auto"/>
                <w:kern w:val="0"/>
                <w:szCs w:val="21"/>
                <w:highlight w:val="none"/>
              </w:rPr>
              <w:t>资格</w:t>
            </w:r>
          </w:p>
          <w:p w14:paraId="11086BA4">
            <w:pPr>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w:t>
            </w:r>
          </w:p>
          <w:p w14:paraId="128CB9BD">
            <w:pPr>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2D5CCB0E">
            <w:pPr>
              <w:adjustRightInd w:val="0"/>
              <w:snapToGrid w:val="0"/>
              <w:spacing w:line="40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w:t>
            </w:r>
            <w:r>
              <w:rPr>
                <w:rFonts w:hint="eastAsia" w:ascii="宋体" w:hAnsi="宋体"/>
                <w:color w:val="auto"/>
                <w:szCs w:val="21"/>
                <w:highlight w:val="none"/>
              </w:rPr>
              <w:t>交通安全设施工程施工</w:t>
            </w:r>
            <w:r>
              <w:rPr>
                <w:rFonts w:hint="eastAsia" w:ascii="宋体" w:hAnsi="宋体" w:cs="宋体"/>
                <w:color w:val="auto"/>
                <w:szCs w:val="21"/>
                <w:highlight w:val="none"/>
              </w:rPr>
              <w:t>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46E9C4BB">
            <w:pPr>
              <w:adjustRightInd w:val="0"/>
              <w:snapToGrid w:val="0"/>
              <w:spacing w:line="400" w:lineRule="exact"/>
              <w:ind w:left="210" w:leftChars="100"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598E26A3">
            <w:pPr>
              <w:adjustRightInd w:val="0"/>
              <w:snapToGrid w:val="0"/>
              <w:spacing w:line="400" w:lineRule="exact"/>
              <w:ind w:left="211" w:leftChars="0"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公路隧道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w:t>
            </w:r>
            <w:r>
              <w:rPr>
                <w:rFonts w:hint="eastAsia" w:ascii="宋体" w:hAnsi="宋体" w:cs="宋体"/>
                <w:color w:val="auto"/>
                <w:szCs w:val="21"/>
                <w:highlight w:val="none"/>
              </w:rPr>
              <w:t>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351230A">
            <w:pPr>
              <w:widowControl/>
              <w:adjustRightInd w:val="0"/>
              <w:snapToGrid w:val="0"/>
              <w:spacing w:line="40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w:t>
            </w:r>
            <w:r>
              <w:rPr>
                <w:rFonts w:hint="eastAsia" w:ascii="宋体" w:hAnsi="宋体"/>
                <w:color w:val="auto"/>
                <w:szCs w:val="21"/>
                <w:highlight w:val="none"/>
              </w:rPr>
              <w:t>国内房建工程施工项目中担任</w:t>
            </w:r>
            <w:r>
              <w:rPr>
                <w:rFonts w:hint="eastAsia" w:ascii="宋体" w:hAnsi="宋体" w:cs="宋体"/>
                <w:color w:val="auto"/>
                <w:kern w:val="0"/>
                <w:szCs w:val="21"/>
                <w:highlight w:val="none"/>
              </w:rPr>
              <w:t>资格审查要求职务业绩加</w:t>
            </w:r>
          </w:p>
          <w:p w14:paraId="2E889632">
            <w:pPr>
              <w:widowControl/>
              <w:adjustRightInd w:val="0"/>
              <w:snapToGrid w:val="0"/>
              <w:spacing w:line="400" w:lineRule="exact"/>
              <w:ind w:left="211" w:hanging="210" w:hangingChars="100"/>
              <w:rPr>
                <w:rFonts w:hint="eastAsia" w:ascii="宋体" w:hAnsi="宋体" w:eastAsia="宋体" w:cs="宋体"/>
                <w:b/>
                <w:color w:val="auto"/>
                <w:szCs w:val="21"/>
                <w:highlight w:val="none"/>
                <w:lang w:eastAsia="zh-CN"/>
              </w:rPr>
            </w:pPr>
            <w:r>
              <w:rPr>
                <w:rFonts w:hint="eastAsia" w:ascii="宋体" w:hAnsi="宋体" w:cs="宋体"/>
                <w:color w:val="auto"/>
                <w:kern w:val="0"/>
                <w:szCs w:val="21"/>
                <w:highlight w:val="non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71F4B751">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1B0E0D04">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3）合计得分最多至满分为止。</w:t>
            </w:r>
          </w:p>
        </w:tc>
      </w:tr>
      <w:tr w14:paraId="3E0F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5" w:type="dxa"/>
            <w:vMerge w:val="continue"/>
            <w:vAlign w:val="center"/>
          </w:tcPr>
          <w:p w14:paraId="277C39D6">
            <w:pPr>
              <w:pStyle w:val="299"/>
              <w:spacing w:line="400" w:lineRule="exact"/>
              <w:jc w:val="center"/>
              <w:rPr>
                <w:rFonts w:ascii="宋体" w:hAnsi="宋体" w:cs="宋体"/>
                <w:color w:val="auto"/>
                <w:szCs w:val="21"/>
                <w:highlight w:val="none"/>
              </w:rPr>
            </w:pPr>
          </w:p>
        </w:tc>
        <w:tc>
          <w:tcPr>
            <w:tcW w:w="1430" w:type="dxa"/>
            <w:gridSpan w:val="2"/>
            <w:vMerge w:val="continue"/>
            <w:vAlign w:val="center"/>
          </w:tcPr>
          <w:p w14:paraId="78A01314">
            <w:pPr>
              <w:pStyle w:val="299"/>
              <w:spacing w:line="400" w:lineRule="exact"/>
              <w:jc w:val="center"/>
              <w:rPr>
                <w:rFonts w:ascii="宋体" w:hAnsi="宋体" w:cs="宋体"/>
                <w:color w:val="auto"/>
                <w:szCs w:val="21"/>
                <w:highlight w:val="none"/>
              </w:rPr>
            </w:pPr>
          </w:p>
        </w:tc>
        <w:tc>
          <w:tcPr>
            <w:tcW w:w="851" w:type="dxa"/>
            <w:vMerge w:val="continue"/>
            <w:vAlign w:val="center"/>
          </w:tcPr>
          <w:p w14:paraId="35E6F120">
            <w:pPr>
              <w:pStyle w:val="299"/>
              <w:spacing w:line="400" w:lineRule="exact"/>
              <w:rPr>
                <w:rFonts w:ascii="宋体" w:hAnsi="宋体" w:cs="宋体"/>
                <w:color w:val="auto"/>
                <w:szCs w:val="21"/>
                <w:highlight w:val="none"/>
              </w:rPr>
            </w:pPr>
          </w:p>
        </w:tc>
        <w:tc>
          <w:tcPr>
            <w:tcW w:w="1338" w:type="dxa"/>
            <w:gridSpan w:val="2"/>
            <w:vAlign w:val="center"/>
          </w:tcPr>
          <w:p w14:paraId="05FDD5F0">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项目总工任职资格与业绩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2</w:t>
            </w:r>
          </w:p>
        </w:tc>
        <w:tc>
          <w:tcPr>
            <w:tcW w:w="709" w:type="dxa"/>
            <w:vAlign w:val="center"/>
          </w:tcPr>
          <w:p w14:paraId="5836C9D0">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0BA4D8A3">
            <w:pPr>
              <w:widowControl/>
              <w:adjustRightInd w:val="0"/>
              <w:snapToGrid w:val="0"/>
              <w:spacing w:line="40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w:t>
            </w:r>
            <w:r>
              <w:rPr>
                <w:rFonts w:ascii="宋体" w:hAnsi="宋体" w:cs="宋体"/>
                <w:color w:val="auto"/>
                <w:kern w:val="0"/>
                <w:szCs w:val="21"/>
                <w:highlight w:val="none"/>
              </w:rPr>
              <w:t>1）满足资格审查条件最低要求得</w:t>
            </w:r>
          </w:p>
          <w:p w14:paraId="09DF92E3">
            <w:pPr>
              <w:widowControl/>
              <w:adjustRightInd w:val="0"/>
              <w:snapToGrid w:val="0"/>
              <w:spacing w:line="400" w:lineRule="exact"/>
              <w:rPr>
                <w:rFonts w:hint="eastAsia"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4AD228D7">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技术职称每升高一级加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tc>
      </w:tr>
      <w:tr w14:paraId="40BA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14:paraId="6AC0E006">
            <w:pPr>
              <w:pStyle w:val="299"/>
              <w:spacing w:line="400" w:lineRule="exact"/>
              <w:jc w:val="center"/>
              <w:rPr>
                <w:rFonts w:ascii="宋体" w:hAnsi="宋体" w:cs="宋体"/>
                <w:color w:val="auto"/>
                <w:szCs w:val="21"/>
                <w:highlight w:val="none"/>
              </w:rPr>
            </w:pPr>
            <w:r>
              <w:rPr>
                <w:rFonts w:ascii="宋体" w:hAnsi="宋体" w:cs="宋体"/>
                <w:color w:val="auto"/>
                <w:szCs w:val="21"/>
                <w:highlight w:val="none"/>
              </w:rPr>
              <w:t>2.2.2</w:t>
            </w:r>
            <w:r>
              <w:rPr>
                <w:rFonts w:hint="eastAsia" w:ascii="宋体" w:hAnsi="宋体" w:cs="宋体"/>
                <w:color w:val="auto"/>
                <w:szCs w:val="21"/>
                <w:highlight w:val="none"/>
              </w:rPr>
              <w:t>（</w:t>
            </w:r>
            <w:r>
              <w:rPr>
                <w:rFonts w:ascii="宋体" w:hAnsi="宋体" w:cs="宋体"/>
                <w:color w:val="auto"/>
                <w:szCs w:val="21"/>
                <w:highlight w:val="none"/>
              </w:rPr>
              <w:t>2）</w:t>
            </w:r>
          </w:p>
        </w:tc>
        <w:tc>
          <w:tcPr>
            <w:tcW w:w="1430" w:type="dxa"/>
            <w:gridSpan w:val="2"/>
            <w:vMerge w:val="restart"/>
            <w:vAlign w:val="center"/>
          </w:tcPr>
          <w:p w14:paraId="1ECBB8AC">
            <w:pPr>
              <w:pStyle w:val="299"/>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主要人员</w:t>
            </w:r>
          </w:p>
          <w:p w14:paraId="482A38D5">
            <w:pPr>
              <w:pStyle w:val="299"/>
              <w:spacing w:line="400" w:lineRule="exact"/>
              <w:jc w:val="center"/>
              <w:rPr>
                <w:rFonts w:ascii="宋体" w:hAnsi="宋体" w:cs="宋体"/>
                <w:color w:val="auto"/>
                <w:szCs w:val="21"/>
                <w:highlight w:val="none"/>
              </w:rPr>
            </w:pPr>
            <w:r>
              <w:rPr>
                <w:rFonts w:ascii="宋体" w:hAnsi="宋体" w:cs="宋体"/>
                <w:color w:val="auto"/>
                <w:szCs w:val="21"/>
                <w:highlight w:val="none"/>
              </w:rPr>
              <w:t>B</w:t>
            </w:r>
          </w:p>
        </w:tc>
        <w:tc>
          <w:tcPr>
            <w:tcW w:w="851" w:type="dxa"/>
            <w:vMerge w:val="restart"/>
            <w:vAlign w:val="center"/>
          </w:tcPr>
          <w:p w14:paraId="16F61762">
            <w:pPr>
              <w:pStyle w:val="299"/>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38" w:type="dxa"/>
            <w:gridSpan w:val="2"/>
            <w:vAlign w:val="center"/>
          </w:tcPr>
          <w:p w14:paraId="5C56F2DF">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项目总工任职资格与业绩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2</w:t>
            </w:r>
          </w:p>
        </w:tc>
        <w:tc>
          <w:tcPr>
            <w:tcW w:w="709" w:type="dxa"/>
            <w:vAlign w:val="center"/>
          </w:tcPr>
          <w:p w14:paraId="36368404">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5143F199">
            <w:pPr>
              <w:widowControl/>
              <w:numPr>
                <w:ilvl w:val="-1"/>
                <w:numId w:val="0"/>
              </w:numPr>
              <w:adjustRightInd w:val="0"/>
              <w:snapToGrid w:val="0"/>
              <w:spacing w:line="400" w:lineRule="exact"/>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7C1C12E7">
            <w:pPr>
              <w:widowControl/>
              <w:numPr>
                <w:ilvl w:val="-1"/>
                <w:numId w:val="0"/>
              </w:numPr>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3）扣除满足资格条件最低要求的业绩</w:t>
            </w:r>
            <w:r>
              <w:rPr>
                <w:rFonts w:hint="eastAsia" w:ascii="宋体" w:hAnsi="宋体" w:cs="宋体"/>
                <w:color w:val="auto"/>
                <w:kern w:val="0"/>
                <w:szCs w:val="21"/>
                <w:highlight w:val="none"/>
              </w:rPr>
              <w:t>数量后：</w:t>
            </w:r>
          </w:p>
          <w:p w14:paraId="043F4013">
            <w:pPr>
              <w:widowControl/>
              <w:adjustRightInd w:val="0"/>
              <w:snapToGrid w:val="0"/>
              <w:spacing w:line="40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w:t>
            </w:r>
            <w:r>
              <w:rPr>
                <w:rFonts w:hint="eastAsia" w:ascii="宋体" w:hAnsi="宋体" w:cs="宋体"/>
                <w:color w:val="auto"/>
                <w:szCs w:val="21"/>
                <w:highlight w:val="none"/>
              </w:rPr>
              <w:t>（□新建；□改扩建；□新建或改扩建）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公路路基土建工程施工资格审查要求职务业绩加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79BF91F7">
            <w:pPr>
              <w:widowControl/>
              <w:adjustRightInd w:val="0"/>
              <w:snapToGrid w:val="0"/>
              <w:spacing w:line="400" w:lineRule="exact"/>
              <w:ind w:left="211" w:hanging="211" w:hangingChars="100"/>
              <w:jc w:val="left"/>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座国内（□新建；□改扩建；□新建或改扩建）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Fonts w:hint="eastAsia" w:ascii="宋体" w:hAnsi="宋体" w:cs="宋体"/>
                <w:color w:val="auto"/>
                <w:kern w:val="0"/>
                <w:szCs w:val="21"/>
                <w:highlight w:val="none"/>
              </w:rPr>
              <w:t>施工资格审查要求职务业绩加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p>
          <w:p w14:paraId="658CB83C">
            <w:pPr>
              <w:widowControl/>
              <w:adjustRightInd w:val="0"/>
              <w:snapToGrid w:val="0"/>
              <w:spacing w:line="400" w:lineRule="exact"/>
              <w:ind w:left="210" w:leftChars="100" w:firstLine="0" w:firstLineChars="0"/>
              <w:jc w:val="left"/>
              <w:rPr>
                <w:rFonts w:ascii="宋体" w:hAnsi="宋体" w:cs="宋体"/>
                <w:color w:val="auto"/>
                <w:kern w:val="0"/>
                <w:szCs w:val="21"/>
                <w:highlight w:val="none"/>
                <w:u w:val="singl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03DB5EFC">
            <w:pPr>
              <w:adjustRightInd w:val="0"/>
              <w:snapToGrid w:val="0"/>
              <w:spacing w:line="400" w:lineRule="exact"/>
              <w:ind w:left="211" w:hanging="211" w:hangingChars="100"/>
              <w:jc w:val="lef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座国内（</w:t>
            </w:r>
            <w:r>
              <w:rPr>
                <w:rFonts w:hint="eastAsia" w:ascii="宋体" w:hAnsi="宋体" w:cs="宋体"/>
                <w:color w:val="auto"/>
                <w:szCs w:val="21"/>
                <w:highlight w:val="none"/>
                <w:u w:val="none"/>
              </w:rPr>
              <w:t>□新建</w:t>
            </w:r>
            <w:r>
              <w:rPr>
                <w:rFonts w:hint="eastAsia" w:ascii="宋体" w:hAnsi="宋体" w:cs="宋体"/>
                <w:color w:val="auto"/>
                <w:szCs w:val="21"/>
                <w:highlight w:val="none"/>
              </w:rPr>
              <w:t>；</w:t>
            </w:r>
            <w:r>
              <w:rPr>
                <w:rFonts w:hint="eastAsia" w:ascii="宋体" w:hAnsi="宋体" w:cs="宋体"/>
                <w:color w:val="auto"/>
                <w:szCs w:val="21"/>
                <w:highlight w:val="none"/>
                <w:u w:val="none"/>
              </w:rPr>
              <w:t>□改扩建</w:t>
            </w:r>
            <w:r>
              <w:rPr>
                <w:rFonts w:hint="eastAsia" w:ascii="宋体" w:hAnsi="宋体" w:cs="宋体"/>
                <w:color w:val="auto"/>
                <w:szCs w:val="21"/>
                <w:highlight w:val="none"/>
              </w:rPr>
              <w:t>；</w:t>
            </w:r>
            <w:r>
              <w:rPr>
                <w:rFonts w:hint="eastAsia" w:ascii="宋体" w:hAnsi="宋体" w:cs="宋体"/>
                <w:color w:val="auto"/>
                <w:szCs w:val="21"/>
                <w:highlight w:val="none"/>
                <w:u w:val="none"/>
              </w:rPr>
              <w:t>□新建或改扩建</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公路（□中隧道及以上；□长隧道及以上；□特长隧道；□单洞长度</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米及以上特长隧道）施工项目</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ascii="宋体" w:hAnsi="宋体" w:cs="宋体"/>
                <w:color w:val="auto"/>
                <w:kern w:val="0"/>
                <w:szCs w:val="21"/>
                <w:highlight w:val="none"/>
              </w:rPr>
              <w:t xml:space="preserve"> </w:t>
            </w:r>
          </w:p>
          <w:p w14:paraId="69D5E44E">
            <w:pPr>
              <w:widowControl/>
              <w:adjustRightInd w:val="0"/>
              <w:snapToGrid w:val="0"/>
              <w:spacing w:line="400" w:lineRule="exact"/>
              <w:ind w:left="211" w:hanging="211" w:hangingChars="100"/>
              <w:jc w:val="lef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w:t>
            </w:r>
            <w:r>
              <w:rPr>
                <w:rFonts w:hint="eastAsia" w:ascii="宋体" w:hAnsi="宋体" w:cs="宋体"/>
                <w:color w:val="auto"/>
                <w:szCs w:val="21"/>
                <w:highlight w:val="none"/>
                <w:u w:val="none"/>
              </w:rPr>
              <w:t>（□新建；□改扩建；□新建或改扩建</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公路路面工程施工项目中担任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58882F39">
            <w:pPr>
              <w:adjustRightInd w:val="0"/>
              <w:snapToGrid w:val="0"/>
              <w:spacing w:line="400" w:lineRule="exact"/>
              <w:ind w:left="211" w:hanging="211" w:hangingChars="100"/>
              <w:jc w:val="lef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w:t>
            </w:r>
            <w:r>
              <w:rPr>
                <w:rFonts w:hint="eastAsia" w:ascii="宋体" w:hAnsi="宋体" w:cs="宋体"/>
                <w:color w:val="auto"/>
                <w:szCs w:val="21"/>
                <w:highlight w:val="none"/>
                <w:u w:val="none"/>
              </w:rPr>
              <w:t>（□新建；□改扩建；□新建或改扩建</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w:t>
            </w:r>
            <w:r>
              <w:rPr>
                <w:rFonts w:hint="eastAsia" w:ascii="宋体" w:hAnsi="宋体"/>
                <w:color w:val="auto"/>
                <w:szCs w:val="21"/>
                <w:highlight w:val="none"/>
              </w:rPr>
              <w:t>交通安全设施工程施工</w:t>
            </w:r>
            <w:r>
              <w:rPr>
                <w:rFonts w:hint="eastAsia" w:ascii="宋体" w:hAnsi="宋体" w:cs="宋体"/>
                <w:color w:val="auto"/>
                <w:szCs w:val="21"/>
                <w:highlight w:val="none"/>
              </w:rPr>
              <w:t>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p>
          <w:p w14:paraId="58F0B9D2">
            <w:pPr>
              <w:adjustRightInd w:val="0"/>
              <w:snapToGrid w:val="0"/>
              <w:spacing w:line="400" w:lineRule="exact"/>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4AB21693">
            <w:pPr>
              <w:adjustRightInd w:val="0"/>
              <w:snapToGrid w:val="0"/>
              <w:spacing w:line="400" w:lineRule="exact"/>
              <w:ind w:left="211" w:hanging="211" w:hangingChars="100"/>
              <w:jc w:val="left"/>
              <w:rPr>
                <w:rFonts w:hint="eastAsia" w:ascii="宋体" w:hAnsi="宋体" w:eastAsia="宋体" w:cs="宋体"/>
                <w:color w:val="auto"/>
                <w:kern w:val="0"/>
                <w:szCs w:val="21"/>
                <w:highlight w:val="none"/>
                <w:lang w:eastAsia="zh-CN"/>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公路隧道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w:t>
            </w:r>
            <w:r>
              <w:rPr>
                <w:rFonts w:hint="eastAsia" w:ascii="宋体" w:hAnsi="宋体" w:cs="宋体"/>
                <w:color w:val="auto"/>
                <w:szCs w:val="21"/>
                <w:highlight w:val="none"/>
              </w:rPr>
              <w:t>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633E4634">
            <w:pPr>
              <w:widowControl/>
              <w:adjustRightInd w:val="0"/>
              <w:snapToGrid w:val="0"/>
              <w:spacing w:line="400" w:lineRule="exact"/>
              <w:ind w:left="422" w:hanging="422" w:hangingChars="200"/>
              <w:jc w:val="both"/>
              <w:rPr>
                <w:rFonts w:hint="eastAsia" w:ascii="宋体" w:hAnsi="宋体"/>
                <w:color w:val="auto"/>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w:t>
            </w:r>
            <w:r>
              <w:rPr>
                <w:rFonts w:hint="eastAsia" w:ascii="宋体" w:hAnsi="宋体"/>
                <w:color w:val="auto"/>
                <w:szCs w:val="21"/>
                <w:highlight w:val="none"/>
              </w:rPr>
              <w:t>国内房建工程施工项</w:t>
            </w:r>
          </w:p>
          <w:p w14:paraId="157984EF">
            <w:pPr>
              <w:widowControl/>
              <w:adjustRightInd w:val="0"/>
              <w:snapToGrid w:val="0"/>
              <w:spacing w:line="400" w:lineRule="exact"/>
              <w:ind w:left="430" w:leftChars="105" w:hanging="210" w:hangingChars="100"/>
              <w:jc w:val="both"/>
              <w:rPr>
                <w:rFonts w:hint="eastAsia" w:ascii="宋体" w:hAnsi="宋体" w:cs="宋体"/>
                <w:color w:val="auto"/>
                <w:kern w:val="0"/>
                <w:szCs w:val="21"/>
                <w:highlight w:val="none"/>
              </w:rPr>
            </w:pPr>
            <w:r>
              <w:rPr>
                <w:rFonts w:hint="eastAsia" w:ascii="宋体" w:hAnsi="宋体"/>
                <w:color w:val="auto"/>
                <w:szCs w:val="21"/>
                <w:highlight w:val="none"/>
              </w:rPr>
              <w:t>目中担任</w:t>
            </w:r>
            <w:r>
              <w:rPr>
                <w:rFonts w:hint="eastAsia" w:ascii="宋体" w:hAnsi="宋体" w:cs="宋体"/>
                <w:color w:val="auto"/>
                <w:kern w:val="0"/>
                <w:szCs w:val="21"/>
                <w:highlight w:val="none"/>
              </w:rPr>
              <w:t>资格审查要求职务业绩加</w:t>
            </w:r>
          </w:p>
          <w:p w14:paraId="3EE96D46">
            <w:pPr>
              <w:widowControl/>
              <w:adjustRightInd w:val="0"/>
              <w:snapToGrid w:val="0"/>
              <w:spacing w:line="400" w:lineRule="exact"/>
              <w:ind w:left="430" w:leftChars="105" w:hanging="210" w:hangingChars="100"/>
              <w:jc w:val="both"/>
              <w:rPr>
                <w:rFonts w:hint="eastAsia" w:ascii="宋体" w:hAnsi="宋体" w:cs="宋体"/>
                <w:b/>
                <w:color w:val="auto"/>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07B79CA2">
            <w:pPr>
              <w:widowControl/>
              <w:adjustRightInd w:val="0"/>
              <w:snapToGrid w:val="0"/>
              <w:spacing w:line="400" w:lineRule="exact"/>
              <w:jc w:val="left"/>
              <w:rPr>
                <w:rFonts w:ascii="宋体" w:hAnsi="宋体" w:cs="宋体"/>
                <w:color w:val="auto"/>
                <w:kern w:val="0"/>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p>
          <w:p w14:paraId="2213B994">
            <w:pPr>
              <w:widowControl/>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3）合计得分最多至满分为止。</w:t>
            </w:r>
          </w:p>
        </w:tc>
      </w:tr>
      <w:tr w14:paraId="02DC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75" w:type="dxa"/>
            <w:vMerge w:val="continue"/>
            <w:vAlign w:val="center"/>
          </w:tcPr>
          <w:p w14:paraId="008C5555">
            <w:pPr>
              <w:pStyle w:val="299"/>
              <w:spacing w:line="400" w:lineRule="exact"/>
              <w:jc w:val="center"/>
              <w:rPr>
                <w:rFonts w:ascii="宋体" w:hAnsi="宋体" w:cs="宋体"/>
                <w:color w:val="auto"/>
                <w:szCs w:val="21"/>
                <w:highlight w:val="none"/>
              </w:rPr>
            </w:pPr>
          </w:p>
        </w:tc>
        <w:tc>
          <w:tcPr>
            <w:tcW w:w="1430" w:type="dxa"/>
            <w:gridSpan w:val="2"/>
            <w:vMerge w:val="continue"/>
            <w:vAlign w:val="center"/>
          </w:tcPr>
          <w:p w14:paraId="77610692">
            <w:pPr>
              <w:pStyle w:val="299"/>
              <w:spacing w:line="400" w:lineRule="exact"/>
              <w:jc w:val="center"/>
              <w:rPr>
                <w:rFonts w:ascii="宋体" w:hAnsi="宋体" w:cs="宋体"/>
                <w:color w:val="auto"/>
                <w:szCs w:val="21"/>
                <w:highlight w:val="none"/>
              </w:rPr>
            </w:pPr>
          </w:p>
        </w:tc>
        <w:tc>
          <w:tcPr>
            <w:tcW w:w="851" w:type="dxa"/>
            <w:vMerge w:val="continue"/>
            <w:vAlign w:val="center"/>
          </w:tcPr>
          <w:p w14:paraId="578D81FA">
            <w:pPr>
              <w:pStyle w:val="299"/>
              <w:spacing w:line="400" w:lineRule="exact"/>
              <w:rPr>
                <w:rFonts w:ascii="宋体" w:hAnsi="宋体" w:cs="宋体"/>
                <w:color w:val="auto"/>
                <w:szCs w:val="21"/>
                <w:highlight w:val="none"/>
              </w:rPr>
            </w:pPr>
          </w:p>
        </w:tc>
        <w:tc>
          <w:tcPr>
            <w:tcW w:w="850" w:type="dxa"/>
            <w:vMerge w:val="restart"/>
            <w:vAlign w:val="center"/>
          </w:tcPr>
          <w:p w14:paraId="542AC7F7">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其他管理和技术人员任职资格与业绩</w:t>
            </w:r>
            <w:r>
              <w:rPr>
                <w:rFonts w:ascii="宋体" w:hAnsi="宋体" w:cs="宋体"/>
                <w:color w:val="auto"/>
                <w:szCs w:val="21"/>
                <w:highlight w:val="none"/>
              </w:rPr>
              <w:t xml:space="preserve"> B</w:t>
            </w:r>
            <w:r>
              <w:rPr>
                <w:rFonts w:ascii="宋体" w:hAnsi="宋体" w:cs="宋体"/>
                <w:color w:val="auto"/>
                <w:szCs w:val="21"/>
                <w:highlight w:val="none"/>
                <w:vertAlign w:val="subscript"/>
              </w:rPr>
              <w:t>3</w:t>
            </w:r>
            <w:r>
              <w:rPr>
                <w:rStyle w:val="59"/>
                <w:rFonts w:ascii="宋体" w:hAnsi="宋体" w:cs="宋体"/>
                <w:color w:val="auto"/>
                <w:szCs w:val="21"/>
                <w:highlight w:val="none"/>
              </w:rPr>
              <w:t xml:space="preserve"> </w:t>
            </w:r>
            <w:r>
              <w:rPr>
                <w:rStyle w:val="59"/>
                <w:rFonts w:ascii="宋体" w:hAnsi="宋体" w:cs="宋体"/>
                <w:color w:val="auto"/>
                <w:szCs w:val="21"/>
                <w:highlight w:val="none"/>
              </w:rPr>
              <w:footnoteReference w:id="150"/>
            </w:r>
          </w:p>
        </w:tc>
        <w:tc>
          <w:tcPr>
            <w:tcW w:w="488" w:type="dxa"/>
            <w:vAlign w:val="center"/>
          </w:tcPr>
          <w:p w14:paraId="3E10B5F1">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c>
          <w:tcPr>
            <w:tcW w:w="709" w:type="dxa"/>
            <w:vAlign w:val="center"/>
          </w:tcPr>
          <w:p w14:paraId="30F607DD">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48AE8E34">
            <w:pPr>
              <w:widowControl/>
              <w:adjustRightInd w:val="0"/>
              <w:snapToGrid w:val="0"/>
              <w:spacing w:line="400" w:lineRule="exact"/>
              <w:jc w:val="left"/>
              <w:rPr>
                <w:rFonts w:ascii="宋体" w:hAnsi="宋体" w:cs="宋体"/>
                <w:color w:val="auto"/>
                <w:kern w:val="0"/>
                <w:szCs w:val="21"/>
                <w:highlight w:val="none"/>
              </w:rPr>
            </w:pPr>
            <w:r>
              <w:rPr>
                <w:rFonts w:ascii="宋体" w:hAnsi="宋体" w:cs="宋体"/>
                <w:color w:val="auto"/>
                <w:szCs w:val="21"/>
                <w:highlight w:val="none"/>
                <w:u w:val="single"/>
              </w:rPr>
              <w:t xml:space="preserve">       </w:t>
            </w:r>
          </w:p>
        </w:tc>
      </w:tr>
      <w:tr w14:paraId="4D50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75" w:type="dxa"/>
            <w:vMerge w:val="continue"/>
            <w:vAlign w:val="center"/>
          </w:tcPr>
          <w:p w14:paraId="5240C887">
            <w:pPr>
              <w:pStyle w:val="299"/>
              <w:spacing w:line="400" w:lineRule="exact"/>
              <w:jc w:val="center"/>
              <w:rPr>
                <w:rFonts w:ascii="宋体" w:hAnsi="宋体" w:cs="宋体"/>
                <w:color w:val="auto"/>
                <w:szCs w:val="21"/>
                <w:highlight w:val="none"/>
              </w:rPr>
            </w:pPr>
          </w:p>
        </w:tc>
        <w:tc>
          <w:tcPr>
            <w:tcW w:w="1430" w:type="dxa"/>
            <w:gridSpan w:val="2"/>
            <w:vMerge w:val="continue"/>
            <w:vAlign w:val="center"/>
          </w:tcPr>
          <w:p w14:paraId="32132D3A">
            <w:pPr>
              <w:pStyle w:val="299"/>
              <w:spacing w:line="400" w:lineRule="exact"/>
              <w:jc w:val="center"/>
              <w:rPr>
                <w:rFonts w:ascii="宋体" w:hAnsi="宋体" w:cs="宋体"/>
                <w:color w:val="auto"/>
                <w:szCs w:val="21"/>
                <w:highlight w:val="none"/>
              </w:rPr>
            </w:pPr>
          </w:p>
        </w:tc>
        <w:tc>
          <w:tcPr>
            <w:tcW w:w="851" w:type="dxa"/>
            <w:vMerge w:val="continue"/>
            <w:vAlign w:val="center"/>
          </w:tcPr>
          <w:p w14:paraId="4C36AB72">
            <w:pPr>
              <w:pStyle w:val="299"/>
              <w:spacing w:line="400" w:lineRule="exact"/>
              <w:rPr>
                <w:rFonts w:ascii="宋体" w:hAnsi="宋体" w:cs="宋体"/>
                <w:color w:val="auto"/>
                <w:szCs w:val="21"/>
                <w:highlight w:val="none"/>
              </w:rPr>
            </w:pPr>
          </w:p>
        </w:tc>
        <w:tc>
          <w:tcPr>
            <w:tcW w:w="850" w:type="dxa"/>
            <w:vMerge w:val="continue"/>
            <w:vAlign w:val="center"/>
          </w:tcPr>
          <w:p w14:paraId="245A50A1">
            <w:pPr>
              <w:pStyle w:val="299"/>
              <w:adjustRightInd w:val="0"/>
              <w:snapToGrid w:val="0"/>
              <w:spacing w:line="400" w:lineRule="exact"/>
              <w:rPr>
                <w:rFonts w:ascii="宋体" w:hAnsi="宋体" w:cs="宋体"/>
                <w:color w:val="auto"/>
                <w:szCs w:val="21"/>
                <w:highlight w:val="none"/>
              </w:rPr>
            </w:pPr>
          </w:p>
        </w:tc>
        <w:tc>
          <w:tcPr>
            <w:tcW w:w="488" w:type="dxa"/>
            <w:vAlign w:val="center"/>
          </w:tcPr>
          <w:p w14:paraId="0AAEB714">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c>
          <w:tcPr>
            <w:tcW w:w="709" w:type="dxa"/>
            <w:vAlign w:val="center"/>
          </w:tcPr>
          <w:p w14:paraId="2EE3FF6C">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152D7245">
            <w:pPr>
              <w:widowControl/>
              <w:adjustRightInd w:val="0"/>
              <w:snapToGrid w:val="0"/>
              <w:spacing w:line="400" w:lineRule="exact"/>
              <w:jc w:val="left"/>
              <w:rPr>
                <w:rFonts w:ascii="宋体" w:hAnsi="宋体" w:cs="宋体"/>
                <w:color w:val="auto"/>
                <w:kern w:val="0"/>
                <w:szCs w:val="21"/>
                <w:highlight w:val="none"/>
              </w:rPr>
            </w:pPr>
            <w:r>
              <w:rPr>
                <w:rFonts w:ascii="宋体" w:hAnsi="宋体" w:cs="宋体"/>
                <w:color w:val="auto"/>
                <w:szCs w:val="21"/>
                <w:highlight w:val="none"/>
                <w:u w:val="single"/>
              </w:rPr>
              <w:t xml:space="preserve">       </w:t>
            </w:r>
          </w:p>
        </w:tc>
      </w:tr>
      <w:tr w14:paraId="406C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5D1A0970">
            <w:pPr>
              <w:pStyle w:val="299"/>
              <w:spacing w:line="400" w:lineRule="exact"/>
              <w:jc w:val="center"/>
              <w:rPr>
                <w:rFonts w:ascii="宋体" w:hAnsi="宋体" w:cs="宋体"/>
                <w:color w:val="auto"/>
                <w:szCs w:val="21"/>
                <w:highlight w:val="none"/>
              </w:rPr>
            </w:pPr>
          </w:p>
        </w:tc>
        <w:tc>
          <w:tcPr>
            <w:tcW w:w="1430" w:type="dxa"/>
            <w:gridSpan w:val="2"/>
            <w:vMerge w:val="continue"/>
            <w:vAlign w:val="center"/>
          </w:tcPr>
          <w:p w14:paraId="66FA2B4C">
            <w:pPr>
              <w:pStyle w:val="299"/>
              <w:spacing w:line="400" w:lineRule="exact"/>
              <w:jc w:val="center"/>
              <w:rPr>
                <w:rFonts w:ascii="宋体" w:hAnsi="宋体" w:cs="宋体"/>
                <w:color w:val="auto"/>
                <w:szCs w:val="21"/>
                <w:highlight w:val="none"/>
              </w:rPr>
            </w:pPr>
          </w:p>
        </w:tc>
        <w:tc>
          <w:tcPr>
            <w:tcW w:w="851" w:type="dxa"/>
            <w:vMerge w:val="continue"/>
            <w:vAlign w:val="center"/>
          </w:tcPr>
          <w:p w14:paraId="1850F917">
            <w:pPr>
              <w:pStyle w:val="299"/>
              <w:spacing w:line="400" w:lineRule="exact"/>
              <w:rPr>
                <w:rFonts w:ascii="宋体" w:hAnsi="宋体" w:cs="宋体"/>
                <w:color w:val="auto"/>
                <w:szCs w:val="21"/>
                <w:highlight w:val="none"/>
              </w:rPr>
            </w:pPr>
          </w:p>
        </w:tc>
        <w:tc>
          <w:tcPr>
            <w:tcW w:w="850" w:type="dxa"/>
            <w:vMerge w:val="continue"/>
            <w:vAlign w:val="center"/>
          </w:tcPr>
          <w:p w14:paraId="08927452">
            <w:pPr>
              <w:pStyle w:val="299"/>
              <w:adjustRightInd w:val="0"/>
              <w:snapToGrid w:val="0"/>
              <w:spacing w:line="400" w:lineRule="exact"/>
              <w:rPr>
                <w:rFonts w:ascii="宋体" w:hAnsi="宋体" w:cs="宋体"/>
                <w:color w:val="auto"/>
                <w:szCs w:val="21"/>
                <w:highlight w:val="none"/>
              </w:rPr>
            </w:pPr>
          </w:p>
        </w:tc>
        <w:tc>
          <w:tcPr>
            <w:tcW w:w="488" w:type="dxa"/>
            <w:vAlign w:val="center"/>
          </w:tcPr>
          <w:p w14:paraId="1DA0C970">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709" w:type="dxa"/>
            <w:vAlign w:val="center"/>
          </w:tcPr>
          <w:p w14:paraId="17F9D6FD">
            <w:pPr>
              <w:pStyle w:val="299"/>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w:t>
            </w:r>
          </w:p>
        </w:tc>
        <w:tc>
          <w:tcPr>
            <w:tcW w:w="3594" w:type="dxa"/>
            <w:vAlign w:val="center"/>
          </w:tcPr>
          <w:p w14:paraId="4C803C1B">
            <w:pPr>
              <w:widowControl/>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szCs w:val="21"/>
                <w:highlight w:val="none"/>
              </w:rPr>
              <w:t>……</w:t>
            </w:r>
          </w:p>
        </w:tc>
      </w:tr>
      <w:tr w14:paraId="276D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5" w:type="dxa"/>
            <w:vMerge w:val="restart"/>
            <w:vAlign w:val="center"/>
          </w:tcPr>
          <w:p w14:paraId="5429FEFC">
            <w:pPr>
              <w:pStyle w:val="299"/>
              <w:spacing w:line="400" w:lineRule="exact"/>
              <w:jc w:val="center"/>
              <w:rPr>
                <w:rFonts w:ascii="宋体" w:hAnsi="宋体" w:cs="宋体"/>
                <w:color w:val="auto"/>
                <w:szCs w:val="21"/>
                <w:highlight w:val="none"/>
              </w:rPr>
            </w:pPr>
            <w:r>
              <w:rPr>
                <w:rFonts w:ascii="宋体" w:hAnsi="宋体" w:cs="宋体"/>
                <w:color w:val="auto"/>
                <w:szCs w:val="21"/>
                <w:highlight w:val="none"/>
              </w:rPr>
              <w:t>2.2.2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p>
        </w:tc>
        <w:tc>
          <w:tcPr>
            <w:tcW w:w="556" w:type="dxa"/>
            <w:vMerge w:val="restart"/>
            <w:vAlign w:val="center"/>
          </w:tcPr>
          <w:p w14:paraId="4FD4F489">
            <w:pPr>
              <w:pStyle w:val="299"/>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其他因素</w:t>
            </w:r>
            <w:r>
              <w:rPr>
                <w:rFonts w:ascii="宋体" w:hAnsi="宋体" w:cs="宋体"/>
                <w:color w:val="auto"/>
                <w:szCs w:val="21"/>
                <w:highlight w:val="none"/>
              </w:rPr>
              <w:t>D</w:t>
            </w:r>
            <w:r>
              <w:rPr>
                <w:rStyle w:val="59"/>
                <w:rFonts w:ascii="宋体" w:hAnsi="宋体" w:cs="宋体"/>
                <w:color w:val="auto"/>
                <w:szCs w:val="21"/>
                <w:highlight w:val="none"/>
              </w:rPr>
              <w:footnoteReference w:id="151"/>
            </w:r>
          </w:p>
        </w:tc>
        <w:tc>
          <w:tcPr>
            <w:tcW w:w="874" w:type="dxa"/>
            <w:vMerge w:val="restart"/>
            <w:vAlign w:val="center"/>
          </w:tcPr>
          <w:p w14:paraId="5E830BAB">
            <w:pPr>
              <w:pStyle w:val="299"/>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技术</w:t>
            </w:r>
          </w:p>
          <w:p w14:paraId="7D392898">
            <w:pPr>
              <w:pStyle w:val="299"/>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能力</w:t>
            </w:r>
            <w:r>
              <w:rPr>
                <w:rFonts w:ascii="宋体" w:hAnsi="宋体" w:cs="宋体"/>
                <w:color w:val="auto"/>
                <w:szCs w:val="21"/>
                <w:highlight w:val="none"/>
              </w:rPr>
              <w:t>G</w:t>
            </w:r>
            <w:r>
              <w:rPr>
                <w:rStyle w:val="59"/>
                <w:rFonts w:ascii="宋体" w:hAnsi="宋体" w:cs="宋体"/>
                <w:color w:val="auto"/>
                <w:szCs w:val="21"/>
                <w:highlight w:val="none"/>
              </w:rPr>
              <w:footnoteReference w:id="152"/>
            </w:r>
          </w:p>
        </w:tc>
        <w:tc>
          <w:tcPr>
            <w:tcW w:w="851" w:type="dxa"/>
            <w:vMerge w:val="restart"/>
            <w:vAlign w:val="center"/>
          </w:tcPr>
          <w:p w14:paraId="790B9451">
            <w:pPr>
              <w:pStyle w:val="299"/>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38" w:type="dxa"/>
            <w:gridSpan w:val="2"/>
            <w:vAlign w:val="center"/>
          </w:tcPr>
          <w:p w14:paraId="1EC0C0B1">
            <w:pPr>
              <w:pStyle w:val="299"/>
              <w:spacing w:line="400" w:lineRule="exact"/>
              <w:jc w:val="lef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p>
        </w:tc>
        <w:tc>
          <w:tcPr>
            <w:tcW w:w="709" w:type="dxa"/>
            <w:vAlign w:val="center"/>
          </w:tcPr>
          <w:p w14:paraId="39545F81">
            <w:pPr>
              <w:pStyle w:val="299"/>
              <w:spacing w:line="400" w:lineRule="exact"/>
              <w:jc w:val="center"/>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1B85EC02">
            <w:pPr>
              <w:pStyle w:val="299"/>
              <w:spacing w:line="400" w:lineRule="exact"/>
              <w:jc w:val="lef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p>
        </w:tc>
      </w:tr>
      <w:tr w14:paraId="1516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5" w:type="dxa"/>
            <w:vMerge w:val="continue"/>
            <w:vAlign w:val="center"/>
          </w:tcPr>
          <w:p w14:paraId="2FB6D89D">
            <w:pPr>
              <w:pStyle w:val="299"/>
              <w:spacing w:line="400" w:lineRule="exact"/>
              <w:jc w:val="center"/>
              <w:rPr>
                <w:rFonts w:ascii="宋体" w:hAnsi="宋体" w:cs="宋体"/>
                <w:color w:val="auto"/>
                <w:szCs w:val="21"/>
                <w:highlight w:val="none"/>
              </w:rPr>
            </w:pPr>
          </w:p>
        </w:tc>
        <w:tc>
          <w:tcPr>
            <w:tcW w:w="556" w:type="dxa"/>
            <w:vMerge w:val="continue"/>
            <w:vAlign w:val="center"/>
          </w:tcPr>
          <w:p w14:paraId="2A6F1B0F">
            <w:pPr>
              <w:pStyle w:val="299"/>
              <w:spacing w:line="400" w:lineRule="exact"/>
              <w:jc w:val="center"/>
              <w:rPr>
                <w:rFonts w:ascii="宋体" w:hAnsi="宋体" w:cs="宋体"/>
                <w:color w:val="auto"/>
                <w:szCs w:val="21"/>
                <w:highlight w:val="none"/>
              </w:rPr>
            </w:pPr>
          </w:p>
        </w:tc>
        <w:tc>
          <w:tcPr>
            <w:tcW w:w="874" w:type="dxa"/>
            <w:vMerge w:val="continue"/>
            <w:vAlign w:val="center"/>
          </w:tcPr>
          <w:p w14:paraId="2B67097B">
            <w:pPr>
              <w:pStyle w:val="299"/>
              <w:spacing w:line="400" w:lineRule="exact"/>
              <w:jc w:val="center"/>
              <w:rPr>
                <w:rFonts w:ascii="宋体" w:hAnsi="宋体" w:cs="宋体"/>
                <w:color w:val="auto"/>
                <w:szCs w:val="21"/>
                <w:highlight w:val="none"/>
              </w:rPr>
            </w:pPr>
          </w:p>
        </w:tc>
        <w:tc>
          <w:tcPr>
            <w:tcW w:w="851" w:type="dxa"/>
            <w:vMerge w:val="continue"/>
            <w:vAlign w:val="center"/>
          </w:tcPr>
          <w:p w14:paraId="73C6E4F6">
            <w:pPr>
              <w:pStyle w:val="299"/>
              <w:spacing w:line="400" w:lineRule="exact"/>
              <w:rPr>
                <w:rFonts w:ascii="宋体" w:hAnsi="宋体" w:cs="宋体"/>
                <w:color w:val="auto"/>
                <w:szCs w:val="21"/>
                <w:highlight w:val="none"/>
              </w:rPr>
            </w:pPr>
          </w:p>
        </w:tc>
        <w:tc>
          <w:tcPr>
            <w:tcW w:w="1338" w:type="dxa"/>
            <w:gridSpan w:val="2"/>
            <w:vAlign w:val="center"/>
          </w:tcPr>
          <w:p w14:paraId="20380223">
            <w:pPr>
              <w:pStyle w:val="299"/>
              <w:spacing w:line="400" w:lineRule="exact"/>
              <w:jc w:val="lef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p>
        </w:tc>
        <w:tc>
          <w:tcPr>
            <w:tcW w:w="709" w:type="dxa"/>
            <w:vAlign w:val="center"/>
          </w:tcPr>
          <w:p w14:paraId="47163DDE">
            <w:pPr>
              <w:pStyle w:val="299"/>
              <w:spacing w:line="400" w:lineRule="exact"/>
              <w:jc w:val="center"/>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7698F7FB">
            <w:pPr>
              <w:pStyle w:val="299"/>
              <w:spacing w:line="400" w:lineRule="exact"/>
              <w:jc w:val="lef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p>
        </w:tc>
      </w:tr>
      <w:tr w14:paraId="3C8D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75" w:type="dxa"/>
            <w:vMerge w:val="continue"/>
            <w:vAlign w:val="center"/>
          </w:tcPr>
          <w:p w14:paraId="137D38EC">
            <w:pPr>
              <w:pStyle w:val="299"/>
              <w:spacing w:line="400" w:lineRule="exact"/>
              <w:jc w:val="center"/>
              <w:rPr>
                <w:rFonts w:hint="default" w:ascii="宋体" w:hAnsi="宋体" w:eastAsia="宋体" w:cs="宋体"/>
                <w:color w:val="auto"/>
                <w:kern w:val="2"/>
                <w:sz w:val="21"/>
                <w:szCs w:val="21"/>
                <w:highlight w:val="none"/>
                <w:lang w:val="en-US" w:eastAsia="zh-CN" w:bidi="ar-SA"/>
              </w:rPr>
            </w:pPr>
          </w:p>
        </w:tc>
        <w:tc>
          <w:tcPr>
            <w:tcW w:w="556" w:type="dxa"/>
            <w:vMerge w:val="continue"/>
            <w:vAlign w:val="center"/>
          </w:tcPr>
          <w:p w14:paraId="6E1FEE47">
            <w:pPr>
              <w:pStyle w:val="299"/>
              <w:spacing w:line="400" w:lineRule="exact"/>
              <w:jc w:val="center"/>
              <w:rPr>
                <w:rFonts w:ascii="宋体" w:hAnsi="宋体" w:eastAsia="宋体" w:cs="宋体"/>
                <w:color w:val="auto"/>
                <w:kern w:val="2"/>
                <w:sz w:val="21"/>
                <w:szCs w:val="21"/>
                <w:highlight w:val="none"/>
                <w:lang w:val="en-US" w:eastAsia="zh-CN" w:bidi="ar-SA"/>
              </w:rPr>
            </w:pPr>
          </w:p>
        </w:tc>
        <w:tc>
          <w:tcPr>
            <w:tcW w:w="874" w:type="dxa"/>
            <w:vMerge w:val="restart"/>
            <w:vAlign w:val="center"/>
          </w:tcPr>
          <w:p w14:paraId="2771F2B2">
            <w:pPr>
              <w:pStyle w:val="299"/>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w:t>
            </w:r>
            <w:r>
              <w:rPr>
                <w:rFonts w:ascii="宋体" w:hAnsi="宋体" w:cs="宋体"/>
                <w:color w:val="auto"/>
                <w:szCs w:val="21"/>
                <w:highlight w:val="none"/>
              </w:rPr>
              <w:t>C</w:t>
            </w:r>
          </w:p>
        </w:tc>
        <w:tc>
          <w:tcPr>
            <w:tcW w:w="851" w:type="dxa"/>
            <w:vMerge w:val="restart"/>
            <w:vAlign w:val="center"/>
          </w:tcPr>
          <w:p w14:paraId="66B1AADF">
            <w:pPr>
              <w:pStyle w:val="299"/>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Style w:val="59"/>
                <w:rFonts w:ascii="宋体" w:hAnsi="宋体" w:cs="宋体"/>
                <w:color w:val="auto"/>
                <w:szCs w:val="21"/>
                <w:highlight w:val="none"/>
              </w:rPr>
              <w:footnoteReference w:id="153"/>
            </w:r>
          </w:p>
        </w:tc>
        <w:tc>
          <w:tcPr>
            <w:tcW w:w="1338" w:type="dxa"/>
            <w:gridSpan w:val="2"/>
            <w:vAlign w:val="center"/>
          </w:tcPr>
          <w:p w14:paraId="2EB9233E">
            <w:pPr>
              <w:pStyle w:val="299"/>
              <w:spacing w:line="40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b/>
                <w:color w:val="auto"/>
                <w:szCs w:val="21"/>
                <w:highlight w:val="none"/>
              </w:rPr>
              <w:t>1）业绩基本要求C</w:t>
            </w:r>
            <w:r>
              <w:rPr>
                <w:rFonts w:ascii="宋体" w:hAnsi="宋体" w:cs="宋体"/>
                <w:b/>
                <w:color w:val="auto"/>
                <w:szCs w:val="21"/>
                <w:highlight w:val="none"/>
                <w:vertAlign w:val="subscript"/>
              </w:rPr>
              <w:t>0</w:t>
            </w:r>
          </w:p>
        </w:tc>
        <w:tc>
          <w:tcPr>
            <w:tcW w:w="709" w:type="dxa"/>
            <w:vAlign w:val="center"/>
          </w:tcPr>
          <w:p w14:paraId="15F07747">
            <w:pPr>
              <w:pStyle w:val="299"/>
              <w:spacing w:line="480" w:lineRule="exact"/>
              <w:ind w:left="105" w:leftChars="0" w:hanging="105" w:hangingChars="50"/>
              <w:rPr>
                <w:rFonts w:hint="eastAsia"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202EDDFC">
            <w:pPr>
              <w:pStyle w:val="299"/>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1）满足资格审查条件最低要求得</w:t>
            </w:r>
          </w:p>
          <w:p w14:paraId="6836EB22">
            <w:pPr>
              <w:pStyle w:val="299"/>
              <w:spacing w:line="380" w:lineRule="exact"/>
              <w:rPr>
                <w:rFonts w:hint="eastAsia" w:ascii="宋体" w:hAnsi="宋体" w:eastAsia="宋体" w:cs="宋体"/>
                <w:color w:val="auto"/>
                <w:kern w:val="0"/>
                <w:sz w:val="21"/>
                <w:szCs w:val="21"/>
                <w:highlight w:val="non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73B8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46EF90E5">
            <w:pPr>
              <w:pStyle w:val="299"/>
              <w:spacing w:line="400" w:lineRule="exact"/>
              <w:jc w:val="center"/>
              <w:rPr>
                <w:rFonts w:ascii="宋体" w:hAnsi="宋体" w:cs="宋体"/>
                <w:color w:val="auto"/>
                <w:szCs w:val="21"/>
                <w:highlight w:val="none"/>
              </w:rPr>
            </w:pPr>
          </w:p>
        </w:tc>
        <w:tc>
          <w:tcPr>
            <w:tcW w:w="556" w:type="dxa"/>
            <w:vMerge w:val="continue"/>
            <w:vAlign w:val="center"/>
          </w:tcPr>
          <w:p w14:paraId="7F73DAD6">
            <w:pPr>
              <w:pStyle w:val="299"/>
              <w:spacing w:line="400" w:lineRule="exact"/>
              <w:jc w:val="center"/>
              <w:rPr>
                <w:rFonts w:ascii="宋体" w:hAnsi="宋体" w:cs="宋体"/>
                <w:color w:val="auto"/>
                <w:szCs w:val="21"/>
                <w:highlight w:val="none"/>
              </w:rPr>
            </w:pPr>
          </w:p>
        </w:tc>
        <w:tc>
          <w:tcPr>
            <w:tcW w:w="874" w:type="dxa"/>
            <w:vMerge w:val="continue"/>
            <w:vAlign w:val="center"/>
          </w:tcPr>
          <w:p w14:paraId="1526E52A">
            <w:pPr>
              <w:pStyle w:val="299"/>
              <w:spacing w:line="400" w:lineRule="exact"/>
              <w:jc w:val="center"/>
              <w:rPr>
                <w:rFonts w:ascii="宋体" w:hAnsi="宋体" w:cs="宋体"/>
                <w:color w:val="auto"/>
                <w:szCs w:val="21"/>
                <w:highlight w:val="none"/>
              </w:rPr>
            </w:pPr>
          </w:p>
        </w:tc>
        <w:tc>
          <w:tcPr>
            <w:tcW w:w="851" w:type="dxa"/>
            <w:vMerge w:val="continue"/>
            <w:vAlign w:val="center"/>
          </w:tcPr>
          <w:p w14:paraId="576047B9">
            <w:pPr>
              <w:pStyle w:val="299"/>
              <w:spacing w:line="400" w:lineRule="exact"/>
              <w:rPr>
                <w:rFonts w:hint="eastAsia" w:ascii="宋体" w:hAnsi="宋体" w:eastAsia="宋体" w:cs="宋体"/>
                <w:color w:val="auto"/>
                <w:szCs w:val="21"/>
                <w:highlight w:val="none"/>
                <w:lang w:val="en-US" w:eastAsia="zh-CN"/>
              </w:rPr>
            </w:pPr>
          </w:p>
        </w:tc>
        <w:tc>
          <w:tcPr>
            <w:tcW w:w="1338" w:type="dxa"/>
            <w:gridSpan w:val="2"/>
            <w:vAlign w:val="center"/>
          </w:tcPr>
          <w:p w14:paraId="091821AA">
            <w:pPr>
              <w:pStyle w:val="299"/>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2）公路路基土建施工业绩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1</w:t>
            </w:r>
          </w:p>
        </w:tc>
        <w:tc>
          <w:tcPr>
            <w:tcW w:w="709" w:type="dxa"/>
            <w:vAlign w:val="center"/>
          </w:tcPr>
          <w:p w14:paraId="5B405EEB">
            <w:pPr>
              <w:pStyle w:val="299"/>
              <w:keepNext w:val="0"/>
              <w:keepLines w:val="0"/>
              <w:pageBreakBefore w:val="0"/>
              <w:widowControl w:val="0"/>
              <w:kinsoku/>
              <w:wordWrap/>
              <w:overflowPunct/>
              <w:topLinePunct w:val="0"/>
              <w:autoSpaceDE/>
              <w:autoSpaceDN/>
              <w:bidi w:val="0"/>
              <w:adjustRightInd/>
              <w:snapToGrid/>
              <w:spacing w:line="380" w:lineRule="exact"/>
              <w:ind w:left="105" w:leftChars="0" w:hanging="105" w:hangingChars="50"/>
              <w:textAlignment w:val="auto"/>
              <w:rPr>
                <w:rFonts w:hint="eastAsia"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1054C0A1">
            <w:pPr>
              <w:pStyle w:val="299"/>
              <w:keepNext w:val="0"/>
              <w:keepLines w:val="0"/>
              <w:pageBreakBefore w:val="0"/>
              <w:widowControl w:val="0"/>
              <w:kinsoku/>
              <w:wordWrap/>
              <w:overflowPunct/>
              <w:topLinePunct w:val="0"/>
              <w:autoSpaceDE/>
              <w:autoSpaceDN/>
              <w:bidi w:val="0"/>
              <w:adjustRightInd/>
              <w:snapToGrid/>
              <w:spacing w:line="380" w:lineRule="exact"/>
              <w:ind w:left="211" w:hanging="210" w:hangingChars="1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2）扣除满足资格审查条件完成数量后：</w:t>
            </w:r>
          </w:p>
          <w:p w14:paraId="288FC2C9">
            <w:pPr>
              <w:pStyle w:val="299"/>
              <w:keepNext w:val="0"/>
              <w:keepLines w:val="0"/>
              <w:pageBreakBefore w:val="0"/>
              <w:widowControl w:val="0"/>
              <w:kinsoku/>
              <w:wordWrap/>
              <w:overflowPunct/>
              <w:topLinePunct w:val="0"/>
              <w:autoSpaceDE/>
              <w:autoSpaceDN/>
              <w:bidi w:val="0"/>
              <w:adjustRightInd/>
              <w:snapToGrid/>
              <w:spacing w:line="380" w:lineRule="exact"/>
              <w:ind w:left="211" w:leftChars="0" w:hanging="211" w:hangingChars="1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标段长度</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公里及以上国内</w:t>
            </w:r>
            <w:r>
              <w:rPr>
                <w:rFonts w:hint="eastAsia" w:ascii="宋体" w:hAnsi="宋体" w:cs="宋体"/>
                <w:color w:val="auto"/>
                <w:szCs w:val="21"/>
                <w:highlight w:val="none"/>
              </w:rPr>
              <w:t>（□新建；□改扩建；□新建或改扩建）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公路路基土建工程施工项目加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1DAE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975" w:type="dxa"/>
            <w:vMerge w:val="restart"/>
            <w:vAlign w:val="center"/>
          </w:tcPr>
          <w:p w14:paraId="46E0288B">
            <w:pPr>
              <w:pStyle w:val="299"/>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2.2.2（3）</w:t>
            </w:r>
          </w:p>
        </w:tc>
        <w:tc>
          <w:tcPr>
            <w:tcW w:w="556" w:type="dxa"/>
            <w:vMerge w:val="restart"/>
            <w:vAlign w:val="center"/>
          </w:tcPr>
          <w:p w14:paraId="186D9B8A">
            <w:pPr>
              <w:pStyle w:val="299"/>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其他因素</w:t>
            </w:r>
          </w:p>
          <w:p w14:paraId="35F453FB">
            <w:pPr>
              <w:pStyle w:val="299"/>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D</w:t>
            </w:r>
          </w:p>
        </w:tc>
        <w:tc>
          <w:tcPr>
            <w:tcW w:w="874" w:type="dxa"/>
            <w:vMerge w:val="restart"/>
            <w:vAlign w:val="center"/>
          </w:tcPr>
          <w:p w14:paraId="1C5AA6C9">
            <w:pPr>
              <w:pStyle w:val="299"/>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业绩</w:t>
            </w:r>
            <w:r>
              <w:rPr>
                <w:rFonts w:ascii="宋体" w:hAnsi="宋体" w:cs="宋体"/>
                <w:color w:val="auto"/>
                <w:szCs w:val="21"/>
                <w:highlight w:val="none"/>
              </w:rPr>
              <w:t>C</w:t>
            </w:r>
          </w:p>
        </w:tc>
        <w:tc>
          <w:tcPr>
            <w:tcW w:w="851" w:type="dxa"/>
            <w:vMerge w:val="restart"/>
            <w:vAlign w:val="center"/>
          </w:tcPr>
          <w:p w14:paraId="7BAA1C17">
            <w:pPr>
              <w:pStyle w:val="299"/>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38" w:type="dxa"/>
            <w:gridSpan w:val="2"/>
            <w:vAlign w:val="center"/>
          </w:tcPr>
          <w:p w14:paraId="1713888D">
            <w:pPr>
              <w:pStyle w:val="299"/>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w:t>
            </w:r>
            <w:r>
              <w:rPr>
                <w:rFonts w:ascii="宋体" w:hAnsi="宋体" w:cs="宋体"/>
                <w:color w:val="auto"/>
                <w:szCs w:val="21"/>
                <w:highlight w:val="none"/>
              </w:rPr>
              <w:t>3）公路桥梁施工业绩</w:t>
            </w:r>
            <w:r>
              <w:rPr>
                <w:rFonts w:ascii="宋体" w:hAnsi="宋体" w:cs="宋体"/>
                <w:i w:val="0"/>
                <w:iCs w:val="0"/>
                <w:color w:val="auto"/>
                <w:szCs w:val="21"/>
                <w:highlight w:val="none"/>
                <w:u w:val="none"/>
                <w:vertAlign w:val="baseline"/>
              </w:rPr>
              <w:t>C</w:t>
            </w:r>
            <w:r>
              <w:rPr>
                <w:rFonts w:ascii="宋体" w:hAnsi="宋体" w:cs="宋体"/>
                <w:i w:val="0"/>
                <w:iCs w:val="0"/>
                <w:color w:val="auto"/>
                <w:szCs w:val="21"/>
                <w:highlight w:val="none"/>
                <w:u w:val="none"/>
                <w:vertAlign w:val="subscript"/>
              </w:rPr>
              <w:t>2</w:t>
            </w:r>
          </w:p>
        </w:tc>
        <w:tc>
          <w:tcPr>
            <w:tcW w:w="709" w:type="dxa"/>
            <w:vAlign w:val="center"/>
          </w:tcPr>
          <w:p w14:paraId="653D66D6">
            <w:pPr>
              <w:pStyle w:val="299"/>
              <w:keepNext w:val="0"/>
              <w:keepLines w:val="0"/>
              <w:pageBreakBefore w:val="0"/>
              <w:widowControl w:val="0"/>
              <w:kinsoku/>
              <w:wordWrap/>
              <w:overflowPunct/>
              <w:topLinePunct w:val="0"/>
              <w:autoSpaceDE/>
              <w:autoSpaceDN/>
              <w:bidi w:val="0"/>
              <w:adjustRightInd/>
              <w:snapToGrid/>
              <w:spacing w:line="380" w:lineRule="exact"/>
              <w:ind w:left="105" w:leftChars="0" w:hanging="105" w:hangingChars="50"/>
              <w:textAlignment w:val="auto"/>
              <w:rPr>
                <w:rFonts w:hint="eastAsia"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5E9E372A">
            <w:pPr>
              <w:keepNext w:val="0"/>
              <w:keepLines w:val="0"/>
              <w:pageBreakBefore w:val="0"/>
              <w:widowControl/>
              <w:kinsoku/>
              <w:wordWrap/>
              <w:overflowPunct/>
              <w:topLinePunct w:val="0"/>
              <w:autoSpaceDE/>
              <w:autoSpaceDN/>
              <w:bidi w:val="0"/>
              <w:adjustRightInd w:val="0"/>
              <w:snapToGrid w:val="0"/>
              <w:spacing w:line="400" w:lineRule="exact"/>
              <w:ind w:left="210" w:leftChars="0" w:hanging="210" w:hangingChars="1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）扣除满足资格审查条件完成数量后：</w:t>
            </w:r>
          </w:p>
          <w:p w14:paraId="2BCABF3D">
            <w:pPr>
              <w:keepNext w:val="0"/>
              <w:keepLines w:val="0"/>
              <w:pageBreakBefore w:val="0"/>
              <w:widowControl/>
              <w:kinsoku/>
              <w:wordWrap/>
              <w:overflowPunct/>
              <w:topLinePunct w:val="0"/>
              <w:autoSpaceDE/>
              <w:autoSpaceDN/>
              <w:bidi w:val="0"/>
              <w:adjustRightInd w:val="0"/>
              <w:snapToGrid w:val="0"/>
              <w:spacing w:line="400" w:lineRule="exact"/>
              <w:ind w:left="211" w:leftChars="0" w:hanging="211" w:hangingChars="1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none"/>
              </w:rPr>
              <w:t>座</w:t>
            </w:r>
            <w:r>
              <w:rPr>
                <w:rFonts w:hint="eastAsia" w:ascii="宋体" w:hAnsi="宋体" w:cs="宋体"/>
                <w:color w:val="auto"/>
                <w:szCs w:val="21"/>
                <w:highlight w:val="none"/>
              </w:rPr>
              <w:t>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公路（□大桥及以上；□特大桥）施工</w:t>
            </w:r>
            <w:r>
              <w:rPr>
                <w:rFonts w:hint="eastAsia" w:ascii="宋体" w:hAnsi="宋体" w:cs="宋体"/>
                <w:color w:val="auto"/>
                <w:kern w:val="0"/>
                <w:szCs w:val="21"/>
                <w:highlight w:val="none"/>
              </w:rPr>
              <w:t>项目加</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lang w:val="en-US" w:eastAsia="zh-CN"/>
              </w:rPr>
              <w:t>完成</w:t>
            </w:r>
            <w:r>
              <w:rPr>
                <w:rFonts w:ascii="宋体" w:hAnsi="宋体" w:cs="宋体"/>
                <w:color w:val="auto"/>
                <w:szCs w:val="21"/>
                <w:highlight w:val="none"/>
                <w:u w:val="single"/>
              </w:rPr>
              <w:t xml:space="preserve"> 1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Style w:val="59"/>
                <w:rFonts w:ascii="宋体" w:hAnsi="宋体" w:cs="宋体"/>
                <w:color w:val="auto"/>
                <w:kern w:val="0"/>
                <w:szCs w:val="21"/>
                <w:highlight w:val="none"/>
              </w:rPr>
              <w:footnoteReference w:id="154"/>
            </w:r>
            <w:r>
              <w:rPr>
                <w:rFonts w:hint="eastAsia" w:ascii="宋体" w:hAnsi="宋体" w:cs="宋体"/>
                <w:color w:val="auto"/>
                <w:kern w:val="0"/>
                <w:szCs w:val="21"/>
                <w:highlight w:val="none"/>
              </w:rPr>
              <w:t>特大桥加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lang w:val="en-US" w:eastAsia="zh-CN"/>
              </w:rPr>
              <w:t>完成</w:t>
            </w:r>
            <w:r>
              <w:rPr>
                <w:rFonts w:ascii="宋体" w:hAnsi="宋体" w:cs="宋体"/>
                <w:color w:val="auto"/>
                <w:kern w:val="0"/>
                <w:szCs w:val="21"/>
                <w:highlight w:val="none"/>
                <w:u w:val="single"/>
              </w:rPr>
              <w:t xml:space="preserve"> 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本项合计最多加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 xml:space="preserve"> </w:t>
            </w:r>
          </w:p>
        </w:tc>
      </w:tr>
      <w:tr w14:paraId="0DFA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975" w:type="dxa"/>
            <w:vMerge w:val="continue"/>
            <w:vAlign w:val="center"/>
          </w:tcPr>
          <w:p w14:paraId="6AF2F7E9">
            <w:pPr>
              <w:pStyle w:val="299"/>
              <w:spacing w:line="400" w:lineRule="exact"/>
              <w:jc w:val="center"/>
              <w:rPr>
                <w:rFonts w:hint="default" w:ascii="宋体" w:hAnsi="宋体" w:eastAsia="宋体" w:cs="宋体"/>
                <w:color w:val="auto"/>
                <w:kern w:val="2"/>
                <w:sz w:val="21"/>
                <w:szCs w:val="21"/>
                <w:highlight w:val="none"/>
                <w:lang w:val="en-US" w:eastAsia="zh-CN" w:bidi="ar-SA"/>
              </w:rPr>
            </w:pPr>
          </w:p>
        </w:tc>
        <w:tc>
          <w:tcPr>
            <w:tcW w:w="556" w:type="dxa"/>
            <w:vMerge w:val="continue"/>
            <w:vAlign w:val="center"/>
          </w:tcPr>
          <w:p w14:paraId="1B77BAD5">
            <w:pPr>
              <w:pStyle w:val="299"/>
              <w:spacing w:line="400" w:lineRule="exact"/>
              <w:jc w:val="center"/>
              <w:rPr>
                <w:rFonts w:ascii="宋体" w:hAnsi="宋体" w:eastAsia="宋体" w:cs="宋体"/>
                <w:color w:val="auto"/>
                <w:kern w:val="2"/>
                <w:sz w:val="21"/>
                <w:szCs w:val="21"/>
                <w:highlight w:val="none"/>
                <w:lang w:val="en-US" w:eastAsia="zh-CN" w:bidi="ar-SA"/>
              </w:rPr>
            </w:pPr>
          </w:p>
        </w:tc>
        <w:tc>
          <w:tcPr>
            <w:tcW w:w="874" w:type="dxa"/>
            <w:vMerge w:val="continue"/>
            <w:vAlign w:val="center"/>
          </w:tcPr>
          <w:p w14:paraId="58780B22">
            <w:pPr>
              <w:pStyle w:val="299"/>
              <w:spacing w:line="400" w:lineRule="exact"/>
              <w:jc w:val="center"/>
              <w:rPr>
                <w:rFonts w:ascii="宋体" w:hAnsi="宋体" w:cs="宋体"/>
                <w:color w:val="auto"/>
                <w:szCs w:val="21"/>
                <w:highlight w:val="none"/>
              </w:rPr>
            </w:pPr>
          </w:p>
        </w:tc>
        <w:tc>
          <w:tcPr>
            <w:tcW w:w="851" w:type="dxa"/>
            <w:vMerge w:val="continue"/>
            <w:vAlign w:val="center"/>
          </w:tcPr>
          <w:p w14:paraId="36E4BC10">
            <w:pPr>
              <w:pStyle w:val="299"/>
              <w:spacing w:line="400" w:lineRule="exact"/>
              <w:rPr>
                <w:rFonts w:ascii="宋体" w:hAnsi="宋体" w:cs="宋体"/>
                <w:color w:val="auto"/>
                <w:szCs w:val="21"/>
                <w:highlight w:val="none"/>
              </w:rPr>
            </w:pPr>
          </w:p>
        </w:tc>
        <w:tc>
          <w:tcPr>
            <w:tcW w:w="1338" w:type="dxa"/>
            <w:gridSpan w:val="2"/>
            <w:vAlign w:val="center"/>
          </w:tcPr>
          <w:p w14:paraId="4D9FAE04">
            <w:pPr>
              <w:pStyle w:val="299"/>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4）公路隧道施工业绩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3</w:t>
            </w:r>
          </w:p>
        </w:tc>
        <w:tc>
          <w:tcPr>
            <w:tcW w:w="709" w:type="dxa"/>
            <w:vAlign w:val="center"/>
          </w:tcPr>
          <w:p w14:paraId="4ED75F99">
            <w:pPr>
              <w:pStyle w:val="299"/>
              <w:keepNext w:val="0"/>
              <w:keepLines w:val="0"/>
              <w:pageBreakBefore w:val="0"/>
              <w:widowControl w:val="0"/>
              <w:kinsoku/>
              <w:wordWrap/>
              <w:overflowPunct/>
              <w:topLinePunct w:val="0"/>
              <w:autoSpaceDE/>
              <w:autoSpaceDN/>
              <w:bidi w:val="0"/>
              <w:adjustRightInd/>
              <w:snapToGrid/>
              <w:spacing w:line="380" w:lineRule="exact"/>
              <w:ind w:left="105" w:leftChars="0" w:hanging="105" w:hangingChars="50"/>
              <w:textAlignment w:val="auto"/>
              <w:rPr>
                <w:rFonts w:hint="eastAsia"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6C7C5D90">
            <w:pPr>
              <w:pStyle w:val="299"/>
              <w:keepNext w:val="0"/>
              <w:keepLines w:val="0"/>
              <w:pageBreakBefore w:val="0"/>
              <w:widowControl w:val="0"/>
              <w:kinsoku/>
              <w:wordWrap/>
              <w:overflowPunct/>
              <w:topLinePunct w:val="0"/>
              <w:autoSpaceDE/>
              <w:autoSpaceDN/>
              <w:bidi w:val="0"/>
              <w:adjustRightInd/>
              <w:snapToGrid/>
              <w:spacing w:line="380" w:lineRule="exact"/>
              <w:ind w:left="210" w:hanging="210" w:hangingChars="1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）扣除满足资格审查条件完成数量后：</w:t>
            </w:r>
          </w:p>
          <w:p w14:paraId="08B89799">
            <w:pPr>
              <w:pStyle w:val="299"/>
              <w:keepNext w:val="0"/>
              <w:keepLines w:val="0"/>
              <w:pageBreakBefore w:val="0"/>
              <w:widowControl w:val="0"/>
              <w:kinsoku/>
              <w:wordWrap/>
              <w:overflowPunct/>
              <w:topLinePunct w:val="0"/>
              <w:autoSpaceDE/>
              <w:autoSpaceDN/>
              <w:bidi w:val="0"/>
              <w:adjustRightInd/>
              <w:snapToGrid/>
              <w:spacing w:line="380" w:lineRule="exact"/>
              <w:ind w:left="211" w:leftChars="0" w:hanging="211" w:hangingChars="1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ascii="宋体" w:hAnsi="宋体" w:cs="宋体"/>
                <w:color w:val="auto"/>
                <w:kern w:val="0"/>
                <w:szCs w:val="21"/>
                <w:highlight w:val="none"/>
                <w:u w:val="single"/>
              </w:rPr>
              <w:t xml:space="preserve"> 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w:t>
            </w:r>
            <w:r>
              <w:rPr>
                <w:rFonts w:hint="eastAsia" w:ascii="宋体" w:hAnsi="宋体" w:cs="宋体"/>
                <w:color w:val="auto"/>
                <w:szCs w:val="21"/>
                <w:highlight w:val="none"/>
              </w:rPr>
              <w:t>国内（□新建；□改扩建；□新建或改扩建）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（□中隧道及以上；□长隧道及以上；□特长隧道</w:t>
            </w:r>
            <w:r>
              <w:rPr>
                <w:rStyle w:val="59"/>
                <w:rFonts w:ascii="宋体" w:hAnsi="宋体" w:cs="宋体"/>
                <w:color w:val="auto"/>
                <w:szCs w:val="21"/>
                <w:highlight w:val="none"/>
              </w:rPr>
              <w:footnoteReference w:id="155"/>
            </w:r>
            <w:r>
              <w:rPr>
                <w:rFonts w:hint="eastAsia" w:ascii="宋体" w:hAnsi="宋体" w:cs="宋体"/>
                <w:color w:val="auto"/>
                <w:szCs w:val="21"/>
                <w:highlight w:val="none"/>
              </w:rPr>
              <w:t>；□单洞长度</w:t>
            </w:r>
            <w:r>
              <w:rPr>
                <w:rStyle w:val="59"/>
                <w:rFonts w:ascii="宋体" w:hAnsi="宋体" w:cs="宋体"/>
                <w:color w:val="auto"/>
                <w:szCs w:val="21"/>
                <w:highlight w:val="none"/>
              </w:rPr>
              <w:footnoteReference w:id="156"/>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米及以上特长隧道）</w:t>
            </w:r>
            <w:r>
              <w:rPr>
                <w:rStyle w:val="59"/>
                <w:rFonts w:ascii="宋体" w:hAnsi="宋体" w:cs="宋体"/>
                <w:color w:val="auto"/>
                <w:szCs w:val="21"/>
                <w:highlight w:val="none"/>
              </w:rPr>
              <w:footnoteReference w:id="157"/>
            </w:r>
            <w:r>
              <w:rPr>
                <w:rFonts w:hint="eastAsia" w:ascii="宋体" w:hAnsi="宋体" w:cs="宋体"/>
                <w:color w:val="auto"/>
                <w:kern w:val="0"/>
                <w:szCs w:val="21"/>
                <w:highlight w:val="none"/>
              </w:rPr>
              <w:t>施工项目加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6046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5" w:type="dxa"/>
            <w:vMerge w:val="continue"/>
            <w:vAlign w:val="center"/>
          </w:tcPr>
          <w:p w14:paraId="73399F5A">
            <w:pPr>
              <w:pStyle w:val="299"/>
              <w:spacing w:line="400" w:lineRule="exact"/>
              <w:jc w:val="center"/>
              <w:rPr>
                <w:rFonts w:hint="default" w:ascii="宋体" w:hAnsi="宋体" w:eastAsia="宋体" w:cs="宋体"/>
                <w:color w:val="auto"/>
                <w:szCs w:val="21"/>
                <w:highlight w:val="none"/>
                <w:lang w:val="en-US" w:eastAsia="zh-CN"/>
              </w:rPr>
            </w:pPr>
          </w:p>
        </w:tc>
        <w:tc>
          <w:tcPr>
            <w:tcW w:w="556" w:type="dxa"/>
            <w:vMerge w:val="continue"/>
            <w:vAlign w:val="center"/>
          </w:tcPr>
          <w:p w14:paraId="6FA8024E">
            <w:pPr>
              <w:pStyle w:val="299"/>
              <w:spacing w:line="400" w:lineRule="exact"/>
              <w:jc w:val="center"/>
              <w:rPr>
                <w:rFonts w:ascii="宋体" w:hAnsi="宋体" w:cs="宋体"/>
                <w:color w:val="auto"/>
                <w:szCs w:val="21"/>
                <w:highlight w:val="none"/>
              </w:rPr>
            </w:pPr>
          </w:p>
        </w:tc>
        <w:tc>
          <w:tcPr>
            <w:tcW w:w="874" w:type="dxa"/>
            <w:vMerge w:val="continue"/>
            <w:vAlign w:val="center"/>
          </w:tcPr>
          <w:p w14:paraId="2BE126FD">
            <w:pPr>
              <w:pStyle w:val="299"/>
              <w:spacing w:line="400" w:lineRule="exact"/>
              <w:jc w:val="center"/>
              <w:rPr>
                <w:rFonts w:ascii="宋体" w:hAnsi="宋体" w:cs="宋体"/>
                <w:color w:val="auto"/>
                <w:szCs w:val="21"/>
                <w:highlight w:val="none"/>
              </w:rPr>
            </w:pPr>
          </w:p>
        </w:tc>
        <w:tc>
          <w:tcPr>
            <w:tcW w:w="851" w:type="dxa"/>
            <w:vMerge w:val="continue"/>
            <w:vAlign w:val="center"/>
          </w:tcPr>
          <w:p w14:paraId="4EF61699">
            <w:pPr>
              <w:pStyle w:val="299"/>
              <w:spacing w:line="400" w:lineRule="exact"/>
              <w:rPr>
                <w:rFonts w:ascii="宋体" w:hAnsi="宋体" w:cs="宋体"/>
                <w:color w:val="auto"/>
                <w:szCs w:val="21"/>
                <w:highlight w:val="none"/>
              </w:rPr>
            </w:pPr>
          </w:p>
        </w:tc>
        <w:tc>
          <w:tcPr>
            <w:tcW w:w="1338" w:type="dxa"/>
            <w:gridSpan w:val="2"/>
            <w:vAlign w:val="center"/>
          </w:tcPr>
          <w:p w14:paraId="7BA61363">
            <w:pPr>
              <w:pStyle w:val="299"/>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5）公路路面施工业绩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4</w:t>
            </w:r>
          </w:p>
        </w:tc>
        <w:tc>
          <w:tcPr>
            <w:tcW w:w="709" w:type="dxa"/>
            <w:vAlign w:val="center"/>
          </w:tcPr>
          <w:p w14:paraId="03D7C89B">
            <w:pPr>
              <w:pStyle w:val="299"/>
              <w:keepNext w:val="0"/>
              <w:keepLines w:val="0"/>
              <w:pageBreakBefore w:val="0"/>
              <w:widowControl w:val="0"/>
              <w:kinsoku/>
              <w:wordWrap/>
              <w:overflowPunct/>
              <w:topLinePunct w:val="0"/>
              <w:autoSpaceDE/>
              <w:autoSpaceDN/>
              <w:bidi w:val="0"/>
              <w:adjustRightInd/>
              <w:snapToGrid/>
              <w:spacing w:line="380" w:lineRule="exact"/>
              <w:ind w:left="105" w:leftChars="0" w:hanging="105" w:hangingChars="50"/>
              <w:textAlignment w:val="auto"/>
              <w:rPr>
                <w:rFonts w:hint="eastAsia"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5096AB66">
            <w:pPr>
              <w:pStyle w:val="299"/>
              <w:keepNext w:val="0"/>
              <w:keepLines w:val="0"/>
              <w:pageBreakBefore w:val="0"/>
              <w:widowControl w:val="0"/>
              <w:kinsoku/>
              <w:wordWrap/>
              <w:overflowPunct/>
              <w:topLinePunct w:val="0"/>
              <w:autoSpaceDE/>
              <w:autoSpaceDN/>
              <w:bidi w:val="0"/>
              <w:adjustRightInd/>
              <w:snapToGrid/>
              <w:spacing w:line="380" w:lineRule="exact"/>
              <w:ind w:left="211" w:hanging="210" w:hangingChars="1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）扣除满足资格审查条件完成数量后：</w:t>
            </w:r>
          </w:p>
          <w:p w14:paraId="10108B95">
            <w:pPr>
              <w:pStyle w:val="299"/>
              <w:keepNext w:val="0"/>
              <w:keepLines w:val="0"/>
              <w:pageBreakBefore w:val="0"/>
              <w:widowControl w:val="0"/>
              <w:kinsoku/>
              <w:wordWrap/>
              <w:overflowPunct/>
              <w:topLinePunct w:val="0"/>
              <w:autoSpaceDE/>
              <w:autoSpaceDN/>
              <w:bidi w:val="0"/>
              <w:adjustRightInd/>
              <w:snapToGrid/>
              <w:spacing w:line="380" w:lineRule="exact"/>
              <w:ind w:left="211" w:leftChars="0" w:hanging="211" w:hangingChars="1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公里及以上国内</w:t>
            </w:r>
            <w:r>
              <w:rPr>
                <w:rFonts w:hint="eastAsia" w:ascii="宋体" w:hAnsi="宋体" w:cs="宋体"/>
                <w:color w:val="auto"/>
                <w:szCs w:val="21"/>
                <w:highlight w:val="none"/>
              </w:rPr>
              <w:t>（□新建；□改扩建；□新建或改扩建）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公路路面工程施工项目加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tc>
      </w:tr>
      <w:tr w14:paraId="3AF1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086B4652">
            <w:pPr>
              <w:pStyle w:val="299"/>
              <w:spacing w:line="400" w:lineRule="exact"/>
              <w:jc w:val="center"/>
              <w:rPr>
                <w:rFonts w:hint="default" w:ascii="宋体" w:hAnsi="宋体" w:eastAsia="宋体" w:cs="宋体"/>
                <w:color w:val="auto"/>
                <w:kern w:val="2"/>
                <w:sz w:val="21"/>
                <w:szCs w:val="21"/>
                <w:highlight w:val="none"/>
                <w:lang w:val="en-US" w:eastAsia="zh-CN" w:bidi="ar-SA"/>
              </w:rPr>
            </w:pPr>
          </w:p>
        </w:tc>
        <w:tc>
          <w:tcPr>
            <w:tcW w:w="556" w:type="dxa"/>
            <w:vMerge w:val="continue"/>
            <w:vAlign w:val="center"/>
          </w:tcPr>
          <w:p w14:paraId="06D2336B">
            <w:pPr>
              <w:pStyle w:val="299"/>
              <w:spacing w:line="400" w:lineRule="exact"/>
              <w:jc w:val="center"/>
              <w:rPr>
                <w:rFonts w:ascii="宋体" w:hAnsi="宋体" w:eastAsia="宋体" w:cs="宋体"/>
                <w:color w:val="auto"/>
                <w:kern w:val="2"/>
                <w:sz w:val="21"/>
                <w:szCs w:val="21"/>
                <w:highlight w:val="none"/>
                <w:lang w:val="en-US" w:eastAsia="zh-CN" w:bidi="ar-SA"/>
              </w:rPr>
            </w:pPr>
          </w:p>
        </w:tc>
        <w:tc>
          <w:tcPr>
            <w:tcW w:w="874" w:type="dxa"/>
            <w:vMerge w:val="continue"/>
            <w:vAlign w:val="center"/>
          </w:tcPr>
          <w:p w14:paraId="0CC84083">
            <w:pPr>
              <w:pStyle w:val="299"/>
              <w:spacing w:line="400" w:lineRule="exact"/>
              <w:jc w:val="center"/>
              <w:rPr>
                <w:rFonts w:ascii="宋体" w:hAnsi="宋体" w:eastAsia="宋体" w:cs="宋体"/>
                <w:color w:val="auto"/>
                <w:kern w:val="2"/>
                <w:sz w:val="21"/>
                <w:szCs w:val="21"/>
                <w:highlight w:val="none"/>
                <w:lang w:val="en-US" w:eastAsia="zh-CN" w:bidi="ar-SA"/>
              </w:rPr>
            </w:pPr>
          </w:p>
        </w:tc>
        <w:tc>
          <w:tcPr>
            <w:tcW w:w="851" w:type="dxa"/>
            <w:vMerge w:val="continue"/>
            <w:vAlign w:val="center"/>
          </w:tcPr>
          <w:p w14:paraId="44829FC9">
            <w:pPr>
              <w:pStyle w:val="299"/>
              <w:spacing w:line="400" w:lineRule="exact"/>
              <w:rPr>
                <w:rFonts w:ascii="宋体" w:hAnsi="宋体" w:cs="宋体"/>
                <w:color w:val="auto"/>
                <w:szCs w:val="21"/>
                <w:highlight w:val="none"/>
              </w:rPr>
            </w:pPr>
          </w:p>
        </w:tc>
        <w:tc>
          <w:tcPr>
            <w:tcW w:w="1338" w:type="dxa"/>
            <w:gridSpan w:val="2"/>
            <w:vAlign w:val="center"/>
          </w:tcPr>
          <w:p w14:paraId="6C8E78C9">
            <w:pPr>
              <w:pStyle w:val="299"/>
              <w:spacing w:line="40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6）公路交通安全设施工程施工业绩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5</w:t>
            </w:r>
          </w:p>
        </w:tc>
        <w:tc>
          <w:tcPr>
            <w:tcW w:w="709" w:type="dxa"/>
            <w:vAlign w:val="center"/>
          </w:tcPr>
          <w:p w14:paraId="73621546">
            <w:pPr>
              <w:pStyle w:val="299"/>
              <w:spacing w:line="400" w:lineRule="exact"/>
              <w:ind w:left="105" w:leftChars="0" w:hanging="105" w:hangingChars="50"/>
              <w:rPr>
                <w:rFonts w:hint="eastAsia"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222FDD5C">
            <w:pPr>
              <w:pStyle w:val="299"/>
              <w:spacing w:line="400" w:lineRule="exact"/>
              <w:ind w:left="211"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）扣除满足资格审查条件完成数量后：</w:t>
            </w:r>
          </w:p>
          <w:p w14:paraId="73460775">
            <w:pPr>
              <w:pStyle w:val="299"/>
              <w:spacing w:line="400" w:lineRule="exact"/>
              <w:ind w:left="211" w:leftChars="0" w:hanging="211" w:hangingChars="100"/>
              <w:rPr>
                <w:rFonts w:hint="eastAsia" w:ascii="宋体" w:hAnsi="宋体" w:eastAsia="宋体" w:cs="宋体"/>
                <w:color w:val="auto"/>
                <w:kern w:val="0"/>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标段长度</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公里及以上国内</w:t>
            </w:r>
            <w:r>
              <w:rPr>
                <w:rFonts w:hint="eastAsia" w:ascii="宋体" w:hAnsi="宋体" w:cs="宋体"/>
                <w:color w:val="auto"/>
                <w:szCs w:val="21"/>
                <w:highlight w:val="none"/>
              </w:rPr>
              <w:t>（□新建；□改扩建；□新建或改扩建）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公路交通安全设施工程施工项目加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4282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14:paraId="1A38CEE5">
            <w:pPr>
              <w:pStyle w:val="299"/>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2.2.2（3）</w:t>
            </w:r>
          </w:p>
        </w:tc>
        <w:tc>
          <w:tcPr>
            <w:tcW w:w="556" w:type="dxa"/>
            <w:vMerge w:val="restart"/>
            <w:vAlign w:val="center"/>
          </w:tcPr>
          <w:p w14:paraId="0962F716">
            <w:pPr>
              <w:pStyle w:val="299"/>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其他因素</w:t>
            </w:r>
          </w:p>
          <w:p w14:paraId="67C60DE2">
            <w:pPr>
              <w:pStyle w:val="299"/>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D</w:t>
            </w:r>
          </w:p>
        </w:tc>
        <w:tc>
          <w:tcPr>
            <w:tcW w:w="874" w:type="dxa"/>
            <w:vMerge w:val="restart"/>
            <w:vAlign w:val="center"/>
          </w:tcPr>
          <w:p w14:paraId="19CFB88D">
            <w:pPr>
              <w:pStyle w:val="299"/>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业绩</w:t>
            </w:r>
            <w:r>
              <w:rPr>
                <w:rFonts w:ascii="宋体" w:hAnsi="宋体" w:cs="宋体"/>
                <w:color w:val="auto"/>
                <w:szCs w:val="21"/>
                <w:highlight w:val="none"/>
              </w:rPr>
              <w:t>C</w:t>
            </w:r>
          </w:p>
        </w:tc>
        <w:tc>
          <w:tcPr>
            <w:tcW w:w="851" w:type="dxa"/>
            <w:vMerge w:val="restart"/>
            <w:vAlign w:val="center"/>
          </w:tcPr>
          <w:p w14:paraId="473E46AE">
            <w:pPr>
              <w:pStyle w:val="299"/>
              <w:spacing w:line="400" w:lineRule="exact"/>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38" w:type="dxa"/>
            <w:gridSpan w:val="2"/>
            <w:vAlign w:val="center"/>
          </w:tcPr>
          <w:p w14:paraId="04DBFC48">
            <w:pPr>
              <w:pStyle w:val="299"/>
              <w:spacing w:line="400" w:lineRule="exac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7）公路</w:t>
            </w:r>
            <w:r>
              <w:rPr>
                <w:rFonts w:hint="eastAsia" w:ascii="宋体" w:hAnsi="宋体" w:cs="宋体"/>
                <w:color w:val="auto"/>
                <w:szCs w:val="21"/>
                <w:highlight w:val="none"/>
                <w:lang w:val="en-US" w:eastAsia="zh-CN"/>
              </w:rPr>
              <w:t>隧道机电</w:t>
            </w:r>
            <w:r>
              <w:rPr>
                <w:rFonts w:ascii="宋体" w:hAnsi="宋体" w:cs="宋体"/>
                <w:color w:val="auto"/>
                <w:szCs w:val="21"/>
                <w:highlight w:val="none"/>
              </w:rPr>
              <w:t>工程施工业绩</w:t>
            </w:r>
            <w:r>
              <w:rPr>
                <w:rFonts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6</w:t>
            </w:r>
          </w:p>
        </w:tc>
        <w:tc>
          <w:tcPr>
            <w:tcW w:w="709" w:type="dxa"/>
            <w:vAlign w:val="center"/>
          </w:tcPr>
          <w:p w14:paraId="3C29BE81">
            <w:pPr>
              <w:pStyle w:val="299"/>
              <w:adjustRightInd w:val="0"/>
              <w:snapToGrid w:val="0"/>
              <w:spacing w:line="400" w:lineRule="exact"/>
              <w:rPr>
                <w:rFonts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1D99CD21">
            <w:pPr>
              <w:pStyle w:val="299"/>
              <w:spacing w:line="380" w:lineRule="exact"/>
              <w:ind w:left="210" w:hanging="21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ascii="宋体" w:hAnsi="宋体" w:cs="宋体"/>
                <w:color w:val="auto"/>
                <w:kern w:val="0"/>
                <w:szCs w:val="21"/>
                <w:highlight w:val="none"/>
              </w:rPr>
              <w:t>）扣除满足资格审查条件完成数量后：</w:t>
            </w:r>
          </w:p>
          <w:p w14:paraId="7E203EA1">
            <w:pPr>
              <w:pStyle w:val="299"/>
              <w:spacing w:line="380" w:lineRule="exact"/>
              <w:ind w:left="210" w:leftChars="0" w:hanging="210" w:firstLineChars="0"/>
              <w:rPr>
                <w:rFonts w:hint="eastAsia" w:ascii="宋体" w:hAnsi="宋体"/>
                <w:color w:val="auto"/>
                <w:szCs w:val="21"/>
                <w:highlight w:val="none"/>
                <w:lang w:val="en-US" w:eastAsia="zh-CN"/>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en-US" w:eastAsia="zh-CN"/>
              </w:rPr>
              <w:t>个</w:t>
            </w:r>
            <w:r>
              <w:rPr>
                <w:rFonts w:hint="eastAsia" w:ascii="宋体" w:hAnsi="宋体"/>
                <w:color w:val="auto"/>
                <w:szCs w:val="21"/>
                <w:highlight w:val="none"/>
              </w:rPr>
              <w:t>国内</w:t>
            </w:r>
            <w:r>
              <w:rPr>
                <w:rFonts w:hint="eastAsia" w:ascii="宋体" w:hAnsi="宋体" w:cs="宋体"/>
                <w:color w:val="auto"/>
                <w:szCs w:val="21"/>
                <w:highlight w:val="none"/>
              </w:rPr>
              <w:t>（□新建；</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改扩建；□新建或改扩建）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olor w:val="auto"/>
                <w:szCs w:val="21"/>
                <w:highlight w:val="none"/>
              </w:rPr>
              <w:t>公路</w:t>
            </w:r>
            <w:r>
              <w:rPr>
                <w:rFonts w:hint="eastAsia" w:ascii="宋体" w:hAnsi="宋体"/>
                <w:color w:val="auto"/>
                <w:szCs w:val="21"/>
                <w:highlight w:val="none"/>
                <w:u w:val="none"/>
                <w:lang w:val="en-US" w:eastAsia="zh-CN"/>
              </w:rPr>
              <w:t>隧</w:t>
            </w:r>
            <w:r>
              <w:rPr>
                <w:rFonts w:hint="eastAsia" w:ascii="宋体" w:hAnsi="宋体" w:cs="宋体"/>
                <w:color w:val="auto"/>
                <w:szCs w:val="21"/>
                <w:highlight w:val="none"/>
                <w:u w:val="none"/>
                <w:lang w:val="en-US" w:eastAsia="zh-CN"/>
              </w:rPr>
              <w:t>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w:t>
            </w:r>
            <w:r>
              <w:rPr>
                <w:rFonts w:hint="eastAsia" w:ascii="宋体" w:hAnsi="宋体"/>
                <w:color w:val="auto"/>
                <w:szCs w:val="21"/>
                <w:highlight w:val="none"/>
                <w:lang w:val="en-US" w:eastAsia="zh-CN"/>
              </w:rPr>
              <w:t>项目</w:t>
            </w:r>
          </w:p>
          <w:p w14:paraId="7EFE5261">
            <w:pPr>
              <w:pStyle w:val="299"/>
              <w:spacing w:line="380" w:lineRule="exact"/>
              <w:ind w:left="210" w:leftChars="10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0D72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975" w:type="dxa"/>
            <w:vMerge w:val="continue"/>
            <w:vAlign w:val="center"/>
          </w:tcPr>
          <w:p w14:paraId="7FFE3F50">
            <w:pPr>
              <w:pStyle w:val="299"/>
              <w:spacing w:line="400" w:lineRule="exact"/>
              <w:jc w:val="center"/>
              <w:rPr>
                <w:rFonts w:hint="default" w:ascii="宋体" w:hAnsi="宋体" w:eastAsia="宋体" w:cs="宋体"/>
                <w:color w:val="auto"/>
                <w:kern w:val="2"/>
                <w:sz w:val="21"/>
                <w:szCs w:val="21"/>
                <w:highlight w:val="none"/>
                <w:lang w:val="en-US" w:eastAsia="zh-CN" w:bidi="ar-SA"/>
              </w:rPr>
            </w:pPr>
          </w:p>
        </w:tc>
        <w:tc>
          <w:tcPr>
            <w:tcW w:w="556" w:type="dxa"/>
            <w:vMerge w:val="continue"/>
            <w:vAlign w:val="center"/>
          </w:tcPr>
          <w:p w14:paraId="136355F7">
            <w:pPr>
              <w:pStyle w:val="299"/>
              <w:spacing w:line="400" w:lineRule="exact"/>
              <w:jc w:val="center"/>
              <w:rPr>
                <w:rFonts w:ascii="宋体" w:hAnsi="宋体" w:eastAsia="宋体" w:cs="宋体"/>
                <w:color w:val="auto"/>
                <w:kern w:val="2"/>
                <w:sz w:val="21"/>
                <w:szCs w:val="21"/>
                <w:highlight w:val="none"/>
                <w:lang w:val="en-US" w:eastAsia="zh-CN" w:bidi="ar-SA"/>
              </w:rPr>
            </w:pPr>
          </w:p>
        </w:tc>
        <w:tc>
          <w:tcPr>
            <w:tcW w:w="874" w:type="dxa"/>
            <w:vMerge w:val="continue"/>
            <w:vAlign w:val="center"/>
          </w:tcPr>
          <w:p w14:paraId="63A5A8A0">
            <w:pPr>
              <w:pStyle w:val="299"/>
              <w:spacing w:line="400" w:lineRule="exact"/>
              <w:jc w:val="center"/>
              <w:rPr>
                <w:rFonts w:ascii="宋体" w:hAnsi="宋体" w:eastAsia="宋体" w:cs="宋体"/>
                <w:color w:val="auto"/>
                <w:kern w:val="2"/>
                <w:sz w:val="21"/>
                <w:szCs w:val="21"/>
                <w:highlight w:val="none"/>
                <w:lang w:val="en-US" w:eastAsia="zh-CN" w:bidi="ar-SA"/>
              </w:rPr>
            </w:pPr>
          </w:p>
        </w:tc>
        <w:tc>
          <w:tcPr>
            <w:tcW w:w="851" w:type="dxa"/>
            <w:vMerge w:val="continue"/>
            <w:vAlign w:val="center"/>
          </w:tcPr>
          <w:p w14:paraId="1461F1D6">
            <w:pPr>
              <w:pStyle w:val="299"/>
              <w:spacing w:line="400" w:lineRule="exact"/>
              <w:rPr>
                <w:rFonts w:ascii="宋体" w:hAnsi="宋体" w:eastAsia="宋体" w:cs="宋体"/>
                <w:color w:val="auto"/>
                <w:kern w:val="2"/>
                <w:sz w:val="21"/>
                <w:szCs w:val="21"/>
                <w:highlight w:val="none"/>
                <w:lang w:val="en-US" w:eastAsia="zh-CN" w:bidi="ar-SA"/>
              </w:rPr>
            </w:pPr>
          </w:p>
        </w:tc>
        <w:tc>
          <w:tcPr>
            <w:tcW w:w="1338" w:type="dxa"/>
            <w:gridSpan w:val="2"/>
            <w:vAlign w:val="center"/>
          </w:tcPr>
          <w:p w14:paraId="0ACE1E3F">
            <w:pPr>
              <w:pStyle w:val="299"/>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lang w:val="en-US" w:eastAsia="zh-CN"/>
              </w:rPr>
              <w:t>房建工程</w:t>
            </w:r>
            <w:r>
              <w:rPr>
                <w:rFonts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7</w:t>
            </w:r>
          </w:p>
        </w:tc>
        <w:tc>
          <w:tcPr>
            <w:tcW w:w="709" w:type="dxa"/>
            <w:vAlign w:val="center"/>
          </w:tcPr>
          <w:p w14:paraId="556D1984">
            <w:pPr>
              <w:pStyle w:val="299"/>
              <w:spacing w:line="400" w:lineRule="exact"/>
              <w:ind w:left="105" w:leftChars="0" w:hanging="105" w:hangingChars="50"/>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745841B2">
            <w:pPr>
              <w:pStyle w:val="299"/>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ascii="宋体" w:hAnsi="宋体" w:cs="宋体"/>
                <w:color w:val="auto"/>
                <w:kern w:val="0"/>
                <w:szCs w:val="21"/>
                <w:highlight w:val="none"/>
              </w:rPr>
              <w:t>）扣除满足资格审查条件完成数量后：</w:t>
            </w:r>
          </w:p>
          <w:p w14:paraId="63E41198">
            <w:pPr>
              <w:pStyle w:val="299"/>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en-US" w:eastAsia="zh-CN"/>
              </w:rPr>
              <w:t>个</w:t>
            </w:r>
            <w:r>
              <w:rPr>
                <w:rFonts w:hint="eastAsia" w:ascii="宋体" w:hAnsi="宋体"/>
                <w:color w:val="auto"/>
                <w:szCs w:val="21"/>
                <w:highlight w:val="none"/>
              </w:rPr>
              <w:t>国内房建工程施工项目</w:t>
            </w:r>
            <w:r>
              <w:rPr>
                <w:rFonts w:hint="eastAsia" w:ascii="宋体" w:hAnsi="宋体" w:cs="宋体"/>
                <w:color w:val="auto"/>
                <w:kern w:val="0"/>
                <w:szCs w:val="21"/>
                <w:highlight w:val="none"/>
              </w:rPr>
              <w:t>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143D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75" w:type="dxa"/>
            <w:vMerge w:val="continue"/>
            <w:vAlign w:val="center"/>
          </w:tcPr>
          <w:p w14:paraId="44BBC9C1">
            <w:pPr>
              <w:pStyle w:val="299"/>
              <w:spacing w:line="400" w:lineRule="exact"/>
              <w:jc w:val="center"/>
              <w:rPr>
                <w:rFonts w:ascii="宋体" w:hAnsi="宋体" w:cs="宋体"/>
                <w:color w:val="auto"/>
                <w:szCs w:val="21"/>
                <w:highlight w:val="none"/>
              </w:rPr>
            </w:pPr>
          </w:p>
        </w:tc>
        <w:tc>
          <w:tcPr>
            <w:tcW w:w="556" w:type="dxa"/>
            <w:vMerge w:val="continue"/>
            <w:vAlign w:val="center"/>
          </w:tcPr>
          <w:p w14:paraId="6DEC3262">
            <w:pPr>
              <w:pStyle w:val="299"/>
              <w:spacing w:line="400" w:lineRule="exact"/>
              <w:jc w:val="center"/>
              <w:rPr>
                <w:rFonts w:ascii="宋体" w:hAnsi="宋体" w:cs="宋体"/>
                <w:color w:val="auto"/>
                <w:szCs w:val="21"/>
                <w:highlight w:val="none"/>
              </w:rPr>
            </w:pPr>
          </w:p>
        </w:tc>
        <w:tc>
          <w:tcPr>
            <w:tcW w:w="874" w:type="dxa"/>
            <w:vMerge w:val="continue"/>
            <w:vAlign w:val="center"/>
          </w:tcPr>
          <w:p w14:paraId="2B914D3D">
            <w:pPr>
              <w:pStyle w:val="299"/>
              <w:spacing w:line="400" w:lineRule="exact"/>
              <w:jc w:val="center"/>
              <w:rPr>
                <w:rFonts w:ascii="宋体" w:hAnsi="宋体" w:cs="宋体"/>
                <w:color w:val="auto"/>
                <w:szCs w:val="21"/>
                <w:highlight w:val="none"/>
              </w:rPr>
            </w:pPr>
          </w:p>
        </w:tc>
        <w:tc>
          <w:tcPr>
            <w:tcW w:w="851" w:type="dxa"/>
            <w:vMerge w:val="continue"/>
            <w:vAlign w:val="center"/>
          </w:tcPr>
          <w:p w14:paraId="3A087A47">
            <w:pPr>
              <w:pStyle w:val="299"/>
              <w:spacing w:line="400" w:lineRule="exact"/>
              <w:rPr>
                <w:rFonts w:ascii="宋体" w:hAnsi="宋体" w:cs="宋体"/>
                <w:color w:val="auto"/>
                <w:szCs w:val="21"/>
                <w:highlight w:val="none"/>
              </w:rPr>
            </w:pPr>
          </w:p>
        </w:tc>
        <w:tc>
          <w:tcPr>
            <w:tcW w:w="1338" w:type="dxa"/>
            <w:gridSpan w:val="2"/>
            <w:vAlign w:val="center"/>
          </w:tcPr>
          <w:p w14:paraId="0F1F4E61">
            <w:pPr>
              <w:pStyle w:val="299"/>
              <w:spacing w:line="40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ascii="宋体" w:hAnsi="宋体" w:cs="宋体"/>
                <w:color w:val="auto"/>
                <w:szCs w:val="21"/>
                <w:highlight w:val="none"/>
              </w:rPr>
              <w:t>）其他</w:t>
            </w:r>
            <w:r>
              <w:rPr>
                <w:rFonts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8</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tc>
        <w:tc>
          <w:tcPr>
            <w:tcW w:w="709" w:type="dxa"/>
            <w:vAlign w:val="center"/>
          </w:tcPr>
          <w:p w14:paraId="5A197D6F">
            <w:pPr>
              <w:pStyle w:val="299"/>
              <w:spacing w:line="400" w:lineRule="exact"/>
              <w:ind w:left="105" w:leftChars="0" w:hanging="105" w:hangingChars="50"/>
              <w:rPr>
                <w:rFonts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0546D5A5">
            <w:pPr>
              <w:pStyle w:val="299"/>
              <w:spacing w:line="400" w:lineRule="exact"/>
              <w:rPr>
                <w:rFonts w:hint="eastAsia" w:ascii="宋体" w:hAnsi="宋体" w:eastAsia="宋体" w:cs="宋体"/>
                <w:b/>
                <w:color w:val="auto"/>
                <w:kern w:val="2"/>
                <w:sz w:val="21"/>
                <w:szCs w:val="21"/>
                <w:highlight w:val="none"/>
                <w:u w:val="single"/>
                <w:lang w:val="en-US" w:eastAsia="zh-CN" w:bidi="ar-SA"/>
              </w:rPr>
            </w:pPr>
            <w:r>
              <w:rPr>
                <w:rFonts w:ascii="宋体" w:hAnsi="宋体" w:cs="宋体"/>
                <w:b/>
                <w:color w:val="auto"/>
                <w:szCs w:val="21"/>
                <w:highlight w:val="none"/>
                <w:u w:val="single"/>
              </w:rPr>
              <w:t xml:space="preserve">       </w:t>
            </w:r>
            <w:r>
              <w:rPr>
                <w:rFonts w:ascii="宋体" w:hAnsi="宋体" w:cs="宋体"/>
                <w:b/>
                <w:color w:val="auto"/>
                <w:szCs w:val="21"/>
                <w:highlight w:val="none"/>
              </w:rPr>
              <w:t xml:space="preserve"> </w:t>
            </w:r>
          </w:p>
        </w:tc>
      </w:tr>
      <w:tr w14:paraId="6B15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554E16FE">
            <w:pPr>
              <w:pStyle w:val="299"/>
              <w:spacing w:line="400" w:lineRule="exact"/>
              <w:jc w:val="center"/>
              <w:rPr>
                <w:rFonts w:ascii="宋体" w:hAnsi="宋体" w:cs="宋体"/>
                <w:color w:val="auto"/>
                <w:szCs w:val="21"/>
                <w:highlight w:val="none"/>
              </w:rPr>
            </w:pPr>
          </w:p>
        </w:tc>
        <w:tc>
          <w:tcPr>
            <w:tcW w:w="556" w:type="dxa"/>
            <w:vMerge w:val="continue"/>
            <w:vAlign w:val="center"/>
          </w:tcPr>
          <w:p w14:paraId="745AF3F9">
            <w:pPr>
              <w:pStyle w:val="299"/>
              <w:spacing w:line="400" w:lineRule="exact"/>
              <w:jc w:val="center"/>
              <w:rPr>
                <w:rFonts w:ascii="宋体" w:hAnsi="宋体" w:cs="宋体"/>
                <w:color w:val="auto"/>
                <w:szCs w:val="21"/>
                <w:highlight w:val="none"/>
              </w:rPr>
            </w:pPr>
          </w:p>
        </w:tc>
        <w:tc>
          <w:tcPr>
            <w:tcW w:w="874" w:type="dxa"/>
            <w:vMerge w:val="continue"/>
            <w:vAlign w:val="center"/>
          </w:tcPr>
          <w:p w14:paraId="39AF93D7">
            <w:pPr>
              <w:pStyle w:val="299"/>
              <w:spacing w:line="400" w:lineRule="exact"/>
              <w:jc w:val="center"/>
              <w:rPr>
                <w:rFonts w:ascii="宋体" w:hAnsi="宋体" w:cs="宋体"/>
                <w:color w:val="auto"/>
                <w:szCs w:val="21"/>
                <w:highlight w:val="none"/>
              </w:rPr>
            </w:pPr>
          </w:p>
        </w:tc>
        <w:tc>
          <w:tcPr>
            <w:tcW w:w="851" w:type="dxa"/>
            <w:vMerge w:val="continue"/>
            <w:vAlign w:val="center"/>
          </w:tcPr>
          <w:p w14:paraId="29ABD1C7">
            <w:pPr>
              <w:pStyle w:val="299"/>
              <w:spacing w:line="400" w:lineRule="exact"/>
              <w:rPr>
                <w:rFonts w:ascii="宋体" w:hAnsi="宋体" w:cs="宋体"/>
                <w:color w:val="auto"/>
                <w:szCs w:val="21"/>
                <w:highlight w:val="none"/>
              </w:rPr>
            </w:pPr>
          </w:p>
        </w:tc>
        <w:tc>
          <w:tcPr>
            <w:tcW w:w="5641" w:type="dxa"/>
            <w:gridSpan w:val="4"/>
            <w:vAlign w:val="center"/>
          </w:tcPr>
          <w:p w14:paraId="19BD48B9">
            <w:pPr>
              <w:widowControl/>
              <w:adjustRightInd w:val="0"/>
              <w:snapToGrid w:val="0"/>
              <w:spacing w:line="400" w:lineRule="exact"/>
              <w:jc w:val="left"/>
              <w:rPr>
                <w:rFonts w:hint="eastAsia" w:ascii="宋体" w:hAnsi="宋体" w:cs="宋体"/>
                <w:color w:val="auto"/>
                <w:szCs w:val="21"/>
                <w:highlight w:val="none"/>
              </w:rPr>
            </w:pPr>
            <w:r>
              <w:rPr>
                <w:rFonts w:hint="eastAsia" w:cs="宋体" w:asciiTheme="minorEastAsia" w:hAnsiTheme="minorEastAsia" w:eastAsiaTheme="minorEastAsia"/>
                <w:color w:val="auto"/>
                <w:kern w:val="0"/>
                <w:szCs w:val="21"/>
                <w:highlight w:val="none"/>
              </w:rPr>
              <w:t>满足资格审查条件</w:t>
            </w:r>
            <w:r>
              <w:rPr>
                <w:rFonts w:cs="宋体" w:asciiTheme="minorEastAsia" w:hAnsiTheme="minorEastAsia" w:eastAsiaTheme="minorEastAsia"/>
                <w:color w:val="auto"/>
                <w:kern w:val="0"/>
                <w:szCs w:val="21"/>
                <w:highlight w:val="none"/>
              </w:rPr>
              <w:t>最低要求得分</w:t>
            </w:r>
            <w:r>
              <w:rPr>
                <w:rFonts w:hint="eastAsia" w:cs="宋体" w:asciiTheme="minorEastAsia" w:hAnsiTheme="minorEastAsia" w:eastAsiaTheme="minorEastAsia"/>
                <w:color w:val="auto"/>
                <w:szCs w:val="21"/>
                <w:highlight w:val="none"/>
              </w:rPr>
              <w:t>与扣除</w:t>
            </w:r>
            <w:r>
              <w:rPr>
                <w:rFonts w:cs="宋体" w:asciiTheme="minorEastAsia" w:hAnsiTheme="minorEastAsia" w:eastAsiaTheme="minorEastAsia"/>
                <w:color w:val="auto"/>
                <w:szCs w:val="21"/>
                <w:highlight w:val="none"/>
              </w:rPr>
              <w:t>满足资格审查条件完成数量后的</w:t>
            </w:r>
            <w:r>
              <w:rPr>
                <w:rFonts w:hint="eastAsia" w:cs="宋体" w:asciiTheme="minorEastAsia" w:hAnsiTheme="minorEastAsia" w:eastAsiaTheme="minorEastAsia"/>
                <w:color w:val="auto"/>
                <w:szCs w:val="21"/>
                <w:highlight w:val="none"/>
              </w:rPr>
              <w:t>所有</w:t>
            </w:r>
            <w:r>
              <w:rPr>
                <w:rFonts w:cs="宋体" w:asciiTheme="minorEastAsia" w:hAnsiTheme="minorEastAsia" w:eastAsiaTheme="minorEastAsia"/>
                <w:color w:val="auto"/>
                <w:szCs w:val="21"/>
                <w:highlight w:val="none"/>
              </w:rPr>
              <w:t>加分项</w:t>
            </w:r>
            <w:r>
              <w:rPr>
                <w:rFonts w:hint="eastAsia" w:cs="宋体" w:asciiTheme="minorEastAsia" w:hAnsiTheme="minorEastAsia" w:eastAsiaTheme="minorEastAsia"/>
                <w:color w:val="auto"/>
                <w:szCs w:val="21"/>
                <w:highlight w:val="none"/>
              </w:rPr>
              <w:t>合计得分最多至满分</w:t>
            </w:r>
            <w:r>
              <w:rPr>
                <w:rFonts w:hint="eastAsia" w:cs="宋体" w:asciiTheme="minorEastAsia" w:hAnsiTheme="minorEastAsia" w:eastAsiaTheme="minorEastAsia"/>
                <w:color w:val="auto"/>
                <w:kern w:val="0"/>
                <w:szCs w:val="21"/>
                <w:highlight w:val="none"/>
              </w:rPr>
              <w:t>为止。</w:t>
            </w:r>
          </w:p>
        </w:tc>
      </w:tr>
      <w:tr w14:paraId="2EC7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3D1E17ED">
            <w:pPr>
              <w:pStyle w:val="299"/>
              <w:spacing w:line="400" w:lineRule="exact"/>
              <w:jc w:val="center"/>
              <w:rPr>
                <w:rFonts w:ascii="宋体" w:hAnsi="宋体" w:cs="宋体"/>
                <w:color w:val="auto"/>
                <w:szCs w:val="21"/>
                <w:highlight w:val="none"/>
              </w:rPr>
            </w:pPr>
          </w:p>
        </w:tc>
        <w:tc>
          <w:tcPr>
            <w:tcW w:w="556" w:type="dxa"/>
            <w:vMerge w:val="continue"/>
            <w:vAlign w:val="center"/>
          </w:tcPr>
          <w:p w14:paraId="5B61E778">
            <w:pPr>
              <w:pStyle w:val="299"/>
              <w:spacing w:line="400" w:lineRule="exact"/>
              <w:jc w:val="center"/>
              <w:rPr>
                <w:rFonts w:ascii="宋体" w:hAnsi="宋体" w:cs="宋体"/>
                <w:color w:val="auto"/>
                <w:szCs w:val="21"/>
                <w:highlight w:val="none"/>
              </w:rPr>
            </w:pPr>
          </w:p>
        </w:tc>
        <w:tc>
          <w:tcPr>
            <w:tcW w:w="874" w:type="dxa"/>
            <w:vMerge w:val="restart"/>
            <w:vAlign w:val="center"/>
          </w:tcPr>
          <w:p w14:paraId="3DC20D7F">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w:t>
            </w:r>
          </w:p>
          <w:p w14:paraId="71CD98DD">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w:t>
            </w:r>
            <w:r>
              <w:rPr>
                <w:rStyle w:val="59"/>
                <w:rFonts w:ascii="宋体" w:hAnsi="宋体" w:cs="宋体"/>
                <w:color w:val="auto"/>
                <w:szCs w:val="21"/>
                <w:highlight w:val="none"/>
              </w:rPr>
              <w:footnoteReference w:id="158"/>
            </w:r>
          </w:p>
          <w:p w14:paraId="35A8C72A">
            <w:pPr>
              <w:pStyle w:val="299"/>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none"/>
              </w:rPr>
              <w:t>H</w:t>
            </w:r>
          </w:p>
        </w:tc>
        <w:tc>
          <w:tcPr>
            <w:tcW w:w="851" w:type="dxa"/>
            <w:vMerge w:val="restart"/>
            <w:vAlign w:val="center"/>
          </w:tcPr>
          <w:p w14:paraId="32C5DD89">
            <w:pPr>
              <w:pStyle w:val="299"/>
              <w:adjustRightInd w:val="0"/>
              <w:snapToGrid w:val="0"/>
              <w:spacing w:line="400" w:lineRule="exact"/>
              <w:ind w:left="315" w:leftChars="0" w:hanging="315" w:hangingChars="150"/>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38" w:type="dxa"/>
            <w:gridSpan w:val="2"/>
            <w:vAlign w:val="center"/>
          </w:tcPr>
          <w:p w14:paraId="5192456B">
            <w:pPr>
              <w:pStyle w:val="299"/>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投标人在四川省</w:t>
            </w:r>
            <w:r>
              <w:rPr>
                <w:rFonts w:hint="eastAsia" w:cs="宋体" w:asciiTheme="minorEastAsia" w:hAnsiTheme="minorEastAsia" w:eastAsiaTheme="minorEastAsia"/>
                <w:color w:val="auto"/>
                <w:szCs w:val="21"/>
                <w:highlight w:val="none"/>
                <w:lang w:val="en-US" w:eastAsia="zh-CN"/>
              </w:rPr>
              <w:t>交通运输厅公布的</w:t>
            </w:r>
            <w:r>
              <w:rPr>
                <w:rFonts w:hint="eastAsia" w:ascii="宋体" w:hAnsi="宋体" w:cs="宋体"/>
                <w:bCs/>
                <w:color w:val="auto"/>
                <w:kern w:val="0"/>
                <w:szCs w:val="21"/>
                <w:highlight w:val="none"/>
              </w:rPr>
              <w:t>信用评价等级</w:t>
            </w:r>
            <w:r>
              <w:rPr>
                <w:rFonts w:cs="宋体" w:asciiTheme="minorEastAsia" w:hAnsiTheme="minorEastAsia" w:eastAsiaTheme="minorEastAsia"/>
                <w:color w:val="auto"/>
                <w:szCs w:val="21"/>
                <w:highlight w:val="none"/>
                <w:u w:val="none"/>
              </w:rPr>
              <w:t>H</w:t>
            </w:r>
            <w:r>
              <w:rPr>
                <w:rFonts w:cs="宋体" w:asciiTheme="minorEastAsia" w:hAnsiTheme="minorEastAsia" w:eastAsiaTheme="minorEastAsia"/>
                <w:color w:val="auto"/>
                <w:szCs w:val="21"/>
                <w:highlight w:val="none"/>
                <w:u w:val="none"/>
                <w:vertAlign w:val="subscript"/>
              </w:rPr>
              <w:t>1</w:t>
            </w:r>
          </w:p>
        </w:tc>
        <w:tc>
          <w:tcPr>
            <w:tcW w:w="709" w:type="dxa"/>
            <w:vAlign w:val="center"/>
          </w:tcPr>
          <w:p w14:paraId="3BA77AC4">
            <w:pPr>
              <w:pStyle w:val="299"/>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32939B71">
            <w:pPr>
              <w:pStyle w:val="299"/>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auto"/>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投标截止</w:t>
            </w:r>
            <w:r>
              <w:rPr>
                <w:rFonts w:hint="eastAsia" w:cs="宋体" w:asciiTheme="minorEastAsia" w:hAnsiTheme="minorEastAsia" w:eastAsiaTheme="minorEastAsia"/>
                <w:bCs/>
                <w:color w:val="auto"/>
                <w:kern w:val="0"/>
                <w:szCs w:val="21"/>
                <w:highlight w:val="none"/>
                <w:lang w:val="en-US" w:eastAsia="zh-CN"/>
              </w:rPr>
              <w:t>时间</w:t>
            </w:r>
            <w:r>
              <w:rPr>
                <w:rFonts w:hint="eastAsia" w:cs="宋体" w:asciiTheme="minorEastAsia" w:hAnsiTheme="minorEastAsia" w:eastAsiaTheme="minorEastAsia"/>
                <w:bCs/>
                <w:color w:val="auto"/>
                <w:kern w:val="0"/>
                <w:szCs w:val="21"/>
                <w:highlight w:val="none"/>
              </w:rPr>
              <w:t>在四川省交通运输厅网站公布的</w:t>
            </w:r>
            <w:r>
              <w:rPr>
                <w:rFonts w:hint="eastAsia" w:cs="宋体" w:asciiTheme="minorEastAsia" w:hAnsiTheme="minorEastAsia" w:eastAsiaTheme="minorEastAsia"/>
                <w:bCs/>
                <w:color w:val="auto"/>
                <w:kern w:val="0"/>
                <w:szCs w:val="21"/>
                <w:highlight w:val="none"/>
                <w:lang w:val="en-US" w:eastAsia="zh-CN"/>
              </w:rPr>
              <w:t>：</w:t>
            </w:r>
            <w:r>
              <w:rPr>
                <w:rFonts w:hint="eastAsia" w:ascii="宋体" w:hAnsi="宋体" w:eastAsia="宋体" w:cs="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四川省重点公路建设从业单位信用评价等级</w:t>
            </w:r>
            <w:r>
              <w:rPr>
                <w:rFonts w:hint="eastAsia" w:ascii="宋体" w:hAnsi="宋体"/>
                <w:color w:val="auto"/>
                <w:sz w:val="21"/>
                <w:szCs w:val="21"/>
                <w:highlight w:val="none"/>
                <w:u w:val="single"/>
                <w:lang w:eastAsia="zh-CN"/>
              </w:rPr>
              <w:t>；</w:t>
            </w:r>
            <w:r>
              <w:rPr>
                <w:rFonts w:hint="eastAsia" w:ascii="宋体" w:hAnsi="宋体" w:eastAsia="宋体" w:cs="宋体"/>
                <w:b w:val="0"/>
                <w:bCs/>
                <w:color w:val="auto"/>
                <w:sz w:val="21"/>
                <w:szCs w:val="21"/>
                <w:highlight w:val="none"/>
                <w:u w:val="single"/>
              </w:rPr>
              <w:sym w:font="Wingdings 2" w:char="00A3"/>
            </w:r>
            <w:r>
              <w:rPr>
                <w:rFonts w:hint="eastAsia" w:ascii="宋体" w:hAnsi="宋体" w:cs="宋体"/>
                <w:b w:val="0"/>
                <w:bCs/>
                <w:color w:val="auto"/>
                <w:sz w:val="21"/>
                <w:szCs w:val="21"/>
                <w:highlight w:val="none"/>
                <w:u w:val="single"/>
                <w:lang w:val="en-US" w:eastAsia="zh-CN"/>
              </w:rPr>
              <w:t>或；</w:t>
            </w:r>
            <w:r>
              <w:rPr>
                <w:rFonts w:hint="eastAsia" w:ascii="宋体" w:hAnsi="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w:t>
            </w:r>
            <w:r>
              <w:rPr>
                <w:rFonts w:hint="eastAsia" w:ascii="宋体" w:hAnsi="宋体"/>
                <w:color w:val="auto"/>
                <w:sz w:val="21"/>
                <w:szCs w:val="21"/>
                <w:highlight w:val="none"/>
                <w:u w:val="single"/>
                <w:lang w:val="en-US" w:eastAsia="zh-CN"/>
              </w:rPr>
              <w:t>农村公路建设从业单位信用评价等级</w:t>
            </w:r>
            <w:r>
              <w:rPr>
                <w:rFonts w:hint="eastAsia" w:ascii="宋体" w:hAnsi="宋体"/>
                <w:color w:val="auto"/>
                <w:sz w:val="21"/>
                <w:szCs w:val="21"/>
                <w:highlight w:val="none"/>
                <w:u w:val="none"/>
                <w:lang w:val="en-US" w:eastAsia="zh-CN"/>
              </w:rPr>
              <w:t>。</w:t>
            </w:r>
          </w:p>
          <w:p w14:paraId="1FF9FD27">
            <w:pPr>
              <w:keepNext w:val="0"/>
              <w:keepLines w:val="0"/>
              <w:pageBreakBefore w:val="0"/>
              <w:widowControl/>
              <w:kinsoku/>
              <w:wordWrap/>
              <w:overflowPunct/>
              <w:topLinePunct w:val="0"/>
              <w:autoSpaceDE/>
              <w:autoSpaceDN/>
              <w:bidi w:val="0"/>
              <w:spacing w:line="400" w:lineRule="exact"/>
              <w:ind w:firstLine="210" w:firstLineChars="100"/>
              <w:textAlignment w:val="auto"/>
              <w:rPr>
                <w:rFonts w:hint="eastAsia"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AA</w:t>
            </w:r>
            <w:r>
              <w:rPr>
                <w:rFonts w:hint="eastAsia" w:cs="宋体" w:asciiTheme="minorEastAsia" w:hAnsiTheme="minorEastAsia" w:eastAsiaTheme="minorEastAsia"/>
                <w:bCs/>
                <w:color w:val="auto"/>
                <w:kern w:val="0"/>
                <w:szCs w:val="21"/>
                <w:highlight w:val="none"/>
              </w:rPr>
              <w:t>级及以上得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1.0</w:t>
            </w:r>
            <w:r>
              <w:rPr>
                <w:rFonts w:hint="eastAsia" w:cs="宋体" w:asciiTheme="minorEastAsia" w:hAnsiTheme="minorEastAsia" w:eastAsiaTheme="minorEastAsia"/>
                <w:bCs/>
                <w:color w:val="auto"/>
                <w:kern w:val="0"/>
                <w:szCs w:val="21"/>
                <w:highlight w:val="none"/>
              </w:rPr>
              <w:t>，</w:t>
            </w:r>
          </w:p>
          <w:p w14:paraId="5D250573">
            <w:pPr>
              <w:keepNext w:val="0"/>
              <w:keepLines w:val="0"/>
              <w:pageBreakBefore w:val="0"/>
              <w:widowControl/>
              <w:kinsoku/>
              <w:wordWrap/>
              <w:overflowPunct/>
              <w:topLinePunct w:val="0"/>
              <w:autoSpaceDE/>
              <w:autoSpaceDN/>
              <w:bidi w:val="0"/>
              <w:spacing w:line="400" w:lineRule="exac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A</w:t>
            </w:r>
            <w:r>
              <w:rPr>
                <w:rFonts w:hint="eastAsia" w:cs="宋体" w:asciiTheme="minorEastAsia" w:hAnsiTheme="minorEastAsia" w:eastAsiaTheme="minorEastAsia"/>
                <w:bCs/>
                <w:color w:val="auto"/>
                <w:kern w:val="0"/>
                <w:szCs w:val="21"/>
                <w:highlight w:val="none"/>
              </w:rPr>
              <w:t>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0.8</w:t>
            </w:r>
            <w:r>
              <w:rPr>
                <w:rFonts w:cs="宋体" w:asciiTheme="minorEastAsia" w:hAnsiTheme="minorEastAsia" w:eastAsiaTheme="minorEastAsia"/>
                <w:bCs/>
                <w:color w:val="auto"/>
                <w:kern w:val="0"/>
                <w:szCs w:val="21"/>
                <w:highlight w:val="none"/>
              </w:rPr>
              <w:t>，</w:t>
            </w:r>
          </w:p>
          <w:p w14:paraId="235EEB03">
            <w:pPr>
              <w:keepNext w:val="0"/>
              <w:keepLines w:val="0"/>
              <w:pageBreakBefore w:val="0"/>
              <w:widowControl/>
              <w:kinsoku/>
              <w:wordWrap/>
              <w:overflowPunct/>
              <w:topLinePunct w:val="0"/>
              <w:autoSpaceDE/>
              <w:autoSpaceDN/>
              <w:bidi w:val="0"/>
              <w:spacing w:line="400" w:lineRule="exac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B级得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0.6</w:t>
            </w:r>
            <w:r>
              <w:rPr>
                <w:rFonts w:cs="宋体" w:asciiTheme="minorEastAsia" w:hAnsiTheme="minorEastAsia" w:eastAsiaTheme="minorEastAsia"/>
                <w:bCs/>
                <w:color w:val="auto"/>
                <w:kern w:val="0"/>
                <w:szCs w:val="21"/>
                <w:highlight w:val="none"/>
              </w:rPr>
              <w:t>，</w:t>
            </w:r>
          </w:p>
          <w:p w14:paraId="0CF1E843">
            <w:pPr>
              <w:pStyle w:val="299"/>
              <w:adjustRightInd w:val="0"/>
              <w:snapToGrid w:val="0"/>
              <w:spacing w:line="400" w:lineRule="exact"/>
              <w:ind w:firstLine="210" w:firstLineChars="100"/>
              <w:rPr>
                <w:rFonts w:cs="宋体" w:asciiTheme="minorEastAsia" w:hAnsiTheme="minorEastAsia" w:eastAsiaTheme="minorEastAsia"/>
                <w:bCs/>
                <w:color w:val="auto"/>
                <w:kern w:val="0"/>
                <w:szCs w:val="21"/>
                <w:highlight w:val="none"/>
                <w:u w:val="none"/>
              </w:rPr>
            </w:pPr>
            <w:r>
              <w:rPr>
                <w:rFonts w:cs="宋体" w:asciiTheme="minorEastAsia" w:hAnsiTheme="minorEastAsia" w:eastAsiaTheme="minorEastAsia"/>
                <w:bCs/>
                <w:color w:val="auto"/>
                <w:kern w:val="0"/>
                <w:szCs w:val="21"/>
                <w:highlight w:val="none"/>
              </w:rPr>
              <w:t>C级得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 xml:space="preserve"> </w:t>
            </w:r>
            <w:r>
              <w:rPr>
                <w:rFonts w:cs="宋体" w:asciiTheme="minorEastAsia" w:hAnsiTheme="minorEastAsia" w:eastAsiaTheme="minorEastAsia"/>
                <w:bCs/>
                <w:color w:val="auto"/>
                <w:kern w:val="0"/>
                <w:szCs w:val="21"/>
                <w:highlight w:val="none"/>
                <w:u w:val="single"/>
              </w:rPr>
              <w:t>0</w:t>
            </w:r>
            <w:r>
              <w:rPr>
                <w:rFonts w:hint="eastAsia" w:cs="宋体" w:asciiTheme="minorEastAsia" w:hAnsiTheme="minorEastAsia" w:eastAsiaTheme="minorEastAsia"/>
                <w:bCs/>
                <w:color w:val="auto"/>
                <w:kern w:val="0"/>
                <w:szCs w:val="21"/>
                <w:highlight w:val="none"/>
                <w:u w:val="single"/>
                <w:lang w:val="en-US" w:eastAsia="zh-CN"/>
              </w:rPr>
              <w:t xml:space="preserve"> </w:t>
            </w:r>
            <w:r>
              <w:rPr>
                <w:rFonts w:ascii="宋体" w:hAnsi="宋体"/>
                <w:color w:val="auto"/>
                <w:szCs w:val="21"/>
                <w:highlight w:val="none"/>
              </w:rPr>
              <w:t>。</w:t>
            </w:r>
          </w:p>
          <w:p w14:paraId="0C1285CB">
            <w:pPr>
              <w:pStyle w:val="299"/>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kern w:val="0"/>
                <w:szCs w:val="21"/>
                <w:highlight w:val="none"/>
              </w:rPr>
              <w:t>注：</w:t>
            </w:r>
            <w:r>
              <w:rPr>
                <w:rFonts w:hint="eastAsia" w:ascii="宋体" w:hAnsi="宋体" w:cs="宋体"/>
                <w:color w:val="auto"/>
                <w:szCs w:val="21"/>
                <w:highlight w:val="none"/>
              </w:rPr>
              <w:t>允许联合体投标时，以联合体形式投标的，投标人</w:t>
            </w:r>
            <w:r>
              <w:rPr>
                <w:rFonts w:ascii="宋体" w:hAnsi="宋体" w:cs="宋体"/>
                <w:color w:val="auto"/>
                <w:szCs w:val="21"/>
                <w:highlight w:val="none"/>
              </w:rPr>
              <w:t>在</w:t>
            </w:r>
            <w:r>
              <w:rPr>
                <w:rFonts w:hint="eastAsia" w:ascii="宋体" w:hAnsi="宋体" w:cs="宋体"/>
                <w:color w:val="auto"/>
                <w:szCs w:val="21"/>
                <w:highlight w:val="none"/>
                <w:lang w:val="en-US" w:eastAsia="zh-CN"/>
              </w:rPr>
              <w:t>上述同一信用评价体系的</w:t>
            </w:r>
            <w:r>
              <w:rPr>
                <w:rFonts w:hint="eastAsia" w:ascii="宋体" w:hAnsi="宋体" w:cs="宋体"/>
                <w:color w:val="auto"/>
                <w:szCs w:val="21"/>
                <w:highlight w:val="none"/>
              </w:rPr>
              <w:t>信用</w:t>
            </w:r>
            <w:r>
              <w:rPr>
                <w:rFonts w:ascii="宋体" w:hAnsi="宋体" w:cs="宋体"/>
                <w:color w:val="auto"/>
                <w:szCs w:val="21"/>
                <w:highlight w:val="none"/>
              </w:rPr>
              <w:t>评价等级</w:t>
            </w:r>
            <w:r>
              <w:rPr>
                <w:rFonts w:hint="eastAsia" w:ascii="宋体" w:hAnsi="宋体" w:cs="宋体"/>
                <w:color w:val="auto"/>
                <w:szCs w:val="21"/>
                <w:highlight w:val="none"/>
              </w:rPr>
              <w:t>以联合体中信用评价等级低的为准。</w:t>
            </w:r>
          </w:p>
        </w:tc>
      </w:tr>
      <w:tr w14:paraId="067C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5" w:type="dxa"/>
            <w:vMerge w:val="continue"/>
            <w:vAlign w:val="center"/>
          </w:tcPr>
          <w:p w14:paraId="3904A4FA">
            <w:pPr>
              <w:pStyle w:val="299"/>
              <w:spacing w:line="400" w:lineRule="exact"/>
              <w:jc w:val="center"/>
              <w:rPr>
                <w:rFonts w:ascii="宋体" w:hAnsi="宋体" w:cs="宋体"/>
                <w:color w:val="auto"/>
                <w:szCs w:val="21"/>
                <w:highlight w:val="none"/>
              </w:rPr>
            </w:pPr>
          </w:p>
        </w:tc>
        <w:tc>
          <w:tcPr>
            <w:tcW w:w="556" w:type="dxa"/>
            <w:vMerge w:val="continue"/>
            <w:vAlign w:val="center"/>
          </w:tcPr>
          <w:p w14:paraId="68A5CC8D">
            <w:pPr>
              <w:pStyle w:val="299"/>
              <w:spacing w:line="400" w:lineRule="exact"/>
              <w:jc w:val="center"/>
              <w:rPr>
                <w:rFonts w:ascii="宋体" w:hAnsi="宋体" w:cs="宋体"/>
                <w:color w:val="auto"/>
                <w:szCs w:val="21"/>
                <w:highlight w:val="none"/>
              </w:rPr>
            </w:pPr>
          </w:p>
        </w:tc>
        <w:tc>
          <w:tcPr>
            <w:tcW w:w="874" w:type="dxa"/>
            <w:vMerge w:val="continue"/>
            <w:vAlign w:val="center"/>
          </w:tcPr>
          <w:p w14:paraId="2DF83234">
            <w:pPr>
              <w:pStyle w:val="299"/>
              <w:spacing w:line="400" w:lineRule="exact"/>
              <w:jc w:val="center"/>
              <w:rPr>
                <w:rFonts w:ascii="宋体" w:hAnsi="宋体" w:cs="宋体"/>
                <w:color w:val="auto"/>
                <w:szCs w:val="21"/>
                <w:highlight w:val="none"/>
              </w:rPr>
            </w:pPr>
          </w:p>
        </w:tc>
        <w:tc>
          <w:tcPr>
            <w:tcW w:w="851" w:type="dxa"/>
            <w:vMerge w:val="continue"/>
            <w:vAlign w:val="center"/>
          </w:tcPr>
          <w:p w14:paraId="1DB46344">
            <w:pPr>
              <w:pStyle w:val="299"/>
              <w:spacing w:line="400" w:lineRule="exact"/>
              <w:rPr>
                <w:rFonts w:ascii="宋体" w:hAnsi="宋体" w:cs="宋体"/>
                <w:color w:val="auto"/>
                <w:szCs w:val="21"/>
                <w:highlight w:val="none"/>
              </w:rPr>
            </w:pPr>
          </w:p>
        </w:tc>
        <w:tc>
          <w:tcPr>
            <w:tcW w:w="1338" w:type="dxa"/>
            <w:gridSpan w:val="2"/>
            <w:vAlign w:val="center"/>
          </w:tcPr>
          <w:p w14:paraId="0CEDF139">
            <w:pPr>
              <w:pStyle w:val="299"/>
              <w:adjustRightInd w:val="0"/>
              <w:snapToGrid w:val="0"/>
              <w:spacing w:line="38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w:t>
            </w:r>
            <w:r>
              <w:rPr>
                <w:rFonts w:ascii="宋体" w:hAnsi="宋体" w:cs="宋体"/>
                <w:b/>
                <w:bCs/>
                <w:color w:val="auto"/>
                <w:szCs w:val="21"/>
                <w:highlight w:val="none"/>
                <w:u w:val="single"/>
              </w:rPr>
              <w:t xml:space="preserve">         </w:t>
            </w:r>
          </w:p>
        </w:tc>
        <w:tc>
          <w:tcPr>
            <w:tcW w:w="709" w:type="dxa"/>
            <w:vAlign w:val="center"/>
          </w:tcPr>
          <w:p w14:paraId="2387C746">
            <w:pPr>
              <w:pStyle w:val="299"/>
              <w:adjustRightInd w:val="0"/>
              <w:snapToGrid w:val="0"/>
              <w:spacing w:line="38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11A707BC">
            <w:pPr>
              <w:pStyle w:val="299"/>
              <w:adjustRightInd w:val="0"/>
              <w:snapToGrid w:val="0"/>
              <w:spacing w:line="38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p>
        </w:tc>
      </w:tr>
      <w:tr w14:paraId="37F9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75" w:type="dxa"/>
            <w:vMerge w:val="continue"/>
            <w:vAlign w:val="center"/>
          </w:tcPr>
          <w:p w14:paraId="35782305">
            <w:pPr>
              <w:pStyle w:val="299"/>
              <w:spacing w:line="400" w:lineRule="exact"/>
              <w:jc w:val="center"/>
              <w:rPr>
                <w:rFonts w:ascii="宋体" w:hAnsi="宋体" w:cs="宋体"/>
                <w:color w:val="auto"/>
                <w:szCs w:val="21"/>
                <w:highlight w:val="none"/>
              </w:rPr>
            </w:pPr>
          </w:p>
        </w:tc>
        <w:tc>
          <w:tcPr>
            <w:tcW w:w="556" w:type="dxa"/>
            <w:vMerge w:val="continue"/>
            <w:vAlign w:val="center"/>
          </w:tcPr>
          <w:p w14:paraId="5A5B0E92">
            <w:pPr>
              <w:pStyle w:val="299"/>
              <w:spacing w:line="400" w:lineRule="exact"/>
              <w:jc w:val="center"/>
              <w:rPr>
                <w:rFonts w:ascii="宋体" w:hAnsi="宋体" w:cs="宋体"/>
                <w:color w:val="auto"/>
                <w:szCs w:val="21"/>
                <w:highlight w:val="none"/>
              </w:rPr>
            </w:pPr>
          </w:p>
        </w:tc>
        <w:tc>
          <w:tcPr>
            <w:tcW w:w="874" w:type="dxa"/>
            <w:vMerge w:val="restart"/>
            <w:vAlign w:val="center"/>
          </w:tcPr>
          <w:p w14:paraId="29B1BE52">
            <w:pPr>
              <w:pStyle w:val="299"/>
              <w:adjustRightInd w:val="0"/>
              <w:snapToGrid w:val="0"/>
              <w:spacing w:line="380" w:lineRule="exac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851" w:type="dxa"/>
            <w:vMerge w:val="restart"/>
            <w:vAlign w:val="center"/>
          </w:tcPr>
          <w:p w14:paraId="2E105774">
            <w:pPr>
              <w:pStyle w:val="299"/>
              <w:adjustRightInd w:val="0"/>
              <w:snapToGrid w:val="0"/>
              <w:spacing w:line="380" w:lineRule="exact"/>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38" w:type="dxa"/>
            <w:gridSpan w:val="2"/>
            <w:vAlign w:val="center"/>
          </w:tcPr>
          <w:p w14:paraId="7142AA68">
            <w:pPr>
              <w:pStyle w:val="299"/>
              <w:adjustRightInd w:val="0"/>
              <w:snapToGrid w:val="0"/>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709" w:type="dxa"/>
            <w:vAlign w:val="center"/>
          </w:tcPr>
          <w:p w14:paraId="3C7FF464">
            <w:pPr>
              <w:pStyle w:val="299"/>
              <w:adjustRightInd w:val="0"/>
              <w:snapToGrid w:val="0"/>
              <w:spacing w:line="38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312B2BDA">
            <w:pPr>
              <w:pStyle w:val="299"/>
              <w:adjustRightInd w:val="0"/>
              <w:snapToGrid w:val="0"/>
              <w:spacing w:line="38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p>
        </w:tc>
      </w:tr>
      <w:tr w14:paraId="6F1B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7311F08F">
            <w:pPr>
              <w:pStyle w:val="299"/>
              <w:spacing w:line="400" w:lineRule="exact"/>
              <w:jc w:val="center"/>
              <w:rPr>
                <w:rFonts w:ascii="宋体" w:hAnsi="宋体" w:cs="宋体"/>
                <w:color w:val="auto"/>
                <w:szCs w:val="21"/>
                <w:highlight w:val="none"/>
              </w:rPr>
            </w:pPr>
          </w:p>
        </w:tc>
        <w:tc>
          <w:tcPr>
            <w:tcW w:w="556" w:type="dxa"/>
            <w:vMerge w:val="continue"/>
            <w:vAlign w:val="center"/>
          </w:tcPr>
          <w:p w14:paraId="4F620443">
            <w:pPr>
              <w:pStyle w:val="299"/>
              <w:spacing w:line="400" w:lineRule="exact"/>
              <w:jc w:val="center"/>
              <w:rPr>
                <w:rFonts w:ascii="宋体" w:hAnsi="宋体" w:cs="宋体"/>
                <w:color w:val="auto"/>
                <w:szCs w:val="21"/>
                <w:highlight w:val="none"/>
              </w:rPr>
            </w:pPr>
          </w:p>
        </w:tc>
        <w:tc>
          <w:tcPr>
            <w:tcW w:w="874" w:type="dxa"/>
            <w:vMerge w:val="continue"/>
            <w:vAlign w:val="center"/>
          </w:tcPr>
          <w:p w14:paraId="0353C580">
            <w:pPr>
              <w:pStyle w:val="299"/>
              <w:spacing w:line="400" w:lineRule="exact"/>
              <w:jc w:val="center"/>
              <w:rPr>
                <w:rFonts w:ascii="宋体" w:hAnsi="宋体" w:cs="宋体"/>
                <w:color w:val="auto"/>
                <w:szCs w:val="21"/>
                <w:highlight w:val="none"/>
              </w:rPr>
            </w:pPr>
          </w:p>
        </w:tc>
        <w:tc>
          <w:tcPr>
            <w:tcW w:w="851" w:type="dxa"/>
            <w:vMerge w:val="continue"/>
            <w:vAlign w:val="center"/>
          </w:tcPr>
          <w:p w14:paraId="454F47FF">
            <w:pPr>
              <w:pStyle w:val="299"/>
              <w:spacing w:line="400" w:lineRule="exact"/>
              <w:rPr>
                <w:rFonts w:ascii="宋体" w:hAnsi="宋体" w:cs="宋体"/>
                <w:color w:val="auto"/>
                <w:szCs w:val="21"/>
                <w:highlight w:val="none"/>
              </w:rPr>
            </w:pPr>
          </w:p>
        </w:tc>
        <w:tc>
          <w:tcPr>
            <w:tcW w:w="1338" w:type="dxa"/>
            <w:gridSpan w:val="2"/>
            <w:vAlign w:val="center"/>
          </w:tcPr>
          <w:p w14:paraId="104928AC">
            <w:pPr>
              <w:pStyle w:val="299"/>
              <w:adjustRightInd w:val="0"/>
              <w:snapToGrid w:val="0"/>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709" w:type="dxa"/>
            <w:vAlign w:val="center"/>
          </w:tcPr>
          <w:p w14:paraId="34F6CD25">
            <w:pPr>
              <w:pStyle w:val="299"/>
              <w:adjustRightInd w:val="0"/>
              <w:snapToGrid w:val="0"/>
              <w:spacing w:line="38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594" w:type="dxa"/>
            <w:vAlign w:val="center"/>
          </w:tcPr>
          <w:p w14:paraId="061795C9">
            <w:pPr>
              <w:pStyle w:val="299"/>
              <w:adjustRightInd w:val="0"/>
              <w:snapToGrid w:val="0"/>
              <w:spacing w:line="38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u w:val="single"/>
              </w:rPr>
              <w:t xml:space="preserve">        </w:t>
            </w:r>
          </w:p>
        </w:tc>
      </w:tr>
      <w:tr w14:paraId="57E0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8"/>
            <w:vAlign w:val="center"/>
          </w:tcPr>
          <w:p w14:paraId="56E11601">
            <w:pP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77FBD159">
            <w:pPr>
              <w:pStyle w:val="299"/>
              <w:adjustRightInd w:val="0"/>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w:t>
            </w:r>
          </w:p>
        </w:tc>
      </w:tr>
    </w:tbl>
    <w:p w14:paraId="20D30278">
      <w:pPr>
        <w:pStyle w:val="5"/>
        <w:adjustRightInd/>
        <w:snapToGrid/>
        <w:spacing w:before="0" w:beforeLines="-2147483648" w:after="0" w:afterLines="-2147483648" w:line="240" w:lineRule="auto"/>
        <w:jc w:val="left"/>
        <w:rPr>
          <w:color w:val="auto"/>
          <w:highlight w:val="none"/>
        </w:rPr>
        <w:sectPr>
          <w:footnotePr>
            <w:numFmt w:val="decimalEnclosedCircleChinese"/>
            <w:numRestart w:val="eachPage"/>
          </w:footnotePr>
          <w:pgSz w:w="11900" w:h="16838"/>
          <w:pgMar w:top="1417" w:right="1417" w:bottom="1417" w:left="1701" w:header="850" w:footer="624" w:gutter="0"/>
          <w:cols w:space="0" w:num="1"/>
          <w:rtlGutter w:val="0"/>
          <w:docGrid w:linePitch="312" w:charSpace="0"/>
        </w:sectPr>
      </w:pPr>
      <w:bookmarkStart w:id="681" w:name="_Toc53685667"/>
    </w:p>
    <w:p w14:paraId="790219A1">
      <w:pPr>
        <w:pStyle w:val="5"/>
        <w:adjustRightInd/>
        <w:snapToGrid/>
        <w:spacing w:before="0" w:beforeLines="-2147483648" w:after="0" w:afterLines="-2147483648" w:line="240" w:lineRule="auto"/>
        <w:jc w:val="left"/>
        <w:rPr>
          <w:color w:val="auto"/>
          <w:highlight w:val="none"/>
        </w:rPr>
      </w:pPr>
      <w:r>
        <w:rPr>
          <w:color w:val="auto"/>
          <w:highlight w:val="none"/>
        </w:rPr>
        <w:t>评标办法（</w:t>
      </w:r>
      <w:r>
        <w:rPr>
          <w:rFonts w:hint="eastAsia"/>
          <w:color w:val="auto"/>
          <w:highlight w:val="none"/>
        </w:rPr>
        <w:t>技术评分最低标价法正文）</w:t>
      </w:r>
      <w:bookmarkEnd w:id="681"/>
    </w:p>
    <w:p w14:paraId="1F133C01">
      <w:pPr>
        <w:pStyle w:val="5"/>
        <w:keepNext w:val="0"/>
        <w:keepLines w:val="0"/>
        <w:numPr>
          <w:ilvl w:val="-1"/>
          <w:numId w:val="0"/>
        </w:numPr>
        <w:rPr>
          <w:color w:val="auto"/>
          <w:highlight w:val="none"/>
        </w:rPr>
      </w:pPr>
      <w:bookmarkStart w:id="682" w:name="_Toc53685668"/>
      <w:r>
        <w:rPr>
          <w:rFonts w:hint="eastAsia"/>
          <w:color w:val="auto"/>
          <w:highlight w:val="none"/>
          <w:lang w:val="en-US" w:eastAsia="zh-CN"/>
        </w:rPr>
        <w:t xml:space="preserve">1. </w:t>
      </w:r>
      <w:r>
        <w:rPr>
          <w:rFonts w:hint="eastAsia"/>
          <w:color w:val="auto"/>
          <w:highlight w:val="none"/>
        </w:rPr>
        <w:t>评标方法</w:t>
      </w:r>
      <w:bookmarkEnd w:id="682"/>
      <w:r>
        <w:rPr>
          <w:color w:val="auto"/>
          <w:highlight w:val="none"/>
        </w:rPr>
        <w:t xml:space="preserve"> </w:t>
      </w:r>
    </w:p>
    <w:p w14:paraId="4C7D94DA">
      <w:pPr>
        <w:widowControl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本次评标采用技术评分最低标价法。评标委员会对满足招标文件实质性要求的投标文件，根据本章第</w:t>
      </w:r>
      <w:r>
        <w:rPr>
          <w:rFonts w:ascii="宋体" w:hAnsi="宋体"/>
          <w:color w:val="auto"/>
          <w:kern w:val="0"/>
          <w:sz w:val="24"/>
          <w:highlight w:val="none"/>
        </w:rPr>
        <w:t>2.2</w:t>
      </w:r>
      <w:r>
        <w:rPr>
          <w:rFonts w:hint="eastAsia" w:ascii="宋体" w:hAnsi="宋体"/>
          <w:color w:val="auto"/>
          <w:kern w:val="0"/>
          <w:sz w:val="24"/>
          <w:highlight w:val="none"/>
        </w:rPr>
        <w:t>款规定第一个信封</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商务及技术文件</w:t>
      </w:r>
      <w:r>
        <w:rPr>
          <w:rFonts w:hint="eastAsia" w:ascii="宋体" w:hAnsi="宋体"/>
          <w:color w:val="auto"/>
          <w:kern w:val="0"/>
          <w:sz w:val="24"/>
          <w:highlight w:val="none"/>
          <w:lang w:eastAsia="zh-CN"/>
        </w:rPr>
        <w:t>）</w:t>
      </w:r>
      <w:r>
        <w:rPr>
          <w:rFonts w:hint="eastAsia" w:ascii="宋体" w:hAnsi="宋体"/>
          <w:color w:val="auto"/>
          <w:kern w:val="0"/>
          <w:sz w:val="24"/>
          <w:highlight w:val="none"/>
        </w:rPr>
        <w:t>的评分标准进行打分，按照得分由高到低排序</w:t>
      </w:r>
      <w:r>
        <w:rPr>
          <w:rFonts w:ascii="宋体" w:hAnsi="宋体"/>
          <w:color w:val="auto"/>
          <w:kern w:val="0"/>
          <w:sz w:val="24"/>
          <w:highlight w:val="none"/>
        </w:rPr>
        <w:t>，对排名在招标文件规定的数量以内的</w:t>
      </w:r>
      <w:r>
        <w:rPr>
          <w:rFonts w:hint="eastAsia" w:ascii="宋体" w:hAnsi="宋体"/>
          <w:color w:val="auto"/>
          <w:kern w:val="0"/>
          <w:sz w:val="24"/>
          <w:highlight w:val="none"/>
          <w:lang w:val="en-US" w:eastAsia="zh-CN"/>
        </w:rPr>
        <w:t>第二个信封（报价文件）</w:t>
      </w:r>
      <w:r>
        <w:rPr>
          <w:rFonts w:ascii="宋体" w:hAnsi="宋体"/>
          <w:color w:val="auto"/>
          <w:kern w:val="0"/>
          <w:sz w:val="24"/>
          <w:highlight w:val="none"/>
        </w:rPr>
        <w:t>进行评审，按照评标价由低到</w:t>
      </w:r>
      <w:r>
        <w:rPr>
          <w:rFonts w:hint="eastAsia" w:ascii="宋体" w:hAnsi="宋体"/>
          <w:color w:val="auto"/>
          <w:kern w:val="0"/>
          <w:sz w:val="24"/>
          <w:highlight w:val="none"/>
        </w:rPr>
        <w:t>高的顺序推荐中标候选人，或根据招标人授权直接确定中标人，但投标报价低于其成本的除外。评标价相等时，评标委员会应按照评标办法前附表规定的优先次序推荐中标候选人或确定中标人。</w:t>
      </w:r>
      <w:r>
        <w:rPr>
          <w:rFonts w:ascii="宋体" w:hAnsi="宋体"/>
          <w:color w:val="auto"/>
          <w:kern w:val="0"/>
          <w:sz w:val="24"/>
          <w:highlight w:val="none"/>
        </w:rPr>
        <w:t xml:space="preserve"> </w:t>
      </w:r>
    </w:p>
    <w:p w14:paraId="04F07F16">
      <w:pPr>
        <w:pStyle w:val="5"/>
        <w:keepNext w:val="0"/>
        <w:keepLines w:val="0"/>
        <w:numPr>
          <w:ilvl w:val="-1"/>
          <w:numId w:val="0"/>
        </w:numPr>
        <w:rPr>
          <w:rFonts w:hint="eastAsia" w:ascii="Arial" w:hAnsi="Arial"/>
          <w:color w:val="auto"/>
          <w:highlight w:val="none"/>
        </w:rPr>
      </w:pPr>
      <w:bookmarkStart w:id="683" w:name="_Toc53685669"/>
      <w:r>
        <w:rPr>
          <w:rFonts w:hint="eastAsia" w:ascii="Arial" w:hAnsi="Arial"/>
          <w:color w:val="auto"/>
          <w:highlight w:val="none"/>
          <w:lang w:val="en-US" w:eastAsia="zh-CN"/>
        </w:rPr>
        <w:t xml:space="preserve">2. </w:t>
      </w:r>
      <w:r>
        <w:rPr>
          <w:rFonts w:hint="default" w:ascii="Arial" w:hAnsi="Arial"/>
          <w:color w:val="auto"/>
          <w:highlight w:val="none"/>
        </w:rPr>
        <w:t>评审标准</w:t>
      </w:r>
      <w:bookmarkEnd w:id="683"/>
      <w:r>
        <w:rPr>
          <w:rFonts w:hint="eastAsia" w:ascii="Arial" w:hAnsi="Arial"/>
          <w:color w:val="auto"/>
          <w:highlight w:val="none"/>
        </w:rPr>
        <w:t xml:space="preserve"> </w:t>
      </w:r>
    </w:p>
    <w:p w14:paraId="0C04AD8A">
      <w:pPr>
        <w:pStyle w:val="6"/>
        <w:keepNext w:val="0"/>
        <w:keepLines w:val="0"/>
        <w:numPr>
          <w:ilvl w:val="0"/>
          <w:numId w:val="0"/>
        </w:numPr>
        <w:spacing w:line="360" w:lineRule="auto"/>
        <w:jc w:val="both"/>
        <w:rPr>
          <w:rFonts w:ascii="Times New Roman" w:hAnsi="Times New Roman"/>
          <w:b w:val="0"/>
          <w:bCs w:val="0"/>
          <w:color w:val="auto"/>
          <w:highlight w:val="none"/>
        </w:rPr>
      </w:pPr>
      <w:bookmarkStart w:id="684" w:name="_Toc53685670"/>
      <w:r>
        <w:rPr>
          <w:rFonts w:ascii="Times New Roman" w:hAnsi="Times New Roman"/>
          <w:b w:val="0"/>
          <w:bCs w:val="0"/>
          <w:color w:val="auto"/>
          <w:highlight w:val="none"/>
        </w:rPr>
        <w:t xml:space="preserve">2.1 </w:t>
      </w:r>
      <w:r>
        <w:rPr>
          <w:rFonts w:hint="default" w:ascii="Times New Roman" w:hAnsi="Times New Roman"/>
          <w:b w:val="0"/>
          <w:bCs w:val="0"/>
          <w:color w:val="auto"/>
          <w:highlight w:val="none"/>
        </w:rPr>
        <w:t>初步评审标准</w:t>
      </w:r>
      <w:bookmarkEnd w:id="684"/>
      <w:r>
        <w:rPr>
          <w:rFonts w:ascii="Times New Roman" w:hAnsi="Times New Roman"/>
          <w:b w:val="0"/>
          <w:bCs w:val="0"/>
          <w:color w:val="auto"/>
          <w:highlight w:val="none"/>
        </w:rPr>
        <w:t xml:space="preserve"> </w:t>
      </w:r>
    </w:p>
    <w:p w14:paraId="21FADC85">
      <w:pPr>
        <w:widowControl w:val="0"/>
        <w:adjustRightInd w:val="0"/>
        <w:snapToGrid w:val="0"/>
        <w:spacing w:line="360" w:lineRule="auto"/>
        <w:ind w:firstLine="480" w:firstLineChars="200"/>
        <w:rPr>
          <w:rFonts w:ascii="宋体" w:hAnsi="宋体" w:cs="宋体"/>
          <w:color w:val="auto"/>
          <w:kern w:val="0"/>
          <w:sz w:val="24"/>
          <w:highlight w:val="none"/>
        </w:rPr>
      </w:pPr>
      <w:r>
        <w:rPr>
          <w:rFonts w:ascii="宋体" w:hAnsi="宋体" w:cs="宋体"/>
          <w:bCs/>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14:paraId="7D5D4A57">
      <w:pPr>
        <w:widowControl w:val="0"/>
        <w:adjustRightInd w:val="0"/>
        <w:snapToGrid w:val="0"/>
        <w:spacing w:line="360" w:lineRule="auto"/>
        <w:ind w:firstLine="480" w:firstLineChars="200"/>
        <w:rPr>
          <w:rFonts w:ascii="宋体" w:hAnsi="宋体" w:cs="宋体"/>
          <w:color w:val="auto"/>
          <w:kern w:val="0"/>
          <w:sz w:val="24"/>
          <w:highlight w:val="none"/>
        </w:rPr>
      </w:pPr>
      <w:r>
        <w:rPr>
          <w:rFonts w:ascii="宋体" w:hAnsi="宋体" w:cs="宋体"/>
          <w:bCs/>
          <w:color w:val="auto"/>
          <w:kern w:val="0"/>
          <w:sz w:val="24"/>
          <w:highlight w:val="none"/>
        </w:rPr>
        <w:t>2.1.2</w:t>
      </w:r>
      <w:r>
        <w:rPr>
          <w:rFonts w:ascii="宋体" w:hAnsi="宋体" w:cs="宋体"/>
          <w:color w:val="auto"/>
          <w:kern w:val="0"/>
          <w:sz w:val="24"/>
          <w:highlight w:val="none"/>
        </w:rPr>
        <w:t xml:space="preserve"> 资格评审标准：见评标办法前附表。</w:t>
      </w:r>
    </w:p>
    <w:p w14:paraId="6A81E5D0">
      <w:pPr>
        <w:widowControl w:val="0"/>
        <w:adjustRightInd w:val="0"/>
        <w:snapToGrid w:val="0"/>
        <w:spacing w:line="360" w:lineRule="auto"/>
        <w:ind w:firstLine="480" w:firstLineChars="200"/>
        <w:rPr>
          <w:rFonts w:ascii="宋体" w:hAnsi="宋体"/>
          <w:color w:val="auto"/>
          <w:kern w:val="0"/>
          <w:sz w:val="24"/>
          <w:highlight w:val="none"/>
        </w:rPr>
      </w:pPr>
      <w:r>
        <w:rPr>
          <w:rFonts w:ascii="宋体" w:hAnsi="宋体"/>
          <w:bCs/>
          <w:color w:val="auto"/>
          <w:kern w:val="0"/>
          <w:sz w:val="24"/>
          <w:highlight w:val="none"/>
        </w:rPr>
        <w:t>2.1.3</w:t>
      </w:r>
      <w:r>
        <w:rPr>
          <w:rFonts w:ascii="宋体" w:hAnsi="宋体"/>
          <w:color w:val="auto"/>
          <w:kern w:val="0"/>
          <w:sz w:val="24"/>
          <w:highlight w:val="none"/>
        </w:rPr>
        <w:t xml:space="preserve"> 响应性评审标准：见评标办法前附表。</w:t>
      </w:r>
    </w:p>
    <w:p w14:paraId="082C068A">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685" w:name="_Toc53685671"/>
      <w:r>
        <w:rPr>
          <w:rFonts w:hint="default" w:ascii="Times New Roman" w:hAnsi="Times New Roman"/>
          <w:b w:val="0"/>
          <w:bCs w:val="0"/>
          <w:color w:val="auto"/>
          <w:sz w:val="28"/>
          <w:szCs w:val="32"/>
          <w:highlight w:val="none"/>
        </w:rPr>
        <w:t>2.2</w:t>
      </w:r>
      <w:r>
        <w:rPr>
          <w:rFonts w:hint="eastAsia" w:ascii="Times New Roman" w:hAnsi="Times New Roman"/>
          <w:b w:val="0"/>
          <w:bCs w:val="0"/>
          <w:color w:val="auto"/>
          <w:sz w:val="28"/>
          <w:szCs w:val="32"/>
          <w:highlight w:val="none"/>
          <w:lang w:val="en-US" w:eastAsia="zh-CN"/>
        </w:rPr>
        <w:t xml:space="preserve"> </w:t>
      </w:r>
      <w:r>
        <w:rPr>
          <w:rFonts w:hint="default" w:ascii="Times New Roman" w:hAnsi="Times New Roman"/>
          <w:b w:val="0"/>
          <w:bCs w:val="0"/>
          <w:color w:val="auto"/>
          <w:sz w:val="28"/>
          <w:szCs w:val="32"/>
          <w:highlight w:val="none"/>
        </w:rPr>
        <w:t>分值构成与评分标准</w:t>
      </w:r>
      <w:bookmarkEnd w:id="685"/>
    </w:p>
    <w:p w14:paraId="5B07AD5E">
      <w:pPr>
        <w:widowControl w:val="0"/>
        <w:adjustRightInd w:val="0"/>
        <w:snapToGrid w:val="0"/>
        <w:spacing w:line="360" w:lineRule="auto"/>
        <w:ind w:firstLine="480" w:firstLineChars="200"/>
        <w:rPr>
          <w:rFonts w:ascii="宋体" w:hAnsi="宋体"/>
          <w:color w:val="auto"/>
          <w:kern w:val="0"/>
          <w:sz w:val="24"/>
          <w:highlight w:val="none"/>
        </w:rPr>
      </w:pPr>
      <w:r>
        <w:rPr>
          <w:rFonts w:ascii="宋体" w:hAnsi="宋体" w:cs="宋体"/>
          <w:color w:val="auto"/>
          <w:kern w:val="0"/>
          <w:sz w:val="24"/>
          <w:highlight w:val="none"/>
        </w:rPr>
        <w:t>2.2.1</w:t>
      </w: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第一个信封评分</w:t>
      </w:r>
      <w:r>
        <w:rPr>
          <w:rFonts w:hint="eastAsia" w:ascii="宋体" w:hAnsi="宋体" w:cs="宋体"/>
          <w:color w:val="auto"/>
          <w:kern w:val="0"/>
          <w:sz w:val="24"/>
          <w:highlight w:val="none"/>
        </w:rPr>
        <w:t>分值构成</w:t>
      </w:r>
    </w:p>
    <w:p w14:paraId="3F873D73">
      <w:pPr>
        <w:widowControl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1）施工组织设计：见评标办法前附表。</w:t>
      </w:r>
    </w:p>
    <w:p w14:paraId="4E52D297">
      <w:pPr>
        <w:widowControl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2）主要人员：见评标办法前附表。</w:t>
      </w:r>
    </w:p>
    <w:p w14:paraId="519CAAFB">
      <w:pPr>
        <w:widowControl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3）其他评分因素</w:t>
      </w:r>
      <w:r>
        <w:rPr>
          <w:rFonts w:hint="eastAsia" w:ascii="宋体" w:hAnsi="宋体"/>
          <w:color w:val="auto"/>
          <w:kern w:val="0"/>
          <w:sz w:val="24"/>
          <w:highlight w:val="none"/>
        </w:rPr>
        <w:t>：见评标办法前附表。</w:t>
      </w:r>
    </w:p>
    <w:p w14:paraId="269A9635">
      <w:pPr>
        <w:widowControl w:val="0"/>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2.2.2</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第一个信封</w:t>
      </w:r>
      <w:r>
        <w:rPr>
          <w:rFonts w:hint="eastAsia" w:ascii="宋体" w:hAnsi="宋体"/>
          <w:color w:val="auto"/>
          <w:sz w:val="24"/>
          <w:highlight w:val="none"/>
          <w:lang w:eastAsia="zh-CN"/>
        </w:rPr>
        <w:t>评分</w:t>
      </w:r>
      <w:r>
        <w:rPr>
          <w:rFonts w:hint="eastAsia" w:ascii="宋体" w:hAnsi="宋体"/>
          <w:color w:val="auto"/>
          <w:sz w:val="24"/>
          <w:highlight w:val="none"/>
        </w:rPr>
        <w:t>标准</w:t>
      </w:r>
    </w:p>
    <w:p w14:paraId="63BDBB03">
      <w:pPr>
        <w:widowControl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1）施工组织设计评分标准：见评标办法前附表。</w:t>
      </w:r>
    </w:p>
    <w:p w14:paraId="539EA9AC">
      <w:pPr>
        <w:widowControl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2）主要人员评分标准：见评标办法前附表。</w:t>
      </w:r>
    </w:p>
    <w:p w14:paraId="02C3B331">
      <w:pPr>
        <w:widowControl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3）其他因素</w:t>
      </w:r>
      <w:r>
        <w:rPr>
          <w:rFonts w:hint="eastAsia" w:ascii="宋体" w:hAnsi="宋体"/>
          <w:color w:val="auto"/>
          <w:kern w:val="0"/>
          <w:sz w:val="24"/>
          <w:highlight w:val="none"/>
        </w:rPr>
        <w:t>评分标准：见评标办法前附表。</w:t>
      </w:r>
    </w:p>
    <w:p w14:paraId="1DAEEDE3">
      <w:pPr>
        <w:keepLines w:val="0"/>
        <w:widowControl w:val="0"/>
        <w:adjustRightInd w:val="0"/>
        <w:snapToGrid w:val="0"/>
        <w:spacing w:line="360" w:lineRule="auto"/>
        <w:ind w:firstLine="480" w:firstLineChars="200"/>
        <w:rPr>
          <w:rFonts w:ascii="宋体" w:hAnsi="宋体"/>
          <w:color w:val="auto"/>
          <w:kern w:val="0"/>
          <w:sz w:val="24"/>
          <w:highlight w:val="none"/>
        </w:rPr>
      </w:pPr>
      <w:r>
        <w:rPr>
          <w:rFonts w:ascii="宋体" w:hAnsi="宋体"/>
          <w:color w:val="auto"/>
          <w:sz w:val="24"/>
          <w:highlight w:val="none"/>
        </w:rPr>
        <w:t>2.2.3</w:t>
      </w:r>
      <w:r>
        <w:rPr>
          <w:rFonts w:hint="eastAsia" w:ascii="宋体" w:hAnsi="宋体"/>
          <w:color w:val="auto"/>
          <w:sz w:val="24"/>
          <w:highlight w:val="none"/>
          <w:lang w:val="en-US" w:eastAsia="zh-CN"/>
        </w:rPr>
        <w:t xml:space="preserve"> </w:t>
      </w:r>
      <w:r>
        <w:rPr>
          <w:rFonts w:ascii="宋体" w:hAnsi="宋体"/>
          <w:color w:val="auto"/>
          <w:sz w:val="24"/>
          <w:highlight w:val="none"/>
        </w:rPr>
        <w:t>第二个信封详细评审标准</w:t>
      </w:r>
      <w:r>
        <w:rPr>
          <w:rFonts w:hint="eastAsia" w:ascii="宋体" w:hAnsi="宋体"/>
          <w:color w:val="auto"/>
          <w:sz w:val="24"/>
          <w:highlight w:val="none"/>
        </w:rPr>
        <w:t>：</w:t>
      </w:r>
      <w:r>
        <w:rPr>
          <w:rFonts w:hint="eastAsia" w:ascii="宋体" w:hAnsi="宋体"/>
          <w:color w:val="auto"/>
          <w:kern w:val="0"/>
          <w:sz w:val="24"/>
          <w:highlight w:val="none"/>
        </w:rPr>
        <w:t>见评标办法前附表。</w:t>
      </w:r>
    </w:p>
    <w:p w14:paraId="114F7D22">
      <w:pPr>
        <w:pStyle w:val="5"/>
        <w:keepLines w:val="0"/>
        <w:rPr>
          <w:rFonts w:ascii="Arial" w:hAnsi="Arial"/>
          <w:b/>
          <w:color w:val="auto"/>
          <w:sz w:val="28"/>
          <w:szCs w:val="32"/>
          <w:highlight w:val="none"/>
        </w:rPr>
      </w:pPr>
      <w:bookmarkStart w:id="686" w:name="_Toc53685672"/>
      <w:r>
        <w:rPr>
          <w:rFonts w:hint="default" w:ascii="Arial" w:hAnsi="Arial"/>
          <w:b/>
          <w:color w:val="auto"/>
          <w:sz w:val="28"/>
          <w:szCs w:val="32"/>
          <w:highlight w:val="none"/>
        </w:rPr>
        <w:t>3.</w:t>
      </w:r>
      <w:r>
        <w:rPr>
          <w:rFonts w:hint="eastAsia" w:ascii="Arial" w:hAnsi="Arial"/>
          <w:b/>
          <w:color w:val="auto"/>
          <w:sz w:val="28"/>
          <w:szCs w:val="32"/>
          <w:highlight w:val="none"/>
          <w:lang w:val="en-US" w:eastAsia="zh-CN"/>
        </w:rPr>
        <w:t xml:space="preserve"> </w:t>
      </w:r>
      <w:r>
        <w:rPr>
          <w:rFonts w:hint="default" w:ascii="Arial" w:hAnsi="Arial"/>
          <w:b/>
          <w:color w:val="auto"/>
          <w:sz w:val="28"/>
          <w:szCs w:val="32"/>
          <w:highlight w:val="none"/>
        </w:rPr>
        <w:t>评标程序</w:t>
      </w:r>
      <w:bookmarkEnd w:id="686"/>
      <w:r>
        <w:rPr>
          <w:rFonts w:ascii="Arial" w:hAnsi="Arial"/>
          <w:b/>
          <w:color w:val="auto"/>
          <w:sz w:val="28"/>
          <w:szCs w:val="32"/>
          <w:highlight w:val="none"/>
        </w:rPr>
        <w:t xml:space="preserve"> </w:t>
      </w:r>
    </w:p>
    <w:p w14:paraId="63393922">
      <w:pPr>
        <w:pStyle w:val="6"/>
        <w:keepLines w:val="0"/>
        <w:numPr>
          <w:ilvl w:val="0"/>
          <w:numId w:val="0"/>
        </w:numPr>
        <w:spacing w:line="360" w:lineRule="auto"/>
        <w:jc w:val="both"/>
        <w:rPr>
          <w:rFonts w:ascii="Times New Roman" w:hAnsi="Times New Roman"/>
          <w:b w:val="0"/>
          <w:bCs w:val="0"/>
          <w:color w:val="auto"/>
          <w:sz w:val="28"/>
          <w:szCs w:val="32"/>
          <w:highlight w:val="none"/>
        </w:rPr>
      </w:pPr>
      <w:bookmarkStart w:id="687" w:name="_Toc53685673"/>
      <w:r>
        <w:rPr>
          <w:rFonts w:ascii="Times New Roman" w:hAnsi="Times New Roman"/>
          <w:b w:val="0"/>
          <w:bCs w:val="0"/>
          <w:color w:val="auto"/>
          <w:sz w:val="28"/>
          <w:szCs w:val="32"/>
          <w:highlight w:val="none"/>
        </w:rPr>
        <w:t xml:space="preserve">3.1 </w:t>
      </w:r>
      <w:r>
        <w:rPr>
          <w:rFonts w:hint="default" w:ascii="Times New Roman" w:hAnsi="Times New Roman"/>
          <w:b w:val="0"/>
          <w:bCs w:val="0"/>
          <w:color w:val="auto"/>
          <w:sz w:val="28"/>
          <w:szCs w:val="32"/>
          <w:highlight w:val="none"/>
        </w:rPr>
        <w:t>第一个信封初步评审</w:t>
      </w:r>
      <w:bookmarkEnd w:id="687"/>
      <w:r>
        <w:rPr>
          <w:rFonts w:ascii="Times New Roman" w:hAnsi="Times New Roman"/>
          <w:b w:val="0"/>
          <w:bCs w:val="0"/>
          <w:color w:val="auto"/>
          <w:sz w:val="28"/>
          <w:szCs w:val="32"/>
          <w:highlight w:val="none"/>
        </w:rPr>
        <w:t xml:space="preserve"> </w:t>
      </w:r>
    </w:p>
    <w:p w14:paraId="6C89BAAC">
      <w:pPr>
        <w:keepLines/>
        <w:widowControl/>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3.1.1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评标委员会依据本章第</w:t>
      </w:r>
      <w:r>
        <w:rPr>
          <w:rFonts w:ascii="宋体" w:hAnsi="宋体"/>
          <w:color w:val="auto"/>
          <w:kern w:val="0"/>
          <w:sz w:val="24"/>
          <w:highlight w:val="none"/>
        </w:rPr>
        <w:t>2.1</w:t>
      </w:r>
      <w:r>
        <w:rPr>
          <w:rFonts w:hint="eastAsia" w:ascii="宋体" w:hAnsi="宋体"/>
          <w:color w:val="auto"/>
          <w:kern w:val="0"/>
          <w:sz w:val="24"/>
          <w:highlight w:val="none"/>
        </w:rPr>
        <w:t>款规定的标准对投标文件第一个信封（商务及技术文件）进行初步评审。有一项不符合评审标准的，评标委员会应否决其投标。</w:t>
      </w:r>
      <w:r>
        <w:rPr>
          <w:rFonts w:ascii="宋体" w:hAnsi="宋体"/>
          <w:color w:val="auto"/>
          <w:kern w:val="0"/>
          <w:sz w:val="24"/>
          <w:highlight w:val="none"/>
        </w:rPr>
        <w:t xml:space="preserve"> </w:t>
      </w:r>
    </w:p>
    <w:p w14:paraId="5074BCB3">
      <w:pPr>
        <w:pStyle w:val="6"/>
        <w:numPr>
          <w:ilvl w:val="0"/>
          <w:numId w:val="0"/>
        </w:numPr>
        <w:spacing w:line="360" w:lineRule="auto"/>
        <w:jc w:val="both"/>
        <w:rPr>
          <w:rFonts w:ascii="Times New Roman" w:hAnsi="Times New Roman"/>
          <w:b w:val="0"/>
          <w:bCs w:val="0"/>
          <w:color w:val="auto"/>
          <w:sz w:val="28"/>
          <w:szCs w:val="32"/>
          <w:highlight w:val="none"/>
        </w:rPr>
      </w:pPr>
      <w:bookmarkStart w:id="688" w:name="_Toc53685674"/>
      <w:r>
        <w:rPr>
          <w:rFonts w:hint="default" w:ascii="Times New Roman" w:hAnsi="Times New Roman"/>
          <w:b w:val="0"/>
          <w:bCs w:val="0"/>
          <w:color w:val="auto"/>
          <w:sz w:val="28"/>
          <w:szCs w:val="32"/>
          <w:highlight w:val="none"/>
        </w:rPr>
        <w:t>3.2</w:t>
      </w:r>
      <w:r>
        <w:rPr>
          <w:rFonts w:hint="eastAsia" w:ascii="Times New Roman" w:hAnsi="Times New Roman"/>
          <w:b w:val="0"/>
          <w:bCs w:val="0"/>
          <w:color w:val="auto"/>
          <w:sz w:val="28"/>
          <w:szCs w:val="32"/>
          <w:highlight w:val="none"/>
          <w:lang w:val="en-US" w:eastAsia="zh-CN"/>
        </w:rPr>
        <w:t xml:space="preserve"> </w:t>
      </w:r>
      <w:r>
        <w:rPr>
          <w:rFonts w:hint="default" w:ascii="Times New Roman" w:hAnsi="Times New Roman"/>
          <w:b w:val="0"/>
          <w:bCs w:val="0"/>
          <w:color w:val="auto"/>
          <w:sz w:val="28"/>
          <w:szCs w:val="32"/>
          <w:highlight w:val="none"/>
        </w:rPr>
        <w:t>第一个信封详细评审</w:t>
      </w:r>
      <w:bookmarkEnd w:id="688"/>
    </w:p>
    <w:p w14:paraId="3314CC3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3.2.1 </w:t>
      </w:r>
      <w:r>
        <w:rPr>
          <w:rFonts w:hint="eastAsia" w:ascii="宋体" w:hAnsi="宋体" w:cs="宋体"/>
          <w:color w:val="auto"/>
          <w:sz w:val="24"/>
          <w:highlight w:val="none"/>
        </w:rPr>
        <w:t>评标委员会按本章第</w:t>
      </w:r>
      <w:r>
        <w:rPr>
          <w:rFonts w:ascii="宋体" w:hAnsi="宋体" w:cs="宋体"/>
          <w:color w:val="auto"/>
          <w:sz w:val="24"/>
          <w:highlight w:val="none"/>
        </w:rPr>
        <w:t>2.2款规定的量化因素和分值进行打分，并计算出各投标人的商务和技术得分。</w:t>
      </w:r>
    </w:p>
    <w:p w14:paraId="7BC8A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1）按本章第2.2.</w:t>
      </w:r>
      <w:r>
        <w:rPr>
          <w:rFonts w:hint="eastAsia" w:ascii="宋体" w:hAnsi="宋体" w:cs="宋体"/>
          <w:color w:val="auto"/>
          <w:sz w:val="24"/>
          <w:highlight w:val="none"/>
          <w:lang w:val="en-US" w:eastAsia="zh-CN"/>
        </w:rPr>
        <w:t>2</w:t>
      </w:r>
      <w:r>
        <w:rPr>
          <w:rFonts w:ascii="宋体" w:hAnsi="宋体" w:cs="宋体"/>
          <w:color w:val="auto"/>
          <w:sz w:val="24"/>
          <w:highlight w:val="none"/>
        </w:rPr>
        <w:t>项（1）目规定的评审因素和分值对施工组织设计</w:t>
      </w:r>
      <w:r>
        <w:rPr>
          <w:rFonts w:hint="eastAsia" w:ascii="宋体" w:hAnsi="宋体" w:cs="宋体"/>
          <w:color w:val="auto"/>
          <w:sz w:val="24"/>
          <w:highlight w:val="none"/>
          <w:lang w:val="en-US" w:eastAsia="zh-CN"/>
        </w:rPr>
        <w:t>部分</w:t>
      </w:r>
      <w:r>
        <w:rPr>
          <w:rFonts w:ascii="宋体" w:hAnsi="宋体" w:cs="宋体"/>
          <w:color w:val="auto"/>
          <w:sz w:val="24"/>
          <w:highlight w:val="none"/>
        </w:rPr>
        <w:t>计算出得分A；</w:t>
      </w:r>
    </w:p>
    <w:p w14:paraId="0DF419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2）按本章第2.2.</w:t>
      </w:r>
      <w:r>
        <w:rPr>
          <w:rFonts w:hint="eastAsia" w:ascii="宋体" w:hAnsi="宋体" w:cs="宋体"/>
          <w:color w:val="auto"/>
          <w:sz w:val="24"/>
          <w:highlight w:val="none"/>
          <w:lang w:val="en-US" w:eastAsia="zh-CN"/>
        </w:rPr>
        <w:t>2</w:t>
      </w:r>
      <w:r>
        <w:rPr>
          <w:rFonts w:ascii="宋体" w:hAnsi="宋体" w:cs="宋体"/>
          <w:color w:val="auto"/>
          <w:sz w:val="24"/>
          <w:highlight w:val="none"/>
        </w:rPr>
        <w:t>项（2）目规定的评审因素和分值对主要人员部分计算出得分B；</w:t>
      </w:r>
    </w:p>
    <w:p w14:paraId="5E0E2BE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ascii="宋体" w:hAnsi="宋体" w:cs="宋体"/>
          <w:color w:val="auto"/>
          <w:sz w:val="24"/>
          <w:highlight w:val="none"/>
        </w:rPr>
        <w:t>3）按本章第2.2.</w:t>
      </w:r>
      <w:r>
        <w:rPr>
          <w:rFonts w:hint="eastAsia" w:ascii="宋体" w:hAnsi="宋体" w:cs="宋体"/>
          <w:color w:val="auto"/>
          <w:sz w:val="24"/>
          <w:highlight w:val="none"/>
          <w:lang w:val="en-US" w:eastAsia="zh-CN"/>
        </w:rPr>
        <w:t>2</w:t>
      </w:r>
      <w:r>
        <w:rPr>
          <w:rFonts w:ascii="宋体" w:hAnsi="宋体" w:cs="宋体"/>
          <w:color w:val="auto"/>
          <w:sz w:val="24"/>
          <w:highlight w:val="none"/>
        </w:rPr>
        <w:t>项（</w:t>
      </w:r>
      <w:r>
        <w:rPr>
          <w:rFonts w:hint="eastAsia" w:ascii="宋体" w:hAnsi="宋体" w:cs="宋体"/>
          <w:color w:val="auto"/>
          <w:sz w:val="24"/>
          <w:highlight w:val="none"/>
          <w:lang w:val="en-US" w:eastAsia="zh-CN"/>
        </w:rPr>
        <w:t>3</w:t>
      </w:r>
      <w:r>
        <w:rPr>
          <w:rFonts w:ascii="宋体" w:hAnsi="宋体" w:cs="宋体"/>
          <w:color w:val="auto"/>
          <w:sz w:val="24"/>
          <w:highlight w:val="none"/>
        </w:rPr>
        <w:t>）目规定的评审因素和分值对其他部分计算出得分D</w:t>
      </w:r>
      <w:r>
        <w:rPr>
          <w:rFonts w:hint="eastAsia" w:ascii="宋体" w:hAnsi="宋体" w:cs="宋体"/>
          <w:color w:val="auto"/>
          <w:sz w:val="24"/>
          <w:highlight w:val="none"/>
          <w:lang w:eastAsia="zh-CN"/>
        </w:rPr>
        <w:t>。</w:t>
      </w:r>
    </w:p>
    <w:p w14:paraId="6B882D1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3.2.2 </w:t>
      </w:r>
      <w:r>
        <w:rPr>
          <w:rFonts w:hint="eastAsia" w:ascii="宋体" w:hAnsi="宋体" w:cs="宋体"/>
          <w:color w:val="auto"/>
          <w:sz w:val="24"/>
          <w:highlight w:val="none"/>
        </w:rPr>
        <w:t>投标人的商务和技术得分分值计算保留小数点后</w:t>
      </w:r>
      <w:r>
        <w:rPr>
          <w:rFonts w:ascii="宋体" w:hAnsi="宋体"/>
          <w:color w:val="auto"/>
          <w:kern w:val="0"/>
          <w:sz w:val="24"/>
          <w:highlight w:val="none"/>
        </w:rPr>
        <w:t>位数</w:t>
      </w:r>
      <w:r>
        <w:rPr>
          <w:rFonts w:hint="eastAsia" w:ascii="宋体" w:hAnsi="宋体"/>
          <w:color w:val="auto"/>
          <w:kern w:val="0"/>
          <w:sz w:val="24"/>
          <w:highlight w:val="none"/>
        </w:rPr>
        <w:t>：</w:t>
      </w:r>
      <w:r>
        <w:rPr>
          <w:rFonts w:ascii="宋体" w:hAnsi="宋体"/>
          <w:color w:val="auto"/>
          <w:kern w:val="0"/>
          <w:sz w:val="24"/>
          <w:highlight w:val="none"/>
        </w:rPr>
        <w:t>见评标办法前附表</w:t>
      </w:r>
      <w:r>
        <w:rPr>
          <w:rFonts w:hint="eastAsia" w:ascii="宋体" w:hAnsi="宋体" w:cs="宋体"/>
          <w:color w:val="auto"/>
          <w:sz w:val="24"/>
          <w:highlight w:val="none"/>
        </w:rPr>
        <w:t>。</w:t>
      </w:r>
    </w:p>
    <w:p w14:paraId="0E606DE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3.2.3 </w:t>
      </w:r>
      <w:r>
        <w:rPr>
          <w:rFonts w:hint="eastAsia" w:ascii="宋体" w:hAnsi="宋体" w:cs="宋体"/>
          <w:color w:val="auto"/>
          <w:sz w:val="24"/>
          <w:highlight w:val="none"/>
        </w:rPr>
        <w:t>投标人的商务和技术得分＝</w:t>
      </w:r>
      <w:r>
        <w:rPr>
          <w:rFonts w:ascii="宋体" w:hAnsi="宋体" w:cs="宋体"/>
          <w:color w:val="auto"/>
          <w:sz w:val="24"/>
          <w:highlight w:val="none"/>
        </w:rPr>
        <w:t>A＋B＋D。</w:t>
      </w:r>
    </w:p>
    <w:p w14:paraId="74361DC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评标委员会按照投标人的商务和技术得分由高到低排序，排名在评标办法前附表规定数量</w:t>
      </w:r>
      <w:r>
        <w:rPr>
          <w:rFonts w:hint="eastAsia" w:ascii="宋体" w:hAnsi="宋体" w:cs="宋体"/>
          <w:color w:val="auto"/>
          <w:sz w:val="24"/>
          <w:highlight w:val="none"/>
        </w:rPr>
        <w:t>以</w:t>
      </w:r>
      <w:r>
        <w:rPr>
          <w:rFonts w:ascii="宋体" w:hAnsi="宋体" w:cs="宋体"/>
          <w:color w:val="auto"/>
          <w:sz w:val="24"/>
          <w:highlight w:val="none"/>
        </w:rPr>
        <w:t>内的</w:t>
      </w:r>
      <w:r>
        <w:rPr>
          <w:rFonts w:hint="eastAsia" w:ascii="宋体" w:hAnsi="宋体" w:cs="宋体"/>
          <w:color w:val="auto"/>
          <w:sz w:val="24"/>
          <w:highlight w:val="none"/>
        </w:rPr>
        <w:t>投标人，</w:t>
      </w:r>
      <w:r>
        <w:rPr>
          <w:rFonts w:ascii="宋体" w:hAnsi="宋体" w:cs="宋体"/>
          <w:color w:val="auto"/>
          <w:sz w:val="24"/>
          <w:highlight w:val="none"/>
        </w:rPr>
        <w:t>其</w:t>
      </w:r>
      <w:r>
        <w:rPr>
          <w:rFonts w:hint="eastAsia" w:ascii="宋体" w:hAnsi="宋体" w:cs="宋体"/>
          <w:color w:val="auto"/>
          <w:sz w:val="24"/>
          <w:highlight w:val="none"/>
        </w:rPr>
        <w:t>投标文件第一个信封（商务及技术文件）通过详细评审。</w:t>
      </w:r>
    </w:p>
    <w:p w14:paraId="76F8F54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3.2.5</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通过投标文件</w:t>
      </w:r>
      <w:r>
        <w:rPr>
          <w:rFonts w:hint="eastAsia" w:ascii="宋体" w:hAnsi="宋体" w:cs="宋体"/>
          <w:color w:val="auto"/>
          <w:sz w:val="24"/>
          <w:highlight w:val="none"/>
          <w:lang w:eastAsia="zh-CN"/>
        </w:rPr>
        <w:t>第</w:t>
      </w:r>
      <w:r>
        <w:rPr>
          <w:rFonts w:ascii="宋体" w:hAnsi="宋体" w:cs="宋体"/>
          <w:color w:val="auto"/>
          <w:sz w:val="24"/>
          <w:highlight w:val="none"/>
        </w:rPr>
        <w:t>一个信封（</w:t>
      </w:r>
      <w:r>
        <w:rPr>
          <w:rFonts w:hint="eastAsia" w:ascii="宋体" w:hAnsi="宋体" w:cs="宋体"/>
          <w:color w:val="auto"/>
          <w:sz w:val="24"/>
          <w:highlight w:val="none"/>
        </w:rPr>
        <w:t>商务及技术文件</w:t>
      </w:r>
      <w:r>
        <w:rPr>
          <w:rFonts w:ascii="宋体" w:hAnsi="宋体" w:cs="宋体"/>
          <w:color w:val="auto"/>
          <w:sz w:val="24"/>
          <w:highlight w:val="none"/>
        </w:rPr>
        <w:t>）</w:t>
      </w:r>
      <w:r>
        <w:rPr>
          <w:rFonts w:hint="eastAsia" w:ascii="宋体" w:hAnsi="宋体" w:cs="宋体"/>
          <w:color w:val="auto"/>
          <w:sz w:val="24"/>
          <w:highlight w:val="none"/>
        </w:rPr>
        <w:t>初步评审</w:t>
      </w:r>
      <w:r>
        <w:rPr>
          <w:rFonts w:ascii="宋体" w:hAnsi="宋体" w:cs="宋体"/>
          <w:color w:val="auto"/>
          <w:sz w:val="24"/>
          <w:highlight w:val="none"/>
        </w:rPr>
        <w:t>的投标人不少于3</w:t>
      </w:r>
      <w:r>
        <w:rPr>
          <w:rFonts w:hint="eastAsia" w:ascii="宋体" w:hAnsi="宋体" w:cs="宋体"/>
          <w:color w:val="auto"/>
          <w:sz w:val="24"/>
          <w:highlight w:val="none"/>
          <w:lang w:val="en-US" w:eastAsia="zh-CN"/>
        </w:rPr>
        <w:t>名</w:t>
      </w:r>
      <w:r>
        <w:rPr>
          <w:rFonts w:ascii="宋体" w:hAnsi="宋体" w:cs="宋体"/>
          <w:color w:val="auto"/>
          <w:sz w:val="24"/>
          <w:highlight w:val="none"/>
        </w:rPr>
        <w:t>且</w:t>
      </w:r>
      <w:r>
        <w:rPr>
          <w:rFonts w:hint="eastAsia" w:ascii="宋体" w:hAnsi="宋体" w:cs="宋体"/>
          <w:color w:val="auto"/>
          <w:sz w:val="24"/>
          <w:highlight w:val="none"/>
        </w:rPr>
        <w:t>未超过</w:t>
      </w:r>
      <w:r>
        <w:rPr>
          <w:rFonts w:ascii="宋体" w:hAnsi="宋体" w:cs="宋体"/>
          <w:color w:val="auto"/>
          <w:sz w:val="24"/>
          <w:highlight w:val="none"/>
        </w:rPr>
        <w:t>评标办法前附表第3.2.4项规定数量的，均通过投标文件第一个信封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商务</w:t>
      </w:r>
      <w:r>
        <w:rPr>
          <w:rFonts w:ascii="宋体" w:hAnsi="宋体" w:cs="宋体"/>
          <w:color w:val="auto"/>
          <w:sz w:val="24"/>
          <w:highlight w:val="none"/>
        </w:rPr>
        <w:t>及技术文件</w:t>
      </w:r>
      <w:r>
        <w:rPr>
          <w:rFonts w:hint="eastAsia" w:ascii="宋体" w:hAnsi="宋体" w:cs="宋体"/>
          <w:color w:val="auto"/>
          <w:sz w:val="24"/>
          <w:highlight w:val="none"/>
        </w:rPr>
        <w:t>）详细评审</w:t>
      </w:r>
      <w:r>
        <w:rPr>
          <w:rFonts w:ascii="宋体" w:hAnsi="宋体" w:cs="宋体"/>
          <w:color w:val="auto"/>
          <w:sz w:val="24"/>
          <w:highlight w:val="none"/>
        </w:rPr>
        <w:t>，不再对投标人的商务和技术文件进行评分</w:t>
      </w:r>
      <w:r>
        <w:rPr>
          <w:rFonts w:hint="eastAsia" w:ascii="宋体" w:hAnsi="宋体" w:cs="宋体"/>
          <w:color w:val="auto"/>
          <w:sz w:val="24"/>
          <w:highlight w:val="none"/>
        </w:rPr>
        <w:t>。</w:t>
      </w:r>
    </w:p>
    <w:p w14:paraId="51B00F42">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689" w:name="_Toc53685675"/>
      <w:r>
        <w:rPr>
          <w:rFonts w:ascii="Times New Roman" w:hAnsi="Times New Roman"/>
          <w:b w:val="0"/>
          <w:bCs w:val="0"/>
          <w:color w:val="auto"/>
          <w:sz w:val="28"/>
          <w:szCs w:val="32"/>
          <w:highlight w:val="none"/>
        </w:rPr>
        <w:t>3.3</w:t>
      </w:r>
      <w:r>
        <w:rPr>
          <w:rFonts w:hint="eastAsia" w:ascii="Times New Roman" w:hAnsi="Times New Roman"/>
          <w:b w:val="0"/>
          <w:bCs w:val="0"/>
          <w:color w:val="auto"/>
          <w:sz w:val="28"/>
          <w:szCs w:val="32"/>
          <w:highlight w:val="none"/>
          <w:lang w:val="en-US" w:eastAsia="zh-CN"/>
        </w:rPr>
        <w:t xml:space="preserve"> </w:t>
      </w:r>
      <w:r>
        <w:rPr>
          <w:rFonts w:hint="default" w:ascii="Times New Roman" w:hAnsi="Times New Roman"/>
          <w:b w:val="0"/>
          <w:bCs w:val="0"/>
          <w:color w:val="auto"/>
          <w:sz w:val="28"/>
          <w:szCs w:val="32"/>
          <w:highlight w:val="none"/>
        </w:rPr>
        <w:t>第二个信封开标</w:t>
      </w:r>
      <w:bookmarkEnd w:id="689"/>
      <w:r>
        <w:rPr>
          <w:rFonts w:ascii="Times New Roman" w:hAnsi="Times New Roman"/>
          <w:b w:val="0"/>
          <w:bCs w:val="0"/>
          <w:color w:val="auto"/>
          <w:sz w:val="28"/>
          <w:szCs w:val="32"/>
          <w:highlight w:val="none"/>
        </w:rPr>
        <w:t xml:space="preserve"> </w:t>
      </w:r>
    </w:p>
    <w:p w14:paraId="288D0F54">
      <w:pPr>
        <w:widowControl w:val="0"/>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第一个信封（商务及技术文件）评审结束后，招标人将按照第二章“投标人须知”</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第</w:t>
      </w:r>
      <w:r>
        <w:rPr>
          <w:rFonts w:ascii="宋体" w:hAnsi="宋体"/>
          <w:color w:val="auto"/>
          <w:kern w:val="0"/>
          <w:sz w:val="24"/>
          <w:highlight w:val="none"/>
        </w:rPr>
        <w:t>5.1</w:t>
      </w:r>
      <w:r>
        <w:rPr>
          <w:rFonts w:hint="eastAsia" w:ascii="宋体" w:hAnsi="宋体" w:cs="宋体"/>
          <w:color w:val="auto"/>
          <w:kern w:val="0"/>
          <w:sz w:val="24"/>
          <w:highlight w:val="none"/>
        </w:rPr>
        <w:t>款规定的时间和地点对通过投标文件第一个信封（商务及技术文件）评审的投标文件第二个信封（报价文件）进行开标。</w:t>
      </w:r>
      <w:r>
        <w:rPr>
          <w:rFonts w:ascii="宋体" w:hAnsi="宋体" w:cs="宋体"/>
          <w:color w:val="auto"/>
          <w:kern w:val="0"/>
          <w:sz w:val="24"/>
          <w:highlight w:val="none"/>
        </w:rPr>
        <w:t xml:space="preserve"> </w:t>
      </w:r>
    </w:p>
    <w:p w14:paraId="4D09360A">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690" w:name="_Toc53685676"/>
      <w:r>
        <w:rPr>
          <w:rFonts w:ascii="Times New Roman" w:hAnsi="Times New Roman"/>
          <w:b w:val="0"/>
          <w:bCs w:val="0"/>
          <w:color w:val="auto"/>
          <w:sz w:val="28"/>
          <w:szCs w:val="32"/>
          <w:highlight w:val="none"/>
        </w:rPr>
        <w:t>3.4</w:t>
      </w:r>
      <w:r>
        <w:rPr>
          <w:rFonts w:hint="default" w:ascii="Times New Roman" w:hAnsi="Times New Roman"/>
          <w:b w:val="0"/>
          <w:bCs w:val="0"/>
          <w:color w:val="auto"/>
          <w:sz w:val="28"/>
          <w:szCs w:val="32"/>
          <w:highlight w:val="none"/>
        </w:rPr>
        <w:t xml:space="preserve"> 第二个信封初步评审</w:t>
      </w:r>
      <w:bookmarkEnd w:id="690"/>
      <w:r>
        <w:rPr>
          <w:rFonts w:ascii="Times New Roman" w:hAnsi="Times New Roman"/>
          <w:b w:val="0"/>
          <w:bCs w:val="0"/>
          <w:color w:val="auto"/>
          <w:sz w:val="28"/>
          <w:szCs w:val="32"/>
          <w:highlight w:val="none"/>
        </w:rPr>
        <w:t xml:space="preserve"> </w:t>
      </w:r>
    </w:p>
    <w:p w14:paraId="48780B9E">
      <w:pPr>
        <w:widowControl w:val="0"/>
        <w:snapToGrid w:val="0"/>
        <w:spacing w:line="360" w:lineRule="auto"/>
        <w:ind w:firstLine="420"/>
        <w:rPr>
          <w:rFonts w:ascii="宋体" w:hAnsi="宋体" w:cs="宋体"/>
          <w:color w:val="auto"/>
          <w:kern w:val="0"/>
          <w:sz w:val="24"/>
          <w:highlight w:val="none"/>
        </w:rPr>
      </w:pPr>
      <w:r>
        <w:rPr>
          <w:rFonts w:ascii="宋体" w:hAnsi="宋体"/>
          <w:color w:val="auto"/>
          <w:kern w:val="0"/>
          <w:sz w:val="24"/>
          <w:highlight w:val="none"/>
        </w:rPr>
        <w:t xml:space="preserve">3.4.1 </w:t>
      </w:r>
      <w:r>
        <w:rPr>
          <w:rFonts w:hint="eastAsia" w:ascii="宋体" w:hAnsi="宋体" w:cs="宋体"/>
          <w:color w:val="auto"/>
          <w:kern w:val="0"/>
          <w:sz w:val="24"/>
          <w:highlight w:val="none"/>
        </w:rPr>
        <w:t>评标委员会依据本章第</w:t>
      </w:r>
      <w:r>
        <w:rPr>
          <w:rFonts w:ascii="宋体" w:hAnsi="宋体"/>
          <w:color w:val="auto"/>
          <w:kern w:val="0"/>
          <w:sz w:val="24"/>
          <w:highlight w:val="none"/>
        </w:rPr>
        <w:t>2.1.1</w:t>
      </w:r>
      <w:r>
        <w:rPr>
          <w:rFonts w:hint="eastAsia" w:ascii="宋体" w:hAnsi="宋体" w:cs="宋体"/>
          <w:color w:val="auto"/>
          <w:kern w:val="0"/>
          <w:sz w:val="24"/>
          <w:highlight w:val="none"/>
        </w:rPr>
        <w:t>项、第</w:t>
      </w:r>
      <w:r>
        <w:rPr>
          <w:rFonts w:ascii="宋体" w:hAnsi="宋体"/>
          <w:color w:val="auto"/>
          <w:kern w:val="0"/>
          <w:sz w:val="24"/>
          <w:highlight w:val="none"/>
        </w:rPr>
        <w:t>2.1.3</w:t>
      </w:r>
      <w:r>
        <w:rPr>
          <w:rFonts w:hint="eastAsia" w:ascii="宋体" w:hAnsi="宋体" w:cs="宋体"/>
          <w:color w:val="auto"/>
          <w:kern w:val="0"/>
          <w:sz w:val="24"/>
          <w:highlight w:val="none"/>
        </w:rPr>
        <w:t>项规定的评审标准对投标文件第二个信封（报价文件）进行初步评审。有一项不符合评审标准的，评标委员会应否决其投标。</w:t>
      </w:r>
      <w:r>
        <w:rPr>
          <w:rFonts w:ascii="宋体" w:hAnsi="宋体" w:cs="宋体"/>
          <w:color w:val="auto"/>
          <w:kern w:val="0"/>
          <w:sz w:val="24"/>
          <w:highlight w:val="none"/>
        </w:rPr>
        <w:t xml:space="preserve"> </w:t>
      </w:r>
    </w:p>
    <w:p w14:paraId="1B513503">
      <w:pPr>
        <w:widowControl/>
        <w:snapToGrid w:val="0"/>
        <w:spacing w:line="360" w:lineRule="auto"/>
        <w:ind w:firstLine="420"/>
        <w:rPr>
          <w:rFonts w:ascii="宋体" w:hAnsi="宋体" w:cs="宋体"/>
          <w:color w:val="auto"/>
          <w:kern w:val="0"/>
          <w:sz w:val="24"/>
          <w:highlight w:val="none"/>
        </w:rPr>
      </w:pPr>
      <w:r>
        <w:rPr>
          <w:rFonts w:ascii="宋体" w:hAnsi="宋体"/>
          <w:color w:val="auto"/>
          <w:kern w:val="0"/>
          <w:sz w:val="24"/>
          <w:highlight w:val="none"/>
        </w:rPr>
        <w:t xml:space="preserve">3.4.2 </w:t>
      </w:r>
      <w:r>
        <w:rPr>
          <w:rFonts w:hint="eastAsia" w:ascii="宋体" w:hAnsi="宋体" w:cs="宋体"/>
          <w:color w:val="auto"/>
          <w:kern w:val="0"/>
          <w:sz w:val="24"/>
          <w:highlight w:val="none"/>
        </w:rPr>
        <w:t>投标报价有算术错误的，评标委员会按</w:t>
      </w:r>
      <w:r>
        <w:rPr>
          <w:rFonts w:hint="eastAsia" w:ascii="宋体" w:hAnsi="宋体"/>
          <w:color w:val="auto"/>
          <w:sz w:val="24"/>
          <w:highlight w:val="none"/>
        </w:rPr>
        <w:t>评标办法前附表</w:t>
      </w:r>
      <w:r>
        <w:rPr>
          <w:rFonts w:hint="eastAsia" w:ascii="宋体" w:hAnsi="宋体" w:cs="宋体"/>
          <w:color w:val="auto"/>
          <w:kern w:val="0"/>
          <w:sz w:val="24"/>
          <w:highlight w:val="none"/>
        </w:rPr>
        <w:t>原则对投标报价进行修正，修正的价格经投标人书面确认后具有约束力。投标人不接受修正价格的，评标委员会应否决其投标。</w:t>
      </w:r>
      <w:r>
        <w:rPr>
          <w:rFonts w:ascii="宋体" w:hAnsi="宋体" w:cs="宋体"/>
          <w:color w:val="auto"/>
          <w:kern w:val="0"/>
          <w:sz w:val="24"/>
          <w:highlight w:val="none"/>
        </w:rPr>
        <w:t xml:space="preserve"> </w:t>
      </w:r>
    </w:p>
    <w:p w14:paraId="291A8EC5">
      <w:pPr>
        <w:widowControl/>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3.4.3 </w:t>
      </w:r>
      <w:r>
        <w:rPr>
          <w:rFonts w:hint="eastAsia" w:ascii="宋体" w:hAnsi="宋体" w:cs="宋体"/>
          <w:color w:val="auto"/>
          <w:kern w:val="0"/>
          <w:sz w:val="24"/>
          <w:highlight w:val="none"/>
        </w:rPr>
        <w:t>工程量清单中的投标报价有其他错误的，评标委员会按</w:t>
      </w:r>
      <w:r>
        <w:rPr>
          <w:rFonts w:hint="eastAsia" w:ascii="宋体" w:hAnsi="宋体"/>
          <w:color w:val="auto"/>
          <w:sz w:val="24"/>
          <w:highlight w:val="none"/>
        </w:rPr>
        <w:t>评标办法前附表</w:t>
      </w:r>
      <w:r>
        <w:rPr>
          <w:rFonts w:hint="eastAsia" w:ascii="宋体" w:hAnsi="宋体" w:cs="宋体"/>
          <w:color w:val="auto"/>
          <w:kern w:val="0"/>
          <w:sz w:val="24"/>
          <w:highlight w:val="none"/>
        </w:rPr>
        <w:t>原则对投标报价进行修正，修正的价格经投标人书面确认后具有约束力。投标人不接受修正价格的，评标委员会应否决其投标。</w:t>
      </w:r>
      <w:r>
        <w:rPr>
          <w:rFonts w:ascii="宋体" w:hAnsi="宋体" w:cs="宋体"/>
          <w:color w:val="auto"/>
          <w:kern w:val="0"/>
          <w:sz w:val="24"/>
          <w:highlight w:val="none"/>
        </w:rPr>
        <w:t xml:space="preserve"> </w:t>
      </w:r>
    </w:p>
    <w:p w14:paraId="61E56372">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3.4.4 </w:t>
      </w:r>
      <w:r>
        <w:rPr>
          <w:rFonts w:hint="eastAsia" w:ascii="宋体" w:hAnsi="宋体"/>
          <w:color w:val="auto"/>
          <w:kern w:val="0"/>
          <w:sz w:val="24"/>
          <w:highlight w:val="none"/>
        </w:rPr>
        <w:t>修正后的最终投标报价若超过最高投标限价（如有），评标委员会应否决其投标。</w:t>
      </w:r>
      <w:r>
        <w:rPr>
          <w:rFonts w:ascii="宋体" w:hAnsi="宋体"/>
          <w:color w:val="auto"/>
          <w:kern w:val="0"/>
          <w:sz w:val="24"/>
          <w:highlight w:val="none"/>
        </w:rPr>
        <w:t xml:space="preserve"> </w:t>
      </w:r>
    </w:p>
    <w:p w14:paraId="12D82EAC">
      <w:pPr>
        <w:pStyle w:val="6"/>
        <w:numPr>
          <w:ilvl w:val="0"/>
          <w:numId w:val="0"/>
        </w:numPr>
        <w:spacing w:line="360" w:lineRule="auto"/>
        <w:jc w:val="both"/>
        <w:rPr>
          <w:rFonts w:ascii="Times New Roman" w:hAnsi="Times New Roman"/>
          <w:b w:val="0"/>
          <w:bCs w:val="0"/>
          <w:color w:val="auto"/>
          <w:sz w:val="28"/>
          <w:szCs w:val="32"/>
          <w:highlight w:val="none"/>
        </w:rPr>
      </w:pPr>
      <w:bookmarkStart w:id="691" w:name="_Toc53685677"/>
      <w:r>
        <w:rPr>
          <w:rFonts w:ascii="Times New Roman" w:hAnsi="Times New Roman"/>
          <w:b w:val="0"/>
          <w:bCs w:val="0"/>
          <w:color w:val="auto"/>
          <w:sz w:val="28"/>
          <w:szCs w:val="32"/>
          <w:highlight w:val="none"/>
        </w:rPr>
        <w:t>3.5</w:t>
      </w:r>
      <w:r>
        <w:rPr>
          <w:rFonts w:hint="default" w:ascii="Times New Roman" w:hAnsi="Times New Roman"/>
          <w:b w:val="0"/>
          <w:bCs w:val="0"/>
          <w:color w:val="auto"/>
          <w:sz w:val="28"/>
          <w:szCs w:val="32"/>
          <w:highlight w:val="none"/>
        </w:rPr>
        <w:t xml:space="preserve"> 第二个信封详细评审</w:t>
      </w:r>
      <w:bookmarkEnd w:id="691"/>
      <w:r>
        <w:rPr>
          <w:rFonts w:ascii="Times New Roman" w:hAnsi="Times New Roman"/>
          <w:b w:val="0"/>
          <w:bCs w:val="0"/>
          <w:color w:val="auto"/>
          <w:sz w:val="28"/>
          <w:szCs w:val="32"/>
          <w:highlight w:val="none"/>
        </w:rPr>
        <w:t xml:space="preserve"> </w:t>
      </w:r>
    </w:p>
    <w:p w14:paraId="2405269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3.5.1 </w:t>
      </w:r>
      <w:r>
        <w:rPr>
          <w:rFonts w:hint="eastAsia" w:ascii="宋体" w:hAnsi="宋体" w:cs="宋体"/>
          <w:color w:val="auto"/>
          <w:sz w:val="24"/>
          <w:highlight w:val="none"/>
        </w:rPr>
        <w:t>评标委员会按本章第</w:t>
      </w:r>
      <w:r>
        <w:rPr>
          <w:rFonts w:ascii="宋体" w:hAnsi="宋体" w:cs="宋体"/>
          <w:color w:val="auto"/>
          <w:sz w:val="24"/>
          <w:highlight w:val="none"/>
        </w:rPr>
        <w:t>2.2.3</w:t>
      </w:r>
      <w:r>
        <w:rPr>
          <w:rFonts w:hint="eastAsia" w:ascii="宋体" w:hAnsi="宋体" w:cs="宋体"/>
          <w:color w:val="auto"/>
          <w:sz w:val="24"/>
          <w:highlight w:val="none"/>
        </w:rPr>
        <w:t>项规定的评审因素和标准计算出评标价。</w:t>
      </w:r>
      <w:r>
        <w:rPr>
          <w:rFonts w:ascii="宋体" w:hAnsi="宋体" w:cs="宋体"/>
          <w:color w:val="auto"/>
          <w:sz w:val="24"/>
          <w:highlight w:val="none"/>
        </w:rPr>
        <w:t xml:space="preserve"> </w:t>
      </w:r>
    </w:p>
    <w:p w14:paraId="07E93C3D">
      <w:pPr>
        <w:widowControl/>
        <w:snapToGrid w:val="0"/>
        <w:spacing w:line="360" w:lineRule="auto"/>
        <w:ind w:firstLine="480"/>
        <w:rPr>
          <w:rFonts w:ascii="宋体" w:hAnsi="宋体"/>
          <w:color w:val="auto"/>
          <w:kern w:val="0"/>
          <w:sz w:val="24"/>
          <w:highlight w:val="none"/>
        </w:rPr>
      </w:pPr>
      <w:r>
        <w:rPr>
          <w:rFonts w:ascii="宋体" w:hAnsi="宋体" w:cs="宋体"/>
          <w:color w:val="auto"/>
          <w:sz w:val="24"/>
          <w:highlight w:val="none"/>
        </w:rPr>
        <w:t>3.5.2</w:t>
      </w:r>
      <w:r>
        <w:rPr>
          <w:rFonts w:hint="eastAsia" w:ascii="宋体" w:hAnsi="宋体" w:cs="宋体"/>
          <w:color w:val="auto"/>
          <w:sz w:val="24"/>
          <w:highlight w:val="none"/>
          <w:lang w:val="en-US" w:eastAsia="zh-CN"/>
        </w:rPr>
        <w:t xml:space="preserve"> </w:t>
      </w:r>
      <w:r>
        <w:rPr>
          <w:rFonts w:hint="eastAsia" w:ascii="宋体" w:hAnsi="宋体"/>
          <w:color w:val="auto"/>
          <w:kern w:val="0"/>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color w:val="auto"/>
          <w:kern w:val="0"/>
          <w:sz w:val="24"/>
          <w:highlight w:val="none"/>
        </w:rPr>
        <w:t xml:space="preserve"> </w:t>
      </w:r>
    </w:p>
    <w:p w14:paraId="476553CB">
      <w:pPr>
        <w:pStyle w:val="6"/>
        <w:numPr>
          <w:ilvl w:val="0"/>
          <w:numId w:val="0"/>
        </w:numPr>
        <w:spacing w:line="360" w:lineRule="auto"/>
        <w:jc w:val="both"/>
        <w:rPr>
          <w:rFonts w:ascii="Times New Roman" w:hAnsi="Times New Roman"/>
          <w:b w:val="0"/>
          <w:bCs w:val="0"/>
          <w:color w:val="auto"/>
          <w:sz w:val="28"/>
          <w:szCs w:val="32"/>
          <w:highlight w:val="none"/>
        </w:rPr>
      </w:pPr>
      <w:bookmarkStart w:id="692" w:name="_Toc53685678"/>
      <w:r>
        <w:rPr>
          <w:rFonts w:ascii="Times New Roman" w:hAnsi="Times New Roman"/>
          <w:b w:val="0"/>
          <w:bCs w:val="0"/>
          <w:color w:val="auto"/>
          <w:sz w:val="28"/>
          <w:szCs w:val="32"/>
          <w:highlight w:val="none"/>
        </w:rPr>
        <w:t>3.6</w:t>
      </w:r>
      <w:r>
        <w:rPr>
          <w:rFonts w:hint="default" w:ascii="Times New Roman" w:hAnsi="Times New Roman"/>
          <w:b w:val="0"/>
          <w:bCs w:val="0"/>
          <w:color w:val="auto"/>
          <w:sz w:val="28"/>
          <w:szCs w:val="32"/>
          <w:highlight w:val="none"/>
        </w:rPr>
        <w:t xml:space="preserve"> 投标文件相关信息的核查</w:t>
      </w:r>
      <w:bookmarkEnd w:id="692"/>
      <w:r>
        <w:rPr>
          <w:rFonts w:ascii="Times New Roman" w:hAnsi="Times New Roman"/>
          <w:b w:val="0"/>
          <w:bCs w:val="0"/>
          <w:color w:val="auto"/>
          <w:sz w:val="28"/>
          <w:szCs w:val="32"/>
          <w:highlight w:val="none"/>
        </w:rPr>
        <w:t xml:space="preserve"> </w:t>
      </w:r>
    </w:p>
    <w:p w14:paraId="5572E3B2">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3.6.1 </w:t>
      </w:r>
      <w:bookmarkStart w:id="693" w:name="_Hlk98663561"/>
      <w:r>
        <w:rPr>
          <w:rFonts w:hint="eastAsia" w:ascii="宋体" w:hAnsi="宋体"/>
          <w:color w:val="auto"/>
          <w:kern w:val="0"/>
          <w:sz w:val="24"/>
          <w:highlight w:val="none"/>
        </w:rPr>
        <w:t>在评标过程中，评标委员会应查询交通运输主管部门“</w:t>
      </w:r>
      <w:r>
        <w:rPr>
          <w:rFonts w:hint="eastAsia" w:ascii="宋体" w:hAnsi="宋体" w:cs="Times New Roman"/>
          <w:color w:val="auto"/>
          <w:kern w:val="0"/>
          <w:sz w:val="24"/>
          <w:szCs w:val="24"/>
          <w:highlight w:val="none"/>
        </w:rPr>
        <w:t>全国公路建设市场监督管理系统</w:t>
      </w:r>
      <w:r>
        <w:rPr>
          <w:rFonts w:hint="eastAsia" w:ascii="宋体" w:hAnsi="宋体"/>
          <w:color w:val="auto"/>
          <w:kern w:val="0"/>
          <w:sz w:val="24"/>
          <w:highlight w:val="none"/>
        </w:rPr>
        <w:t>”，对投标人的资质、业绩、主要人员资历等信息进行核实，信用等级</w:t>
      </w:r>
      <w:bookmarkStart w:id="694" w:name="_Hlk93753323"/>
      <w:r>
        <w:rPr>
          <w:rFonts w:hint="eastAsia" w:ascii="宋体" w:hAnsi="宋体"/>
          <w:color w:val="auto"/>
          <w:sz w:val="24"/>
          <w:highlight w:val="none"/>
        </w:rPr>
        <w:t>信息应以“信用交通·四川”上查询结果为准</w:t>
      </w:r>
      <w:bookmarkEnd w:id="694"/>
      <w:r>
        <w:rPr>
          <w:rFonts w:hint="eastAsia" w:ascii="宋体" w:hAnsi="宋体"/>
          <w:color w:val="auto"/>
          <w:kern w:val="0"/>
          <w:sz w:val="24"/>
          <w:highlight w:val="none"/>
        </w:rPr>
        <w:t>。若投标文件</w:t>
      </w:r>
      <w:r>
        <w:rPr>
          <w:rFonts w:hint="eastAsia" w:ascii="宋体" w:hAnsi="宋体"/>
          <w:color w:val="auto"/>
          <w:kern w:val="0"/>
          <w:sz w:val="24"/>
          <w:highlight w:val="none"/>
          <w:lang w:val="en-US" w:eastAsia="zh-CN"/>
        </w:rPr>
        <w:t>提供</w:t>
      </w:r>
      <w:r>
        <w:rPr>
          <w:rFonts w:hint="eastAsia" w:ascii="宋体" w:hAnsi="宋体"/>
          <w:color w:val="auto"/>
          <w:kern w:val="0"/>
          <w:sz w:val="24"/>
          <w:highlight w:val="none"/>
        </w:rPr>
        <w:t>的信息与</w:t>
      </w:r>
      <w:bookmarkStart w:id="695" w:name="_Hlk93753343"/>
      <w:r>
        <w:rPr>
          <w:rFonts w:hint="eastAsia" w:ascii="宋体" w:hAnsi="宋体"/>
          <w:color w:val="auto"/>
          <w:kern w:val="0"/>
          <w:sz w:val="24"/>
          <w:highlight w:val="none"/>
        </w:rPr>
        <w:t>上述</w:t>
      </w:r>
      <w:r>
        <w:rPr>
          <w:rFonts w:ascii="宋体" w:hAnsi="宋体"/>
          <w:color w:val="auto"/>
          <w:kern w:val="0"/>
          <w:sz w:val="24"/>
          <w:highlight w:val="none"/>
        </w:rPr>
        <w:t>信息发布平台</w:t>
      </w:r>
      <w:bookmarkEnd w:id="695"/>
      <w:r>
        <w:rPr>
          <w:rFonts w:hint="eastAsia" w:ascii="宋体" w:hAnsi="宋体"/>
          <w:color w:val="auto"/>
          <w:kern w:val="0"/>
          <w:sz w:val="24"/>
          <w:highlight w:val="none"/>
        </w:rPr>
        <w:t>发布的信息不符，使得投标人的资格条件不符合招标文件规定的，评标委员会应否决其投标</w:t>
      </w:r>
      <w:bookmarkEnd w:id="693"/>
      <w:r>
        <w:rPr>
          <w:rFonts w:hint="eastAsia" w:ascii="宋体" w:hAnsi="宋体"/>
          <w:color w:val="auto"/>
          <w:kern w:val="0"/>
          <w:sz w:val="24"/>
          <w:highlight w:val="none"/>
        </w:rPr>
        <w:t>。</w:t>
      </w:r>
      <w:r>
        <w:rPr>
          <w:rFonts w:ascii="宋体" w:hAnsi="宋体"/>
          <w:color w:val="auto"/>
          <w:kern w:val="0"/>
          <w:sz w:val="24"/>
          <w:highlight w:val="none"/>
        </w:rPr>
        <w:t xml:space="preserve"> </w:t>
      </w:r>
    </w:p>
    <w:p w14:paraId="0DB3109B">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3.6.2 </w:t>
      </w:r>
      <w:r>
        <w:rPr>
          <w:rFonts w:hint="eastAsia" w:ascii="宋体" w:hAnsi="宋体"/>
          <w:color w:val="auto"/>
          <w:kern w:val="0"/>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color w:val="auto"/>
          <w:kern w:val="0"/>
          <w:sz w:val="24"/>
          <w:highlight w:val="none"/>
        </w:rPr>
        <w:t xml:space="preserve"> </w:t>
      </w:r>
    </w:p>
    <w:p w14:paraId="3E9278E0">
      <w:pPr>
        <w:widowControl/>
        <w:snapToGrid w:val="0"/>
        <w:spacing w:line="360" w:lineRule="auto"/>
        <w:ind w:left="42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）有下列情形之一的，属于投标人相互串通投标：</w:t>
      </w:r>
      <w:r>
        <w:rPr>
          <w:rFonts w:ascii="宋体" w:hAnsi="宋体"/>
          <w:color w:val="auto"/>
          <w:kern w:val="0"/>
          <w:sz w:val="24"/>
          <w:highlight w:val="none"/>
        </w:rPr>
        <w:t xml:space="preserve"> </w:t>
      </w:r>
    </w:p>
    <w:p w14:paraId="35241F1C">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投标人之间协商投标报价等投标文件的实质性内容；</w:t>
      </w:r>
      <w:r>
        <w:rPr>
          <w:rFonts w:ascii="宋体" w:hAnsi="宋体"/>
          <w:color w:val="auto"/>
          <w:kern w:val="0"/>
          <w:sz w:val="24"/>
          <w:highlight w:val="none"/>
        </w:rPr>
        <w:t xml:space="preserve"> </w:t>
      </w:r>
    </w:p>
    <w:p w14:paraId="31F52BBE">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投标人之间约定中标人；</w:t>
      </w:r>
      <w:r>
        <w:rPr>
          <w:rFonts w:ascii="宋体" w:hAnsi="宋体"/>
          <w:color w:val="auto"/>
          <w:kern w:val="0"/>
          <w:sz w:val="24"/>
          <w:highlight w:val="none"/>
        </w:rPr>
        <w:t xml:space="preserve"> </w:t>
      </w:r>
    </w:p>
    <w:p w14:paraId="14FE878F">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投标人之间约定部分投标人放弃投标或中标；</w:t>
      </w:r>
      <w:r>
        <w:rPr>
          <w:rFonts w:ascii="宋体" w:hAnsi="宋体"/>
          <w:color w:val="auto"/>
          <w:kern w:val="0"/>
          <w:sz w:val="24"/>
          <w:highlight w:val="none"/>
        </w:rPr>
        <w:t xml:space="preserve"> </w:t>
      </w:r>
    </w:p>
    <w:p w14:paraId="505DD27F">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属于同一集团、协会、商会等组织成员的投标人按照该组织要求协同投标；</w:t>
      </w:r>
      <w:r>
        <w:rPr>
          <w:rFonts w:ascii="宋体" w:hAnsi="宋体"/>
          <w:color w:val="auto"/>
          <w:kern w:val="0"/>
          <w:sz w:val="24"/>
          <w:highlight w:val="none"/>
        </w:rPr>
        <w:t xml:space="preserve"> </w:t>
      </w:r>
    </w:p>
    <w:p w14:paraId="6CB0C185">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投标人之间为谋取中标或排斥特定投标人而采取的其他联合行动。</w:t>
      </w:r>
      <w:r>
        <w:rPr>
          <w:rFonts w:ascii="宋体" w:hAnsi="宋体"/>
          <w:color w:val="auto"/>
          <w:kern w:val="0"/>
          <w:sz w:val="24"/>
          <w:highlight w:val="none"/>
        </w:rPr>
        <w:t xml:space="preserve"> </w:t>
      </w:r>
    </w:p>
    <w:p w14:paraId="4E32D938">
      <w:pPr>
        <w:widowControl/>
        <w:snapToGrid w:val="0"/>
        <w:spacing w:line="360" w:lineRule="auto"/>
        <w:ind w:left="42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）有下列情形之一的，视为投标人相互串通投标：</w:t>
      </w:r>
      <w:r>
        <w:rPr>
          <w:rFonts w:ascii="宋体" w:hAnsi="宋体"/>
          <w:color w:val="auto"/>
          <w:kern w:val="0"/>
          <w:sz w:val="24"/>
          <w:highlight w:val="none"/>
        </w:rPr>
        <w:t xml:space="preserve"> </w:t>
      </w:r>
    </w:p>
    <w:p w14:paraId="4A840601">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不同投标人的投标文件由同一单位或个人编制；</w:t>
      </w:r>
      <w:r>
        <w:rPr>
          <w:rFonts w:ascii="宋体" w:hAnsi="宋体"/>
          <w:color w:val="auto"/>
          <w:kern w:val="0"/>
          <w:sz w:val="24"/>
          <w:highlight w:val="none"/>
        </w:rPr>
        <w:t xml:space="preserve"> </w:t>
      </w:r>
    </w:p>
    <w:p w14:paraId="64917839">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不同投标人委托同一单位或个人办理投标事宜；</w:t>
      </w:r>
      <w:r>
        <w:rPr>
          <w:rFonts w:ascii="宋体" w:hAnsi="宋体"/>
          <w:color w:val="auto"/>
          <w:kern w:val="0"/>
          <w:sz w:val="24"/>
          <w:highlight w:val="none"/>
        </w:rPr>
        <w:t xml:space="preserve"> </w:t>
      </w:r>
    </w:p>
    <w:p w14:paraId="47556B92">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不同投标人的投标文件载明的项目管理成员为同一人；</w:t>
      </w:r>
      <w:r>
        <w:rPr>
          <w:rFonts w:ascii="宋体" w:hAnsi="宋体"/>
          <w:color w:val="auto"/>
          <w:kern w:val="0"/>
          <w:sz w:val="24"/>
          <w:highlight w:val="none"/>
        </w:rPr>
        <w:t xml:space="preserve"> </w:t>
      </w:r>
    </w:p>
    <w:p w14:paraId="526CFDF5">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不同投标人的投标文件异常一致或投标报价呈规律性差异；</w:t>
      </w:r>
      <w:r>
        <w:rPr>
          <w:rFonts w:ascii="宋体" w:hAnsi="宋体"/>
          <w:color w:val="auto"/>
          <w:kern w:val="0"/>
          <w:sz w:val="24"/>
          <w:highlight w:val="none"/>
        </w:rPr>
        <w:t xml:space="preserve"> </w:t>
      </w:r>
    </w:p>
    <w:p w14:paraId="6384C53D">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不同投标人的投标文件相互混装；</w:t>
      </w:r>
      <w:r>
        <w:rPr>
          <w:rFonts w:ascii="宋体" w:hAnsi="宋体"/>
          <w:color w:val="auto"/>
          <w:kern w:val="0"/>
          <w:sz w:val="24"/>
          <w:highlight w:val="none"/>
        </w:rPr>
        <w:t xml:space="preserve"> </w:t>
      </w:r>
    </w:p>
    <w:p w14:paraId="40CB583E">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不同投标人的投标保证金从同一单位或个人的账户转出</w:t>
      </w:r>
      <w:r>
        <w:rPr>
          <w:rFonts w:hint="eastAsia" w:ascii="宋体" w:hAnsi="宋体"/>
          <w:color w:val="auto"/>
          <w:kern w:val="0"/>
          <w:sz w:val="24"/>
          <w:highlight w:val="none"/>
          <w:lang w:eastAsia="zh-CN"/>
        </w:rPr>
        <w:t>；</w:t>
      </w:r>
      <w:r>
        <w:rPr>
          <w:rFonts w:ascii="宋体" w:hAnsi="宋体"/>
          <w:color w:val="auto"/>
          <w:kern w:val="0"/>
          <w:sz w:val="24"/>
          <w:highlight w:val="none"/>
        </w:rPr>
        <w:t xml:space="preserve"> </w:t>
      </w:r>
    </w:p>
    <w:p w14:paraId="181ABC61">
      <w:pPr>
        <w:widowControl/>
        <w:snapToGrid w:val="0"/>
        <w:spacing w:line="360" w:lineRule="auto"/>
        <w:ind w:left="420" w:firstLine="0"/>
        <w:jc w:val="left"/>
        <w:rPr>
          <w:rFonts w:ascii="宋体" w:hAnsi="宋体"/>
          <w:color w:val="auto"/>
          <w:kern w:val="0"/>
          <w:sz w:val="24"/>
          <w:highlight w:val="none"/>
        </w:rPr>
      </w:pPr>
      <w:r>
        <w:rPr>
          <w:rFonts w:ascii="宋体" w:hAnsi="宋体"/>
          <w:color w:val="auto"/>
          <w:kern w:val="0"/>
          <w:sz w:val="24"/>
          <w:highlight w:val="none"/>
        </w:rPr>
        <w:t>g.对同一标段不同投标人电子投标文件的文件制作机器码或文件创建标识码相</w:t>
      </w:r>
    </w:p>
    <w:p w14:paraId="36DEA7A5">
      <w:pPr>
        <w:widowControl/>
        <w:snapToGrid w:val="0"/>
        <w:spacing w:line="360" w:lineRule="auto"/>
        <w:ind w:left="0" w:firstLine="0"/>
        <w:jc w:val="left"/>
        <w:rPr>
          <w:rFonts w:ascii="宋体" w:hAnsi="宋体"/>
          <w:color w:val="auto"/>
          <w:kern w:val="0"/>
          <w:sz w:val="24"/>
          <w:highlight w:val="none"/>
        </w:rPr>
      </w:pPr>
      <w:r>
        <w:rPr>
          <w:rFonts w:ascii="宋体" w:hAnsi="宋体"/>
          <w:color w:val="auto"/>
          <w:kern w:val="0"/>
          <w:sz w:val="24"/>
          <w:highlight w:val="none"/>
        </w:rPr>
        <w:t>同；</w:t>
      </w:r>
    </w:p>
    <w:p w14:paraId="5BF22E70">
      <w:pPr>
        <w:widowControl/>
        <w:snapToGrid w:val="0"/>
        <w:spacing w:line="360" w:lineRule="auto"/>
        <w:ind w:left="420" w:firstLine="0"/>
        <w:jc w:val="left"/>
        <w:rPr>
          <w:rFonts w:ascii="宋体" w:hAnsi="宋体"/>
          <w:color w:val="auto"/>
          <w:kern w:val="0"/>
          <w:sz w:val="24"/>
          <w:highlight w:val="none"/>
        </w:rPr>
      </w:pPr>
      <w:r>
        <w:rPr>
          <w:rFonts w:ascii="宋体" w:hAnsi="宋体"/>
          <w:color w:val="auto"/>
          <w:kern w:val="0"/>
          <w:sz w:val="24"/>
          <w:highlight w:val="none"/>
        </w:rPr>
        <w:t>h.不同投标人从同一投标单位或同一自然人的互联网协议地址上传投标文件、购</w:t>
      </w:r>
    </w:p>
    <w:p w14:paraId="28C51427">
      <w:pPr>
        <w:widowControl/>
        <w:snapToGrid w:val="0"/>
        <w:spacing w:line="360" w:lineRule="auto"/>
        <w:ind w:left="0" w:firstLine="0"/>
        <w:jc w:val="left"/>
        <w:rPr>
          <w:rFonts w:ascii="宋体" w:hAnsi="宋体"/>
          <w:color w:val="auto"/>
          <w:kern w:val="0"/>
          <w:sz w:val="24"/>
          <w:highlight w:val="none"/>
        </w:rPr>
      </w:pPr>
      <w:r>
        <w:rPr>
          <w:rFonts w:ascii="宋体" w:hAnsi="宋体"/>
          <w:color w:val="auto"/>
          <w:kern w:val="0"/>
          <w:sz w:val="24"/>
          <w:highlight w:val="none"/>
        </w:rPr>
        <w:t>买电子保函或参加投标活动的人员为同一标段其他投标人的在职人员</w:t>
      </w:r>
      <w:r>
        <w:rPr>
          <w:rFonts w:hint="default" w:ascii="宋体" w:hAnsi="宋体"/>
          <w:color w:val="auto"/>
          <w:kern w:val="0"/>
          <w:sz w:val="24"/>
          <w:highlight w:val="none"/>
        </w:rPr>
        <w:t>；</w:t>
      </w:r>
    </w:p>
    <w:p w14:paraId="69BCC1DD">
      <w:pPr>
        <w:widowControl/>
        <w:snapToGrid w:val="0"/>
        <w:spacing w:line="360" w:lineRule="auto"/>
        <w:ind w:left="420"/>
        <w:jc w:val="left"/>
        <w:rPr>
          <w:rFonts w:hint="eastAsia" w:ascii="宋体" w:hAnsi="宋体"/>
          <w:color w:val="auto"/>
          <w:kern w:val="0"/>
          <w:sz w:val="24"/>
          <w:highlight w:val="none"/>
        </w:rPr>
      </w:pPr>
      <w:r>
        <w:rPr>
          <w:rFonts w:hint="default" w:ascii="宋体" w:hAnsi="宋体"/>
          <w:color w:val="auto"/>
          <w:kern w:val="0"/>
          <w:sz w:val="24"/>
          <w:highlight w:val="none"/>
        </w:rPr>
        <w:t>j.</w:t>
      </w:r>
      <w:r>
        <w:rPr>
          <w:rFonts w:ascii="宋体" w:hAnsi="宋体"/>
          <w:color w:val="auto"/>
          <w:kern w:val="0"/>
          <w:sz w:val="24"/>
          <w:highlight w:val="none"/>
        </w:rPr>
        <w:t>不同投标人通过同一单位或者个人账户购买电子保函的。</w:t>
      </w:r>
    </w:p>
    <w:p w14:paraId="17BF0A04">
      <w:pPr>
        <w:widowControl/>
        <w:spacing w:line="360" w:lineRule="auto"/>
        <w:ind w:left="42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w:t>
      </w:r>
      <w:r>
        <w:rPr>
          <w:rFonts w:hint="eastAsia" w:ascii="宋体" w:hAnsi="宋体"/>
          <w:color w:val="auto"/>
          <w:kern w:val="0"/>
          <w:sz w:val="24"/>
          <w:highlight w:val="none"/>
        </w:rPr>
        <w:t>）有下列情形之一的，属于招标人与投标人串通投标：</w:t>
      </w:r>
    </w:p>
    <w:p w14:paraId="3F140CDA">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招标人在开标前开启投标文件并将有关信息泄露给其他投标人；</w:t>
      </w:r>
      <w:r>
        <w:rPr>
          <w:rFonts w:ascii="宋体" w:hAnsi="宋体"/>
          <w:color w:val="auto"/>
          <w:kern w:val="0"/>
          <w:sz w:val="24"/>
          <w:highlight w:val="none"/>
        </w:rPr>
        <w:t xml:space="preserve"> </w:t>
      </w:r>
    </w:p>
    <w:p w14:paraId="37DCC613">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招标人直接或间接向投标人泄露标底、评标委员会成员等信息；</w:t>
      </w:r>
      <w:r>
        <w:rPr>
          <w:rFonts w:ascii="宋体" w:hAnsi="宋体"/>
          <w:color w:val="auto"/>
          <w:kern w:val="0"/>
          <w:sz w:val="24"/>
          <w:highlight w:val="none"/>
        </w:rPr>
        <w:t xml:space="preserve"> </w:t>
      </w:r>
    </w:p>
    <w:p w14:paraId="52ADDB71">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招标人明示或暗示投标人压低或抬高投标报价；</w:t>
      </w:r>
      <w:r>
        <w:rPr>
          <w:rFonts w:ascii="宋体" w:hAnsi="宋体"/>
          <w:color w:val="auto"/>
          <w:kern w:val="0"/>
          <w:sz w:val="24"/>
          <w:highlight w:val="none"/>
        </w:rPr>
        <w:t xml:space="preserve"> </w:t>
      </w:r>
    </w:p>
    <w:p w14:paraId="48D4D454">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招标人授意投标人撤换、修改投标文件；</w:t>
      </w:r>
      <w:r>
        <w:rPr>
          <w:rFonts w:ascii="宋体" w:hAnsi="宋体"/>
          <w:color w:val="auto"/>
          <w:kern w:val="0"/>
          <w:sz w:val="24"/>
          <w:highlight w:val="none"/>
        </w:rPr>
        <w:t xml:space="preserve"> </w:t>
      </w:r>
    </w:p>
    <w:p w14:paraId="74B27519">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招标人明示或暗示投标人为特定投标人中标提供方便；</w:t>
      </w:r>
      <w:r>
        <w:rPr>
          <w:rFonts w:ascii="宋体" w:hAnsi="宋体"/>
          <w:color w:val="auto"/>
          <w:kern w:val="0"/>
          <w:sz w:val="24"/>
          <w:highlight w:val="none"/>
        </w:rPr>
        <w:t xml:space="preserve"> </w:t>
      </w:r>
    </w:p>
    <w:p w14:paraId="109DBF01">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招标人与投标人为谋求特定投标人中标而采取的其他串通行为。</w:t>
      </w:r>
    </w:p>
    <w:p w14:paraId="5D45BBCC">
      <w:pPr>
        <w:widowControl/>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w:t>
      </w:r>
      <w:r>
        <w:rPr>
          <w:rFonts w:hint="eastAsia" w:ascii="宋体" w:hAnsi="宋体"/>
          <w:color w:val="auto"/>
          <w:kern w:val="0"/>
          <w:sz w:val="24"/>
          <w:highlight w:val="none"/>
        </w:rPr>
        <w:t>有下列情形之一的，属于电子招标投标交易平台运营机构或其人员与投标人串通投标：</w:t>
      </w:r>
    </w:p>
    <w:p w14:paraId="7C001B8A">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电子招标投标交易平台运营机构或其人员在开标前开启投标文件并将有关信息泄露给其他投标人；</w:t>
      </w:r>
    </w:p>
    <w:p w14:paraId="057EA522">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电子招标投标交易平台运营机构或其人员直接或者间接向投标人泄露标底、评标委员会成员等信息；</w:t>
      </w:r>
    </w:p>
    <w:p w14:paraId="150A9CD2">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电子招标投标交易平台运营机构或其人员明示或者暗示投标人压低或者抬高投标报价；</w:t>
      </w:r>
    </w:p>
    <w:p w14:paraId="6665641A">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电子招标投标交易平台运营机构或其人员授意投标人撤换、修改投标文件；</w:t>
      </w:r>
    </w:p>
    <w:p w14:paraId="50F2DDCB">
      <w:pPr>
        <w:widowControl/>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电子招标投标交易平台运营机构或其人员明示或者暗示投标人为特定投标人中标提供方便；</w:t>
      </w:r>
    </w:p>
    <w:p w14:paraId="21461486">
      <w:pPr>
        <w:widowControl/>
        <w:snapToGrid w:val="0"/>
        <w:spacing w:line="360" w:lineRule="auto"/>
        <w:ind w:left="0" w:firstLine="480" w:firstLineChars="200"/>
        <w:jc w:val="left"/>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电子招标投标交易平台运营机构或其人员与投标人为谋求特定投标人中标而采取的其他串通行为。</w:t>
      </w:r>
    </w:p>
    <w:p w14:paraId="59084904">
      <w:pPr>
        <w:widowControl/>
        <w:snapToGrid w:val="0"/>
        <w:spacing w:line="360" w:lineRule="auto"/>
        <w:ind w:left="42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5）</w:t>
      </w:r>
      <w:r>
        <w:rPr>
          <w:rFonts w:hint="eastAsia" w:ascii="宋体" w:hAnsi="宋体"/>
          <w:color w:val="auto"/>
          <w:kern w:val="0"/>
          <w:sz w:val="24"/>
          <w:highlight w:val="none"/>
        </w:rPr>
        <w:t>投标人有下列情形之一的，属于弄虚作假的行为：</w:t>
      </w:r>
      <w:r>
        <w:rPr>
          <w:rFonts w:ascii="宋体" w:hAnsi="宋体"/>
          <w:color w:val="auto"/>
          <w:kern w:val="0"/>
          <w:sz w:val="24"/>
          <w:highlight w:val="none"/>
        </w:rPr>
        <w:t xml:space="preserve"> </w:t>
      </w:r>
    </w:p>
    <w:p w14:paraId="7F381EED">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使用通过受让或租借等方式获取的资格、资质证书投标；</w:t>
      </w:r>
      <w:r>
        <w:rPr>
          <w:rFonts w:ascii="宋体" w:hAnsi="宋体"/>
          <w:color w:val="auto"/>
          <w:kern w:val="0"/>
          <w:sz w:val="24"/>
          <w:highlight w:val="none"/>
        </w:rPr>
        <w:t xml:space="preserve"> </w:t>
      </w:r>
    </w:p>
    <w:p w14:paraId="57C75ADA">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使用伪造、变造的许可证件；</w:t>
      </w:r>
      <w:r>
        <w:rPr>
          <w:rFonts w:ascii="宋体" w:hAnsi="宋体"/>
          <w:color w:val="auto"/>
          <w:kern w:val="0"/>
          <w:sz w:val="24"/>
          <w:highlight w:val="none"/>
        </w:rPr>
        <w:t xml:space="preserve"> </w:t>
      </w:r>
    </w:p>
    <w:p w14:paraId="0DAE3FDA">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提供虚假的财务状况或业绩；</w:t>
      </w:r>
      <w:r>
        <w:rPr>
          <w:rFonts w:ascii="宋体" w:hAnsi="宋体"/>
          <w:color w:val="auto"/>
          <w:kern w:val="0"/>
          <w:sz w:val="24"/>
          <w:highlight w:val="none"/>
        </w:rPr>
        <w:t xml:space="preserve"> </w:t>
      </w:r>
    </w:p>
    <w:p w14:paraId="182551EF">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提供虚假的项目负责人或主要技术人员简历、劳动关系证明；</w:t>
      </w:r>
      <w:r>
        <w:rPr>
          <w:rFonts w:ascii="宋体" w:hAnsi="宋体"/>
          <w:color w:val="auto"/>
          <w:kern w:val="0"/>
          <w:sz w:val="24"/>
          <w:highlight w:val="none"/>
        </w:rPr>
        <w:t xml:space="preserve"> </w:t>
      </w:r>
    </w:p>
    <w:p w14:paraId="7B64C3B4">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提供虚假的信用状况；</w:t>
      </w:r>
      <w:r>
        <w:rPr>
          <w:rFonts w:ascii="宋体" w:hAnsi="宋体"/>
          <w:color w:val="auto"/>
          <w:kern w:val="0"/>
          <w:sz w:val="24"/>
          <w:highlight w:val="none"/>
        </w:rPr>
        <w:t xml:space="preserve"> </w:t>
      </w:r>
    </w:p>
    <w:p w14:paraId="17CAB67C">
      <w:pPr>
        <w:widowControl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其他弄虚作假的行为。</w:t>
      </w:r>
    </w:p>
    <w:p w14:paraId="6B72A9A8">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696" w:name="_Toc53685679"/>
      <w:r>
        <w:rPr>
          <w:rFonts w:ascii="Times New Roman" w:hAnsi="Times New Roman"/>
          <w:b w:val="0"/>
          <w:bCs w:val="0"/>
          <w:color w:val="auto"/>
          <w:sz w:val="28"/>
          <w:szCs w:val="32"/>
          <w:highlight w:val="none"/>
        </w:rPr>
        <w:t>3.7</w:t>
      </w:r>
      <w:r>
        <w:rPr>
          <w:rFonts w:hint="default" w:ascii="Times New Roman" w:hAnsi="Times New Roman"/>
          <w:b w:val="0"/>
          <w:bCs w:val="0"/>
          <w:color w:val="auto"/>
          <w:sz w:val="28"/>
          <w:szCs w:val="32"/>
          <w:highlight w:val="none"/>
        </w:rPr>
        <w:t xml:space="preserve"> 投标文件的澄清和说明</w:t>
      </w:r>
      <w:bookmarkEnd w:id="696"/>
      <w:r>
        <w:rPr>
          <w:rFonts w:ascii="Times New Roman" w:hAnsi="Times New Roman"/>
          <w:b w:val="0"/>
          <w:bCs w:val="0"/>
          <w:color w:val="auto"/>
          <w:sz w:val="28"/>
          <w:szCs w:val="32"/>
          <w:highlight w:val="none"/>
        </w:rPr>
        <w:t xml:space="preserve"> </w:t>
      </w:r>
    </w:p>
    <w:p w14:paraId="386AB4F1">
      <w:pPr>
        <w:widowControl w:val="0"/>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3.7.1 </w:t>
      </w:r>
      <w:r>
        <w:rPr>
          <w:rFonts w:hint="eastAsia" w:ascii="宋体" w:hAnsi="宋体"/>
          <w:color w:val="auto"/>
          <w:kern w:val="0"/>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color w:val="auto"/>
          <w:kern w:val="0"/>
          <w:sz w:val="24"/>
          <w:highlight w:val="none"/>
        </w:rPr>
        <w:t xml:space="preserve"> </w:t>
      </w:r>
    </w:p>
    <w:p w14:paraId="015DE27E">
      <w:pPr>
        <w:widowControl w:val="0"/>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3.7.2 </w:t>
      </w:r>
      <w:r>
        <w:rPr>
          <w:rFonts w:hint="eastAsia" w:ascii="宋体" w:hAnsi="宋体"/>
          <w:color w:val="auto"/>
          <w:kern w:val="0"/>
          <w:sz w:val="24"/>
          <w:highlight w:val="none"/>
        </w:rPr>
        <w:t>澄清和说明不得超出投标文件的范围或改变投标文件的实质性内容（算术性错误的修正除外）。投标人的书面澄清、说明属于投标文件的组成部分。</w:t>
      </w:r>
      <w:r>
        <w:rPr>
          <w:rFonts w:ascii="宋体" w:hAnsi="宋体"/>
          <w:color w:val="auto"/>
          <w:kern w:val="0"/>
          <w:sz w:val="24"/>
          <w:highlight w:val="none"/>
        </w:rPr>
        <w:t xml:space="preserve"> </w:t>
      </w:r>
    </w:p>
    <w:p w14:paraId="60312F43">
      <w:pPr>
        <w:widowControl w:val="0"/>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3.7.3 </w:t>
      </w:r>
      <w:r>
        <w:rPr>
          <w:rFonts w:hint="eastAsia" w:ascii="宋体" w:hAnsi="宋体"/>
          <w:color w:val="auto"/>
          <w:kern w:val="0"/>
          <w:sz w:val="24"/>
          <w:highlight w:val="none"/>
        </w:rPr>
        <w:t>评标委员会不得暗示或诱导投标人作出澄清、说明，对投标人提交的澄清、说明有疑问的，可以要求投标人进一步澄清或说明，直至满足评标委员会的要求。</w:t>
      </w:r>
      <w:r>
        <w:rPr>
          <w:rFonts w:ascii="宋体" w:hAnsi="宋体"/>
          <w:color w:val="auto"/>
          <w:kern w:val="0"/>
          <w:sz w:val="24"/>
          <w:highlight w:val="none"/>
        </w:rPr>
        <w:t xml:space="preserve"> </w:t>
      </w:r>
    </w:p>
    <w:p w14:paraId="0B2E8018">
      <w:pPr>
        <w:widowControl w:val="0"/>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3.6.4 </w:t>
      </w:r>
      <w:r>
        <w:rPr>
          <w:rFonts w:hint="eastAsia" w:ascii="宋体" w:hAnsi="宋体"/>
          <w:color w:val="auto"/>
          <w:kern w:val="0"/>
          <w:sz w:val="24"/>
          <w:highlight w:val="none"/>
        </w:rPr>
        <w:t>凡超出招标文件规定的或给发包人带来未曾要求的利益的变化、偏差或其他因素在评标时不予考虑。</w:t>
      </w:r>
      <w:r>
        <w:rPr>
          <w:rFonts w:ascii="宋体" w:hAnsi="宋体"/>
          <w:color w:val="auto"/>
          <w:kern w:val="0"/>
          <w:sz w:val="24"/>
          <w:highlight w:val="none"/>
        </w:rPr>
        <w:t xml:space="preserve"> </w:t>
      </w:r>
    </w:p>
    <w:p w14:paraId="17F30FE5">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697" w:name="_Toc53685680"/>
      <w:r>
        <w:rPr>
          <w:rFonts w:ascii="Times New Roman" w:hAnsi="Times New Roman"/>
          <w:b w:val="0"/>
          <w:bCs w:val="0"/>
          <w:color w:val="auto"/>
          <w:sz w:val="28"/>
          <w:szCs w:val="32"/>
          <w:highlight w:val="none"/>
        </w:rPr>
        <w:t>3.8</w:t>
      </w:r>
      <w:r>
        <w:rPr>
          <w:rFonts w:hint="default" w:ascii="Times New Roman" w:hAnsi="Times New Roman"/>
          <w:b w:val="0"/>
          <w:bCs w:val="0"/>
          <w:color w:val="auto"/>
          <w:sz w:val="28"/>
          <w:szCs w:val="32"/>
          <w:highlight w:val="none"/>
        </w:rPr>
        <w:t xml:space="preserve"> 不得否决投标的情形</w:t>
      </w:r>
      <w:bookmarkEnd w:id="697"/>
      <w:r>
        <w:rPr>
          <w:rFonts w:ascii="Times New Roman" w:hAnsi="Times New Roman"/>
          <w:b w:val="0"/>
          <w:bCs w:val="0"/>
          <w:color w:val="auto"/>
          <w:sz w:val="28"/>
          <w:szCs w:val="32"/>
          <w:highlight w:val="none"/>
        </w:rPr>
        <w:t xml:space="preserve"> </w:t>
      </w:r>
    </w:p>
    <w:p w14:paraId="0EB6132F">
      <w:pPr>
        <w:widowControl w:val="0"/>
        <w:snapToGrid w:val="0"/>
        <w:spacing w:line="360" w:lineRule="auto"/>
        <w:ind w:firstLine="480"/>
        <w:rPr>
          <w:rFonts w:ascii="宋体" w:hAnsi="宋体"/>
          <w:color w:val="auto"/>
          <w:kern w:val="0"/>
          <w:sz w:val="24"/>
          <w:highlight w:val="none"/>
        </w:rPr>
      </w:pPr>
      <w:bookmarkStart w:id="698" w:name="_Hlk98663630"/>
      <w:r>
        <w:rPr>
          <w:rFonts w:hint="eastAsia" w:ascii="宋体" w:hAnsi="宋体" w:cs="宋体"/>
          <w:color w:val="auto"/>
          <w:sz w:val="24"/>
          <w:highlight w:val="none"/>
        </w:rPr>
        <w:t>投标文件存在第三章“评标办法”前附表中所列任一否决投标情形以外的情况均视为细微偏差，评标委员会不得否决投标人的投标，细微偏差的处理可以按照澄清规定处理</w:t>
      </w:r>
      <w:bookmarkEnd w:id="698"/>
      <w:r>
        <w:rPr>
          <w:rFonts w:hint="eastAsia" w:ascii="宋体" w:hAnsi="宋体"/>
          <w:color w:val="auto"/>
          <w:kern w:val="0"/>
          <w:sz w:val="24"/>
          <w:highlight w:val="none"/>
        </w:rPr>
        <w:t>。</w:t>
      </w:r>
      <w:r>
        <w:rPr>
          <w:rFonts w:ascii="宋体" w:hAnsi="宋体"/>
          <w:color w:val="auto"/>
          <w:kern w:val="0"/>
          <w:sz w:val="24"/>
          <w:highlight w:val="none"/>
        </w:rPr>
        <w:t xml:space="preserve"> </w:t>
      </w:r>
    </w:p>
    <w:p w14:paraId="2F2AED91">
      <w:pPr>
        <w:pStyle w:val="6"/>
        <w:numPr>
          <w:ilvl w:val="0"/>
          <w:numId w:val="0"/>
        </w:numPr>
        <w:spacing w:line="360" w:lineRule="auto"/>
        <w:jc w:val="both"/>
        <w:rPr>
          <w:rFonts w:ascii="Times New Roman" w:hAnsi="Times New Roman"/>
          <w:b w:val="0"/>
          <w:bCs w:val="0"/>
          <w:color w:val="auto"/>
          <w:sz w:val="28"/>
          <w:szCs w:val="32"/>
          <w:highlight w:val="none"/>
        </w:rPr>
      </w:pPr>
      <w:bookmarkStart w:id="699" w:name="_Toc53685681"/>
      <w:r>
        <w:rPr>
          <w:rFonts w:ascii="Times New Roman" w:hAnsi="Times New Roman"/>
          <w:b w:val="0"/>
          <w:bCs w:val="0"/>
          <w:color w:val="auto"/>
          <w:sz w:val="28"/>
          <w:szCs w:val="32"/>
          <w:highlight w:val="none"/>
        </w:rPr>
        <w:t>3.9</w:t>
      </w:r>
      <w:r>
        <w:rPr>
          <w:rFonts w:hint="default" w:ascii="Times New Roman" w:hAnsi="Times New Roman"/>
          <w:b w:val="0"/>
          <w:bCs w:val="0"/>
          <w:color w:val="auto"/>
          <w:sz w:val="28"/>
          <w:szCs w:val="32"/>
          <w:highlight w:val="none"/>
        </w:rPr>
        <w:t xml:space="preserve"> 评标结果</w:t>
      </w:r>
      <w:bookmarkEnd w:id="699"/>
      <w:r>
        <w:rPr>
          <w:rFonts w:ascii="Times New Roman" w:hAnsi="Times New Roman"/>
          <w:b w:val="0"/>
          <w:bCs w:val="0"/>
          <w:color w:val="auto"/>
          <w:sz w:val="28"/>
          <w:szCs w:val="32"/>
          <w:highlight w:val="none"/>
        </w:rPr>
        <w:t xml:space="preserve"> </w:t>
      </w:r>
    </w:p>
    <w:p w14:paraId="3BDA8837">
      <w:pPr>
        <w:snapToGrid w:val="0"/>
        <w:spacing w:line="360" w:lineRule="auto"/>
        <w:ind w:firstLine="480" w:firstLineChars="0"/>
        <w:rPr>
          <w:rFonts w:hint="eastAsia" w:ascii="宋体" w:hAnsi="宋体" w:cs="宋体"/>
          <w:color w:val="auto"/>
          <w:kern w:val="2"/>
          <w:sz w:val="24"/>
          <w:highlight w:val="none"/>
        </w:rPr>
      </w:pPr>
      <w:r>
        <w:rPr>
          <w:rFonts w:hint="eastAsia" w:ascii="宋体" w:hAnsi="宋体" w:cs="宋体"/>
          <w:color w:val="auto"/>
          <w:kern w:val="2"/>
          <w:sz w:val="24"/>
          <w:highlight w:val="none"/>
        </w:rPr>
        <w:t>3.9.1 除第二章“投标人须知”前附表授权直接确定中标人外，评标委员会按照综合得分由高到低的顺序推荐中标候选人，并标明排序。</w:t>
      </w:r>
    </w:p>
    <w:p w14:paraId="4D5479D3">
      <w:pPr>
        <w:snapToGrid w:val="0"/>
        <w:spacing w:line="360" w:lineRule="auto"/>
        <w:ind w:firstLine="480"/>
        <w:rPr>
          <w:rStyle w:val="175"/>
          <w:b w:val="0"/>
          <w:bCs w:val="0"/>
          <w:color w:val="auto"/>
          <w:sz w:val="36"/>
          <w:szCs w:val="36"/>
          <w:highlight w:val="none"/>
        </w:rPr>
      </w:pPr>
      <w:r>
        <w:rPr>
          <w:rFonts w:hint="eastAsia" w:ascii="宋体" w:hAnsi="宋体" w:cs="宋体"/>
          <w:color w:val="auto"/>
          <w:kern w:val="2"/>
          <w:sz w:val="24"/>
          <w:highlight w:val="none"/>
        </w:rPr>
        <w:t>3.9.2</w:t>
      </w:r>
      <w:r>
        <w:rPr>
          <w:rFonts w:hint="eastAsia" w:ascii="宋体" w:hAnsi="宋体" w:cs="宋体"/>
          <w:color w:val="auto"/>
          <w:kern w:val="2"/>
          <w:sz w:val="24"/>
          <w:highlight w:val="none"/>
          <w:lang w:val="en-US" w:eastAsia="zh-CN"/>
        </w:rPr>
        <w:t xml:space="preserve"> </w:t>
      </w:r>
      <w:r>
        <w:rPr>
          <w:rFonts w:hint="eastAsia" w:ascii="宋体" w:hAnsi="宋体" w:cs="宋体"/>
          <w:color w:val="auto"/>
          <w:kern w:val="2"/>
          <w:sz w:val="24"/>
          <w:highlight w:val="none"/>
        </w:rPr>
        <w:t>评标委员会完成评标后，应向招标人提交评标报告。</w:t>
      </w:r>
      <w:bookmarkStart w:id="700" w:name="_Toc53685682"/>
    </w:p>
    <w:p w14:paraId="27B7DAE5">
      <w:pPr>
        <w:pStyle w:val="4"/>
        <w:rPr>
          <w:rFonts w:hint="eastAsia"/>
          <w:color w:val="auto"/>
          <w:highlight w:val="none"/>
        </w:rPr>
        <w:sectPr>
          <w:footnotePr>
            <w:numFmt w:val="decimalEnclosedCircleChinese"/>
            <w:numRestart w:val="eachPage"/>
          </w:footnotePr>
          <w:pgSz w:w="11900" w:h="16838"/>
          <w:pgMar w:top="1417" w:right="1417" w:bottom="1417" w:left="1701" w:header="850" w:footer="624" w:gutter="0"/>
          <w:cols w:space="0" w:num="1"/>
          <w:rtlGutter w:val="0"/>
          <w:docGrid w:linePitch="312" w:charSpace="0"/>
        </w:sectPr>
      </w:pPr>
    </w:p>
    <w:p w14:paraId="283750AC">
      <w:pPr>
        <w:pStyle w:val="4"/>
        <w:rPr>
          <w:color w:val="auto"/>
          <w:highlight w:val="none"/>
        </w:rPr>
      </w:pPr>
      <w:r>
        <w:rPr>
          <w:rFonts w:hint="eastAsia"/>
          <w:color w:val="auto"/>
          <w:highlight w:val="none"/>
        </w:rPr>
        <w:t>第三章</w:t>
      </w:r>
      <w:r>
        <w:rPr>
          <w:color w:val="auto"/>
          <w:highlight w:val="none"/>
        </w:rPr>
        <w:t xml:space="preserve">  </w:t>
      </w:r>
      <w:r>
        <w:rPr>
          <w:rFonts w:hint="eastAsia"/>
          <w:color w:val="auto"/>
          <w:highlight w:val="none"/>
        </w:rPr>
        <w:t>评标办法（综合评分法）</w:t>
      </w:r>
    </w:p>
    <w:p w14:paraId="298082A6">
      <w:pPr>
        <w:pStyle w:val="5"/>
        <w:adjustRightInd/>
        <w:snapToGrid/>
        <w:spacing w:before="0" w:beforeLines="-2147483648" w:after="0" w:afterLines="-2147483648" w:line="360" w:lineRule="auto"/>
        <w:jc w:val="left"/>
        <w:rPr>
          <w:color w:val="auto"/>
          <w:highlight w:val="none"/>
        </w:rPr>
      </w:pPr>
      <w:r>
        <w:rPr>
          <w:color w:val="auto"/>
          <w:highlight w:val="none"/>
        </w:rPr>
        <w:t>评标办法前附表</w:t>
      </w:r>
      <w:bookmarkEnd w:id="700"/>
    </w:p>
    <w:p w14:paraId="7BD73442">
      <w:pPr>
        <w:widowControl/>
        <w:spacing w:line="360" w:lineRule="auto"/>
        <w:ind w:firstLine="357"/>
        <w:rPr>
          <w:rFonts w:ascii="宋体" w:hAnsi="宋体"/>
          <w:color w:val="auto"/>
          <w:kern w:val="0"/>
          <w:sz w:val="24"/>
          <w:highlight w:val="none"/>
        </w:rPr>
      </w:pPr>
      <w:r>
        <w:rPr>
          <w:rFonts w:hint="eastAsia"/>
          <w:color w:val="auto"/>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931" w:type="dxa"/>
        <w:tblInd w:w="-34" w:type="dxa"/>
        <w:tblLayout w:type="fixed"/>
        <w:tblCellMar>
          <w:top w:w="0" w:type="dxa"/>
          <w:left w:w="108" w:type="dxa"/>
          <w:bottom w:w="0" w:type="dxa"/>
          <w:right w:w="108" w:type="dxa"/>
        </w:tblCellMar>
      </w:tblPr>
      <w:tblGrid>
        <w:gridCol w:w="739"/>
        <w:gridCol w:w="800"/>
        <w:gridCol w:w="2297"/>
        <w:gridCol w:w="5095"/>
      </w:tblGrid>
      <w:tr w14:paraId="08F18E18">
        <w:tblPrEx>
          <w:tblCellMar>
            <w:top w:w="0" w:type="dxa"/>
            <w:left w:w="108" w:type="dxa"/>
            <w:bottom w:w="0" w:type="dxa"/>
            <w:right w:w="108" w:type="dxa"/>
          </w:tblCellMar>
        </w:tblPrEx>
        <w:trPr>
          <w:trHeight w:val="461" w:hRule="atLeast"/>
          <w:tblHeader/>
        </w:trPr>
        <w:tc>
          <w:tcPr>
            <w:tcW w:w="1539" w:type="dxa"/>
            <w:gridSpan w:val="2"/>
            <w:tcBorders>
              <w:top w:val="single" w:color="000000" w:sz="4" w:space="0"/>
              <w:left w:val="single" w:color="000000" w:sz="4" w:space="0"/>
              <w:bottom w:val="single" w:color="000000" w:sz="4" w:space="0"/>
              <w:right w:val="single" w:color="000000" w:sz="4" w:space="0"/>
            </w:tcBorders>
            <w:vAlign w:val="center"/>
          </w:tcPr>
          <w:p w14:paraId="10D021A8">
            <w:pPr>
              <w:widowControl/>
              <w:adjustRightInd w:val="0"/>
              <w:snapToGrid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条款号</w:t>
            </w:r>
          </w:p>
        </w:tc>
        <w:tc>
          <w:tcPr>
            <w:tcW w:w="7392" w:type="dxa"/>
            <w:gridSpan w:val="2"/>
            <w:tcBorders>
              <w:top w:val="single" w:color="000000" w:sz="4" w:space="0"/>
              <w:left w:val="nil"/>
              <w:bottom w:val="single" w:color="000000" w:sz="4" w:space="0"/>
              <w:right w:val="single" w:color="000000" w:sz="4" w:space="0"/>
            </w:tcBorders>
            <w:vAlign w:val="center"/>
          </w:tcPr>
          <w:p w14:paraId="23858EDE">
            <w:pPr>
              <w:widowControl/>
              <w:adjustRightInd w:val="0"/>
              <w:snapToGrid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评审因素与评审标准</w:t>
            </w:r>
          </w:p>
        </w:tc>
      </w:tr>
      <w:tr w14:paraId="00C90245">
        <w:tblPrEx>
          <w:tblCellMar>
            <w:top w:w="0" w:type="dxa"/>
            <w:left w:w="108" w:type="dxa"/>
            <w:bottom w:w="0" w:type="dxa"/>
            <w:right w:w="108" w:type="dxa"/>
          </w:tblCellMar>
        </w:tblPrEx>
        <w:trPr>
          <w:trHeight w:val="344" w:hRule="atLeast"/>
        </w:trPr>
        <w:tc>
          <w:tcPr>
            <w:tcW w:w="739" w:type="dxa"/>
            <w:tcBorders>
              <w:top w:val="nil"/>
              <w:left w:val="single" w:color="000000" w:sz="4" w:space="0"/>
              <w:bottom w:val="single" w:color="auto" w:sz="4" w:space="0"/>
              <w:right w:val="single" w:color="000000" w:sz="4" w:space="0"/>
            </w:tcBorders>
            <w:vAlign w:val="center"/>
          </w:tcPr>
          <w:p w14:paraId="0710800E">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00" w:type="dxa"/>
            <w:tcBorders>
              <w:top w:val="single" w:color="000000" w:sz="4" w:space="0"/>
              <w:left w:val="nil"/>
              <w:bottom w:val="single" w:color="auto" w:sz="4" w:space="0"/>
              <w:right w:val="single" w:color="000000" w:sz="4" w:space="0"/>
            </w:tcBorders>
            <w:vAlign w:val="center"/>
          </w:tcPr>
          <w:p w14:paraId="78C77139">
            <w:pPr>
              <w:widowControl/>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评标</w:t>
            </w:r>
          </w:p>
          <w:p w14:paraId="1DD4F731">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方法</w:t>
            </w:r>
          </w:p>
        </w:tc>
        <w:tc>
          <w:tcPr>
            <w:tcW w:w="7392" w:type="dxa"/>
            <w:gridSpan w:val="2"/>
            <w:tcBorders>
              <w:top w:val="single" w:color="000000" w:sz="4" w:space="0"/>
              <w:left w:val="nil"/>
              <w:bottom w:val="single" w:color="000000" w:sz="4" w:space="0"/>
              <w:right w:val="single" w:color="000000" w:sz="4" w:space="0"/>
            </w:tcBorders>
            <w:vAlign w:val="center"/>
          </w:tcPr>
          <w:p w14:paraId="3671A30E">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b/>
                <w:color w:val="auto"/>
                <w:kern w:val="0"/>
                <w:szCs w:val="21"/>
                <w:highlight w:val="none"/>
              </w:rPr>
            </w:pPr>
            <w:r>
              <w:rPr>
                <w:rFonts w:ascii="宋体" w:hAnsi="宋体"/>
                <w:b/>
                <w:color w:val="auto"/>
                <w:kern w:val="0"/>
                <w:szCs w:val="21"/>
                <w:highlight w:val="none"/>
              </w:rPr>
              <w:t>1.</w:t>
            </w:r>
            <w:r>
              <w:rPr>
                <w:rFonts w:hint="eastAsia" w:ascii="宋体" w:hAnsi="宋体"/>
                <w:b/>
                <w:color w:val="auto"/>
                <w:kern w:val="0"/>
                <w:szCs w:val="21"/>
                <w:highlight w:val="none"/>
              </w:rPr>
              <w:t>本次评标采用综合评分法，推荐中标候选人具体原则为：</w:t>
            </w:r>
          </w:p>
          <w:p w14:paraId="5864EB89">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ascii="宋体" w:hAnsi="宋体" w:cs="宋体"/>
                <w:b/>
                <w:color w:val="auto"/>
                <w:kern w:val="0"/>
                <w:szCs w:val="21"/>
                <w:highlight w:val="none"/>
              </w:rPr>
              <w:t xml:space="preserve"> </w:t>
            </w:r>
            <w:r>
              <w:rPr>
                <w:rFonts w:hint="eastAsia" w:ascii="宋体" w:hAnsi="宋体" w:cs="宋体"/>
                <w:b/>
                <w:color w:val="auto"/>
                <w:kern w:val="0"/>
                <w:szCs w:val="21"/>
                <w:highlight w:val="none"/>
              </w:rPr>
              <w:t>允许中</w:t>
            </w:r>
            <w:r>
              <w:rPr>
                <w:rFonts w:ascii="宋体" w:hAnsi="宋体" w:cs="宋体"/>
                <w:b/>
                <w:color w:val="auto"/>
                <w:kern w:val="0"/>
                <w:szCs w:val="21"/>
                <w:highlight w:val="none"/>
              </w:rPr>
              <w:t>1个标段时适用</w:t>
            </w:r>
          </w:p>
          <w:p w14:paraId="1B835393">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1）评标委员会对通过第一个信封（商务及技术文件）和第二个信封（报价文件）评审的所有投标人，按照综合得分由高到低进行排序。若多个投标人综合得分相同时，评标委员会依次按照以下原则排序：</w:t>
            </w:r>
          </w:p>
          <w:p w14:paraId="67AB8AFD">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①</w:t>
            </w:r>
            <w:r>
              <w:rPr>
                <w:rFonts w:ascii="宋体" w:hAnsi="宋体"/>
                <w:color w:val="auto"/>
                <w:kern w:val="0"/>
                <w:szCs w:val="21"/>
                <w:highlight w:val="none"/>
              </w:rPr>
              <w:fldChar w:fldCharType="end"/>
            </w:r>
            <w:r>
              <w:rPr>
                <w:rFonts w:hint="eastAsia" w:ascii="宋体" w:hAnsi="宋体"/>
                <w:color w:val="auto"/>
                <w:szCs w:val="21"/>
                <w:highlight w:val="none"/>
              </w:rPr>
              <w:t>评标价低的投标人优先；</w:t>
            </w:r>
          </w:p>
          <w:p w14:paraId="4BEE24A9">
            <w:pPr>
              <w:keepNext w:val="0"/>
              <w:keepLines w:val="0"/>
              <w:pageBreakBefore w:val="0"/>
              <w:widowControl/>
              <w:kinsoku/>
              <w:wordWrap/>
              <w:overflowPunct/>
              <w:topLinePunct w:val="0"/>
              <w:autoSpaceDE/>
              <w:autoSpaceDN/>
              <w:bidi w:val="0"/>
              <w:spacing w:line="380" w:lineRule="exact"/>
              <w:ind w:firstLine="420" w:firstLineChars="200"/>
              <w:textAlignment w:val="auto"/>
              <w:rPr>
                <w:rFonts w:hint="eastAsia" w:ascii="宋体" w:hAnsi="宋体" w:eastAsia="宋体"/>
                <w:color w:val="auto"/>
                <w:sz w:val="21"/>
                <w:szCs w:val="21"/>
                <w:highlight w:val="none"/>
                <w:u w:val="none"/>
                <w:lang w:val="en-US" w:eastAsia="zh-CN"/>
              </w:rPr>
            </w:pPr>
            <w:r>
              <w:rPr>
                <w:rFonts w:ascii="宋体" w:hAnsi="宋体"/>
                <w:color w:val="auto"/>
                <w:szCs w:val="21"/>
                <w:highlight w:val="none"/>
              </w:rPr>
              <w:fldChar w:fldCharType="begin"/>
            </w:r>
            <w:r>
              <w:rPr>
                <w:rFonts w:ascii="宋体" w:hAnsi="宋体"/>
                <w:color w:val="auto"/>
                <w:szCs w:val="21"/>
                <w:highlight w:val="none"/>
              </w:rPr>
              <w:instrText xml:space="preserve"> = 2 \* GB3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eastAsia="宋体" w:cs="宋体"/>
                <w:b w:val="0"/>
                <w:bCs/>
                <w:color w:val="auto"/>
                <w:sz w:val="21"/>
                <w:szCs w:val="21"/>
                <w:highlight w:val="none"/>
                <w:u w:val="none"/>
              </w:rPr>
              <w:sym w:font="Wingdings 2" w:char="00A3"/>
            </w:r>
            <w:r>
              <w:rPr>
                <w:rFonts w:hint="eastAsia" w:ascii="宋体" w:hAnsi="宋体"/>
                <w:b w:val="0"/>
                <w:bCs/>
                <w:color w:val="auto"/>
                <w:sz w:val="21"/>
                <w:szCs w:val="21"/>
                <w:highlight w:val="none"/>
                <w:u w:val="none"/>
                <w:lang w:val="en-US" w:eastAsia="zh-CN"/>
              </w:rPr>
              <w:t xml:space="preserve"> </w:t>
            </w:r>
            <w:r>
              <w:rPr>
                <w:rFonts w:hint="eastAsia" w:ascii="宋体" w:hAnsi="宋体"/>
                <w:color w:val="auto"/>
                <w:sz w:val="21"/>
                <w:szCs w:val="21"/>
                <w:highlight w:val="none"/>
                <w:u w:val="none"/>
              </w:rPr>
              <w:t>四川省重点公路建设从业单位信用评价等级</w:t>
            </w:r>
            <w:r>
              <w:rPr>
                <w:rFonts w:hint="eastAsia" w:ascii="宋体" w:hAnsi="宋体"/>
                <w:color w:val="auto"/>
                <w:sz w:val="21"/>
                <w:szCs w:val="21"/>
                <w:highlight w:val="none"/>
                <w:u w:val="none"/>
                <w:lang w:eastAsia="zh-CN"/>
              </w:rPr>
              <w:t>；</w:t>
            </w:r>
          </w:p>
          <w:p w14:paraId="3E9B32D0">
            <w:pPr>
              <w:keepNext w:val="0"/>
              <w:keepLines w:val="0"/>
              <w:pageBreakBefore w:val="0"/>
              <w:widowControl/>
              <w:kinsoku/>
              <w:wordWrap/>
              <w:overflowPunct/>
              <w:topLinePunct w:val="0"/>
              <w:autoSpaceDE/>
              <w:autoSpaceDN/>
              <w:bidi w:val="0"/>
              <w:spacing w:line="380" w:lineRule="exact"/>
              <w:ind w:firstLine="630" w:firstLineChars="300"/>
              <w:textAlignment w:val="auto"/>
              <w:rPr>
                <w:rFonts w:ascii="宋体" w:hAnsi="宋体"/>
                <w:color w:val="auto"/>
                <w:szCs w:val="21"/>
                <w:highlight w:val="none"/>
                <w:u w:val="none"/>
              </w:rPr>
            </w:pPr>
            <w:r>
              <w:rPr>
                <w:rFonts w:hint="eastAsia" w:ascii="宋体" w:hAnsi="宋体"/>
                <w:b w:val="0"/>
                <w:bCs/>
                <w:color w:val="auto"/>
                <w:sz w:val="21"/>
                <w:szCs w:val="21"/>
                <w:highlight w:val="none"/>
                <w:u w:val="none"/>
              </w:rPr>
              <w:sym w:font="Wingdings 2" w:char="00A3"/>
            </w:r>
            <w:r>
              <w:rPr>
                <w:rFonts w:hint="eastAsia" w:ascii="宋体" w:hAnsi="宋体"/>
                <w:b w:val="0"/>
                <w:bCs/>
                <w:color w:val="auto"/>
                <w:sz w:val="21"/>
                <w:szCs w:val="21"/>
                <w:highlight w:val="none"/>
                <w:u w:val="none"/>
                <w:lang w:val="en-US" w:eastAsia="zh-CN"/>
              </w:rPr>
              <w:t xml:space="preserve"> </w:t>
            </w:r>
            <w:r>
              <w:rPr>
                <w:rFonts w:hint="eastAsia" w:ascii="宋体" w:hAnsi="宋体"/>
                <w:color w:val="auto"/>
                <w:sz w:val="21"/>
                <w:szCs w:val="21"/>
                <w:highlight w:val="none"/>
                <w:u w:val="none"/>
              </w:rPr>
              <w:t>四川省</w:t>
            </w:r>
            <w:r>
              <w:rPr>
                <w:rFonts w:hint="eastAsia" w:ascii="宋体" w:hAnsi="宋体"/>
                <w:color w:val="auto"/>
                <w:sz w:val="21"/>
                <w:szCs w:val="21"/>
                <w:highlight w:val="none"/>
                <w:u w:val="none"/>
                <w:lang w:val="en-US" w:eastAsia="zh-CN"/>
              </w:rPr>
              <w:t xml:space="preserve">农村公路建设从业单位信用评价等级； </w:t>
            </w:r>
          </w:p>
          <w:p w14:paraId="47F2F1E6">
            <w:pPr>
              <w:keepNext w:val="0"/>
              <w:keepLines w:val="0"/>
              <w:pageBreakBefore w:val="0"/>
              <w:widowControl/>
              <w:kinsoku/>
              <w:wordWrap/>
              <w:overflowPunct/>
              <w:topLinePunct w:val="0"/>
              <w:autoSpaceDE/>
              <w:autoSpaceDN/>
              <w:bidi w:val="0"/>
              <w:adjustRightInd w:val="0"/>
              <w:snapToGrid w:val="0"/>
              <w:spacing w:line="380" w:lineRule="exact"/>
              <w:ind w:left="210" w:leftChars="100" w:firstLine="210" w:firstLineChars="100"/>
              <w:textAlignment w:val="auto"/>
              <w:rPr>
                <w:rFonts w:ascii="宋体" w:hAnsi="宋体"/>
                <w:color w:val="auto"/>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3 \* GB3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③</w:t>
            </w:r>
            <w:r>
              <w:rPr>
                <w:rFonts w:ascii="宋体" w:hAnsi="宋体"/>
                <w:color w:val="auto"/>
                <w:kern w:val="0"/>
                <w:szCs w:val="21"/>
                <w:highlight w:val="none"/>
              </w:rPr>
              <w:fldChar w:fldCharType="end"/>
            </w:r>
            <w:r>
              <w:rPr>
                <w:rFonts w:hint="eastAsia" w:ascii="宋体" w:hAnsi="宋体"/>
                <w:color w:val="auto"/>
                <w:kern w:val="0"/>
                <w:szCs w:val="21"/>
                <w:highlight w:val="none"/>
              </w:rPr>
              <w:t>投标人财务评审中近一年度净资产高的优先</w:t>
            </w:r>
            <w:r>
              <w:rPr>
                <w:rFonts w:hint="eastAsia" w:ascii="宋体" w:hAnsi="宋体"/>
                <w:color w:val="auto"/>
                <w:szCs w:val="21"/>
                <w:highlight w:val="none"/>
              </w:rPr>
              <w:t>；</w:t>
            </w:r>
          </w:p>
          <w:p w14:paraId="003D2CDA">
            <w:pPr>
              <w:keepNext w:val="0"/>
              <w:keepLines w:val="0"/>
              <w:pageBreakBefore w:val="0"/>
              <w:widowControl/>
              <w:kinsoku/>
              <w:wordWrap/>
              <w:overflowPunct/>
              <w:topLinePunct w:val="0"/>
              <w:autoSpaceDE/>
              <w:autoSpaceDN/>
              <w:bidi w:val="0"/>
              <w:adjustRightInd w:val="0"/>
              <w:snapToGrid w:val="0"/>
              <w:spacing w:line="380" w:lineRule="exact"/>
              <w:ind w:left="210" w:leftChars="100" w:firstLine="210" w:firstLineChars="100"/>
              <w:textAlignment w:val="auto"/>
              <w:rPr>
                <w:rFonts w:ascii="宋体" w:hAnsi="宋体"/>
                <w:color w:val="auto"/>
                <w:kern w:val="0"/>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4 \* GB3 </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若上述情况都相同时，</w:t>
            </w:r>
            <w:r>
              <w:rPr>
                <w:rFonts w:hint="eastAsia" w:ascii="宋体" w:hAnsi="宋体"/>
                <w:color w:val="auto"/>
                <w:kern w:val="0"/>
                <w:szCs w:val="21"/>
                <w:highlight w:val="none"/>
              </w:rPr>
              <w:t>则排序按照：</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7AF1682">
            <w:pPr>
              <w:pStyle w:val="299"/>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b w:val="0"/>
                <w:bCs/>
                <w:color w:val="auto"/>
                <w:kern w:val="0"/>
                <w:szCs w:val="21"/>
                <w:highlight w:val="none"/>
              </w:rPr>
              <w:sym w:font="Wingdings 2" w:char="00A3"/>
            </w:r>
            <w:r>
              <w:rPr>
                <w:rFonts w:hint="eastAsia" w:ascii="宋体" w:hAnsi="宋体" w:cs="宋体"/>
                <w:color w:val="auto"/>
                <w:szCs w:val="21"/>
                <w:highlight w:val="none"/>
              </w:rPr>
              <w:t>（</w:t>
            </w:r>
            <w:r>
              <w:rPr>
                <w:rFonts w:ascii="宋体" w:hAnsi="宋体" w:cs="宋体"/>
                <w:color w:val="auto"/>
                <w:szCs w:val="21"/>
                <w:highlight w:val="none"/>
              </w:rPr>
              <w:t>2）</w:t>
            </w:r>
            <w:r>
              <w:rPr>
                <w:color w:val="auto"/>
                <w:highlight w:val="none"/>
              </w:rPr>
              <w:t>若同一投标人在</w:t>
            </w:r>
            <w:r>
              <w:rPr>
                <w:rFonts w:hint="eastAsia"/>
                <w:color w:val="auto"/>
                <w:highlight w:val="none"/>
                <w:lang w:val="en-US" w:eastAsia="zh-CN"/>
              </w:rPr>
              <w:t>2</w:t>
            </w:r>
            <w:r>
              <w:rPr>
                <w:color w:val="auto"/>
                <w:highlight w:val="none"/>
              </w:rPr>
              <w:t>个</w:t>
            </w:r>
            <w:r>
              <w:rPr>
                <w:rFonts w:hint="eastAsia"/>
                <w:color w:val="auto"/>
                <w:highlight w:val="none"/>
                <w:lang w:val="en-US" w:eastAsia="zh-CN"/>
              </w:rPr>
              <w:t>及以上</w:t>
            </w:r>
            <w:r>
              <w:rPr>
                <w:color w:val="auto"/>
                <w:highlight w:val="none"/>
              </w:rPr>
              <w:t>标段排序均</w:t>
            </w:r>
            <w:r>
              <w:rPr>
                <w:rFonts w:hint="eastAsia"/>
                <w:color w:val="auto"/>
                <w:highlight w:val="none"/>
                <w:lang w:val="en-US" w:eastAsia="zh-CN"/>
              </w:rPr>
              <w:t>为</w:t>
            </w:r>
            <w:r>
              <w:rPr>
                <w:color w:val="auto"/>
                <w:highlight w:val="none"/>
              </w:rPr>
              <w:t>第一</w:t>
            </w:r>
            <w:r>
              <w:rPr>
                <w:rFonts w:hint="eastAsia"/>
                <w:color w:val="auto"/>
                <w:highlight w:val="none"/>
              </w:rPr>
              <w:t>，</w:t>
            </w:r>
            <w:r>
              <w:rPr>
                <w:color w:val="auto"/>
                <w:highlight w:val="none"/>
              </w:rPr>
              <w:t>按以下原则依次排序</w:t>
            </w:r>
            <w:r>
              <w:rPr>
                <w:rFonts w:ascii="宋体" w:hAnsi="宋体" w:cs="宋体"/>
                <w:color w:val="auto"/>
                <w:szCs w:val="21"/>
                <w:highlight w:val="none"/>
              </w:rPr>
              <w:t>：</w:t>
            </w:r>
          </w:p>
          <w:p w14:paraId="09EE4E74">
            <w:pPr>
              <w:pStyle w:val="299"/>
              <w:keepNext w:val="0"/>
              <w:keepLines w:val="0"/>
              <w:pageBreakBefore w:val="0"/>
              <w:kinsoku/>
              <w:wordWrap/>
              <w:overflowPunct/>
              <w:topLinePunct w:val="0"/>
              <w:autoSpaceDE/>
              <w:autoSpaceDN/>
              <w:bidi w:val="0"/>
              <w:adjustRightInd w:val="0"/>
              <w:snapToGrid w:val="0"/>
              <w:spacing w:line="380" w:lineRule="exact"/>
              <w:ind w:left="399" w:leftChars="190" w:firstLine="0" w:firstLineChars="0"/>
              <w:textAlignment w:val="auto"/>
              <w:rPr>
                <w:rFonts w:hint="eastAsia" w:ascii="宋体" w:hAnsi="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olor w:val="auto"/>
                <w:kern w:val="0"/>
                <w:szCs w:val="21"/>
                <w:highlight w:val="none"/>
                <w:lang w:val="en-US" w:eastAsia="zh-CN"/>
              </w:rPr>
              <w:t xml:space="preserve"> </w:t>
            </w:r>
            <w:r>
              <w:rPr>
                <w:rFonts w:hint="eastAsia" w:ascii="宋体" w:hAnsi="宋体" w:cs="宋体"/>
                <w:color w:val="auto"/>
                <w:szCs w:val="21"/>
                <w:highlight w:val="none"/>
              </w:rPr>
              <w:t>保留该投标人</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评标价高的标段的第一排名，取消其在评标价低的标段的排名，其余投标人按综合得分由高到低重新排序。</w:t>
            </w:r>
            <w:r>
              <w:rPr>
                <w:rFonts w:hint="eastAsia" w:ascii="宋体" w:hAnsi="宋体"/>
                <w:color w:val="auto"/>
                <w:kern w:val="0"/>
                <w:szCs w:val="21"/>
                <w:highlight w:val="none"/>
              </w:rPr>
              <w:t>评标价也相同时，则排序按照：</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CD3194F">
            <w:pPr>
              <w:widowControl/>
              <w:spacing w:line="400" w:lineRule="exact"/>
              <w:ind w:firstLine="420" w:firstLineChars="200"/>
              <w:rPr>
                <w:rFonts w:hint="eastAsia" w:ascii="宋体" w:hAnsi="宋体"/>
                <w:color w:val="auto"/>
                <w:kern w:val="0"/>
                <w:szCs w:val="21"/>
                <w:highlight w:val="none"/>
              </w:rPr>
            </w:pPr>
            <w:r>
              <w:rPr>
                <w:rFonts w:hint="eastAsia" w:ascii="宋体" w:hAnsi="宋体" w:cs="宋体"/>
                <w:bCs/>
                <w:color w:val="auto"/>
                <w:kern w:val="0"/>
                <w:szCs w:val="21"/>
                <w:highlight w:val="none"/>
              </w:rPr>
              <w:sym w:font="Wingdings 2" w:char="00A3"/>
            </w:r>
            <w:r>
              <w:rPr>
                <w:rFonts w:hint="eastAsia" w:ascii="宋体" w:hAnsi="宋体" w:cs="宋体"/>
                <w:bCs/>
                <w:color w:val="auto"/>
                <w:kern w:val="0"/>
                <w:szCs w:val="21"/>
                <w:highlight w:val="none"/>
              </w:rPr>
              <w:t xml:space="preserve"> 排序方式为：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BCC5CEF">
            <w:pPr>
              <w:pStyle w:val="299"/>
              <w:keepNext w:val="0"/>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ascii="宋体" w:hAnsi="宋体" w:cs="宋体"/>
                <w:color w:val="auto"/>
                <w:szCs w:val="21"/>
                <w:highlight w:val="none"/>
              </w:rPr>
            </w:pPr>
            <w:r>
              <w:rPr>
                <w:rFonts w:hint="eastAsia" w:ascii="宋体" w:hAnsi="宋体" w:cs="宋体"/>
                <w:b w:val="0"/>
                <w:bCs/>
                <w:color w:val="auto"/>
                <w:kern w:val="0"/>
                <w:szCs w:val="21"/>
                <w:highlight w:val="none"/>
              </w:rPr>
              <w:sym w:font="Wingdings 2" w:char="00A3"/>
            </w:r>
            <w:r>
              <w:rPr>
                <w:rFonts w:hint="eastAsia" w:ascii="宋体" w:hAnsi="宋体" w:cs="宋体"/>
                <w:color w:val="auto"/>
                <w:szCs w:val="21"/>
                <w:highlight w:val="none"/>
              </w:rPr>
              <w:t>（</w:t>
            </w:r>
            <w:r>
              <w:rPr>
                <w:rFonts w:ascii="宋体" w:hAnsi="宋体" w:cs="宋体"/>
                <w:color w:val="auto"/>
                <w:szCs w:val="21"/>
                <w:highlight w:val="none"/>
              </w:rPr>
              <w:t>3）</w:t>
            </w:r>
            <w:r>
              <w:rPr>
                <w:color w:val="auto"/>
                <w:highlight w:val="none"/>
              </w:rPr>
              <w:t>若同一投标人</w:t>
            </w:r>
            <w:r>
              <w:rPr>
                <w:rFonts w:hint="eastAsia"/>
                <w:color w:val="auto"/>
                <w:highlight w:val="none"/>
              </w:rPr>
              <w:t>参与2</w:t>
            </w:r>
            <w:r>
              <w:rPr>
                <w:color w:val="auto"/>
                <w:highlight w:val="none"/>
              </w:rPr>
              <w:t>个</w:t>
            </w:r>
            <w:r>
              <w:rPr>
                <w:rFonts w:hint="eastAsia"/>
                <w:color w:val="auto"/>
                <w:highlight w:val="none"/>
              </w:rPr>
              <w:t>及以上</w:t>
            </w:r>
            <w:r>
              <w:rPr>
                <w:color w:val="auto"/>
                <w:highlight w:val="none"/>
              </w:rPr>
              <w:t>标段</w:t>
            </w:r>
            <w:r>
              <w:rPr>
                <w:rFonts w:hint="eastAsia"/>
                <w:color w:val="auto"/>
                <w:highlight w:val="none"/>
              </w:rPr>
              <w:t>的投标，</w:t>
            </w:r>
            <w:r>
              <w:rPr>
                <w:rFonts w:ascii="宋体" w:hAnsi="宋体" w:cs="宋体"/>
                <w:color w:val="auto"/>
                <w:szCs w:val="21"/>
                <w:highlight w:val="none"/>
              </w:rPr>
              <w:t>在其中一个标段已经推荐为第一中标候选人，则在其他标段不再作为中标候选人推荐，其余投标人按综合得分由高到低重新排序。</w:t>
            </w:r>
          </w:p>
          <w:p w14:paraId="27707D75">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宋体" w:hAnsi="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4）评标委员会按最终排序推荐前3名中标候选人（若不足3名，则按相应数量推荐）。</w:t>
            </w:r>
          </w:p>
          <w:p w14:paraId="7090CA8A">
            <w:pPr>
              <w:pStyle w:val="344"/>
              <w:keepNext w:val="0"/>
              <w:keepLines w:val="0"/>
              <w:pageBreakBefore w:val="0"/>
              <w:widowControl/>
              <w:numPr>
                <w:ilvl w:val="-1"/>
                <w:numId w:val="0"/>
              </w:numPr>
              <w:kinsoku/>
              <w:wordWrap/>
              <w:overflowPunct/>
              <w:topLinePunct w:val="0"/>
              <w:autoSpaceDE/>
              <w:autoSpaceDN/>
              <w:bidi w:val="0"/>
              <w:adjustRightInd w:val="0"/>
              <w:snapToGrid w:val="0"/>
              <w:spacing w:line="380" w:lineRule="exact"/>
              <w:ind w:left="0" w:firstLine="0" w:firstLineChars="0"/>
              <w:jc w:val="left"/>
              <w:textAlignment w:val="auto"/>
              <w:rPr>
                <w:rFonts w:ascii="宋体" w:hAnsi="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 xml:space="preserve"> </w:t>
            </w:r>
            <w:r>
              <w:rPr>
                <w:rFonts w:hint="eastAsia" w:ascii="宋体" w:hAnsi="宋体" w:cs="宋体"/>
                <w:b/>
                <w:color w:val="auto"/>
                <w:kern w:val="0"/>
                <w:szCs w:val="21"/>
                <w:highlight w:val="none"/>
              </w:rPr>
              <w:t>允许中</w:t>
            </w:r>
            <w:r>
              <w:rPr>
                <w:rFonts w:ascii="宋体" w:hAnsi="宋体" w:cs="宋体"/>
                <w:b/>
                <w:color w:val="auto"/>
                <w:kern w:val="0"/>
                <w:szCs w:val="21"/>
                <w:highlight w:val="none"/>
              </w:rPr>
              <w:t>2个及以上标段适用</w:t>
            </w:r>
          </w:p>
          <w:p w14:paraId="2B12C717">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color w:val="auto"/>
                <w:kern w:val="0"/>
                <w:szCs w:val="21"/>
                <w:highlight w:val="none"/>
                <w:u w:val="single"/>
              </w:rPr>
            </w:pP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p>
          <w:p w14:paraId="2DCC3A67">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color w:val="auto"/>
                <w:kern w:val="0"/>
                <w:szCs w:val="21"/>
                <w:highlight w:val="none"/>
                <w:u w:val="single"/>
              </w:rPr>
            </w:pPr>
            <w:r>
              <w:rPr>
                <w:rFonts w:ascii="宋体" w:hAnsi="宋体"/>
                <w:b/>
                <w:color w:val="auto"/>
                <w:szCs w:val="21"/>
                <w:highlight w:val="none"/>
              </w:rPr>
              <w:t>2.</w:t>
            </w:r>
            <w:r>
              <w:rPr>
                <w:rFonts w:hint="eastAsia"/>
                <w:color w:val="auto"/>
                <w:szCs w:val="21"/>
                <w:highlight w:val="none"/>
              </w:rPr>
              <w:t>在评标过程中，如有效投标不足</w:t>
            </w:r>
            <w:r>
              <w:rPr>
                <w:color w:val="auto"/>
                <w:szCs w:val="21"/>
                <w:highlight w:val="none"/>
              </w:rPr>
              <w:t>3</w:t>
            </w:r>
            <w:r>
              <w:rPr>
                <w:rFonts w:hint="eastAsia"/>
                <w:color w:val="auto"/>
                <w:szCs w:val="21"/>
                <w:highlight w:val="none"/>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w:t>
            </w:r>
            <w:r>
              <w:rPr>
                <w:rFonts w:hint="eastAsia"/>
                <w:color w:val="auto"/>
                <w:szCs w:val="21"/>
                <w:highlight w:val="none"/>
                <w:lang w:eastAsia="zh-CN"/>
              </w:rPr>
              <w:t>否决</w:t>
            </w:r>
            <w:r>
              <w:rPr>
                <w:rFonts w:hint="eastAsia"/>
                <w:color w:val="auto"/>
                <w:szCs w:val="21"/>
                <w:highlight w:val="none"/>
              </w:rPr>
              <w:t>全部投标，并在评标报告中</w:t>
            </w:r>
            <w:r>
              <w:rPr>
                <w:rFonts w:hint="eastAsia"/>
                <w:color w:val="auto"/>
                <w:szCs w:val="21"/>
                <w:highlight w:val="none"/>
                <w:lang w:val="en-US" w:eastAsia="zh-CN"/>
              </w:rPr>
              <w:t>作</w:t>
            </w:r>
            <w:r>
              <w:rPr>
                <w:rFonts w:hint="eastAsia"/>
                <w:color w:val="auto"/>
                <w:szCs w:val="21"/>
                <w:highlight w:val="none"/>
              </w:rPr>
              <w:t>出说明。</w:t>
            </w:r>
          </w:p>
        </w:tc>
      </w:tr>
      <w:tr w14:paraId="2D30A982">
        <w:tblPrEx>
          <w:tblCellMar>
            <w:top w:w="0" w:type="dxa"/>
            <w:left w:w="108" w:type="dxa"/>
            <w:bottom w:w="0" w:type="dxa"/>
            <w:right w:w="108" w:type="dxa"/>
          </w:tblCellMar>
        </w:tblPrEx>
        <w:trPr>
          <w:trHeight w:val="1269" w:hRule="atLeast"/>
        </w:trPr>
        <w:tc>
          <w:tcPr>
            <w:tcW w:w="739" w:type="dxa"/>
            <w:tcBorders>
              <w:top w:val="nil"/>
              <w:left w:val="single" w:color="000000" w:sz="4" w:space="0"/>
              <w:bottom w:val="single" w:color="auto" w:sz="4" w:space="0"/>
              <w:right w:val="single" w:color="000000" w:sz="4" w:space="0"/>
            </w:tcBorders>
            <w:vAlign w:val="center"/>
          </w:tcPr>
          <w:p w14:paraId="2B039356">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00" w:type="dxa"/>
            <w:tcBorders>
              <w:top w:val="single" w:color="000000" w:sz="4" w:space="0"/>
              <w:left w:val="nil"/>
              <w:bottom w:val="single" w:color="auto" w:sz="4" w:space="0"/>
              <w:right w:val="single" w:color="000000" w:sz="4" w:space="0"/>
            </w:tcBorders>
            <w:vAlign w:val="center"/>
          </w:tcPr>
          <w:p w14:paraId="7CA9BB98">
            <w:pPr>
              <w:pStyle w:val="299"/>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评标</w:t>
            </w:r>
          </w:p>
          <w:p w14:paraId="144C12A3">
            <w:pPr>
              <w:pStyle w:val="299"/>
              <w:adjustRightInd w:val="0"/>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方法</w:t>
            </w:r>
          </w:p>
        </w:tc>
        <w:tc>
          <w:tcPr>
            <w:tcW w:w="7392" w:type="dxa"/>
            <w:gridSpan w:val="2"/>
            <w:tcBorders>
              <w:top w:val="single" w:color="000000" w:sz="4" w:space="0"/>
              <w:left w:val="nil"/>
              <w:bottom w:val="single" w:color="auto" w:sz="4" w:space="0"/>
              <w:right w:val="single" w:color="000000" w:sz="4" w:space="0"/>
            </w:tcBorders>
            <w:vAlign w:val="center"/>
          </w:tcPr>
          <w:p w14:paraId="680E2DA7">
            <w:pPr>
              <w:pStyle w:val="299"/>
              <w:adjustRightInd w:val="0"/>
              <w:snapToGrid w:val="0"/>
              <w:spacing w:line="400" w:lineRule="exact"/>
              <w:ind w:firstLine="0" w:firstLineChars="0"/>
              <w:rPr>
                <w:rFonts w:hint="eastAsia" w:ascii="宋体" w:hAnsi="宋体" w:cs="宋体"/>
                <w:color w:val="auto"/>
                <w:szCs w:val="21"/>
                <w:highlight w:val="none"/>
              </w:rPr>
            </w:pPr>
            <w:r>
              <w:rPr>
                <w:rFonts w:hint="eastAsia" w:ascii="宋体" w:hAnsi="宋体" w:cs="宋体"/>
                <w:b/>
                <w:bCs/>
                <w:color w:val="auto"/>
                <w:szCs w:val="21"/>
                <w:highlight w:val="none"/>
              </w:rPr>
              <w:t>□ 3.协助评标</w:t>
            </w:r>
          </w:p>
          <w:p w14:paraId="434541B2">
            <w:pPr>
              <w:pStyle w:val="299"/>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招标人按照</w:t>
            </w:r>
            <w:r>
              <w:rPr>
                <w:rFonts w:hint="eastAsia" w:ascii="宋体" w:hAnsi="宋体" w:cs="宋体"/>
                <w:color w:val="auto"/>
                <w:szCs w:val="21"/>
                <w:highlight w:val="none"/>
                <w:u w:val="single"/>
              </w:rPr>
              <w:t>《公路工程建设项目招标投标管理办法》（交通运输部令</w:t>
            </w:r>
            <w:r>
              <w:rPr>
                <w:rFonts w:ascii="宋体" w:hAnsi="宋体" w:cs="宋体"/>
                <w:color w:val="auto"/>
                <w:szCs w:val="21"/>
                <w:highlight w:val="none"/>
                <w:u w:val="single"/>
              </w:rPr>
              <w:t>2015年第24号）、《公路工程建设项目评标工作细则》（交公路规〔2022〕8号）、《四川省公路工程建设项目招标投标管理实施细则》（川交发</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2019</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32号）</w:t>
            </w:r>
            <w:r>
              <w:rPr>
                <w:rFonts w:hint="eastAsia" w:ascii="宋体" w:hAnsi="宋体" w:cs="宋体"/>
                <w:color w:val="auto"/>
                <w:szCs w:val="21"/>
                <w:highlight w:val="none"/>
              </w:rPr>
              <w:t>规定，协助评标委员会工作并提供相关信息：</w:t>
            </w:r>
            <w:r>
              <w:rPr>
                <w:rFonts w:ascii="宋体" w:hAnsi="宋体" w:cs="宋体"/>
                <w:color w:val="auto"/>
                <w:szCs w:val="21"/>
                <w:highlight w:val="none"/>
              </w:rPr>
              <w:t xml:space="preserve"> </w:t>
            </w:r>
          </w:p>
          <w:p w14:paraId="1B08480D">
            <w:pPr>
              <w:pStyle w:val="299"/>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1）根据招标文件，编制评标使用的相应表格； </w:t>
            </w:r>
          </w:p>
          <w:p w14:paraId="126C9105">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2）对投标人的</w:t>
            </w:r>
            <w:r>
              <w:rPr>
                <w:rFonts w:ascii="宋体" w:hAnsi="宋体" w:cs="宋体"/>
                <w:color w:val="auto"/>
                <w:szCs w:val="21"/>
                <w:highlight w:val="none"/>
                <w:u w:val="single"/>
              </w:rPr>
              <w:t>资质、业绩</w:t>
            </w:r>
            <w:r>
              <w:rPr>
                <w:rFonts w:hint="eastAsia" w:ascii="宋体" w:hAnsi="宋体" w:cs="宋体"/>
                <w:color w:val="auto"/>
                <w:szCs w:val="21"/>
                <w:highlight w:val="none"/>
                <w:u w:val="single"/>
              </w:rPr>
              <w:t>、信誉和从业人员</w:t>
            </w:r>
            <w:r>
              <w:rPr>
                <w:rFonts w:hint="eastAsia"/>
                <w:color w:val="auto"/>
                <w:highlight w:val="none"/>
                <w:u w:val="single"/>
              </w:rPr>
              <w:t>各类注册资格证书</w:t>
            </w:r>
            <w:r>
              <w:rPr>
                <w:rFonts w:hint="eastAsia"/>
                <w:color w:val="auto"/>
                <w:highlight w:val="none"/>
              </w:rPr>
              <w:t>等信息</w:t>
            </w:r>
            <w:r>
              <w:rPr>
                <w:rFonts w:ascii="宋体" w:hAnsi="宋体" w:cs="宋体"/>
                <w:color w:val="auto"/>
                <w:szCs w:val="21"/>
                <w:highlight w:val="none"/>
              </w:rPr>
              <w:t>进行核实</w:t>
            </w:r>
            <w:r>
              <w:rPr>
                <w:rFonts w:hint="eastAsia" w:ascii="宋体" w:hAnsi="宋体" w:cs="宋体"/>
                <w:color w:val="auto"/>
                <w:szCs w:val="21"/>
                <w:highlight w:val="none"/>
              </w:rPr>
              <w:t>；</w:t>
            </w:r>
          </w:p>
          <w:p w14:paraId="31F46333">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3）对投标报价进行算术性校核；</w:t>
            </w:r>
          </w:p>
          <w:p w14:paraId="393E69C5">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以评标标准和方法为依据，列出投标文件相对于招标文件的所有偏差，并进行匿名归类汇总；</w:t>
            </w:r>
          </w:p>
          <w:p w14:paraId="742FD55D">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5）在评标过程中，对评标委员会各成员的评分表进行复核，统计汇总；对评标过程资料进行整理。</w:t>
            </w:r>
          </w:p>
          <w:p w14:paraId="17FAB0BC">
            <w:pPr>
              <w:pStyle w:val="299"/>
              <w:adjustRightInd w:val="0"/>
              <w:snapToGrid w:val="0"/>
              <w:spacing w:line="400" w:lineRule="exact"/>
              <w:ind w:firstLine="210" w:firstLineChars="100"/>
              <w:rPr>
                <w:rFonts w:ascii="宋体" w:hAnsi="宋体"/>
                <w:color w:val="auto"/>
                <w:szCs w:val="21"/>
                <w:highlight w:val="none"/>
              </w:rPr>
            </w:pPr>
            <w:r>
              <w:rPr>
                <w:rFonts w:hint="eastAsia" w:ascii="宋体" w:hAnsi="宋体" w:cs="宋体"/>
                <w:color w:val="auto"/>
                <w:szCs w:val="21"/>
                <w:highlight w:val="none"/>
              </w:rPr>
              <w:t>招标人不得对投标文件作出任何评价，不得故意遗漏或者片面摘录，不得在评标委员会对所有偏差定性之前透露存有偏差的投标人名称。</w:t>
            </w:r>
          </w:p>
        </w:tc>
      </w:tr>
      <w:tr w14:paraId="03806AD8">
        <w:tblPrEx>
          <w:tblCellMar>
            <w:top w:w="0" w:type="dxa"/>
            <w:left w:w="108" w:type="dxa"/>
            <w:bottom w:w="0" w:type="dxa"/>
            <w:right w:w="108" w:type="dxa"/>
          </w:tblCellMar>
        </w:tblPrEx>
        <w:trPr>
          <w:trHeight w:val="1422"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2B414A89">
            <w:pPr>
              <w:pStyle w:val="27"/>
              <w:adjustRightInd w:val="0"/>
              <w:snapToGrid w:val="0"/>
              <w:spacing w:line="400" w:lineRule="exact"/>
              <w:ind w:left="-210" w:leftChars="-100" w:right="-210" w:rightChars="-100"/>
              <w:jc w:val="center"/>
              <w:rPr>
                <w:rFonts w:hAnsi="宋体" w:cs="Courier New"/>
                <w:color w:val="auto"/>
                <w:highlight w:val="none"/>
              </w:rPr>
            </w:pPr>
            <w:r>
              <w:rPr>
                <w:rFonts w:hAnsi="宋体" w:cs="Courier New"/>
                <w:color w:val="auto"/>
                <w:highlight w:val="none"/>
              </w:rPr>
              <w:t>2.1</w:t>
            </w:r>
          </w:p>
          <w:p w14:paraId="62175789">
            <w:pPr>
              <w:pStyle w:val="27"/>
              <w:adjustRightInd w:val="0"/>
              <w:snapToGrid w:val="0"/>
              <w:spacing w:line="400" w:lineRule="exact"/>
              <w:ind w:left="-210" w:leftChars="-100" w:right="-210" w:rightChars="-100"/>
              <w:jc w:val="center"/>
              <w:rPr>
                <w:rFonts w:hint="eastAsia" w:hAnsi="宋体" w:cs="Courier New"/>
                <w:color w:val="auto"/>
                <w:highlight w:val="none"/>
              </w:rPr>
            </w:pPr>
            <w:r>
              <w:rPr>
                <w:rFonts w:hint="eastAsia" w:hAnsi="宋体" w:cs="Courier New"/>
                <w:color w:val="auto"/>
                <w:highlight w:val="none"/>
              </w:rPr>
              <w:t>初步</w:t>
            </w:r>
          </w:p>
          <w:p w14:paraId="277D2AE7">
            <w:pPr>
              <w:pStyle w:val="27"/>
              <w:adjustRightInd w:val="0"/>
              <w:snapToGrid w:val="0"/>
              <w:spacing w:line="400" w:lineRule="exact"/>
              <w:ind w:left="-210" w:leftChars="-100" w:right="-210" w:rightChars="-100"/>
              <w:jc w:val="center"/>
              <w:rPr>
                <w:rFonts w:hint="eastAsia" w:hAnsi="宋体" w:cs="Courier New"/>
                <w:color w:val="auto"/>
                <w:highlight w:val="none"/>
              </w:rPr>
            </w:pPr>
            <w:r>
              <w:rPr>
                <w:rFonts w:hint="eastAsia" w:hAnsi="宋体" w:cs="Courier New"/>
                <w:color w:val="auto"/>
                <w:highlight w:val="none"/>
              </w:rPr>
              <w:t>评审</w:t>
            </w:r>
          </w:p>
          <w:p w14:paraId="59CBF9FE">
            <w:pPr>
              <w:pStyle w:val="27"/>
              <w:adjustRightInd w:val="0"/>
              <w:snapToGrid w:val="0"/>
              <w:spacing w:line="400" w:lineRule="exact"/>
              <w:ind w:left="-210" w:leftChars="-100" w:right="-210" w:rightChars="-100"/>
              <w:jc w:val="center"/>
              <w:rPr>
                <w:rFonts w:hint="eastAsia" w:hAnsi="宋体" w:cs="Courier New"/>
                <w:color w:val="auto"/>
                <w:highlight w:val="none"/>
              </w:rPr>
            </w:pPr>
            <w:r>
              <w:rPr>
                <w:rFonts w:hint="eastAsia" w:hAnsi="宋体" w:cs="Courier New"/>
                <w:color w:val="auto"/>
                <w:highlight w:val="none"/>
              </w:rPr>
              <w:t>标准</w:t>
            </w:r>
            <w:r>
              <w:rPr>
                <w:rFonts w:hAnsi="宋体" w:cs="Courier New"/>
                <w:color w:val="auto"/>
                <w:highlight w:val="none"/>
              </w:rPr>
              <w:t xml:space="preserve">      </w:t>
            </w:r>
            <w:r>
              <w:rPr>
                <w:rFonts w:hint="eastAsia" w:hAnsi="宋体" w:cs="Courier New"/>
                <w:color w:val="auto"/>
                <w:highlight w:val="none"/>
              </w:rPr>
              <w:t>（第</w:t>
            </w:r>
          </w:p>
          <w:p w14:paraId="2662C372">
            <w:pPr>
              <w:pStyle w:val="27"/>
              <w:adjustRightInd w:val="0"/>
              <w:snapToGrid w:val="0"/>
              <w:spacing w:line="400" w:lineRule="exact"/>
              <w:ind w:left="-210" w:leftChars="-100" w:right="-210" w:rightChars="-100"/>
              <w:jc w:val="center"/>
              <w:rPr>
                <w:rFonts w:hAnsi="宋体" w:cs="Courier New"/>
                <w:color w:val="auto"/>
                <w:highlight w:val="none"/>
              </w:rPr>
            </w:pPr>
            <w:r>
              <w:rPr>
                <w:rFonts w:hint="eastAsia" w:hAnsi="宋体" w:cs="Courier New"/>
                <w:color w:val="auto"/>
                <w:highlight w:val="none"/>
              </w:rPr>
              <w:t>一个</w:t>
            </w:r>
          </w:p>
          <w:p w14:paraId="4E3804AA">
            <w:pPr>
              <w:pStyle w:val="27"/>
              <w:adjustRightInd w:val="0"/>
              <w:snapToGrid w:val="0"/>
              <w:spacing w:line="400" w:lineRule="exact"/>
              <w:ind w:left="-210" w:leftChars="-100" w:right="-210" w:rightChars="-100"/>
              <w:jc w:val="center"/>
              <w:rPr>
                <w:rFonts w:hAnsi="宋体" w:cs="Courier New"/>
                <w:color w:val="auto"/>
                <w:highlight w:val="none"/>
              </w:rPr>
            </w:pPr>
            <w:r>
              <w:rPr>
                <w:rFonts w:hint="eastAsia" w:hAnsi="宋体" w:cs="Courier New"/>
                <w:color w:val="auto"/>
                <w:highlight w:val="none"/>
              </w:rPr>
              <w:t>信封）</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14:paraId="353B6CB8">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2.1.1</w:t>
            </w:r>
          </w:p>
          <w:p w14:paraId="64F13639">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形式评审标准</w:t>
            </w:r>
          </w:p>
        </w:tc>
        <w:tc>
          <w:tcPr>
            <w:tcW w:w="2297" w:type="dxa"/>
            <w:tcBorders>
              <w:top w:val="single" w:color="auto" w:sz="4" w:space="0"/>
              <w:bottom w:val="single" w:color="auto" w:sz="4" w:space="0"/>
              <w:right w:val="single" w:color="auto" w:sz="4" w:space="0"/>
            </w:tcBorders>
            <w:vAlign w:val="center"/>
          </w:tcPr>
          <w:p w14:paraId="4DD7CE4F">
            <w:pPr>
              <w:adjustRightInd w:val="0"/>
              <w:snapToGrid w:val="0"/>
              <w:spacing w:line="400" w:lineRule="exact"/>
              <w:rPr>
                <w:color w:val="auto"/>
                <w:szCs w:val="21"/>
                <w:highlight w:val="none"/>
              </w:rPr>
            </w:pPr>
            <w:r>
              <w:rPr>
                <w:color w:val="auto"/>
                <w:szCs w:val="21"/>
                <w:highlight w:val="none"/>
              </w:rPr>
              <w:t>1.</w:t>
            </w:r>
            <w:r>
              <w:rPr>
                <w:rFonts w:hint="eastAsia"/>
                <w:color w:val="auto"/>
                <w:szCs w:val="21"/>
                <w:highlight w:val="none"/>
              </w:rPr>
              <w:t>投标文件格式按照招标文件规定的格式、内容填写</w:t>
            </w:r>
          </w:p>
        </w:tc>
        <w:tc>
          <w:tcPr>
            <w:tcW w:w="5095" w:type="dxa"/>
            <w:tcBorders>
              <w:top w:val="single" w:color="auto" w:sz="4" w:space="0"/>
              <w:left w:val="single" w:color="auto" w:sz="4" w:space="0"/>
              <w:bottom w:val="single" w:color="auto" w:sz="4" w:space="0"/>
              <w:right w:val="single" w:color="auto" w:sz="4" w:space="0"/>
            </w:tcBorders>
            <w:vAlign w:val="center"/>
          </w:tcPr>
          <w:p w14:paraId="2716FFA2">
            <w:pPr>
              <w:pStyle w:val="299"/>
              <w:adjustRightInd w:val="0"/>
              <w:snapToGrid w:val="0"/>
              <w:spacing w:line="400" w:lineRule="exact"/>
              <w:rPr>
                <w:rFonts w:hint="eastAsia" w:eastAsia="宋体"/>
                <w:color w:val="auto"/>
                <w:szCs w:val="21"/>
                <w:highlight w:val="none"/>
                <w:lang w:eastAsia="zh-CN"/>
              </w:rPr>
            </w:pPr>
            <w:r>
              <w:rPr>
                <w:rFonts w:hint="eastAsia"/>
                <w:color w:val="auto"/>
                <w:szCs w:val="21"/>
                <w:highlight w:val="none"/>
              </w:rPr>
              <w:t>（</w:t>
            </w:r>
            <w:r>
              <w:rPr>
                <w:color w:val="auto"/>
                <w:szCs w:val="21"/>
                <w:highlight w:val="none"/>
              </w:rPr>
              <w:t>1</w:t>
            </w:r>
            <w:r>
              <w:rPr>
                <w:rFonts w:hint="eastAsia"/>
                <w:color w:val="auto"/>
                <w:szCs w:val="21"/>
                <w:highlight w:val="none"/>
              </w:rPr>
              <w:t>）投标函按照招标文件的规定填报了招标项目名称、标段号、工期</w:t>
            </w:r>
            <w:r>
              <w:rPr>
                <w:rFonts w:hint="eastAsia"/>
                <w:color w:val="auto"/>
                <w:szCs w:val="21"/>
                <w:highlight w:val="none"/>
                <w:lang w:eastAsia="zh-CN"/>
              </w:rPr>
              <w:t>。</w:t>
            </w:r>
          </w:p>
          <w:p w14:paraId="01B79DE2">
            <w:pPr>
              <w:pStyle w:val="299"/>
              <w:adjustRightInd w:val="0"/>
              <w:snapToGrid w:val="0"/>
              <w:spacing w:line="400" w:lineRule="exact"/>
              <w:rPr>
                <w:rFonts w:hint="eastAsia" w:eastAsia="宋体"/>
                <w:color w:val="auto"/>
                <w:szCs w:val="21"/>
                <w:highlight w:val="none"/>
                <w:lang w:eastAsia="zh-CN"/>
              </w:rPr>
            </w:pPr>
            <w:r>
              <w:rPr>
                <w:rFonts w:hint="eastAsia"/>
                <w:color w:val="auto"/>
                <w:szCs w:val="21"/>
                <w:highlight w:val="none"/>
              </w:rPr>
              <w:t>（</w:t>
            </w:r>
            <w:r>
              <w:rPr>
                <w:color w:val="auto"/>
                <w:szCs w:val="21"/>
                <w:highlight w:val="none"/>
              </w:rPr>
              <w:t>2</w:t>
            </w:r>
            <w:r>
              <w:rPr>
                <w:rFonts w:hint="eastAsia"/>
                <w:color w:val="auto"/>
                <w:szCs w:val="21"/>
                <w:highlight w:val="none"/>
              </w:rPr>
              <w:t>）投标函附录的所有数据均符合招标文件的规定</w:t>
            </w:r>
            <w:r>
              <w:rPr>
                <w:rFonts w:hint="eastAsia"/>
                <w:color w:val="auto"/>
                <w:szCs w:val="21"/>
                <w:highlight w:val="none"/>
                <w:lang w:eastAsia="zh-CN"/>
              </w:rPr>
              <w:t>。</w:t>
            </w:r>
          </w:p>
          <w:p w14:paraId="574ABE57">
            <w:pPr>
              <w:pStyle w:val="299"/>
              <w:adjustRightInd w:val="0"/>
              <w:snapToGrid w:val="0"/>
              <w:spacing w:line="400" w:lineRule="exac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）投标文件组成齐全完整、内容均按规定填写。</w:t>
            </w:r>
          </w:p>
        </w:tc>
      </w:tr>
      <w:tr w14:paraId="4DF466E9">
        <w:tblPrEx>
          <w:tblCellMar>
            <w:top w:w="0" w:type="dxa"/>
            <w:left w:w="108" w:type="dxa"/>
            <w:bottom w:w="0" w:type="dxa"/>
            <w:right w:w="108" w:type="dxa"/>
          </w:tblCellMar>
        </w:tblPrEx>
        <w:trPr>
          <w:trHeight w:val="360"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6CA0CEFD">
            <w:pPr>
              <w:pStyle w:val="27"/>
              <w:adjustRightInd w:val="0"/>
              <w:snapToGrid w:val="0"/>
              <w:spacing w:line="400" w:lineRule="exact"/>
              <w:ind w:left="-210" w:leftChars="-100" w:right="-210" w:rightChars="-100"/>
              <w:jc w:val="center"/>
              <w:rPr>
                <w:rFonts w:hAnsi="宋体" w:cs="Courier New"/>
                <w:color w:val="auto"/>
                <w:highlight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7A9815C9">
            <w:pPr>
              <w:pStyle w:val="27"/>
              <w:adjustRightInd w:val="0"/>
              <w:snapToGrid w:val="0"/>
              <w:spacing w:line="400" w:lineRule="exact"/>
              <w:jc w:val="center"/>
              <w:rPr>
                <w:rFonts w:hAnsi="宋体" w:cs="Courier New"/>
                <w:color w:val="auto"/>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14:paraId="1BE53B6A">
            <w:pPr>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．投标文件上法定代表人或其委托代理人的</w:t>
            </w:r>
            <w:r>
              <w:rPr>
                <w:rFonts w:hint="eastAsia" w:ascii="宋体" w:hAnsi="宋体"/>
                <w:color w:val="auto"/>
                <w:kern w:val="0"/>
                <w:szCs w:val="21"/>
                <w:highlight w:val="none"/>
                <w:lang w:val="en-US" w:eastAsia="zh-CN"/>
              </w:rPr>
              <w:t>个人</w:t>
            </w:r>
            <w:r>
              <w:rPr>
                <w:rFonts w:hint="eastAsia" w:ascii="宋体" w:hAnsi="宋体"/>
                <w:color w:val="auto"/>
                <w:kern w:val="0"/>
                <w:szCs w:val="21"/>
                <w:highlight w:val="none"/>
              </w:rPr>
              <w:t>电子签章或个人电子印章、</w:t>
            </w:r>
            <w:r>
              <w:rPr>
                <w:rFonts w:hint="eastAsia" w:ascii="宋体" w:hAnsi="宋体"/>
                <w:color w:val="auto"/>
                <w:szCs w:val="21"/>
                <w:highlight w:val="none"/>
              </w:rPr>
              <w:t>投标人的单位电子印章盖章齐全，</w:t>
            </w:r>
            <w:r>
              <w:rPr>
                <w:rFonts w:hint="eastAsia" w:ascii="宋体" w:hAnsi="宋体"/>
                <w:color w:val="auto"/>
                <w:kern w:val="0"/>
                <w:szCs w:val="21"/>
                <w:highlight w:val="none"/>
              </w:rPr>
              <w:t>符合招标文件规定</w:t>
            </w:r>
          </w:p>
        </w:tc>
        <w:tc>
          <w:tcPr>
            <w:tcW w:w="5095" w:type="dxa"/>
            <w:tcBorders>
              <w:top w:val="single" w:color="auto" w:sz="4" w:space="0"/>
              <w:left w:val="single" w:color="auto" w:sz="4" w:space="0"/>
              <w:bottom w:val="single" w:color="auto" w:sz="4" w:space="0"/>
              <w:right w:val="single" w:color="000000" w:sz="4" w:space="0"/>
            </w:tcBorders>
            <w:vAlign w:val="center"/>
          </w:tcPr>
          <w:p w14:paraId="13DEE24F">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ascii="宋体" w:hAnsi="宋体"/>
                <w:color w:val="auto"/>
                <w:szCs w:val="21"/>
                <w:highlight w:val="none"/>
              </w:rPr>
              <w:t>及投标文件格式</w:t>
            </w:r>
            <w:r>
              <w:rPr>
                <w:rFonts w:ascii="宋体" w:hAnsi="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，投标人均应使用单位CA数字证书加盖投标人的单位电子印章；投标函</w:t>
            </w:r>
            <w:r>
              <w:rPr>
                <w:rFonts w:hint="eastAsia" w:ascii="宋体" w:hAnsi="宋体"/>
                <w:color w:val="auto"/>
                <w:szCs w:val="21"/>
                <w:highlight w:val="none"/>
              </w:rPr>
              <w:t>及投标文件格式</w:t>
            </w:r>
            <w:r>
              <w:rPr>
                <w:rFonts w:ascii="宋体" w:hAnsi="宋体" w:cs="宋体"/>
                <w:color w:val="auto"/>
                <w:szCs w:val="21"/>
                <w:highlight w:val="none"/>
              </w:rPr>
              <w:t>中要求签字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，投标人均应使用个人CA数字证书加盖法定代表人</w:t>
            </w:r>
            <w:r>
              <w:rPr>
                <w:rFonts w:hint="eastAsia" w:ascii="宋体" w:hAnsi="宋体" w:cs="宋体"/>
                <w:color w:val="auto"/>
                <w:szCs w:val="21"/>
                <w:highlight w:val="none"/>
              </w:rPr>
              <w:t>或其委托代理人的个人电子签名章或个人电子印章。</w:t>
            </w:r>
          </w:p>
          <w:p w14:paraId="2F64A04D">
            <w:pPr>
              <w:adjustRightInd w:val="0"/>
              <w:snapToGrid w:val="0"/>
              <w:spacing w:line="400" w:lineRule="exact"/>
              <w:rPr>
                <w:rFonts w:ascii="宋体" w:hAnsi="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lang w:val="en-US" w:eastAsia="zh-CN"/>
              </w:rPr>
              <w:t>以</w:t>
            </w:r>
            <w:r>
              <w:rPr>
                <w:rFonts w:ascii="宋体" w:hAnsi="宋体" w:cs="宋体"/>
                <w:color w:val="auto"/>
                <w:szCs w:val="21"/>
                <w:highlight w:val="none"/>
              </w:rPr>
              <w:t>联合体</w:t>
            </w:r>
            <w:r>
              <w:rPr>
                <w:rFonts w:hint="eastAsia" w:ascii="宋体" w:hAnsi="宋体" w:cs="宋体"/>
                <w:color w:val="auto"/>
                <w:szCs w:val="21"/>
                <w:highlight w:val="none"/>
                <w:lang w:val="en-US" w:eastAsia="zh-CN"/>
              </w:rPr>
              <w:t>形式</w:t>
            </w:r>
            <w:r>
              <w:rPr>
                <w:rFonts w:ascii="宋体" w:hAnsi="宋体" w:cs="宋体"/>
                <w:color w:val="auto"/>
                <w:szCs w:val="21"/>
                <w:highlight w:val="none"/>
              </w:rPr>
              <w:t>投标的，投标函由联合体牵头</w:t>
            </w:r>
            <w:r>
              <w:rPr>
                <w:rFonts w:hint="eastAsia" w:ascii="宋体" w:hAnsi="宋体" w:cs="宋体"/>
                <w:color w:val="auto"/>
                <w:szCs w:val="21"/>
                <w:highlight w:val="none"/>
              </w:rPr>
              <w:t>人按上述</w:t>
            </w:r>
            <w:r>
              <w:rPr>
                <w:rFonts w:ascii="宋体" w:hAnsi="宋体" w:cs="宋体"/>
                <w:color w:val="auto"/>
                <w:szCs w:val="21"/>
                <w:highlight w:val="none"/>
              </w:rPr>
              <w:t>规定完成签字、盖章</w:t>
            </w:r>
            <w:r>
              <w:rPr>
                <w:rFonts w:hint="eastAsia" w:ascii="宋体" w:hAnsi="宋体" w:cs="宋体"/>
                <w:color w:val="auto"/>
                <w:szCs w:val="21"/>
                <w:highlight w:val="none"/>
              </w:rPr>
              <w:t>。</w:t>
            </w:r>
          </w:p>
        </w:tc>
      </w:tr>
      <w:tr w14:paraId="36434564">
        <w:tblPrEx>
          <w:tblCellMar>
            <w:top w:w="0" w:type="dxa"/>
            <w:left w:w="108" w:type="dxa"/>
            <w:bottom w:w="0" w:type="dxa"/>
            <w:right w:w="108" w:type="dxa"/>
          </w:tblCellMar>
        </w:tblPrEx>
        <w:trPr>
          <w:trHeight w:val="0"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0D1DE22F">
            <w:pPr>
              <w:pStyle w:val="27"/>
              <w:adjustRightInd w:val="0"/>
              <w:snapToGrid w:val="0"/>
              <w:spacing w:line="400" w:lineRule="exact"/>
              <w:jc w:val="center"/>
              <w:rPr>
                <w:rFonts w:hAnsi="宋体" w:cs="Courier New"/>
                <w:color w:val="auto"/>
                <w:highlight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2E03C7F5">
            <w:pPr>
              <w:pStyle w:val="27"/>
              <w:adjustRightInd w:val="0"/>
              <w:snapToGrid w:val="0"/>
              <w:spacing w:line="400" w:lineRule="exact"/>
              <w:jc w:val="center"/>
              <w:rPr>
                <w:rFonts w:hAnsi="宋体" w:cs="Courier New"/>
                <w:color w:val="auto"/>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14:paraId="74BBA7CF">
            <w:pPr>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．投标人按照招标文件规定的金额、形式、时效、内容提供了投标保证金</w:t>
            </w:r>
          </w:p>
        </w:tc>
        <w:tc>
          <w:tcPr>
            <w:tcW w:w="5095" w:type="dxa"/>
            <w:tcBorders>
              <w:top w:val="single" w:color="auto" w:sz="4" w:space="0"/>
              <w:left w:val="single" w:color="auto" w:sz="4" w:space="0"/>
              <w:bottom w:val="single" w:color="auto" w:sz="4" w:space="0"/>
              <w:right w:val="single" w:color="auto" w:sz="4" w:space="0"/>
            </w:tcBorders>
            <w:vAlign w:val="center"/>
          </w:tcPr>
          <w:p w14:paraId="77899A77">
            <w:pPr>
              <w:widowControl/>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1）投标保证金金额符合第二章</w:t>
            </w:r>
            <w:r>
              <w:rPr>
                <w:rFonts w:hint="eastAsia" w:ascii="宋体" w:hAnsi="宋体"/>
                <w:color w:val="auto"/>
                <w:kern w:val="0"/>
                <w:szCs w:val="21"/>
                <w:highlight w:val="none"/>
              </w:rPr>
              <w:t>“</w:t>
            </w:r>
            <w:r>
              <w:rPr>
                <w:rFonts w:ascii="宋体" w:hAnsi="宋体"/>
                <w:color w:val="auto"/>
                <w:kern w:val="0"/>
                <w:szCs w:val="21"/>
                <w:highlight w:val="none"/>
              </w:rPr>
              <w:t>投标人须知</w:t>
            </w:r>
            <w:r>
              <w:rPr>
                <w:rFonts w:hint="eastAsia" w:ascii="宋体" w:hAnsi="宋体"/>
                <w:color w:val="auto"/>
                <w:kern w:val="0"/>
                <w:szCs w:val="21"/>
                <w:highlight w:val="none"/>
              </w:rPr>
              <w:t>”前附表</w:t>
            </w:r>
            <w:r>
              <w:rPr>
                <w:rFonts w:ascii="宋体" w:hAnsi="宋体"/>
                <w:color w:val="auto"/>
                <w:kern w:val="0"/>
                <w:szCs w:val="21"/>
                <w:highlight w:val="none"/>
              </w:rPr>
              <w:t>第3.4.1</w:t>
            </w:r>
            <w:r>
              <w:rPr>
                <w:rFonts w:hint="eastAsia" w:ascii="宋体" w:hAnsi="宋体"/>
                <w:color w:val="auto"/>
                <w:kern w:val="0"/>
                <w:szCs w:val="21"/>
                <w:highlight w:val="none"/>
              </w:rPr>
              <w:t>项</w:t>
            </w:r>
            <w:r>
              <w:rPr>
                <w:rFonts w:ascii="宋体" w:hAnsi="宋体"/>
                <w:color w:val="auto"/>
                <w:kern w:val="0"/>
                <w:szCs w:val="21"/>
                <w:highlight w:val="none"/>
              </w:rPr>
              <w:t>要求</w:t>
            </w:r>
            <w:r>
              <w:rPr>
                <w:rFonts w:hint="eastAsia" w:ascii="宋体" w:hAnsi="宋体"/>
                <w:color w:val="auto"/>
                <w:szCs w:val="21"/>
                <w:highlight w:val="none"/>
              </w:rPr>
              <w:t>，且投标保证金有效期不少于投标有效期</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w:t>
            </w:r>
          </w:p>
          <w:p w14:paraId="2562B4A8">
            <w:pPr>
              <w:pStyle w:val="299"/>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b/>
                <w:color w:val="auto"/>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2）采用现金或支票形式担保，投标保证金由投标人基本账户</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或基本存款账户</w:t>
            </w:r>
            <w:r>
              <w:rPr>
                <w:rFonts w:hint="eastAsia" w:ascii="宋体" w:hAnsi="宋体"/>
                <w:color w:val="auto"/>
                <w:kern w:val="0"/>
                <w:szCs w:val="21"/>
                <w:highlight w:val="none"/>
                <w:lang w:eastAsia="zh-CN"/>
              </w:rPr>
              <w:t>）</w:t>
            </w:r>
            <w:r>
              <w:rPr>
                <w:rFonts w:ascii="宋体" w:hAnsi="宋体"/>
                <w:color w:val="auto"/>
                <w:kern w:val="0"/>
                <w:szCs w:val="21"/>
                <w:highlight w:val="none"/>
              </w:rPr>
              <w:t>汇出，并在规定时间到达招标人指定账户</w:t>
            </w:r>
            <w:r>
              <w:rPr>
                <w:rFonts w:hint="eastAsia" w:ascii="宋体" w:hAnsi="宋体"/>
                <w:color w:val="auto"/>
                <w:kern w:val="0"/>
                <w:szCs w:val="21"/>
                <w:highlight w:val="none"/>
                <w:lang w:eastAsia="zh-CN"/>
              </w:rPr>
              <w:t>。</w:t>
            </w:r>
          </w:p>
          <w:p w14:paraId="66632D71">
            <w:pPr>
              <w:pStyle w:val="299"/>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b/>
                <w:color w:val="auto"/>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3）采用银行保函，银行保函的格式、开具保函的银行级别、银行保函有效期及银行保函提交均满足第二章</w:t>
            </w:r>
            <w:r>
              <w:rPr>
                <w:rFonts w:hint="eastAsia" w:ascii="宋体" w:hAnsi="宋体"/>
                <w:color w:val="auto"/>
                <w:kern w:val="0"/>
                <w:szCs w:val="21"/>
                <w:highlight w:val="none"/>
              </w:rPr>
              <w:t>“</w:t>
            </w:r>
            <w:r>
              <w:rPr>
                <w:rFonts w:ascii="宋体" w:hAnsi="宋体"/>
                <w:color w:val="auto"/>
                <w:kern w:val="0"/>
                <w:szCs w:val="21"/>
                <w:highlight w:val="none"/>
              </w:rPr>
              <w:t>投标人须知</w:t>
            </w:r>
            <w:r>
              <w:rPr>
                <w:rFonts w:hint="eastAsia" w:ascii="宋体" w:hAnsi="宋体"/>
                <w:color w:val="auto"/>
                <w:kern w:val="0"/>
                <w:szCs w:val="21"/>
                <w:highlight w:val="none"/>
              </w:rPr>
              <w:t>”前附表</w:t>
            </w:r>
            <w:r>
              <w:rPr>
                <w:rFonts w:ascii="宋体" w:hAnsi="宋体"/>
                <w:color w:val="auto"/>
                <w:kern w:val="0"/>
                <w:szCs w:val="21"/>
                <w:highlight w:val="none"/>
              </w:rPr>
              <w:t>第3.4.1</w:t>
            </w:r>
            <w:r>
              <w:rPr>
                <w:rFonts w:hint="eastAsia" w:ascii="宋体" w:hAnsi="宋体"/>
                <w:color w:val="auto"/>
                <w:kern w:val="0"/>
                <w:szCs w:val="21"/>
                <w:highlight w:val="none"/>
              </w:rPr>
              <w:t>项</w:t>
            </w:r>
            <w:r>
              <w:rPr>
                <w:rFonts w:ascii="宋体" w:hAnsi="宋体"/>
                <w:color w:val="auto"/>
                <w:kern w:val="0"/>
                <w:szCs w:val="21"/>
                <w:highlight w:val="none"/>
              </w:rPr>
              <w:t>要求，</w:t>
            </w:r>
            <w:r>
              <w:rPr>
                <w:rFonts w:hint="eastAsia" w:ascii="宋体" w:hAnsi="宋体"/>
                <w:color w:val="auto"/>
                <w:szCs w:val="21"/>
                <w:highlight w:val="none"/>
              </w:rPr>
              <w:t>且</w:t>
            </w:r>
            <w:r>
              <w:rPr>
                <w:rFonts w:ascii="宋体" w:hAnsi="宋体"/>
                <w:color w:val="auto"/>
                <w:szCs w:val="21"/>
                <w:highlight w:val="none"/>
              </w:rPr>
              <w:t>其提交的银行保函内容</w:t>
            </w:r>
            <w:r>
              <w:rPr>
                <w:rFonts w:hint="eastAsia" w:ascii="宋体" w:hAnsi="宋体"/>
                <w:color w:val="auto"/>
                <w:szCs w:val="21"/>
                <w:highlight w:val="none"/>
              </w:rPr>
              <w:t>不得作出降低担保效力的实质性修改</w:t>
            </w:r>
            <w:r>
              <w:rPr>
                <w:rFonts w:hint="eastAsia" w:ascii="宋体" w:hAnsi="宋体"/>
                <w:color w:val="auto"/>
                <w:kern w:val="0"/>
                <w:szCs w:val="21"/>
                <w:highlight w:val="none"/>
                <w:lang w:eastAsia="zh-CN"/>
              </w:rPr>
              <w:t>。</w:t>
            </w:r>
          </w:p>
          <w:p w14:paraId="7BBD08DA">
            <w:pPr>
              <w:pStyle w:val="299"/>
              <w:adjustRightInd w:val="0"/>
              <w:snapToGrid w:val="0"/>
              <w:spacing w:line="400" w:lineRule="exact"/>
              <w:rPr>
                <w:rFonts w:ascii="宋体" w:hAnsi="宋体"/>
                <w:color w:val="auto"/>
                <w:szCs w:val="21"/>
                <w:highlight w:val="none"/>
                <w:u w:val="singl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4）若采用上述情形以外的形式提交投标保证金的，应符合的要求：</w:t>
            </w:r>
            <w:r>
              <w:rPr>
                <w:rFonts w:ascii="宋体" w:hAnsi="宋体"/>
                <w:color w:val="auto"/>
                <w:szCs w:val="21"/>
                <w:highlight w:val="none"/>
                <w:u w:val="single"/>
              </w:rPr>
              <w:t xml:space="preserve">           </w:t>
            </w:r>
            <w:r>
              <w:rPr>
                <w:rFonts w:ascii="宋体" w:hAnsi="宋体"/>
                <w:color w:val="auto"/>
                <w:szCs w:val="21"/>
                <w:highlight w:val="none"/>
              </w:rPr>
              <w:t>。</w:t>
            </w:r>
          </w:p>
          <w:p w14:paraId="566D075D">
            <w:pPr>
              <w:widowControl/>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lang w:val="en-US" w:eastAsia="zh-CN"/>
              </w:rPr>
              <w:t>以</w:t>
            </w:r>
            <w:r>
              <w:rPr>
                <w:rFonts w:hint="eastAsia" w:ascii="宋体" w:hAnsi="宋体"/>
                <w:color w:val="auto"/>
                <w:kern w:val="0"/>
                <w:szCs w:val="21"/>
                <w:highlight w:val="none"/>
              </w:rPr>
              <w:t>联合体形式投标的，投标保证金应由联合体牵头人提交。</w:t>
            </w:r>
          </w:p>
        </w:tc>
      </w:tr>
      <w:tr w14:paraId="214446B6">
        <w:tblPrEx>
          <w:tblCellMar>
            <w:top w:w="0" w:type="dxa"/>
            <w:left w:w="108" w:type="dxa"/>
            <w:bottom w:w="0" w:type="dxa"/>
            <w:right w:w="108" w:type="dxa"/>
          </w:tblCellMar>
        </w:tblPrEx>
        <w:tc>
          <w:tcPr>
            <w:tcW w:w="739" w:type="dxa"/>
            <w:vMerge w:val="restart"/>
            <w:tcBorders>
              <w:top w:val="single" w:color="auto" w:sz="4" w:space="0"/>
              <w:left w:val="single" w:color="auto" w:sz="4" w:space="0"/>
              <w:right w:val="single" w:color="auto" w:sz="4" w:space="0"/>
            </w:tcBorders>
            <w:vAlign w:val="center"/>
          </w:tcPr>
          <w:p w14:paraId="334227BD">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w:t>
            </w:r>
          </w:p>
          <w:p w14:paraId="10DD4E32">
            <w:pPr>
              <w:pStyle w:val="27"/>
              <w:adjustRightInd w:val="0"/>
              <w:snapToGrid w:val="0"/>
              <w:spacing w:line="400" w:lineRule="exact"/>
              <w:jc w:val="center"/>
              <w:rPr>
                <w:rFonts w:ascii="宋体" w:hAnsi="宋体" w:eastAsia="宋体" w:cs="Courier New"/>
                <w:color w:val="auto"/>
                <w:kern w:val="2"/>
                <w:sz w:val="21"/>
                <w:szCs w:val="21"/>
                <w:highlight w:val="none"/>
                <w:lang w:val="en-US" w:eastAsia="zh-CN" w:bidi="ar-SA"/>
              </w:rPr>
            </w:pPr>
            <w:r>
              <w:rPr>
                <w:rFonts w:hint="eastAsia" w:hAnsi="宋体" w:cs="Courier New"/>
                <w:color w:val="auto"/>
                <w:highlight w:val="none"/>
              </w:rPr>
              <w:t>初步评审标准</w:t>
            </w:r>
            <w:r>
              <w:rPr>
                <w:rFonts w:hAnsi="宋体" w:cs="Courier New"/>
                <w:color w:val="auto"/>
                <w:highlight w:val="none"/>
              </w:rPr>
              <w:t xml:space="preserve">      </w:t>
            </w:r>
            <w:r>
              <w:rPr>
                <w:rFonts w:hint="eastAsia" w:hAnsi="宋体" w:cs="Courier New"/>
                <w:color w:val="auto"/>
                <w:highlight w:val="none"/>
              </w:rPr>
              <w:t>（第一个信封）</w:t>
            </w:r>
          </w:p>
        </w:tc>
        <w:tc>
          <w:tcPr>
            <w:tcW w:w="800" w:type="dxa"/>
            <w:vMerge w:val="restart"/>
            <w:tcBorders>
              <w:top w:val="single" w:color="auto" w:sz="4" w:space="0"/>
              <w:left w:val="single" w:color="auto" w:sz="4" w:space="0"/>
              <w:right w:val="single" w:color="auto" w:sz="4" w:space="0"/>
            </w:tcBorders>
            <w:vAlign w:val="center"/>
          </w:tcPr>
          <w:p w14:paraId="0B1571EC">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2.1.1</w:t>
            </w:r>
          </w:p>
          <w:p w14:paraId="29FBBADC">
            <w:pPr>
              <w:pStyle w:val="27"/>
              <w:adjustRightInd w:val="0"/>
              <w:snapToGrid w:val="0"/>
              <w:spacing w:line="400" w:lineRule="exact"/>
              <w:jc w:val="center"/>
              <w:rPr>
                <w:rFonts w:ascii="宋体" w:hAnsi="宋体" w:eastAsia="宋体" w:cs="Courier New"/>
                <w:color w:val="auto"/>
                <w:kern w:val="2"/>
                <w:sz w:val="21"/>
                <w:szCs w:val="21"/>
                <w:highlight w:val="none"/>
                <w:lang w:val="en-US" w:eastAsia="zh-CN" w:bidi="ar-SA"/>
              </w:rPr>
            </w:pPr>
            <w:r>
              <w:rPr>
                <w:rFonts w:hint="eastAsia" w:hAnsi="宋体" w:cs="Courier New"/>
                <w:color w:val="auto"/>
                <w:highlight w:val="none"/>
              </w:rPr>
              <w:t>形式评审标准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00452418">
            <w:pPr>
              <w:adjustRightInd w:val="0"/>
              <w:snapToGrid w:val="0"/>
              <w:spacing w:line="400" w:lineRule="exact"/>
              <w:rPr>
                <w:rFonts w:ascii="宋体" w:hAnsi="宋体"/>
                <w:color w:val="auto"/>
                <w:kern w:val="0"/>
                <w:szCs w:val="21"/>
                <w:highlight w:val="none"/>
              </w:rPr>
            </w:pPr>
            <w:r>
              <w:rPr>
                <w:rFonts w:ascii="宋体" w:hAnsi="宋体"/>
                <w:color w:val="auto"/>
                <w:szCs w:val="21"/>
                <w:highlight w:val="none"/>
              </w:rPr>
              <w:t>4</w:t>
            </w:r>
            <w:r>
              <w:rPr>
                <w:rFonts w:hint="eastAsia" w:ascii="宋体" w:hAnsi="宋体"/>
                <w:color w:val="auto"/>
                <w:szCs w:val="21"/>
                <w:highlight w:val="none"/>
              </w:rPr>
              <w:t>．如由投标人法定代表人的委托代理人签署投标文件的，提供的相关证明材料符合招标文件要求</w:t>
            </w:r>
            <w:r>
              <w:rPr>
                <w:rFonts w:hint="eastAsia" w:ascii="宋体" w:hAnsi="宋体" w:cs="宋体"/>
                <w:color w:val="auto"/>
                <w:szCs w:val="21"/>
                <w:highlight w:val="none"/>
              </w:rPr>
              <w:t>（</w:t>
            </w:r>
            <w:r>
              <w:rPr>
                <w:rFonts w:hint="eastAsia" w:ascii="宋体" w:hAnsi="宋体"/>
                <w:color w:val="auto"/>
                <w:szCs w:val="21"/>
                <w:highlight w:val="none"/>
              </w:rPr>
              <w:t>本</w:t>
            </w:r>
            <w:r>
              <w:rPr>
                <w:rFonts w:hint="eastAsia" w:ascii="宋体" w:hAnsi="宋体"/>
                <w:color w:val="auto"/>
                <w:szCs w:val="21"/>
                <w:highlight w:val="none"/>
                <w:lang w:val="en-US" w:eastAsia="zh-CN"/>
              </w:rPr>
              <w:t>目</w:t>
            </w:r>
            <w:r>
              <w:rPr>
                <w:rFonts w:hint="eastAsia" w:ascii="宋体" w:hAnsi="宋体"/>
                <w:color w:val="auto"/>
                <w:szCs w:val="21"/>
                <w:highlight w:val="none"/>
              </w:rPr>
              <w:t>适用于如果</w:t>
            </w:r>
            <w:r>
              <w:rPr>
                <w:rFonts w:ascii="宋体" w:hAnsi="宋体"/>
                <w:color w:val="auto"/>
                <w:szCs w:val="21"/>
                <w:highlight w:val="none"/>
              </w:rPr>
              <w:t>投标文件</w:t>
            </w:r>
            <w:r>
              <w:rPr>
                <w:rFonts w:hint="eastAsia" w:ascii="宋体" w:hAnsi="宋体"/>
                <w:color w:val="auto"/>
                <w:szCs w:val="21"/>
                <w:highlight w:val="none"/>
              </w:rPr>
              <w:t>由</w:t>
            </w:r>
            <w:r>
              <w:rPr>
                <w:rFonts w:ascii="宋体" w:hAnsi="宋体"/>
                <w:color w:val="auto"/>
                <w:szCs w:val="21"/>
                <w:highlight w:val="none"/>
              </w:rPr>
              <w:t>投标人</w:t>
            </w:r>
            <w:r>
              <w:rPr>
                <w:rFonts w:hint="eastAsia" w:ascii="宋体" w:hAnsi="宋体"/>
                <w:color w:val="auto"/>
                <w:szCs w:val="21"/>
                <w:highlight w:val="none"/>
              </w:rPr>
              <w:t>法定代表人的</w:t>
            </w:r>
            <w:r>
              <w:rPr>
                <w:rFonts w:ascii="宋体" w:hAnsi="宋体"/>
                <w:color w:val="auto"/>
                <w:szCs w:val="21"/>
                <w:highlight w:val="none"/>
              </w:rPr>
              <w:t>委托</w:t>
            </w:r>
            <w:r>
              <w:rPr>
                <w:rFonts w:hint="eastAsia" w:ascii="宋体" w:hAnsi="宋体"/>
                <w:color w:val="auto"/>
                <w:szCs w:val="21"/>
                <w:highlight w:val="none"/>
              </w:rPr>
              <w:t>代理人</w:t>
            </w:r>
            <w:r>
              <w:rPr>
                <w:rFonts w:ascii="宋体" w:hAnsi="宋体"/>
                <w:color w:val="auto"/>
                <w:szCs w:val="21"/>
                <w:highlight w:val="none"/>
              </w:rPr>
              <w:t>签署的</w:t>
            </w:r>
            <w:r>
              <w:rPr>
                <w:rFonts w:hint="eastAsia" w:ascii="宋体" w:hAnsi="宋体"/>
                <w:color w:val="auto"/>
                <w:szCs w:val="21"/>
                <w:highlight w:val="none"/>
              </w:rPr>
              <w:t>情形</w:t>
            </w:r>
            <w:r>
              <w:rPr>
                <w:rFonts w:hint="eastAsia" w:ascii="宋体" w:hAnsi="宋体" w:cs="宋体"/>
                <w:color w:val="auto"/>
                <w:szCs w:val="21"/>
                <w:highlight w:val="none"/>
              </w:rPr>
              <w:t>）</w:t>
            </w:r>
          </w:p>
        </w:tc>
        <w:tc>
          <w:tcPr>
            <w:tcW w:w="5095" w:type="dxa"/>
            <w:tcBorders>
              <w:top w:val="single" w:color="auto" w:sz="4" w:space="0"/>
              <w:left w:val="single" w:color="auto" w:sz="4" w:space="0"/>
              <w:bottom w:val="single" w:color="auto" w:sz="4" w:space="0"/>
              <w:right w:val="single" w:color="auto" w:sz="4" w:space="0"/>
            </w:tcBorders>
            <w:vAlign w:val="center"/>
          </w:tcPr>
          <w:p w14:paraId="4DC92780">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1）提交了授权委托书</w:t>
            </w:r>
            <w:r>
              <w:rPr>
                <w:rFonts w:hint="eastAsia" w:ascii="宋体" w:hAnsi="宋体"/>
                <w:color w:val="auto"/>
                <w:szCs w:val="21"/>
                <w:highlight w:val="none"/>
                <w:lang w:eastAsia="zh-CN"/>
              </w:rPr>
              <w:t>。</w:t>
            </w:r>
          </w:p>
          <w:p w14:paraId="2571ED5C">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2）授权委托书上要求盖单位电子印章</w:t>
            </w:r>
            <w:r>
              <w:rPr>
                <w:rFonts w:hint="eastAsia" w:ascii="宋体" w:hAnsi="宋体"/>
                <w:color w:val="auto"/>
                <w:szCs w:val="21"/>
                <w:highlight w:val="none"/>
                <w:lang w:eastAsia="zh-CN"/>
              </w:rPr>
              <w:t>之处</w:t>
            </w:r>
            <w:r>
              <w:rPr>
                <w:rFonts w:ascii="宋体" w:hAnsi="宋体"/>
                <w:color w:val="auto"/>
                <w:szCs w:val="21"/>
                <w:highlight w:val="none"/>
              </w:rPr>
              <w:t>，投标人均应使用单位CA数字证书加盖投标人的单位电子印章；要求法定代表人签字</w:t>
            </w:r>
            <w:r>
              <w:rPr>
                <w:rFonts w:hint="eastAsia" w:ascii="宋体" w:hAnsi="宋体"/>
                <w:color w:val="auto"/>
                <w:szCs w:val="21"/>
                <w:highlight w:val="none"/>
                <w:lang w:eastAsia="zh-CN"/>
              </w:rPr>
              <w:t>之处</w:t>
            </w:r>
            <w:r>
              <w:rPr>
                <w:rFonts w:ascii="宋体" w:hAnsi="宋体"/>
                <w:color w:val="auto"/>
                <w:szCs w:val="21"/>
                <w:highlight w:val="none"/>
              </w:rPr>
              <w:t>，投标人均应使用个人CA数字证书加盖投标人法定代表人的个人电子签名章或个人电子印章；要求委托代理人签字</w:t>
            </w:r>
            <w:r>
              <w:rPr>
                <w:rFonts w:hint="eastAsia" w:ascii="宋体" w:hAnsi="宋体"/>
                <w:color w:val="auto"/>
                <w:szCs w:val="21"/>
                <w:highlight w:val="none"/>
                <w:lang w:eastAsia="zh-CN"/>
              </w:rPr>
              <w:t>之处</w:t>
            </w:r>
            <w:r>
              <w:rPr>
                <w:rFonts w:ascii="宋体" w:hAnsi="宋体"/>
                <w:color w:val="auto"/>
                <w:szCs w:val="21"/>
                <w:highlight w:val="none"/>
              </w:rPr>
              <w:t>，</w:t>
            </w:r>
            <w:r>
              <w:rPr>
                <w:rFonts w:asciiTheme="minorEastAsia" w:hAnsiTheme="minorEastAsia" w:eastAsiaTheme="minorEastAsia"/>
                <w:color w:val="auto"/>
                <w:szCs w:val="21"/>
                <w:highlight w:val="none"/>
              </w:rPr>
              <w:t>投标人均应使用单位CA</w:t>
            </w:r>
            <w:r>
              <w:rPr>
                <w:rFonts w:hint="eastAsia" w:asciiTheme="minorEastAsia" w:hAnsiTheme="minorEastAsia" w:eastAsiaTheme="minorEastAsia"/>
                <w:color w:val="auto"/>
                <w:szCs w:val="21"/>
                <w:highlight w:val="none"/>
              </w:rPr>
              <w:t>数字证书</w:t>
            </w:r>
            <w:r>
              <w:rPr>
                <w:rFonts w:hint="eastAsia" w:ascii="宋体" w:hAnsi="宋体"/>
                <w:color w:val="auto"/>
                <w:szCs w:val="21"/>
                <w:highlight w:val="none"/>
              </w:rPr>
              <w:t>加盖委托代理人个人电子签名章或个人电子印章</w:t>
            </w:r>
            <w:r>
              <w:rPr>
                <w:rFonts w:hint="eastAsia" w:ascii="宋体" w:hAnsi="宋体"/>
                <w:color w:val="auto"/>
                <w:szCs w:val="21"/>
                <w:highlight w:val="none"/>
                <w:lang w:eastAsia="zh-CN"/>
              </w:rPr>
              <w:t>。</w:t>
            </w:r>
          </w:p>
          <w:p w14:paraId="5463601E">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3）授权委托书中委托代理人只能是一个人，且不能再授予他人</w:t>
            </w:r>
            <w:r>
              <w:rPr>
                <w:rFonts w:hint="eastAsia" w:ascii="宋体" w:hAnsi="宋体"/>
                <w:color w:val="auto"/>
                <w:szCs w:val="21"/>
                <w:highlight w:val="none"/>
                <w:lang w:eastAsia="zh-CN"/>
              </w:rPr>
              <w:t>。</w:t>
            </w:r>
          </w:p>
          <w:p w14:paraId="3BB03F1F">
            <w:pPr>
              <w:pStyle w:val="299"/>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4）授权委托书后应附法定代表人和委托代理人身份证</w:t>
            </w:r>
            <w:r>
              <w:rPr>
                <w:rFonts w:hint="eastAsia" w:ascii="宋体" w:hAnsi="宋体" w:cs="宋体"/>
                <w:color w:val="auto"/>
                <w:szCs w:val="21"/>
                <w:highlight w:val="none"/>
              </w:rPr>
              <w:t>原件原色扫描件</w:t>
            </w:r>
            <w:r>
              <w:rPr>
                <w:rFonts w:hint="eastAsia" w:ascii="宋体" w:hAnsi="宋体"/>
                <w:color w:val="auto"/>
                <w:szCs w:val="21"/>
                <w:highlight w:val="none"/>
              </w:rPr>
              <w:t>，且身份证原件</w:t>
            </w:r>
            <w:r>
              <w:rPr>
                <w:rFonts w:ascii="宋体" w:hAnsi="宋体"/>
                <w:color w:val="auto"/>
                <w:szCs w:val="21"/>
                <w:highlight w:val="none"/>
              </w:rPr>
              <w:t>原色</w:t>
            </w:r>
            <w:r>
              <w:rPr>
                <w:rFonts w:hint="eastAsia" w:ascii="宋体" w:hAnsi="宋体"/>
                <w:color w:val="auto"/>
                <w:szCs w:val="21"/>
                <w:highlight w:val="none"/>
              </w:rPr>
              <w:t>扫描件应清晰、有效</w:t>
            </w:r>
            <w:r>
              <w:rPr>
                <w:rFonts w:hint="eastAsia" w:ascii="宋体" w:hAnsi="宋体"/>
                <w:color w:val="auto"/>
                <w:szCs w:val="21"/>
                <w:highlight w:val="none"/>
                <w:lang w:eastAsia="zh-CN"/>
              </w:rPr>
              <w:t>。</w:t>
            </w:r>
          </w:p>
          <w:p w14:paraId="4D63AC5A">
            <w:pPr>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olor w:val="auto"/>
                <w:szCs w:val="21"/>
                <w:highlight w:val="none"/>
                <w:lang w:val="en-US" w:eastAsia="zh-CN"/>
              </w:rPr>
              <w:t>以</w:t>
            </w:r>
            <w:r>
              <w:rPr>
                <w:rFonts w:hint="eastAsia" w:ascii="宋体" w:hAnsi="宋体"/>
                <w:color w:val="auto"/>
                <w:szCs w:val="21"/>
                <w:highlight w:val="none"/>
              </w:rPr>
              <w:t>联合体</w:t>
            </w:r>
            <w:r>
              <w:rPr>
                <w:rFonts w:hint="eastAsia" w:ascii="宋体" w:hAnsi="宋体"/>
                <w:color w:val="auto"/>
                <w:szCs w:val="21"/>
                <w:highlight w:val="none"/>
                <w:lang w:val="en-US" w:eastAsia="zh-CN"/>
              </w:rPr>
              <w:t>形式</w:t>
            </w:r>
            <w:r>
              <w:rPr>
                <w:rFonts w:hint="eastAsia" w:ascii="宋体" w:hAnsi="宋体"/>
                <w:color w:val="auto"/>
                <w:szCs w:val="21"/>
                <w:highlight w:val="none"/>
              </w:rPr>
              <w:t>投标的，其授权委托书应由联合体牵头人按上述规定出具。</w:t>
            </w:r>
          </w:p>
        </w:tc>
      </w:tr>
      <w:tr w14:paraId="35DE5B7A">
        <w:tblPrEx>
          <w:tblCellMar>
            <w:top w:w="0" w:type="dxa"/>
            <w:left w:w="108" w:type="dxa"/>
            <w:bottom w:w="0" w:type="dxa"/>
            <w:right w:w="108" w:type="dxa"/>
          </w:tblCellMar>
        </w:tblPrEx>
        <w:trPr>
          <w:trHeight w:val="346" w:hRule="atLeast"/>
        </w:trPr>
        <w:tc>
          <w:tcPr>
            <w:tcW w:w="739" w:type="dxa"/>
            <w:vMerge w:val="continue"/>
            <w:tcBorders>
              <w:left w:val="single" w:color="auto" w:sz="4" w:space="0"/>
              <w:bottom w:val="single" w:color="auto" w:sz="4" w:space="0"/>
              <w:right w:val="single" w:color="auto" w:sz="4" w:space="0"/>
            </w:tcBorders>
            <w:vAlign w:val="center"/>
          </w:tcPr>
          <w:p w14:paraId="4AA8D190">
            <w:pPr>
              <w:pStyle w:val="27"/>
              <w:adjustRightInd w:val="0"/>
              <w:snapToGrid w:val="0"/>
              <w:spacing w:line="400" w:lineRule="exact"/>
              <w:jc w:val="center"/>
              <w:rPr>
                <w:rFonts w:hAnsi="宋体" w:cs="Courier New"/>
                <w:color w:val="auto"/>
                <w:highlight w:val="none"/>
              </w:rPr>
            </w:pPr>
          </w:p>
        </w:tc>
        <w:tc>
          <w:tcPr>
            <w:tcW w:w="800" w:type="dxa"/>
            <w:vMerge w:val="continue"/>
            <w:tcBorders>
              <w:left w:val="single" w:color="auto" w:sz="4" w:space="0"/>
              <w:bottom w:val="single" w:color="auto" w:sz="4" w:space="0"/>
              <w:right w:val="single" w:color="auto" w:sz="4" w:space="0"/>
            </w:tcBorders>
            <w:vAlign w:val="center"/>
          </w:tcPr>
          <w:p w14:paraId="7607C16A">
            <w:pPr>
              <w:pStyle w:val="27"/>
              <w:adjustRightInd w:val="0"/>
              <w:snapToGrid w:val="0"/>
              <w:spacing w:line="400" w:lineRule="exact"/>
              <w:jc w:val="center"/>
              <w:rPr>
                <w:rFonts w:hAnsi="宋体" w:cs="Courier New"/>
                <w:color w:val="auto"/>
                <w:highlight w:val="none"/>
              </w:rPr>
            </w:pPr>
          </w:p>
        </w:tc>
        <w:tc>
          <w:tcPr>
            <w:tcW w:w="2297" w:type="dxa"/>
            <w:tcBorders>
              <w:top w:val="single" w:color="auto" w:sz="4" w:space="0"/>
              <w:left w:val="single" w:color="auto" w:sz="4" w:space="0"/>
              <w:bottom w:val="single" w:color="auto" w:sz="4" w:space="0"/>
              <w:right w:val="single" w:color="000000" w:sz="4" w:space="0"/>
            </w:tcBorders>
            <w:vAlign w:val="center"/>
          </w:tcPr>
          <w:p w14:paraId="395ED51C">
            <w:pPr>
              <w:widowControl/>
              <w:adjustRightInd w:val="0"/>
              <w:snapToGrid w:val="0"/>
              <w:spacing w:line="400" w:lineRule="exact"/>
              <w:rPr>
                <w:rFonts w:ascii="宋体" w:hAnsi="宋体"/>
                <w:color w:val="auto"/>
                <w:szCs w:val="21"/>
                <w:highlight w:val="none"/>
              </w:rPr>
            </w:pPr>
            <w:r>
              <w:rPr>
                <w:rFonts w:ascii="宋体" w:hAnsi="宋体"/>
                <w:color w:val="auto"/>
                <w:kern w:val="0"/>
                <w:szCs w:val="21"/>
                <w:highlight w:val="none"/>
              </w:rPr>
              <w:t>5</w:t>
            </w:r>
            <w:r>
              <w:rPr>
                <w:rFonts w:hint="eastAsia" w:ascii="宋体" w:hAnsi="宋体"/>
                <w:color w:val="auto"/>
                <w:kern w:val="0"/>
                <w:szCs w:val="21"/>
                <w:highlight w:val="none"/>
              </w:rPr>
              <w:t>．投标人法定代表人若亲自签署投标文件的，提供</w:t>
            </w:r>
            <w:r>
              <w:rPr>
                <w:rFonts w:hint="eastAsia" w:ascii="宋体" w:hAnsi="宋体"/>
                <w:color w:val="auto"/>
                <w:kern w:val="0"/>
                <w:szCs w:val="21"/>
                <w:highlight w:val="none"/>
                <w:lang w:val="en-US" w:eastAsia="zh-CN"/>
              </w:rPr>
              <w:t>的相关</w:t>
            </w:r>
            <w:r>
              <w:rPr>
                <w:rFonts w:hint="eastAsia" w:ascii="宋体" w:hAnsi="宋体"/>
                <w:color w:val="auto"/>
                <w:kern w:val="0"/>
                <w:szCs w:val="21"/>
                <w:highlight w:val="none"/>
              </w:rPr>
              <w:t>证明</w:t>
            </w:r>
            <w:r>
              <w:rPr>
                <w:rFonts w:hint="eastAsia" w:ascii="宋体" w:hAnsi="宋体"/>
                <w:color w:val="auto"/>
                <w:kern w:val="0"/>
                <w:szCs w:val="21"/>
                <w:highlight w:val="none"/>
                <w:lang w:val="en-US" w:eastAsia="zh-CN"/>
              </w:rPr>
              <w:t>材料</w:t>
            </w:r>
            <w:r>
              <w:rPr>
                <w:rFonts w:hint="eastAsia" w:ascii="宋体" w:hAnsi="宋体"/>
                <w:color w:val="auto"/>
                <w:kern w:val="0"/>
                <w:szCs w:val="21"/>
                <w:highlight w:val="none"/>
              </w:rPr>
              <w:t>符合招标文件要求</w:t>
            </w:r>
            <w:r>
              <w:rPr>
                <w:rFonts w:hint="eastAsia" w:ascii="宋体" w:hAnsi="宋体" w:cs="宋体"/>
                <w:color w:val="auto"/>
                <w:szCs w:val="21"/>
                <w:highlight w:val="none"/>
              </w:rPr>
              <w:t>（</w:t>
            </w:r>
            <w:r>
              <w:rPr>
                <w:rFonts w:hint="eastAsia" w:ascii="宋体" w:hAnsi="宋体"/>
                <w:color w:val="auto"/>
                <w:szCs w:val="21"/>
                <w:highlight w:val="none"/>
              </w:rPr>
              <w:t>本</w:t>
            </w:r>
            <w:r>
              <w:rPr>
                <w:rFonts w:hint="eastAsia" w:ascii="宋体" w:hAnsi="宋体"/>
                <w:color w:val="auto"/>
                <w:szCs w:val="21"/>
                <w:highlight w:val="none"/>
                <w:lang w:val="en-US" w:eastAsia="zh-CN"/>
              </w:rPr>
              <w:t>目</w:t>
            </w:r>
            <w:r>
              <w:rPr>
                <w:rFonts w:hint="eastAsia" w:ascii="宋体" w:hAnsi="宋体"/>
                <w:color w:val="auto"/>
                <w:szCs w:val="21"/>
                <w:highlight w:val="none"/>
              </w:rPr>
              <w:t>适用于如果</w:t>
            </w:r>
            <w:r>
              <w:rPr>
                <w:rFonts w:ascii="宋体" w:hAnsi="宋体"/>
                <w:color w:val="auto"/>
                <w:szCs w:val="21"/>
                <w:highlight w:val="none"/>
              </w:rPr>
              <w:t>投标文件</w:t>
            </w:r>
            <w:r>
              <w:rPr>
                <w:rFonts w:hint="eastAsia" w:ascii="宋体" w:hAnsi="宋体"/>
                <w:color w:val="auto"/>
                <w:szCs w:val="21"/>
                <w:highlight w:val="none"/>
              </w:rPr>
              <w:t>由</w:t>
            </w:r>
            <w:r>
              <w:rPr>
                <w:rFonts w:ascii="宋体" w:hAnsi="宋体"/>
                <w:color w:val="auto"/>
                <w:szCs w:val="21"/>
                <w:highlight w:val="none"/>
              </w:rPr>
              <w:t>投标人</w:t>
            </w:r>
            <w:r>
              <w:rPr>
                <w:rFonts w:hint="eastAsia" w:ascii="宋体" w:hAnsi="宋体"/>
                <w:color w:val="auto"/>
                <w:szCs w:val="21"/>
                <w:highlight w:val="none"/>
              </w:rPr>
              <w:t>法定代表人</w:t>
            </w:r>
            <w:r>
              <w:rPr>
                <w:rFonts w:ascii="宋体" w:hAnsi="宋体"/>
                <w:color w:val="auto"/>
                <w:szCs w:val="21"/>
                <w:highlight w:val="none"/>
              </w:rPr>
              <w:t>签署的</w:t>
            </w:r>
            <w:r>
              <w:rPr>
                <w:rFonts w:hint="eastAsia" w:ascii="宋体" w:hAnsi="宋体"/>
                <w:color w:val="auto"/>
                <w:szCs w:val="21"/>
                <w:highlight w:val="none"/>
              </w:rPr>
              <w:t>情形</w:t>
            </w:r>
            <w:r>
              <w:rPr>
                <w:rFonts w:hint="eastAsia" w:ascii="宋体" w:hAnsi="宋体" w:cs="宋体"/>
                <w:color w:val="auto"/>
                <w:szCs w:val="21"/>
                <w:highlight w:val="none"/>
              </w:rPr>
              <w:t>）</w:t>
            </w:r>
          </w:p>
        </w:tc>
        <w:tc>
          <w:tcPr>
            <w:tcW w:w="5095" w:type="dxa"/>
            <w:tcBorders>
              <w:top w:val="single" w:color="auto" w:sz="4" w:space="0"/>
              <w:left w:val="nil"/>
              <w:bottom w:val="single" w:color="auto" w:sz="4" w:space="0"/>
              <w:right w:val="single" w:color="000000" w:sz="4" w:space="0"/>
            </w:tcBorders>
            <w:vAlign w:val="center"/>
          </w:tcPr>
          <w:p w14:paraId="5C472FF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1）提供</w:t>
            </w:r>
            <w:r>
              <w:rPr>
                <w:rFonts w:hint="eastAsia" w:ascii="宋体" w:hAnsi="宋体"/>
                <w:bCs/>
                <w:color w:val="auto"/>
                <w:szCs w:val="21"/>
                <w:highlight w:val="none"/>
                <w:lang w:val="en-US" w:eastAsia="zh-CN"/>
              </w:rPr>
              <w:t>了</w:t>
            </w:r>
            <w:r>
              <w:rPr>
                <w:rFonts w:ascii="宋体" w:hAnsi="宋体"/>
                <w:bCs/>
                <w:color w:val="auto"/>
                <w:szCs w:val="21"/>
                <w:highlight w:val="none"/>
              </w:rPr>
              <w:t>法定代表人身份证明</w:t>
            </w:r>
            <w:r>
              <w:rPr>
                <w:rFonts w:hint="eastAsia" w:ascii="宋体" w:hAnsi="宋体"/>
                <w:bCs/>
                <w:color w:val="auto"/>
                <w:szCs w:val="21"/>
                <w:highlight w:val="none"/>
                <w:lang w:eastAsia="zh-CN"/>
              </w:rPr>
              <w:t>。</w:t>
            </w:r>
            <w:r>
              <w:rPr>
                <w:rFonts w:ascii="宋体" w:hAnsi="宋体"/>
                <w:bCs/>
                <w:color w:val="auto"/>
                <w:szCs w:val="21"/>
                <w:highlight w:val="none"/>
              </w:rPr>
              <w:t xml:space="preserve"> </w:t>
            </w:r>
          </w:p>
          <w:p w14:paraId="7AEBB581">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color w:val="auto"/>
                <w:szCs w:val="21"/>
                <w:highlight w:val="none"/>
              </w:rPr>
              <w:t>法定代表人身份证明上要求盖单位电子印章</w:t>
            </w:r>
            <w:r>
              <w:rPr>
                <w:rFonts w:hint="eastAsia" w:ascii="宋体" w:hAnsi="宋体"/>
                <w:color w:val="auto"/>
                <w:szCs w:val="21"/>
                <w:highlight w:val="none"/>
                <w:lang w:eastAsia="zh-CN"/>
              </w:rPr>
              <w:t>之处</w:t>
            </w:r>
            <w:r>
              <w:rPr>
                <w:rFonts w:hint="eastAsia" w:ascii="宋体" w:hAnsi="宋体"/>
                <w:color w:val="auto"/>
                <w:szCs w:val="21"/>
                <w:highlight w:val="none"/>
              </w:rPr>
              <w:t>，投标人均应使用单位</w:t>
            </w:r>
            <w:r>
              <w:rPr>
                <w:rFonts w:ascii="宋体" w:hAnsi="宋体"/>
                <w:color w:val="auto"/>
                <w:szCs w:val="21"/>
                <w:highlight w:val="none"/>
              </w:rPr>
              <w:t>CA数字证书加盖投标人的单位电子印章；要求法定代表人签字</w:t>
            </w:r>
            <w:r>
              <w:rPr>
                <w:rFonts w:hint="eastAsia" w:ascii="宋体" w:hAnsi="宋体"/>
                <w:color w:val="auto"/>
                <w:szCs w:val="21"/>
                <w:highlight w:val="none"/>
                <w:lang w:eastAsia="zh-CN"/>
              </w:rPr>
              <w:t>之处</w:t>
            </w:r>
            <w:r>
              <w:rPr>
                <w:rFonts w:ascii="宋体" w:hAnsi="宋体"/>
                <w:color w:val="auto"/>
                <w:szCs w:val="21"/>
                <w:highlight w:val="none"/>
              </w:rPr>
              <w:t>，投标人均应使用个人CA数字证书加盖投标人法定代表人的</w:t>
            </w:r>
            <w:r>
              <w:rPr>
                <w:rFonts w:hint="eastAsia" w:ascii="宋体" w:hAnsi="宋体"/>
                <w:color w:val="auto"/>
                <w:szCs w:val="21"/>
                <w:highlight w:val="none"/>
                <w:lang w:val="en-US" w:eastAsia="zh-CN"/>
              </w:rPr>
              <w:t>个人电子签名章或</w:t>
            </w:r>
            <w:r>
              <w:rPr>
                <w:rFonts w:ascii="宋体" w:hAnsi="宋体"/>
                <w:color w:val="auto"/>
                <w:szCs w:val="21"/>
                <w:highlight w:val="none"/>
              </w:rPr>
              <w:t>个人电子印章</w:t>
            </w:r>
            <w:r>
              <w:rPr>
                <w:rFonts w:hint="eastAsia" w:ascii="宋体" w:hAnsi="宋体"/>
                <w:color w:val="auto"/>
                <w:szCs w:val="21"/>
                <w:highlight w:val="none"/>
                <w:lang w:eastAsia="zh-CN"/>
              </w:rPr>
              <w:t>。</w:t>
            </w:r>
            <w:r>
              <w:rPr>
                <w:rFonts w:ascii="宋体" w:hAnsi="宋体"/>
                <w:bCs/>
                <w:color w:val="auto"/>
                <w:szCs w:val="21"/>
                <w:highlight w:val="none"/>
              </w:rPr>
              <w:t xml:space="preserve"> </w:t>
            </w:r>
          </w:p>
          <w:p w14:paraId="7C044B52">
            <w:pPr>
              <w:pStyle w:val="299"/>
              <w:adjustRightInd w:val="0"/>
              <w:snapToGrid w:val="0"/>
              <w:spacing w:line="400" w:lineRule="exact"/>
              <w:rPr>
                <w:rFonts w:hint="eastAsia" w:ascii="宋体" w:hAnsi="宋体" w:eastAsia="宋体"/>
                <w:bCs/>
                <w:color w:val="auto"/>
                <w:szCs w:val="21"/>
                <w:highlight w:val="none"/>
                <w:lang w:eastAsia="zh-CN"/>
              </w:rPr>
            </w:pPr>
            <w:r>
              <w:rPr>
                <w:rFonts w:hint="eastAsia" w:ascii="宋体" w:hAnsi="宋体"/>
                <w:bCs/>
                <w:color w:val="auto"/>
                <w:szCs w:val="21"/>
                <w:highlight w:val="none"/>
              </w:rPr>
              <w:t>（</w:t>
            </w:r>
            <w:r>
              <w:rPr>
                <w:rFonts w:ascii="宋体" w:hAnsi="宋体"/>
                <w:bCs/>
                <w:color w:val="auto"/>
                <w:szCs w:val="21"/>
                <w:highlight w:val="none"/>
              </w:rPr>
              <w:t>3）法定代表人身份证明后应附法定代表人身份证</w:t>
            </w:r>
            <w:r>
              <w:rPr>
                <w:rFonts w:hint="eastAsia" w:ascii="宋体" w:hAnsi="宋体" w:cs="宋体"/>
                <w:color w:val="auto"/>
                <w:szCs w:val="21"/>
                <w:highlight w:val="none"/>
              </w:rPr>
              <w:t>原件原色扫描件</w:t>
            </w:r>
            <w:r>
              <w:rPr>
                <w:rFonts w:hint="eastAsia" w:ascii="宋体" w:hAnsi="宋体"/>
                <w:bCs/>
                <w:color w:val="auto"/>
                <w:szCs w:val="21"/>
                <w:highlight w:val="none"/>
              </w:rPr>
              <w:t>，且身份证原件原色扫描件应清晰</w:t>
            </w:r>
            <w:r>
              <w:rPr>
                <w:rFonts w:hint="eastAsia" w:ascii="宋体" w:hAnsi="宋体"/>
                <w:bCs/>
                <w:color w:val="auto"/>
                <w:szCs w:val="21"/>
                <w:highlight w:val="none"/>
                <w:lang w:eastAsia="zh-CN"/>
              </w:rPr>
              <w:t>、</w:t>
            </w:r>
            <w:r>
              <w:rPr>
                <w:rFonts w:hint="eastAsia" w:ascii="宋体" w:hAnsi="宋体"/>
                <w:bCs/>
                <w:color w:val="auto"/>
                <w:szCs w:val="21"/>
                <w:highlight w:val="none"/>
              </w:rPr>
              <w:t>有效</w:t>
            </w:r>
            <w:r>
              <w:rPr>
                <w:rFonts w:hint="eastAsia" w:ascii="宋体" w:hAnsi="宋体"/>
                <w:bCs/>
                <w:color w:val="auto"/>
                <w:szCs w:val="21"/>
                <w:highlight w:val="none"/>
                <w:lang w:eastAsia="zh-CN"/>
              </w:rPr>
              <w:t>。</w:t>
            </w:r>
          </w:p>
          <w:p w14:paraId="2406EC16">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szCs w:val="21"/>
                <w:highlight w:val="none"/>
                <w:lang w:val="en-US" w:eastAsia="zh-CN"/>
              </w:rPr>
              <w:t>以</w:t>
            </w:r>
            <w:r>
              <w:rPr>
                <w:rFonts w:hint="eastAsia" w:ascii="宋体" w:hAnsi="宋体"/>
                <w:bCs/>
                <w:color w:val="auto"/>
                <w:szCs w:val="21"/>
                <w:highlight w:val="none"/>
              </w:rPr>
              <w:t>联合体</w:t>
            </w:r>
            <w:r>
              <w:rPr>
                <w:rFonts w:hint="eastAsia" w:ascii="宋体" w:hAnsi="宋体"/>
                <w:bCs/>
                <w:color w:val="auto"/>
                <w:szCs w:val="21"/>
                <w:highlight w:val="none"/>
                <w:lang w:val="en-US" w:eastAsia="zh-CN"/>
              </w:rPr>
              <w:t>形式</w:t>
            </w:r>
            <w:r>
              <w:rPr>
                <w:rFonts w:hint="eastAsia" w:ascii="宋体" w:hAnsi="宋体"/>
                <w:bCs/>
                <w:color w:val="auto"/>
                <w:szCs w:val="21"/>
                <w:highlight w:val="none"/>
              </w:rPr>
              <w:t>投标的，应由联合体牵头人按上述规定出具。</w:t>
            </w:r>
          </w:p>
        </w:tc>
      </w:tr>
      <w:tr w14:paraId="63A0FAE2">
        <w:tblPrEx>
          <w:tblCellMar>
            <w:top w:w="0" w:type="dxa"/>
            <w:left w:w="108" w:type="dxa"/>
            <w:bottom w:w="0" w:type="dxa"/>
            <w:right w:w="108" w:type="dxa"/>
          </w:tblCellMar>
        </w:tblPrEx>
        <w:trPr>
          <w:trHeight w:val="913" w:hRule="atLeast"/>
        </w:trPr>
        <w:tc>
          <w:tcPr>
            <w:tcW w:w="739" w:type="dxa"/>
            <w:vMerge w:val="restart"/>
            <w:tcBorders>
              <w:top w:val="single" w:color="auto" w:sz="4" w:space="0"/>
              <w:left w:val="single" w:color="auto" w:sz="4" w:space="0"/>
              <w:right w:val="single" w:color="auto" w:sz="4" w:space="0"/>
            </w:tcBorders>
            <w:vAlign w:val="center"/>
          </w:tcPr>
          <w:p w14:paraId="0B288EA6">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w:t>
            </w:r>
          </w:p>
          <w:p w14:paraId="2082CBDB">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初步评审标准</w:t>
            </w:r>
            <w:r>
              <w:rPr>
                <w:rFonts w:hAnsi="宋体" w:cs="Courier New"/>
                <w:color w:val="auto"/>
                <w:highlight w:val="none"/>
              </w:rPr>
              <w:t xml:space="preserve">      </w:t>
            </w:r>
            <w:r>
              <w:rPr>
                <w:rFonts w:hint="eastAsia" w:hAnsi="宋体" w:cs="Courier New"/>
                <w:color w:val="auto"/>
                <w:highlight w:val="none"/>
              </w:rPr>
              <w:t>（第一个信封</w:t>
            </w:r>
          </w:p>
          <w:p w14:paraId="0D31F8A2">
            <w:pPr>
              <w:adjustRightInd w:val="0"/>
              <w:snapToGrid w:val="0"/>
              <w:spacing w:line="400" w:lineRule="exact"/>
              <w:ind w:left="-210" w:leftChars="-100" w:right="-210" w:rightChars="-100"/>
              <w:jc w:val="center"/>
              <w:rPr>
                <w:rFonts w:hAnsi="宋体" w:cs="Courier New"/>
                <w:color w:val="auto"/>
                <w:highlight w:val="none"/>
              </w:rPr>
            </w:pPr>
          </w:p>
        </w:tc>
        <w:tc>
          <w:tcPr>
            <w:tcW w:w="800" w:type="dxa"/>
            <w:vMerge w:val="restart"/>
            <w:tcBorders>
              <w:top w:val="single" w:color="auto" w:sz="4" w:space="0"/>
              <w:left w:val="single" w:color="auto" w:sz="4" w:space="0"/>
              <w:right w:val="single" w:color="auto" w:sz="4" w:space="0"/>
            </w:tcBorders>
            <w:vAlign w:val="center"/>
          </w:tcPr>
          <w:p w14:paraId="2097BA7F">
            <w:pPr>
              <w:pStyle w:val="27"/>
              <w:adjustRightInd w:val="0"/>
              <w:snapToGrid w:val="0"/>
              <w:spacing w:line="400" w:lineRule="exact"/>
              <w:jc w:val="center"/>
              <w:rPr>
                <w:rFonts w:hAnsi="宋体" w:cs="Courier New"/>
                <w:color w:val="auto"/>
                <w:highlight w:val="none"/>
              </w:rPr>
            </w:pPr>
            <w:r>
              <w:rPr>
                <w:rFonts w:hAnsi="宋体" w:cs="Courier New"/>
                <w:color w:val="auto"/>
                <w:highlight w:val="none"/>
              </w:rPr>
              <w:t>2.1.1</w:t>
            </w:r>
          </w:p>
          <w:p w14:paraId="53765F64">
            <w:pPr>
              <w:pStyle w:val="27"/>
              <w:adjustRightInd w:val="0"/>
              <w:snapToGrid w:val="0"/>
              <w:spacing w:line="400" w:lineRule="exact"/>
              <w:jc w:val="center"/>
              <w:rPr>
                <w:rFonts w:hAnsi="宋体" w:cs="Courier New"/>
                <w:color w:val="auto"/>
                <w:highlight w:val="none"/>
              </w:rPr>
            </w:pPr>
            <w:r>
              <w:rPr>
                <w:rFonts w:hint="eastAsia" w:hAnsi="宋体" w:cs="Courier New"/>
                <w:color w:val="auto"/>
                <w:highlight w:val="none"/>
              </w:rPr>
              <w:t>形式评审标准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1A77F072">
            <w:pPr>
              <w:widowControl/>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ascii="宋体" w:hAnsi="宋体"/>
                <w:color w:val="auto"/>
                <w:kern w:val="0"/>
                <w:szCs w:val="21"/>
                <w:highlight w:val="none"/>
              </w:rPr>
              <w:t>6</w:t>
            </w:r>
            <w:r>
              <w:rPr>
                <w:rFonts w:hint="eastAsia" w:ascii="宋体" w:hAnsi="宋体"/>
                <w:color w:val="auto"/>
                <w:kern w:val="0"/>
                <w:szCs w:val="21"/>
                <w:highlight w:val="none"/>
              </w:rPr>
              <w:t>．投标人以联合体形式投标时，联合体协议书满足招标文件的要求</w:t>
            </w:r>
          </w:p>
        </w:tc>
        <w:tc>
          <w:tcPr>
            <w:tcW w:w="5095" w:type="dxa"/>
            <w:tcBorders>
              <w:top w:val="single" w:color="auto" w:sz="4" w:space="0"/>
              <w:left w:val="single" w:color="auto" w:sz="4" w:space="0"/>
              <w:bottom w:val="single" w:color="auto" w:sz="4" w:space="0"/>
              <w:right w:val="single" w:color="auto" w:sz="4" w:space="0"/>
            </w:tcBorders>
            <w:vAlign w:val="center"/>
          </w:tcPr>
          <w:p w14:paraId="056BC354">
            <w:pPr>
              <w:adjustRightInd w:val="0"/>
              <w:snapToGrid w:val="0"/>
              <w:spacing w:line="400" w:lineRule="exact"/>
              <w:rPr>
                <w:rFonts w:ascii="宋体" w:hAnsi="宋体"/>
                <w:bCs/>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按招标文件提供的格式和要求签订联合体协议书，且</w:t>
            </w:r>
            <w:r>
              <w:rPr>
                <w:rFonts w:hint="eastAsia" w:ascii="宋体" w:hAnsi="宋体" w:cs="宋体"/>
                <w:color w:val="auto"/>
                <w:szCs w:val="21"/>
                <w:highlight w:val="none"/>
                <w:lang w:val="en-US" w:eastAsia="zh-CN"/>
              </w:rPr>
              <w:t>联合体协议书中</w:t>
            </w:r>
            <w:r>
              <w:rPr>
                <w:rFonts w:hint="eastAsia" w:ascii="宋体" w:hAnsi="宋体" w:cs="宋体"/>
                <w:color w:val="auto"/>
                <w:szCs w:val="21"/>
                <w:highlight w:val="none"/>
              </w:rPr>
              <w:t>签字、盖章符合第九章“投标文件格式”要求。</w:t>
            </w:r>
          </w:p>
        </w:tc>
      </w:tr>
      <w:tr w14:paraId="0B3F3996">
        <w:tblPrEx>
          <w:tblCellMar>
            <w:top w:w="0" w:type="dxa"/>
            <w:left w:w="108" w:type="dxa"/>
            <w:bottom w:w="0" w:type="dxa"/>
            <w:right w:w="108" w:type="dxa"/>
          </w:tblCellMar>
        </w:tblPrEx>
        <w:trPr>
          <w:trHeight w:val="1341" w:hRule="atLeast"/>
        </w:trPr>
        <w:tc>
          <w:tcPr>
            <w:tcW w:w="739" w:type="dxa"/>
            <w:vMerge w:val="continue"/>
            <w:tcBorders>
              <w:left w:val="single" w:color="auto" w:sz="4" w:space="0"/>
              <w:right w:val="single" w:color="auto" w:sz="4" w:space="0"/>
            </w:tcBorders>
            <w:vAlign w:val="center"/>
          </w:tcPr>
          <w:p w14:paraId="2657DA32">
            <w:pPr>
              <w:adjustRightInd w:val="0"/>
              <w:snapToGrid w:val="0"/>
              <w:spacing w:line="400" w:lineRule="exact"/>
              <w:ind w:left="-210" w:leftChars="-100" w:right="-210" w:rightChars="-100"/>
              <w:jc w:val="center"/>
              <w:rPr>
                <w:rFonts w:hAnsi="宋体" w:cs="Courier New"/>
                <w:color w:val="auto"/>
                <w:highlight w:val="none"/>
              </w:rPr>
            </w:pPr>
          </w:p>
        </w:tc>
        <w:tc>
          <w:tcPr>
            <w:tcW w:w="800" w:type="dxa"/>
            <w:vMerge w:val="continue"/>
            <w:tcBorders>
              <w:left w:val="single" w:color="auto" w:sz="4" w:space="0"/>
              <w:bottom w:val="single" w:color="auto" w:sz="4" w:space="0"/>
              <w:right w:val="single" w:color="auto" w:sz="4" w:space="0"/>
            </w:tcBorders>
            <w:vAlign w:val="center"/>
          </w:tcPr>
          <w:p w14:paraId="7A7C95AC">
            <w:pPr>
              <w:pStyle w:val="27"/>
              <w:adjustRightInd w:val="0"/>
              <w:snapToGrid w:val="0"/>
              <w:spacing w:line="400" w:lineRule="exact"/>
              <w:jc w:val="center"/>
              <w:rPr>
                <w:rFonts w:hAnsi="宋体" w:cs="Courier New"/>
                <w:color w:val="auto"/>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14:paraId="37D47FA7">
            <w:pPr>
              <w:widowControl/>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7.投标文件应符合的其他规定</w:t>
            </w:r>
          </w:p>
        </w:tc>
        <w:tc>
          <w:tcPr>
            <w:tcW w:w="5095" w:type="dxa"/>
            <w:tcBorders>
              <w:top w:val="single" w:color="auto" w:sz="4" w:space="0"/>
              <w:left w:val="single" w:color="auto" w:sz="4" w:space="0"/>
              <w:bottom w:val="single" w:color="auto" w:sz="4" w:space="0"/>
              <w:right w:val="single" w:color="auto" w:sz="4" w:space="0"/>
            </w:tcBorders>
            <w:vAlign w:val="center"/>
          </w:tcPr>
          <w:p w14:paraId="0E2375A4">
            <w:pPr>
              <w:widowControl/>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default" w:ascii="宋体" w:hAnsi="宋体"/>
                <w:color w:val="auto"/>
                <w:kern w:val="0"/>
                <w:szCs w:val="21"/>
                <w:highlight w:val="none"/>
                <w:lang w:val="en-US"/>
              </w:rPr>
              <w:t>投标人如有分包计划，应</w:t>
            </w:r>
            <w:r>
              <w:rPr>
                <w:rFonts w:ascii="宋体" w:hAnsi="宋体"/>
                <w:color w:val="auto"/>
                <w:kern w:val="0"/>
                <w:szCs w:val="21"/>
                <w:highlight w:val="none"/>
              </w:rPr>
              <w:t>按第九章“投标文件格式”的要求填写“拟分包项目情况表”</w:t>
            </w:r>
            <w:r>
              <w:rPr>
                <w:rFonts w:hint="eastAsia" w:ascii="宋体" w:hAnsi="宋体"/>
                <w:color w:val="auto"/>
                <w:kern w:val="0"/>
                <w:szCs w:val="21"/>
                <w:highlight w:val="none"/>
              </w:rPr>
              <w:t>。</w:t>
            </w:r>
          </w:p>
          <w:p w14:paraId="3607E730">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投标文件中未出现有关投标报价的内容。</w:t>
            </w:r>
          </w:p>
          <w:p w14:paraId="183BA5FB">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3）同一投标人对同一标段未提交两个以上不同的投标文件</w:t>
            </w:r>
            <w:r>
              <w:rPr>
                <w:rFonts w:hint="eastAsia"/>
                <w:color w:val="auto"/>
                <w:highlight w:val="none"/>
              </w:rPr>
              <w:t>，但招标文件要求提交</w:t>
            </w:r>
            <w:r>
              <w:rPr>
                <w:rFonts w:hint="eastAsia"/>
                <w:color w:val="auto"/>
                <w:highlight w:val="none"/>
                <w:lang w:eastAsia="zh-CN"/>
              </w:rPr>
              <w:t>备选投标方案</w:t>
            </w:r>
            <w:r>
              <w:rPr>
                <w:rFonts w:hint="eastAsia"/>
                <w:color w:val="auto"/>
                <w:highlight w:val="none"/>
              </w:rPr>
              <w:t>的除外</w:t>
            </w:r>
            <w:r>
              <w:rPr>
                <w:rFonts w:ascii="宋体" w:hAnsi="宋体"/>
                <w:color w:val="auto"/>
                <w:kern w:val="0"/>
                <w:szCs w:val="21"/>
                <w:highlight w:val="none"/>
              </w:rPr>
              <w:t>。</w:t>
            </w:r>
          </w:p>
          <w:p w14:paraId="45FBE069">
            <w:pPr>
              <w:adjustRightInd w:val="0"/>
              <w:snapToGrid w:val="0"/>
              <w:spacing w:line="400" w:lineRule="exact"/>
              <w:rPr>
                <w:rFonts w:ascii="宋体" w:hAnsi="宋体" w:cs="宋体"/>
                <w:color w:val="auto"/>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w:t>
            </w:r>
            <w:r>
              <w:rPr>
                <w:rFonts w:hint="eastAsia" w:ascii="宋体" w:hAnsi="宋体" w:cs="宋体"/>
                <w:color w:val="auto"/>
                <w:szCs w:val="21"/>
                <w:highlight w:val="none"/>
              </w:rPr>
              <w:t>投标人投标标段数量超过允许投标人投标标段数量时，相关投标均无效。</w:t>
            </w:r>
          </w:p>
          <w:p w14:paraId="3F3CEC9B">
            <w:pPr>
              <w:adjustRightInd w:val="0"/>
              <w:snapToGrid w:val="0"/>
              <w:spacing w:line="400" w:lineRule="exact"/>
              <w:rPr>
                <w:rFonts w:ascii="宋体" w:hAnsi="宋体"/>
                <w:bCs/>
                <w:color w:val="auto"/>
                <w:szCs w:val="21"/>
                <w:highlight w:val="none"/>
              </w:rPr>
            </w:pPr>
            <w:r>
              <w:rPr>
                <w:rFonts w:hint="eastAsia" w:ascii="宋体" w:hAnsi="宋体"/>
                <w:color w:val="auto"/>
                <w:kern w:val="0"/>
                <w:szCs w:val="21"/>
                <w:highlight w:val="none"/>
                <w:u w:val="none"/>
              </w:rPr>
              <w:t>……</w:t>
            </w:r>
            <w:r>
              <w:rPr>
                <w:rFonts w:ascii="宋体" w:hAnsi="宋体"/>
                <w:color w:val="auto"/>
                <w:kern w:val="0"/>
                <w:szCs w:val="21"/>
                <w:highlight w:val="none"/>
                <w:u w:val="none"/>
              </w:rPr>
              <w:t xml:space="preserve">      </w:t>
            </w:r>
          </w:p>
        </w:tc>
      </w:tr>
      <w:tr w14:paraId="084BF3C4">
        <w:tblPrEx>
          <w:tblCellMar>
            <w:top w:w="0" w:type="dxa"/>
            <w:left w:w="108" w:type="dxa"/>
            <w:bottom w:w="0" w:type="dxa"/>
            <w:right w:w="108" w:type="dxa"/>
          </w:tblCellMar>
        </w:tblPrEx>
        <w:tc>
          <w:tcPr>
            <w:tcW w:w="739" w:type="dxa"/>
            <w:vMerge w:val="continue"/>
            <w:tcBorders>
              <w:left w:val="single" w:color="auto" w:sz="4" w:space="0"/>
              <w:right w:val="single" w:color="auto" w:sz="4" w:space="0"/>
            </w:tcBorders>
            <w:vAlign w:val="center"/>
          </w:tcPr>
          <w:p w14:paraId="26835D35">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00" w:type="dxa"/>
            <w:vMerge w:val="restart"/>
            <w:tcBorders>
              <w:top w:val="single" w:color="auto" w:sz="4" w:space="0"/>
              <w:left w:val="single" w:color="auto" w:sz="4" w:space="0"/>
              <w:right w:val="single" w:color="auto" w:sz="4" w:space="0"/>
            </w:tcBorders>
            <w:vAlign w:val="center"/>
          </w:tcPr>
          <w:p w14:paraId="3346337D">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2.1.2</w:t>
            </w:r>
          </w:p>
          <w:p w14:paraId="5A842C87">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66E4012F">
            <w:pPr>
              <w:widowControl/>
              <w:adjustRightInd w:val="0"/>
              <w:snapToGrid w:val="0"/>
              <w:spacing w:line="400" w:lineRule="exact"/>
              <w:rPr>
                <w:rFonts w:ascii="宋体" w:hAnsi="宋体"/>
                <w:color w:val="auto"/>
                <w:kern w:val="0"/>
                <w:szCs w:val="21"/>
                <w:highlight w:val="none"/>
              </w:rPr>
            </w:pPr>
            <w:r>
              <w:rPr>
                <w:rFonts w:ascii="宋体" w:hAnsi="宋体"/>
                <w:color w:val="auto"/>
                <w:kern w:val="0"/>
                <w:szCs w:val="21"/>
                <w:highlight w:val="none"/>
              </w:rPr>
              <w:t>1．投标人具备有效的营业执照、资质证书、安全生产许可证、开户许可证</w:t>
            </w:r>
            <w:r>
              <w:rPr>
                <w:rFonts w:hint="eastAsia" w:ascii="宋体" w:hAnsi="宋体"/>
                <w:color w:val="auto"/>
                <w:kern w:val="0"/>
                <w:szCs w:val="21"/>
                <w:highlight w:val="none"/>
                <w:lang w:eastAsia="zh-CN"/>
              </w:rPr>
              <w:t>（</w:t>
            </w:r>
            <w:r>
              <w:rPr>
                <w:rFonts w:ascii="宋体" w:hAnsi="宋体"/>
                <w:color w:val="auto"/>
                <w:kern w:val="0"/>
                <w:szCs w:val="21"/>
                <w:highlight w:val="none"/>
              </w:rPr>
              <w:t>基本账户</w:t>
            </w:r>
            <w:r>
              <w:rPr>
                <w:rFonts w:hint="eastAsia" w:ascii="宋体" w:hAnsi="宋体"/>
                <w:color w:val="auto"/>
                <w:kern w:val="0"/>
                <w:szCs w:val="21"/>
                <w:highlight w:val="none"/>
                <w:lang w:val="en-US" w:eastAsia="zh-CN"/>
              </w:rPr>
              <w:t>或基本存款账户</w:t>
            </w:r>
            <w:r>
              <w:rPr>
                <w:rFonts w:hint="eastAsia" w:ascii="宋体" w:hAnsi="宋体"/>
                <w:color w:val="auto"/>
                <w:kern w:val="0"/>
                <w:szCs w:val="21"/>
                <w:highlight w:val="none"/>
                <w:lang w:eastAsia="zh-CN"/>
              </w:rPr>
              <w:t>）</w:t>
            </w:r>
            <w:r>
              <w:rPr>
                <w:rFonts w:hint="eastAsia" w:ascii="宋体" w:hAnsi="宋体" w:cs="宋体"/>
                <w:color w:val="auto"/>
                <w:szCs w:val="21"/>
                <w:highlight w:val="none"/>
              </w:rPr>
              <w:t>或基本存款账户信息表</w:t>
            </w:r>
          </w:p>
        </w:tc>
        <w:tc>
          <w:tcPr>
            <w:tcW w:w="5095" w:type="dxa"/>
            <w:tcBorders>
              <w:top w:val="single" w:color="000000" w:sz="4" w:space="0"/>
              <w:left w:val="single" w:color="auto" w:sz="4" w:space="0"/>
              <w:bottom w:val="single" w:color="000000" w:sz="4" w:space="0"/>
              <w:right w:val="single" w:color="auto" w:sz="4" w:space="0"/>
            </w:tcBorders>
            <w:vAlign w:val="center"/>
          </w:tcPr>
          <w:p w14:paraId="553E0BA6">
            <w:pPr>
              <w:widowControl/>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w:t>
            </w:r>
            <w:r>
              <w:rPr>
                <w:rFonts w:ascii="宋体" w:hAnsi="宋体"/>
                <w:color w:val="auto"/>
                <w:kern w:val="0"/>
                <w:szCs w:val="21"/>
                <w:highlight w:val="none"/>
              </w:rPr>
              <w:t>1）投标人的营业执照、资质证书、安全生产许可证、开户许可证</w:t>
            </w:r>
            <w:r>
              <w:rPr>
                <w:rFonts w:hint="eastAsia" w:ascii="宋体" w:hAnsi="宋体"/>
                <w:color w:val="auto"/>
                <w:kern w:val="0"/>
                <w:szCs w:val="21"/>
                <w:highlight w:val="none"/>
                <w:lang w:eastAsia="zh-CN"/>
              </w:rPr>
              <w:t>（</w:t>
            </w:r>
            <w:r>
              <w:rPr>
                <w:rFonts w:ascii="宋体" w:hAnsi="宋体"/>
                <w:color w:val="auto"/>
                <w:kern w:val="0"/>
                <w:szCs w:val="21"/>
                <w:highlight w:val="none"/>
              </w:rPr>
              <w:t>基本账户</w:t>
            </w:r>
            <w:r>
              <w:rPr>
                <w:rFonts w:hint="eastAsia" w:ascii="宋体" w:hAnsi="宋体"/>
                <w:color w:val="auto"/>
                <w:kern w:val="0"/>
                <w:szCs w:val="21"/>
                <w:highlight w:val="none"/>
                <w:lang w:val="en-US" w:eastAsia="zh-CN"/>
              </w:rPr>
              <w:t>或基本存款账户</w:t>
            </w:r>
            <w:r>
              <w:rPr>
                <w:rFonts w:hint="eastAsia" w:ascii="宋体" w:hAnsi="宋体"/>
                <w:color w:val="auto"/>
                <w:kern w:val="0"/>
                <w:szCs w:val="21"/>
                <w:highlight w:val="none"/>
                <w:lang w:eastAsia="zh-CN"/>
              </w:rPr>
              <w:t>）</w:t>
            </w:r>
            <w:r>
              <w:rPr>
                <w:rFonts w:hint="eastAsia" w:ascii="宋体" w:hAnsi="宋体" w:cs="宋体"/>
                <w:color w:val="auto"/>
                <w:szCs w:val="21"/>
                <w:highlight w:val="none"/>
              </w:rPr>
              <w:t>或基本存款账户信息表</w:t>
            </w:r>
            <w:r>
              <w:rPr>
                <w:rFonts w:ascii="宋体" w:hAnsi="宋体"/>
                <w:color w:val="auto"/>
                <w:kern w:val="0"/>
                <w:szCs w:val="21"/>
                <w:highlight w:val="none"/>
              </w:rPr>
              <w:t>有效</w:t>
            </w:r>
            <w:r>
              <w:rPr>
                <w:rFonts w:hint="eastAsia" w:ascii="宋体" w:hAnsi="宋体"/>
                <w:color w:val="auto"/>
                <w:kern w:val="0"/>
                <w:szCs w:val="21"/>
                <w:highlight w:val="none"/>
                <w:lang w:eastAsia="zh-CN"/>
              </w:rPr>
              <w:t>。</w:t>
            </w:r>
          </w:p>
          <w:p w14:paraId="4332DCC4">
            <w:pPr>
              <w:widowControl/>
              <w:adjustRightInd w:val="0"/>
              <w:snapToGrid w:val="0"/>
              <w:spacing w:line="400" w:lineRule="exact"/>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证明材料</w:t>
            </w:r>
            <w:r>
              <w:rPr>
                <w:rFonts w:hint="eastAsia" w:ascii="宋体" w:hAnsi="宋体"/>
                <w:color w:val="auto"/>
                <w:kern w:val="0"/>
                <w:szCs w:val="21"/>
                <w:highlight w:val="none"/>
                <w:lang w:val="en-US" w:eastAsia="zh-CN"/>
              </w:rPr>
              <w:t>符合</w:t>
            </w:r>
            <w:r>
              <w:rPr>
                <w:rFonts w:hint="eastAsia" w:ascii="宋体" w:hAnsi="宋体"/>
                <w:color w:val="auto"/>
                <w:kern w:val="0"/>
                <w:szCs w:val="21"/>
                <w:highlight w:val="none"/>
              </w:rPr>
              <w:t>第九章“</w:t>
            </w:r>
            <w:r>
              <w:rPr>
                <w:rFonts w:ascii="宋体" w:hAnsi="宋体"/>
                <w:color w:val="auto"/>
                <w:kern w:val="0"/>
                <w:szCs w:val="21"/>
                <w:highlight w:val="none"/>
              </w:rPr>
              <w:t>投标文件格式</w:t>
            </w:r>
            <w:r>
              <w:rPr>
                <w:rFonts w:hint="eastAsia" w:ascii="宋体" w:hAnsi="宋体"/>
                <w:color w:val="auto"/>
                <w:kern w:val="0"/>
                <w:szCs w:val="21"/>
                <w:highlight w:val="none"/>
              </w:rPr>
              <w:t>”资格审查资料“（一）投标人</w:t>
            </w:r>
            <w:r>
              <w:rPr>
                <w:rFonts w:ascii="宋体" w:hAnsi="宋体"/>
                <w:color w:val="auto"/>
                <w:kern w:val="0"/>
                <w:szCs w:val="21"/>
                <w:highlight w:val="none"/>
              </w:rPr>
              <w:t>基本情况表</w:t>
            </w:r>
            <w:r>
              <w:rPr>
                <w:rFonts w:hint="eastAsia" w:ascii="宋体" w:hAnsi="宋体"/>
                <w:color w:val="auto"/>
                <w:kern w:val="0"/>
                <w:szCs w:val="21"/>
                <w:highlight w:val="none"/>
              </w:rPr>
              <w:t>”的附件要求</w:t>
            </w:r>
            <w:r>
              <w:rPr>
                <w:rFonts w:hint="eastAsia" w:ascii="宋体" w:hAnsi="宋体" w:cs="宋体"/>
                <w:color w:val="auto"/>
                <w:szCs w:val="21"/>
                <w:highlight w:val="none"/>
              </w:rPr>
              <w:t>。</w:t>
            </w:r>
          </w:p>
        </w:tc>
      </w:tr>
      <w:tr w14:paraId="0FD965A1">
        <w:tblPrEx>
          <w:tblCellMar>
            <w:top w:w="0" w:type="dxa"/>
            <w:left w:w="108" w:type="dxa"/>
            <w:bottom w:w="0" w:type="dxa"/>
            <w:right w:w="108" w:type="dxa"/>
          </w:tblCellMar>
        </w:tblPrEx>
        <w:tc>
          <w:tcPr>
            <w:tcW w:w="739" w:type="dxa"/>
            <w:vMerge w:val="continue"/>
            <w:tcBorders>
              <w:left w:val="single" w:color="auto" w:sz="4" w:space="0"/>
              <w:right w:val="single" w:color="auto" w:sz="4" w:space="0"/>
            </w:tcBorders>
            <w:vAlign w:val="center"/>
          </w:tcPr>
          <w:p w14:paraId="78542CA1">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00" w:type="dxa"/>
            <w:vMerge w:val="continue"/>
            <w:tcBorders>
              <w:left w:val="single" w:color="auto" w:sz="4" w:space="0"/>
              <w:right w:val="single" w:color="auto" w:sz="4" w:space="0"/>
            </w:tcBorders>
            <w:vAlign w:val="center"/>
          </w:tcPr>
          <w:p w14:paraId="143615EE">
            <w:pPr>
              <w:adjustRightInd w:val="0"/>
              <w:snapToGrid w:val="0"/>
              <w:spacing w:line="400" w:lineRule="exact"/>
              <w:jc w:val="center"/>
              <w:rPr>
                <w:rFonts w:ascii="宋体" w:hAnsi="宋体" w:cs="宋体"/>
                <w:color w:val="auto"/>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14:paraId="1CBF01D6">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2．投标人的资质等级符合第二章“投标人须知”前附表第1.4.1项规定</w:t>
            </w:r>
          </w:p>
        </w:tc>
        <w:tc>
          <w:tcPr>
            <w:tcW w:w="5095" w:type="dxa"/>
            <w:tcBorders>
              <w:top w:val="single" w:color="000000" w:sz="4" w:space="0"/>
              <w:left w:val="single" w:color="auto" w:sz="4" w:space="0"/>
              <w:bottom w:val="single" w:color="000000" w:sz="4" w:space="0"/>
              <w:right w:val="single" w:color="auto" w:sz="4" w:space="0"/>
            </w:tcBorders>
            <w:vAlign w:val="center"/>
          </w:tcPr>
          <w:p w14:paraId="6FF342EA">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1）投标人</w:t>
            </w:r>
            <w:r>
              <w:rPr>
                <w:rFonts w:hint="eastAsia" w:ascii="宋体" w:hAnsi="宋体"/>
                <w:color w:val="auto"/>
                <w:szCs w:val="21"/>
                <w:highlight w:val="none"/>
              </w:rPr>
              <w:t>的资质等级符合第二章“投标人须知”前附表第</w:t>
            </w:r>
            <w:r>
              <w:rPr>
                <w:rFonts w:ascii="宋体" w:hAnsi="宋体"/>
                <w:color w:val="auto"/>
                <w:szCs w:val="21"/>
                <w:highlight w:val="none"/>
              </w:rPr>
              <w:t>1.4.1项规定。</w:t>
            </w:r>
          </w:p>
          <w:p w14:paraId="7BE044D5">
            <w:pPr>
              <w:widowControl/>
              <w:adjustRightInd w:val="0"/>
              <w:snapToGrid w:val="0"/>
              <w:spacing w:line="400" w:lineRule="exact"/>
              <w:rPr>
                <w:rFonts w:ascii="宋体" w:hAnsi="宋体"/>
                <w:color w:val="auto"/>
                <w:kern w:val="0"/>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ascii="宋体" w:hAnsi="宋体" w:cs="宋体"/>
                <w:color w:val="auto"/>
                <w:szCs w:val="21"/>
                <w:highlight w:val="none"/>
              </w:rPr>
              <w:t>提供的证明材料符合第</w:t>
            </w:r>
            <w:r>
              <w:rPr>
                <w:rFonts w:hint="eastAsia" w:ascii="宋体" w:hAnsi="宋体" w:cs="宋体"/>
                <w:color w:val="auto"/>
                <w:szCs w:val="21"/>
                <w:highlight w:val="none"/>
              </w:rPr>
              <w:t>九</w:t>
            </w:r>
            <w:r>
              <w:rPr>
                <w:rFonts w:ascii="宋体" w:hAnsi="宋体" w:cs="宋体"/>
                <w:color w:val="auto"/>
                <w:szCs w:val="21"/>
                <w:highlight w:val="none"/>
              </w:rPr>
              <w:t>章“投标文件格式”要求</w:t>
            </w:r>
            <w:r>
              <w:rPr>
                <w:rFonts w:hint="eastAsia" w:ascii="宋体" w:hAnsi="宋体" w:cs="宋体"/>
                <w:color w:val="auto"/>
                <w:szCs w:val="21"/>
                <w:highlight w:val="none"/>
              </w:rPr>
              <w:t>。</w:t>
            </w:r>
          </w:p>
        </w:tc>
      </w:tr>
      <w:tr w14:paraId="3ECF42D6">
        <w:tblPrEx>
          <w:tblCellMar>
            <w:top w:w="0" w:type="dxa"/>
            <w:left w:w="108" w:type="dxa"/>
            <w:bottom w:w="0" w:type="dxa"/>
            <w:right w:w="108" w:type="dxa"/>
          </w:tblCellMar>
        </w:tblPrEx>
        <w:tc>
          <w:tcPr>
            <w:tcW w:w="739" w:type="dxa"/>
            <w:vMerge w:val="continue"/>
            <w:tcBorders>
              <w:left w:val="single" w:color="auto" w:sz="4" w:space="0"/>
              <w:bottom w:val="single" w:color="auto" w:sz="4" w:space="0"/>
              <w:right w:val="single" w:color="auto" w:sz="4" w:space="0"/>
            </w:tcBorders>
            <w:vAlign w:val="center"/>
          </w:tcPr>
          <w:p w14:paraId="0408DDBC">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00" w:type="dxa"/>
            <w:vMerge w:val="continue"/>
            <w:tcBorders>
              <w:left w:val="single" w:color="auto" w:sz="4" w:space="0"/>
              <w:bottom w:val="single" w:color="auto" w:sz="4" w:space="0"/>
              <w:right w:val="single" w:color="auto" w:sz="4" w:space="0"/>
            </w:tcBorders>
            <w:vAlign w:val="center"/>
          </w:tcPr>
          <w:p w14:paraId="19A12505">
            <w:pPr>
              <w:adjustRightInd w:val="0"/>
              <w:snapToGrid w:val="0"/>
              <w:spacing w:line="400" w:lineRule="exact"/>
              <w:jc w:val="center"/>
              <w:rPr>
                <w:rFonts w:ascii="宋体" w:hAnsi="宋体" w:cs="宋体"/>
                <w:color w:val="auto"/>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14:paraId="17BC72F7">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3.投标人的财务状况符合第二章“投标人须知”前附表第1.4.1项规定</w:t>
            </w:r>
          </w:p>
        </w:tc>
        <w:tc>
          <w:tcPr>
            <w:tcW w:w="5095" w:type="dxa"/>
            <w:tcBorders>
              <w:top w:val="single" w:color="000000" w:sz="4" w:space="0"/>
              <w:left w:val="single" w:color="auto" w:sz="4" w:space="0"/>
              <w:bottom w:val="single" w:color="auto" w:sz="4" w:space="0"/>
              <w:right w:val="single" w:color="auto" w:sz="4" w:space="0"/>
            </w:tcBorders>
            <w:vAlign w:val="center"/>
          </w:tcPr>
          <w:p w14:paraId="774DCCBA">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的财务状况符合第二章“投标人须知”前附表第</w:t>
            </w:r>
            <w:r>
              <w:rPr>
                <w:rFonts w:ascii="宋体" w:hAnsi="宋体" w:cs="宋体"/>
                <w:color w:val="auto"/>
                <w:kern w:val="0"/>
                <w:szCs w:val="21"/>
                <w:highlight w:val="none"/>
              </w:rPr>
              <w:t>1.4.1项规定。</w:t>
            </w:r>
          </w:p>
          <w:p w14:paraId="647C0A95">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36AC3A34">
        <w:tblPrEx>
          <w:tblCellMar>
            <w:top w:w="0" w:type="dxa"/>
            <w:left w:w="108" w:type="dxa"/>
            <w:bottom w:w="0" w:type="dxa"/>
            <w:right w:w="108" w:type="dxa"/>
          </w:tblCellMar>
        </w:tblPrEx>
        <w:trPr>
          <w:trHeight w:val="502"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4812467D">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6006FA3F">
            <w:pPr>
              <w:adjustRightInd w:val="0"/>
              <w:snapToGrid w:val="0"/>
              <w:spacing w:line="400" w:lineRule="exact"/>
              <w:jc w:val="center"/>
              <w:rPr>
                <w:rFonts w:ascii="宋体" w:hAnsi="宋体" w:cs="宋体"/>
                <w:color w:val="auto"/>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14:paraId="02B85D08">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4．投标人的类似项目业绩符合第二章“投标人须知”前附表第1.4.1项规定</w:t>
            </w:r>
          </w:p>
        </w:tc>
        <w:tc>
          <w:tcPr>
            <w:tcW w:w="5095" w:type="dxa"/>
            <w:tcBorders>
              <w:top w:val="single" w:color="auto" w:sz="4" w:space="0"/>
              <w:left w:val="single" w:color="auto" w:sz="4" w:space="0"/>
              <w:bottom w:val="single" w:color="000000" w:sz="4" w:space="0"/>
              <w:right w:val="single" w:color="000000" w:sz="4" w:space="0"/>
            </w:tcBorders>
            <w:vAlign w:val="center"/>
          </w:tcPr>
          <w:p w14:paraId="76DC6AA4">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的类似项目业绩符合第二章“投标人须知”前附表第</w:t>
            </w:r>
            <w:r>
              <w:rPr>
                <w:rFonts w:ascii="宋体" w:hAnsi="宋体" w:cs="宋体"/>
                <w:color w:val="auto"/>
                <w:kern w:val="0"/>
                <w:szCs w:val="21"/>
                <w:highlight w:val="none"/>
              </w:rPr>
              <w:t>1.4.1项规定。</w:t>
            </w:r>
          </w:p>
          <w:p w14:paraId="12248C52">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7E7B65BD">
        <w:tblPrEx>
          <w:tblCellMar>
            <w:top w:w="0" w:type="dxa"/>
            <w:left w:w="108" w:type="dxa"/>
            <w:bottom w:w="0" w:type="dxa"/>
            <w:right w:w="108" w:type="dxa"/>
          </w:tblCellMar>
        </w:tblPrEx>
        <w:trPr>
          <w:trHeight w:val="1491" w:hRule="atLeast"/>
        </w:trPr>
        <w:tc>
          <w:tcPr>
            <w:tcW w:w="739" w:type="dxa"/>
            <w:vMerge w:val="restart"/>
            <w:tcBorders>
              <w:top w:val="single" w:color="auto" w:sz="4" w:space="0"/>
              <w:left w:val="single" w:color="auto" w:sz="4" w:space="0"/>
              <w:right w:val="single" w:color="auto" w:sz="4" w:space="0"/>
            </w:tcBorders>
            <w:vAlign w:val="center"/>
          </w:tcPr>
          <w:p w14:paraId="160EEC65">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w:t>
            </w:r>
          </w:p>
          <w:p w14:paraId="67E43559">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初步评审标准</w:t>
            </w:r>
          </w:p>
          <w:p w14:paraId="1CF1DB32">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w:t>
            </w:r>
          </w:p>
          <w:p w14:paraId="7C79DA17">
            <w:pPr>
              <w:adjustRightInd w:val="0"/>
              <w:snapToGrid w:val="0"/>
              <w:spacing w:line="400" w:lineRule="exact"/>
              <w:ind w:left="-210" w:leftChars="-100" w:right="-210" w:rightChars="-100"/>
              <w:jc w:val="center"/>
              <w:rPr>
                <w:rFonts w:ascii="宋体" w:hAnsi="宋体" w:cs="宋体"/>
                <w:color w:val="auto"/>
                <w:kern w:val="0"/>
                <w:szCs w:val="21"/>
                <w:highlight w:val="none"/>
              </w:rPr>
            </w:pPr>
            <w:r>
              <w:rPr>
                <w:rFonts w:hint="eastAsia" w:ascii="宋体" w:hAnsi="宋体" w:cs="宋体"/>
                <w:color w:val="auto"/>
                <w:kern w:val="0"/>
                <w:szCs w:val="21"/>
                <w:highlight w:val="none"/>
              </w:rPr>
              <w:t>一个</w:t>
            </w:r>
          </w:p>
          <w:p w14:paraId="3842C47F">
            <w:pPr>
              <w:adjustRightInd w:val="0"/>
              <w:snapToGrid w:val="0"/>
              <w:spacing w:line="400" w:lineRule="exact"/>
              <w:ind w:left="-210" w:leftChars="-100" w:right="-210" w:rightChars="-100"/>
              <w:jc w:val="center"/>
              <w:rPr>
                <w:rFonts w:ascii="宋体" w:hAnsi="宋体" w:cs="宋体"/>
                <w:color w:val="auto"/>
                <w:kern w:val="0"/>
                <w:szCs w:val="21"/>
                <w:highlight w:val="none"/>
              </w:rPr>
            </w:pPr>
            <w:r>
              <w:rPr>
                <w:rFonts w:hint="eastAsia" w:ascii="宋体" w:hAnsi="宋体" w:cs="宋体"/>
                <w:color w:val="auto"/>
                <w:kern w:val="0"/>
                <w:szCs w:val="21"/>
                <w:highlight w:val="none"/>
              </w:rPr>
              <w:t>信封</w:t>
            </w:r>
          </w:p>
        </w:tc>
        <w:tc>
          <w:tcPr>
            <w:tcW w:w="800" w:type="dxa"/>
            <w:vMerge w:val="restart"/>
            <w:tcBorders>
              <w:top w:val="single" w:color="auto" w:sz="4" w:space="0"/>
              <w:left w:val="single" w:color="auto" w:sz="4" w:space="0"/>
              <w:right w:val="single" w:color="auto" w:sz="4" w:space="0"/>
            </w:tcBorders>
            <w:vAlign w:val="center"/>
          </w:tcPr>
          <w:p w14:paraId="1FD90289">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2.1.2</w:t>
            </w:r>
          </w:p>
          <w:p w14:paraId="038658A9">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14EB4E51">
            <w:pPr>
              <w:widowControl/>
              <w:adjustRightInd w:val="0"/>
              <w:snapToGrid w:val="0"/>
              <w:spacing w:line="400" w:lineRule="exact"/>
              <w:rPr>
                <w:rFonts w:ascii="宋体" w:hAnsi="宋体"/>
                <w:color w:val="auto"/>
                <w:kern w:val="0"/>
                <w:szCs w:val="21"/>
                <w:highlight w:val="none"/>
              </w:rPr>
            </w:pPr>
            <w:r>
              <w:rPr>
                <w:rFonts w:ascii="宋体" w:hAnsi="宋体" w:cs="宋体"/>
                <w:color w:val="auto"/>
                <w:kern w:val="0"/>
                <w:szCs w:val="21"/>
                <w:highlight w:val="none"/>
              </w:rPr>
              <w:t>5．投标人的信誉符合第二章“投标人须知”前附表第1.4.1项规定</w:t>
            </w:r>
          </w:p>
        </w:tc>
        <w:tc>
          <w:tcPr>
            <w:tcW w:w="5095" w:type="dxa"/>
            <w:tcBorders>
              <w:top w:val="single" w:color="000000" w:sz="4" w:space="0"/>
              <w:left w:val="single" w:color="auto" w:sz="4" w:space="0"/>
              <w:bottom w:val="single" w:color="000000" w:sz="4" w:space="0"/>
              <w:right w:val="single" w:color="000000" w:sz="4" w:space="0"/>
            </w:tcBorders>
            <w:vAlign w:val="center"/>
          </w:tcPr>
          <w:p w14:paraId="7731EC3B">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的信誉符合第二章“投标人须知”前附表第</w:t>
            </w:r>
            <w:r>
              <w:rPr>
                <w:rFonts w:ascii="宋体" w:hAnsi="宋体" w:cs="宋体"/>
                <w:color w:val="auto"/>
                <w:kern w:val="0"/>
                <w:szCs w:val="21"/>
                <w:highlight w:val="none"/>
              </w:rPr>
              <w:t>1.4.1项规定。</w:t>
            </w:r>
          </w:p>
          <w:p w14:paraId="755824B3">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5F872158">
        <w:tblPrEx>
          <w:tblCellMar>
            <w:top w:w="0" w:type="dxa"/>
            <w:left w:w="108" w:type="dxa"/>
            <w:bottom w:w="0" w:type="dxa"/>
            <w:right w:w="108" w:type="dxa"/>
          </w:tblCellMar>
        </w:tblPrEx>
        <w:trPr>
          <w:trHeight w:val="1602" w:hRule="atLeast"/>
        </w:trPr>
        <w:tc>
          <w:tcPr>
            <w:tcW w:w="739" w:type="dxa"/>
            <w:vMerge w:val="continue"/>
            <w:tcBorders>
              <w:left w:val="single" w:color="auto" w:sz="4" w:space="0"/>
              <w:right w:val="single" w:color="auto" w:sz="4" w:space="0"/>
            </w:tcBorders>
            <w:vAlign w:val="center"/>
          </w:tcPr>
          <w:p w14:paraId="20601736">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00" w:type="dxa"/>
            <w:vMerge w:val="continue"/>
            <w:tcBorders>
              <w:left w:val="single" w:color="auto" w:sz="4" w:space="0"/>
              <w:right w:val="single" w:color="auto" w:sz="4" w:space="0"/>
            </w:tcBorders>
            <w:vAlign w:val="center"/>
          </w:tcPr>
          <w:p w14:paraId="66E5D26C">
            <w:pPr>
              <w:widowControl/>
              <w:adjustRightInd w:val="0"/>
              <w:snapToGrid w:val="0"/>
              <w:spacing w:line="400" w:lineRule="exact"/>
              <w:jc w:val="center"/>
              <w:rPr>
                <w:rFonts w:ascii="宋体" w:hAnsi="宋体" w:cs="宋体"/>
                <w:color w:val="auto"/>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14:paraId="18641664">
            <w:pPr>
              <w:widowControl/>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6．</w:t>
            </w:r>
            <w:r>
              <w:rPr>
                <w:rFonts w:hint="eastAsia" w:ascii="宋体" w:hAnsi="宋体" w:cs="宋体"/>
                <w:color w:val="auto"/>
                <w:kern w:val="0"/>
                <w:szCs w:val="21"/>
                <w:highlight w:val="none"/>
              </w:rPr>
              <w:t>投标人的主要人员符合第二章“投标人须知”前附表第</w:t>
            </w:r>
            <w:r>
              <w:rPr>
                <w:rFonts w:ascii="宋体" w:hAnsi="宋体" w:cs="宋体"/>
                <w:color w:val="auto"/>
                <w:kern w:val="0"/>
                <w:szCs w:val="21"/>
                <w:highlight w:val="none"/>
              </w:rPr>
              <w:t>1.4.1项规定</w:t>
            </w:r>
          </w:p>
        </w:tc>
        <w:tc>
          <w:tcPr>
            <w:tcW w:w="5095" w:type="dxa"/>
            <w:tcBorders>
              <w:top w:val="single" w:color="000000" w:sz="4" w:space="0"/>
              <w:left w:val="single" w:color="auto" w:sz="4" w:space="0"/>
              <w:bottom w:val="single" w:color="000000" w:sz="4" w:space="0"/>
              <w:right w:val="single" w:color="000000" w:sz="4" w:space="0"/>
            </w:tcBorders>
            <w:vAlign w:val="center"/>
          </w:tcPr>
          <w:p w14:paraId="77C94A1A">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的主要人员符合第二章“投标人须知”前附表第</w:t>
            </w:r>
            <w:r>
              <w:rPr>
                <w:rFonts w:ascii="宋体" w:hAnsi="宋体" w:cs="宋体"/>
                <w:color w:val="auto"/>
                <w:kern w:val="0"/>
                <w:szCs w:val="21"/>
                <w:highlight w:val="none"/>
              </w:rPr>
              <w:t>1.4.1项规定。</w:t>
            </w:r>
          </w:p>
          <w:p w14:paraId="171B20BA">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olor w:val="auto"/>
                <w:szCs w:val="21"/>
                <w:highlight w:val="none"/>
              </w:rPr>
              <w:t>提供的证明材料符合第九章“投标文件格式”要求。</w:t>
            </w:r>
          </w:p>
        </w:tc>
      </w:tr>
      <w:tr w14:paraId="42590435">
        <w:tblPrEx>
          <w:tblCellMar>
            <w:top w:w="0" w:type="dxa"/>
            <w:left w:w="108" w:type="dxa"/>
            <w:bottom w:w="0" w:type="dxa"/>
            <w:right w:w="108" w:type="dxa"/>
          </w:tblCellMar>
        </w:tblPrEx>
        <w:trPr>
          <w:trHeight w:val="1213" w:hRule="atLeast"/>
        </w:trPr>
        <w:tc>
          <w:tcPr>
            <w:tcW w:w="739" w:type="dxa"/>
            <w:vMerge w:val="continue"/>
            <w:tcBorders>
              <w:left w:val="single" w:color="auto" w:sz="4" w:space="0"/>
              <w:right w:val="single" w:color="auto" w:sz="4" w:space="0"/>
            </w:tcBorders>
            <w:vAlign w:val="center"/>
          </w:tcPr>
          <w:p w14:paraId="34FFE9CF">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p>
        </w:tc>
        <w:tc>
          <w:tcPr>
            <w:tcW w:w="800" w:type="dxa"/>
            <w:vMerge w:val="continue"/>
            <w:tcBorders>
              <w:left w:val="single" w:color="auto" w:sz="4" w:space="0"/>
              <w:bottom w:val="single" w:color="auto" w:sz="4" w:space="0"/>
              <w:right w:val="single" w:color="auto" w:sz="4" w:space="0"/>
            </w:tcBorders>
            <w:vAlign w:val="center"/>
          </w:tcPr>
          <w:p w14:paraId="23FBC739">
            <w:pPr>
              <w:widowControl/>
              <w:adjustRightInd w:val="0"/>
              <w:snapToGrid w:val="0"/>
              <w:spacing w:line="400" w:lineRule="exact"/>
              <w:jc w:val="center"/>
              <w:rPr>
                <w:rFonts w:ascii="宋体" w:hAnsi="宋体" w:cs="宋体"/>
                <w:color w:val="auto"/>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14:paraId="548933D8">
            <w:pPr>
              <w:widowControl/>
              <w:adjustRightInd w:val="0"/>
              <w:snapToGrid w:val="0"/>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ascii="宋体" w:hAnsi="宋体"/>
                <w:color w:val="auto"/>
                <w:szCs w:val="21"/>
                <w:highlight w:val="none"/>
              </w:rPr>
              <w:t>7．</w:t>
            </w:r>
            <w:r>
              <w:rPr>
                <w:rFonts w:hint="eastAsia" w:ascii="宋体" w:hAnsi="宋体" w:cs="宋体"/>
                <w:color w:val="auto"/>
                <w:szCs w:val="21"/>
                <w:highlight w:val="none"/>
              </w:rPr>
              <w:t>投标人的其他要求</w:t>
            </w:r>
            <w:r>
              <w:rPr>
                <w:rStyle w:val="59"/>
                <w:rFonts w:ascii="宋体" w:hAnsi="宋体" w:cs="宋体"/>
                <w:color w:val="auto"/>
                <w:kern w:val="0"/>
                <w:szCs w:val="21"/>
                <w:highlight w:val="none"/>
              </w:rPr>
              <w:footnoteReference w:id="159"/>
            </w:r>
            <w:r>
              <w:rPr>
                <w:rFonts w:hint="eastAsia" w:ascii="宋体" w:hAnsi="宋体" w:cs="宋体"/>
                <w:color w:val="auto"/>
                <w:szCs w:val="21"/>
                <w:highlight w:val="none"/>
              </w:rPr>
              <w:t>符合第二章“投标人须知”前附表第</w:t>
            </w:r>
            <w:r>
              <w:rPr>
                <w:rFonts w:ascii="宋体" w:hAnsi="宋体" w:cs="宋体"/>
                <w:color w:val="auto"/>
                <w:szCs w:val="21"/>
                <w:highlight w:val="none"/>
              </w:rPr>
              <w:t>1.4.1项规定</w:t>
            </w:r>
          </w:p>
        </w:tc>
        <w:tc>
          <w:tcPr>
            <w:tcW w:w="5095" w:type="dxa"/>
            <w:tcBorders>
              <w:top w:val="single" w:color="auto" w:sz="4" w:space="0"/>
              <w:left w:val="single" w:color="auto" w:sz="4" w:space="0"/>
              <w:bottom w:val="single" w:color="auto" w:sz="4" w:space="0"/>
              <w:right w:val="single" w:color="auto" w:sz="4" w:space="0"/>
            </w:tcBorders>
            <w:vAlign w:val="center"/>
          </w:tcPr>
          <w:p w14:paraId="2D95E8B8">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1）投标人</w:t>
            </w:r>
            <w:r>
              <w:rPr>
                <w:rFonts w:hint="eastAsia" w:ascii="宋体" w:hAnsi="宋体" w:cs="宋体"/>
                <w:color w:val="auto"/>
                <w:kern w:val="0"/>
                <w:szCs w:val="21"/>
                <w:highlight w:val="none"/>
              </w:rPr>
              <w:t>的其他要求符合第二章“投标人须知”前附表第</w:t>
            </w:r>
            <w:r>
              <w:rPr>
                <w:rFonts w:ascii="宋体" w:hAnsi="宋体" w:cs="宋体"/>
                <w:color w:val="auto"/>
                <w:kern w:val="0"/>
                <w:szCs w:val="21"/>
                <w:highlight w:val="none"/>
              </w:rPr>
              <w:t>1.4.1项规定</w:t>
            </w:r>
            <w:r>
              <w:rPr>
                <w:rFonts w:hint="eastAsia" w:ascii="宋体" w:hAnsi="宋体" w:cs="宋体"/>
                <w:color w:val="auto"/>
                <w:kern w:val="0"/>
                <w:szCs w:val="21"/>
                <w:highlight w:val="none"/>
              </w:rPr>
              <w:t>。</w:t>
            </w:r>
          </w:p>
          <w:p w14:paraId="7F631B76">
            <w:pPr>
              <w:widowControl/>
              <w:adjustRightInd w:val="0"/>
              <w:snapToGrid w:val="0"/>
              <w:spacing w:line="40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szCs w:val="21"/>
                <w:highlight w:val="none"/>
              </w:rPr>
              <w:t>提供的证明材料符合第九章“投标文件格式”要求。</w:t>
            </w:r>
          </w:p>
        </w:tc>
      </w:tr>
      <w:tr w14:paraId="16490411">
        <w:tblPrEx>
          <w:tblCellMar>
            <w:top w:w="0" w:type="dxa"/>
            <w:left w:w="108" w:type="dxa"/>
            <w:bottom w:w="0" w:type="dxa"/>
            <w:right w:w="108" w:type="dxa"/>
          </w:tblCellMar>
        </w:tblPrEx>
        <w:trPr>
          <w:trHeight w:val="2627" w:hRule="atLeast"/>
        </w:trPr>
        <w:tc>
          <w:tcPr>
            <w:tcW w:w="739" w:type="dxa"/>
            <w:vMerge w:val="continue"/>
            <w:tcBorders>
              <w:left w:val="single" w:color="auto" w:sz="4" w:space="0"/>
              <w:right w:val="single" w:color="auto" w:sz="4" w:space="0"/>
            </w:tcBorders>
            <w:vAlign w:val="center"/>
          </w:tcPr>
          <w:p w14:paraId="517C89F4">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00" w:type="dxa"/>
            <w:vMerge w:val="continue"/>
            <w:tcBorders>
              <w:left w:val="single" w:color="auto" w:sz="4" w:space="0"/>
              <w:bottom w:val="single" w:color="auto" w:sz="4" w:space="0"/>
              <w:right w:val="single" w:color="auto" w:sz="4" w:space="0"/>
            </w:tcBorders>
            <w:vAlign w:val="center"/>
          </w:tcPr>
          <w:p w14:paraId="1AAC3D63">
            <w:pPr>
              <w:widowControl/>
              <w:adjustRightInd w:val="0"/>
              <w:snapToGrid w:val="0"/>
              <w:spacing w:line="400" w:lineRule="exact"/>
              <w:jc w:val="center"/>
              <w:rPr>
                <w:rFonts w:ascii="宋体" w:hAnsi="宋体" w:cs="宋体"/>
                <w:color w:val="auto"/>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14:paraId="7B1085B2">
            <w:pPr>
              <w:widowControl/>
              <w:adjustRightInd w:val="0"/>
              <w:snapToGrid w:val="0"/>
              <w:spacing w:line="400" w:lineRule="exact"/>
              <w:rPr>
                <w:rFonts w:ascii="宋体" w:hAnsi="宋体"/>
                <w:color w:val="auto"/>
                <w:szCs w:val="21"/>
                <w:highlight w:val="none"/>
              </w:rPr>
            </w:pPr>
            <w:r>
              <w:rPr>
                <w:rFonts w:hint="eastAsia" w:ascii="宋体" w:hAnsi="宋体"/>
                <w:b w:val="0"/>
                <w:bCs w:val="0"/>
                <w:color w:val="auto"/>
                <w:szCs w:val="21"/>
                <w:highlight w:val="none"/>
                <w:lang w:val="en-US" w:eastAsia="zh-CN"/>
              </w:rPr>
              <w:t>8</w:t>
            </w:r>
            <w:r>
              <w:rPr>
                <w:rFonts w:ascii="宋体" w:hAnsi="宋体"/>
                <w:color w:val="auto"/>
                <w:szCs w:val="21"/>
                <w:highlight w:val="none"/>
              </w:rPr>
              <w:t>．</w:t>
            </w: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还应</w:t>
            </w:r>
            <w:r>
              <w:rPr>
                <w:rFonts w:hint="eastAsia" w:ascii="宋体" w:hAnsi="宋体" w:cs="宋体"/>
                <w:color w:val="auto"/>
                <w:szCs w:val="21"/>
                <w:highlight w:val="none"/>
              </w:rPr>
              <w:t>符合</w:t>
            </w:r>
            <w:r>
              <w:rPr>
                <w:rFonts w:hint="eastAsia" w:ascii="宋体" w:hAnsi="宋体" w:cs="宋体"/>
                <w:color w:val="auto"/>
                <w:szCs w:val="21"/>
                <w:highlight w:val="none"/>
                <w:lang w:val="en-US" w:eastAsia="zh-CN"/>
              </w:rPr>
              <w:t>的其他</w:t>
            </w:r>
            <w:r>
              <w:rPr>
                <w:rFonts w:ascii="宋体" w:hAnsi="宋体" w:cs="宋体"/>
                <w:color w:val="auto"/>
                <w:szCs w:val="21"/>
                <w:highlight w:val="none"/>
              </w:rPr>
              <w:t>规定</w:t>
            </w:r>
          </w:p>
        </w:tc>
        <w:tc>
          <w:tcPr>
            <w:tcW w:w="5095" w:type="dxa"/>
            <w:tcBorders>
              <w:top w:val="single" w:color="auto" w:sz="4" w:space="0"/>
              <w:left w:val="single" w:color="auto" w:sz="4" w:space="0"/>
              <w:bottom w:val="single" w:color="auto" w:sz="4" w:space="0"/>
              <w:right w:val="single" w:color="auto" w:sz="4" w:space="0"/>
            </w:tcBorders>
            <w:vAlign w:val="center"/>
          </w:tcPr>
          <w:p w14:paraId="0B3782C6">
            <w:pPr>
              <w:widowControl/>
              <w:adjustRightInd w:val="0"/>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olor w:val="auto"/>
                <w:szCs w:val="21"/>
                <w:highlight w:val="none"/>
              </w:rPr>
              <w:t>投标人不存在第二章“投标人须知”第</w:t>
            </w:r>
            <w:r>
              <w:rPr>
                <w:rFonts w:ascii="宋体" w:hAnsi="宋体"/>
                <w:color w:val="auto"/>
                <w:szCs w:val="21"/>
                <w:highlight w:val="none"/>
              </w:rPr>
              <w:t>1.4.3项或</w:t>
            </w:r>
            <w:r>
              <w:rPr>
                <w:rFonts w:hint="eastAsia" w:ascii="宋体" w:hAnsi="宋体"/>
                <w:color w:val="auto"/>
                <w:szCs w:val="21"/>
                <w:highlight w:val="none"/>
              </w:rPr>
              <w:t>第</w:t>
            </w:r>
            <w:r>
              <w:rPr>
                <w:rFonts w:ascii="宋体" w:hAnsi="宋体"/>
                <w:color w:val="auto"/>
                <w:szCs w:val="21"/>
                <w:highlight w:val="none"/>
              </w:rPr>
              <w:t>1.4.4项规定的任何一种情形</w:t>
            </w:r>
            <w:r>
              <w:rPr>
                <w:rFonts w:hint="eastAsia" w:ascii="宋体" w:hAnsi="宋体" w:cs="宋体"/>
                <w:color w:val="auto"/>
                <w:szCs w:val="21"/>
                <w:highlight w:val="none"/>
              </w:rPr>
              <w:t>（按本项资格评审标准第</w:t>
            </w:r>
            <w:r>
              <w:rPr>
                <w:rFonts w:ascii="宋体" w:hAnsi="宋体" w:cs="宋体"/>
                <w:color w:val="auto"/>
                <w:szCs w:val="21"/>
                <w:highlight w:val="none"/>
              </w:rPr>
              <w:t>5</w:t>
            </w:r>
            <w:r>
              <w:rPr>
                <w:rFonts w:hint="eastAsia" w:ascii="宋体" w:hAnsi="宋体" w:cs="宋体"/>
                <w:color w:val="auto"/>
                <w:szCs w:val="21"/>
                <w:highlight w:val="none"/>
              </w:rPr>
              <w:t>目</w:t>
            </w:r>
            <w:r>
              <w:rPr>
                <w:rFonts w:ascii="宋体" w:hAnsi="宋体" w:cs="宋体"/>
                <w:color w:val="auto"/>
                <w:szCs w:val="21"/>
                <w:highlight w:val="none"/>
              </w:rPr>
              <w:t>信誉要求已评审的，此处不再评审）</w:t>
            </w:r>
            <w:r>
              <w:rPr>
                <w:rFonts w:hint="eastAsia" w:ascii="宋体" w:hAnsi="宋体"/>
                <w:color w:val="auto"/>
                <w:szCs w:val="21"/>
                <w:highlight w:val="none"/>
              </w:rPr>
              <w:t>。</w:t>
            </w:r>
          </w:p>
          <w:p w14:paraId="7656FEDD">
            <w:pPr>
              <w:widowControl/>
              <w:adjustRightInd w:val="0"/>
              <w:snapToGrid w:val="0"/>
              <w:spacing w:line="400" w:lineRule="exact"/>
              <w:rPr>
                <w:rFonts w:ascii="宋体" w:hAnsi="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hint="eastAsia" w:ascii="宋体" w:hAnsi="宋体"/>
                <w:color w:val="auto"/>
                <w:szCs w:val="21"/>
                <w:highlight w:val="none"/>
              </w:rPr>
              <w:t>以联合体形式投标的，联合体各方均未再以自己名义单独或参加其他联合体在同一标段中投标；独立投标的，投标人未同时参加联合体在同一标段中投标。</w:t>
            </w:r>
          </w:p>
          <w:p w14:paraId="4531923F">
            <w:pPr>
              <w:widowControl/>
              <w:adjustRightInd w:val="0"/>
              <w:snapToGrid w:val="0"/>
              <w:spacing w:line="400" w:lineRule="exact"/>
              <w:rPr>
                <w:rFonts w:ascii="宋体" w:hAnsi="宋体" w:cs="宋体"/>
                <w:color w:val="auto"/>
                <w:kern w:val="0"/>
                <w:szCs w:val="21"/>
                <w:highlight w:val="none"/>
              </w:rPr>
            </w:pPr>
            <w:r>
              <w:rPr>
                <w:rFonts w:hint="eastAsia" w:ascii="宋体" w:hAnsi="宋体"/>
                <w:color w:val="auto"/>
                <w:kern w:val="0"/>
                <w:szCs w:val="21"/>
                <w:highlight w:val="none"/>
                <w:u w:val="none"/>
              </w:rPr>
              <w:t>……</w:t>
            </w:r>
            <w:r>
              <w:rPr>
                <w:rFonts w:ascii="宋体" w:hAnsi="宋体" w:cs="宋体"/>
                <w:color w:val="auto"/>
                <w:szCs w:val="21"/>
                <w:highlight w:val="none"/>
                <w:u w:val="none"/>
              </w:rPr>
              <w:t xml:space="preserve"> </w:t>
            </w:r>
            <w:r>
              <w:rPr>
                <w:rFonts w:ascii="宋体" w:hAnsi="宋体" w:cs="宋体"/>
                <w:color w:val="auto"/>
                <w:szCs w:val="21"/>
                <w:highlight w:val="none"/>
              </w:rPr>
              <w:t xml:space="preserve"> </w:t>
            </w:r>
          </w:p>
        </w:tc>
      </w:tr>
      <w:tr w14:paraId="59F2EFF4">
        <w:tblPrEx>
          <w:tblCellMar>
            <w:top w:w="0" w:type="dxa"/>
            <w:left w:w="108" w:type="dxa"/>
            <w:bottom w:w="0" w:type="dxa"/>
            <w:right w:w="108" w:type="dxa"/>
          </w:tblCellMar>
        </w:tblPrEx>
        <w:trPr>
          <w:trHeight w:val="625" w:hRule="atLeast"/>
        </w:trPr>
        <w:tc>
          <w:tcPr>
            <w:tcW w:w="739" w:type="dxa"/>
            <w:vMerge w:val="continue"/>
            <w:tcBorders>
              <w:left w:val="single" w:color="auto" w:sz="4" w:space="0"/>
              <w:right w:val="single" w:color="auto" w:sz="4" w:space="0"/>
            </w:tcBorders>
            <w:vAlign w:val="center"/>
          </w:tcPr>
          <w:p w14:paraId="31CEB3DF">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00" w:type="dxa"/>
            <w:vMerge w:val="restart"/>
            <w:tcBorders>
              <w:top w:val="single" w:color="auto" w:sz="4" w:space="0"/>
              <w:left w:val="single" w:color="auto" w:sz="4" w:space="0"/>
              <w:right w:val="single" w:color="auto" w:sz="4" w:space="0"/>
            </w:tcBorders>
            <w:vAlign w:val="center"/>
          </w:tcPr>
          <w:p w14:paraId="53933D48">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2.1.3</w:t>
            </w:r>
          </w:p>
          <w:p w14:paraId="33D18E4B">
            <w:pPr>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响应性评审标准</w:t>
            </w:r>
          </w:p>
        </w:tc>
        <w:tc>
          <w:tcPr>
            <w:tcW w:w="7392" w:type="dxa"/>
            <w:gridSpan w:val="2"/>
            <w:tcBorders>
              <w:top w:val="single" w:color="auto" w:sz="4" w:space="0"/>
              <w:left w:val="single" w:color="auto" w:sz="4" w:space="0"/>
              <w:bottom w:val="single" w:color="auto" w:sz="4" w:space="0"/>
              <w:right w:val="single" w:color="auto" w:sz="4" w:space="0"/>
            </w:tcBorders>
            <w:vAlign w:val="center"/>
          </w:tcPr>
          <w:p w14:paraId="1B033A31">
            <w:pPr>
              <w:pStyle w:val="299"/>
              <w:adjustRightInd w:val="0"/>
              <w:snapToGrid w:val="0"/>
              <w:spacing w:line="40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投标函上载明的招标项目工期符合招标文件规定的时间。</w:t>
            </w:r>
          </w:p>
        </w:tc>
      </w:tr>
      <w:tr w14:paraId="1EAA65D3">
        <w:tblPrEx>
          <w:tblCellMar>
            <w:top w:w="0" w:type="dxa"/>
            <w:left w:w="108" w:type="dxa"/>
            <w:bottom w:w="0" w:type="dxa"/>
            <w:right w:w="108" w:type="dxa"/>
          </w:tblCellMar>
        </w:tblPrEx>
        <w:trPr>
          <w:trHeight w:val="699" w:hRule="atLeast"/>
        </w:trPr>
        <w:tc>
          <w:tcPr>
            <w:tcW w:w="739" w:type="dxa"/>
            <w:vMerge w:val="continue"/>
            <w:tcBorders>
              <w:left w:val="single" w:color="auto" w:sz="4" w:space="0"/>
              <w:right w:val="single" w:color="auto" w:sz="4" w:space="0"/>
            </w:tcBorders>
            <w:vAlign w:val="center"/>
          </w:tcPr>
          <w:p w14:paraId="772E0E94">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00" w:type="dxa"/>
            <w:vMerge w:val="continue"/>
            <w:tcBorders>
              <w:left w:val="single" w:color="auto" w:sz="4" w:space="0"/>
              <w:right w:val="single" w:color="auto" w:sz="4" w:space="0"/>
            </w:tcBorders>
            <w:vAlign w:val="center"/>
          </w:tcPr>
          <w:p w14:paraId="2DF1FE6F">
            <w:pPr>
              <w:widowControl/>
              <w:adjustRightInd w:val="0"/>
              <w:snapToGrid w:val="0"/>
              <w:spacing w:line="400" w:lineRule="exact"/>
              <w:jc w:val="center"/>
              <w:rPr>
                <w:rFonts w:ascii="宋体" w:hAnsi="宋体" w:cs="宋体"/>
                <w:color w:val="auto"/>
                <w:kern w:val="0"/>
                <w:szCs w:val="21"/>
                <w:highlight w:val="none"/>
              </w:rPr>
            </w:pPr>
          </w:p>
        </w:tc>
        <w:tc>
          <w:tcPr>
            <w:tcW w:w="7392" w:type="dxa"/>
            <w:gridSpan w:val="2"/>
            <w:tcBorders>
              <w:top w:val="single" w:color="auto" w:sz="4" w:space="0"/>
              <w:left w:val="single" w:color="auto" w:sz="4" w:space="0"/>
              <w:bottom w:val="single" w:color="auto" w:sz="4" w:space="0"/>
              <w:right w:val="single" w:color="auto" w:sz="4" w:space="0"/>
            </w:tcBorders>
            <w:vAlign w:val="center"/>
          </w:tcPr>
          <w:p w14:paraId="0350CAC5">
            <w:pPr>
              <w:pStyle w:val="299"/>
              <w:adjustRightInd w:val="0"/>
              <w:snapToGrid w:val="0"/>
              <w:spacing w:line="40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投标文件对招标文件的实质性要求和条件在投标函</w:t>
            </w:r>
            <w:r>
              <w:rPr>
                <w:rFonts w:hint="eastAsia" w:ascii="宋体" w:hAnsi="宋体"/>
                <w:color w:val="auto"/>
                <w:szCs w:val="21"/>
                <w:highlight w:val="none"/>
                <w:lang w:val="en-US" w:eastAsia="zh-CN"/>
              </w:rPr>
              <w:t>作</w:t>
            </w:r>
            <w:r>
              <w:rPr>
                <w:rFonts w:hint="eastAsia" w:ascii="宋体" w:hAnsi="宋体"/>
                <w:color w:val="auto"/>
                <w:szCs w:val="21"/>
                <w:highlight w:val="none"/>
              </w:rPr>
              <w:t>出响应。</w:t>
            </w:r>
          </w:p>
        </w:tc>
      </w:tr>
      <w:tr w14:paraId="7189C825">
        <w:tblPrEx>
          <w:tblCellMar>
            <w:top w:w="0" w:type="dxa"/>
            <w:left w:w="108" w:type="dxa"/>
            <w:bottom w:w="0" w:type="dxa"/>
            <w:right w:w="108" w:type="dxa"/>
          </w:tblCellMar>
        </w:tblPrEx>
        <w:trPr>
          <w:trHeight w:val="302" w:hRule="atLeast"/>
        </w:trPr>
        <w:tc>
          <w:tcPr>
            <w:tcW w:w="739" w:type="dxa"/>
            <w:vMerge w:val="continue"/>
            <w:tcBorders>
              <w:left w:val="single" w:color="auto" w:sz="4" w:space="0"/>
              <w:bottom w:val="single" w:color="auto" w:sz="4" w:space="0"/>
              <w:right w:val="single" w:color="auto" w:sz="4" w:space="0"/>
            </w:tcBorders>
            <w:vAlign w:val="center"/>
          </w:tcPr>
          <w:p w14:paraId="736622BA">
            <w:pPr>
              <w:adjustRightInd w:val="0"/>
              <w:snapToGrid w:val="0"/>
              <w:spacing w:line="400" w:lineRule="exact"/>
              <w:ind w:left="-210" w:leftChars="-100" w:right="-210" w:rightChars="-100"/>
              <w:jc w:val="center"/>
              <w:rPr>
                <w:rFonts w:ascii="宋体" w:hAnsi="宋体" w:cs="宋体"/>
                <w:color w:val="auto"/>
                <w:kern w:val="0"/>
                <w:szCs w:val="21"/>
                <w:highlight w:val="none"/>
              </w:rPr>
            </w:pPr>
          </w:p>
        </w:tc>
        <w:tc>
          <w:tcPr>
            <w:tcW w:w="800" w:type="dxa"/>
            <w:vMerge w:val="continue"/>
            <w:tcBorders>
              <w:left w:val="single" w:color="auto" w:sz="4" w:space="0"/>
              <w:bottom w:val="single" w:color="auto" w:sz="4" w:space="0"/>
              <w:right w:val="single" w:color="auto" w:sz="4" w:space="0"/>
            </w:tcBorders>
            <w:vAlign w:val="center"/>
          </w:tcPr>
          <w:p w14:paraId="227AF026">
            <w:pPr>
              <w:widowControl/>
              <w:adjustRightInd w:val="0"/>
              <w:snapToGrid w:val="0"/>
              <w:spacing w:line="400" w:lineRule="exact"/>
              <w:jc w:val="center"/>
              <w:rPr>
                <w:rFonts w:ascii="宋体" w:hAnsi="宋体" w:cs="宋体"/>
                <w:color w:val="auto"/>
                <w:kern w:val="0"/>
                <w:szCs w:val="21"/>
                <w:highlight w:val="none"/>
              </w:rPr>
            </w:pPr>
          </w:p>
        </w:tc>
        <w:tc>
          <w:tcPr>
            <w:tcW w:w="7392" w:type="dxa"/>
            <w:gridSpan w:val="2"/>
            <w:tcBorders>
              <w:top w:val="single" w:color="auto" w:sz="4" w:space="0"/>
              <w:left w:val="single" w:color="auto" w:sz="4" w:space="0"/>
              <w:bottom w:val="single" w:color="auto" w:sz="4" w:space="0"/>
              <w:right w:val="single" w:color="auto" w:sz="4" w:space="0"/>
            </w:tcBorders>
            <w:vAlign w:val="center"/>
          </w:tcPr>
          <w:p w14:paraId="0C71CF13">
            <w:pPr>
              <w:pStyle w:val="299"/>
              <w:adjustRightInd w:val="0"/>
              <w:snapToGrid w:val="0"/>
              <w:spacing w:line="40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合同</w:t>
            </w:r>
            <w:r>
              <w:rPr>
                <w:rFonts w:hint="eastAsia" w:ascii="宋体" w:hAnsi="宋体"/>
                <w:color w:val="auto"/>
                <w:szCs w:val="21"/>
                <w:highlight w:val="none"/>
              </w:rPr>
              <w:t>权利义务按招标文件规定在投标函</w:t>
            </w:r>
            <w:r>
              <w:rPr>
                <w:rFonts w:hint="eastAsia" w:ascii="宋体" w:hAnsi="宋体"/>
                <w:color w:val="auto"/>
                <w:szCs w:val="21"/>
                <w:highlight w:val="none"/>
                <w:lang w:val="en-US" w:eastAsia="zh-CN"/>
              </w:rPr>
              <w:t>作</w:t>
            </w:r>
            <w:r>
              <w:rPr>
                <w:rFonts w:hint="eastAsia" w:ascii="宋体" w:hAnsi="宋体"/>
                <w:color w:val="auto"/>
                <w:szCs w:val="21"/>
                <w:highlight w:val="none"/>
              </w:rPr>
              <w:t>出承诺。</w:t>
            </w:r>
          </w:p>
        </w:tc>
      </w:tr>
      <w:tr w14:paraId="2CEE74B5">
        <w:tblPrEx>
          <w:tblCellMar>
            <w:top w:w="0" w:type="dxa"/>
            <w:left w:w="108" w:type="dxa"/>
            <w:bottom w:w="0" w:type="dxa"/>
            <w:right w:w="108" w:type="dxa"/>
          </w:tblCellMar>
        </w:tblPrEx>
        <w:trPr>
          <w:trHeight w:val="276"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60BFB110">
            <w:pPr>
              <w:widowControl/>
              <w:adjustRightInd w:val="0"/>
              <w:snapToGrid w:val="0"/>
              <w:spacing w:line="400" w:lineRule="exact"/>
              <w:ind w:left="-210" w:leftChars="-100" w:right="-210" w:rightChars="-100"/>
              <w:jc w:val="center"/>
              <w:rPr>
                <w:rFonts w:ascii="宋体" w:hAnsi="宋体"/>
                <w:color w:val="auto"/>
                <w:kern w:val="0"/>
                <w:szCs w:val="21"/>
                <w:highlight w:val="none"/>
              </w:rPr>
            </w:pPr>
            <w:r>
              <w:rPr>
                <w:rFonts w:ascii="宋体" w:hAnsi="宋体"/>
                <w:color w:val="auto"/>
                <w:kern w:val="0"/>
                <w:szCs w:val="21"/>
                <w:highlight w:val="none"/>
              </w:rPr>
              <w:t>2.1</w:t>
            </w:r>
          </w:p>
          <w:p w14:paraId="0810D0FF">
            <w:pPr>
              <w:widowControl/>
              <w:adjustRightInd w:val="0"/>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初步评审标准</w:t>
            </w:r>
          </w:p>
          <w:p w14:paraId="31250252">
            <w:pPr>
              <w:adjustRightInd w:val="0"/>
              <w:snapToGrid w:val="0"/>
              <w:spacing w:line="400" w:lineRule="exact"/>
              <w:ind w:left="-210" w:leftChars="-100" w:right="-210" w:right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w:t>
            </w:r>
          </w:p>
          <w:p w14:paraId="2EDF72A5">
            <w:pPr>
              <w:adjustRightInd w:val="0"/>
              <w:snapToGrid w:val="0"/>
              <w:spacing w:line="400" w:lineRule="exact"/>
              <w:ind w:left="-210" w:leftChars="-100" w:right="-210" w:rightChars="-100"/>
              <w:jc w:val="center"/>
              <w:rPr>
                <w:rFonts w:ascii="宋体" w:hAnsi="宋体" w:cs="宋体"/>
                <w:color w:val="auto"/>
                <w:kern w:val="0"/>
                <w:szCs w:val="21"/>
                <w:highlight w:val="none"/>
              </w:rPr>
            </w:pPr>
            <w:r>
              <w:rPr>
                <w:rFonts w:hint="eastAsia" w:ascii="宋体" w:hAnsi="宋体" w:cs="宋体"/>
                <w:color w:val="auto"/>
                <w:kern w:val="0"/>
                <w:szCs w:val="21"/>
                <w:highlight w:val="none"/>
              </w:rPr>
              <w:t>二个</w:t>
            </w:r>
          </w:p>
          <w:p w14:paraId="01266CDF">
            <w:pPr>
              <w:adjustRightInd w:val="0"/>
              <w:snapToGrid w:val="0"/>
              <w:spacing w:line="400" w:lineRule="exact"/>
              <w:ind w:left="-210" w:leftChars="-100" w:right="-210" w:rightChars="-100"/>
              <w:jc w:val="center"/>
              <w:rPr>
                <w:rFonts w:ascii="宋体" w:hAnsi="宋体" w:cs="宋体"/>
                <w:color w:val="auto"/>
                <w:kern w:val="0"/>
                <w:szCs w:val="21"/>
                <w:highlight w:val="none"/>
              </w:rPr>
            </w:pPr>
            <w:r>
              <w:rPr>
                <w:rFonts w:hint="eastAsia" w:ascii="宋体" w:hAnsi="宋体" w:cs="宋体"/>
                <w:color w:val="auto"/>
                <w:kern w:val="0"/>
                <w:szCs w:val="21"/>
                <w:highlight w:val="none"/>
              </w:rPr>
              <w:t>信封）</w:t>
            </w:r>
          </w:p>
        </w:tc>
        <w:tc>
          <w:tcPr>
            <w:tcW w:w="800" w:type="dxa"/>
            <w:vMerge w:val="restart"/>
            <w:tcBorders>
              <w:top w:val="single" w:color="auto" w:sz="4" w:space="0"/>
              <w:left w:val="single" w:color="auto" w:sz="4" w:space="0"/>
              <w:bottom w:val="single" w:color="000000" w:sz="4" w:space="0"/>
              <w:right w:val="single" w:color="000000" w:sz="4" w:space="0"/>
            </w:tcBorders>
            <w:vAlign w:val="center"/>
          </w:tcPr>
          <w:p w14:paraId="0AD66DDC">
            <w:pPr>
              <w:widowControl/>
              <w:adjustRightInd w:val="0"/>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2.1.1</w:t>
            </w:r>
          </w:p>
          <w:p w14:paraId="0EBF8FEF">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形式评审标准</w:t>
            </w:r>
          </w:p>
        </w:tc>
        <w:tc>
          <w:tcPr>
            <w:tcW w:w="2297" w:type="dxa"/>
            <w:tcBorders>
              <w:top w:val="single" w:color="auto" w:sz="4" w:space="0"/>
              <w:left w:val="single" w:color="000000" w:sz="4" w:space="0"/>
              <w:bottom w:val="single" w:color="000000" w:sz="4" w:space="0"/>
              <w:right w:val="single" w:color="000000" w:sz="4" w:space="0"/>
            </w:tcBorders>
            <w:vAlign w:val="center"/>
          </w:tcPr>
          <w:p w14:paraId="203E8361">
            <w:pPr>
              <w:widowControl/>
              <w:adjustRightInd w:val="0"/>
              <w:snapToGrid w:val="0"/>
              <w:spacing w:line="400" w:lineRule="exact"/>
              <w:rPr>
                <w:rFonts w:ascii="宋体" w:hAnsi="宋体"/>
                <w:color w:val="auto"/>
                <w:kern w:val="0"/>
                <w:szCs w:val="21"/>
                <w:highlight w:val="none"/>
              </w:rPr>
            </w:pPr>
            <w:r>
              <w:rPr>
                <w:rFonts w:ascii="宋体" w:hAnsi="宋体"/>
                <w:color w:val="auto"/>
                <w:szCs w:val="21"/>
                <w:highlight w:val="none"/>
              </w:rPr>
              <w:t>1．投标文件中的重要内容按照招标文件规定的格式、内容填写，字迹、印章清晰可辨</w:t>
            </w:r>
          </w:p>
        </w:tc>
        <w:tc>
          <w:tcPr>
            <w:tcW w:w="5095" w:type="dxa"/>
            <w:tcBorders>
              <w:top w:val="single" w:color="auto" w:sz="4" w:space="0"/>
              <w:left w:val="nil"/>
              <w:bottom w:val="single" w:color="000000" w:sz="4" w:space="0"/>
              <w:right w:val="single" w:color="000000" w:sz="4" w:space="0"/>
            </w:tcBorders>
            <w:vAlign w:val="center"/>
          </w:tcPr>
          <w:p w14:paraId="09ADAC75">
            <w:pPr>
              <w:widowControl/>
              <w:adjustRightInd w:val="0"/>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olor w:val="auto"/>
                <w:szCs w:val="21"/>
                <w:highlight w:val="none"/>
              </w:rPr>
              <w:t>投标函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第二个信封</w:t>
            </w:r>
            <w:r>
              <w:rPr>
                <w:rFonts w:hint="eastAsia" w:ascii="宋体" w:hAnsi="宋体"/>
                <w:color w:val="auto"/>
                <w:szCs w:val="21"/>
                <w:highlight w:val="none"/>
                <w:lang w:eastAsia="zh-CN"/>
              </w:rPr>
              <w:t>）</w:t>
            </w:r>
            <w:r>
              <w:rPr>
                <w:rFonts w:hint="eastAsia" w:ascii="宋体" w:hAnsi="宋体"/>
                <w:color w:val="auto"/>
                <w:szCs w:val="21"/>
                <w:highlight w:val="none"/>
              </w:rPr>
              <w:t>符合第九章“投标文件格式”要求</w:t>
            </w:r>
            <w:r>
              <w:rPr>
                <w:rFonts w:hint="eastAsia" w:ascii="宋体" w:hAnsi="宋体"/>
                <w:color w:val="auto"/>
                <w:szCs w:val="21"/>
                <w:highlight w:val="none"/>
                <w:lang w:eastAsia="zh-CN"/>
              </w:rPr>
              <w:t>。</w:t>
            </w:r>
          </w:p>
          <w:p w14:paraId="6EFDCA6A">
            <w:pPr>
              <w:widowControl/>
              <w:adjustRightInd w:val="0"/>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r>
              <w:rPr>
                <w:rFonts w:ascii="宋体" w:hAnsi="宋体" w:cs="宋体"/>
                <w:color w:val="auto"/>
                <w:kern w:val="0"/>
                <w:szCs w:val="21"/>
                <w:highlight w:val="none"/>
              </w:rPr>
              <w:t>2）已标价工程量清单说明与招标文件规定一致,未进行修改和删减</w:t>
            </w:r>
            <w:r>
              <w:rPr>
                <w:rFonts w:hint="eastAsia" w:ascii="宋体" w:hAnsi="宋体" w:cs="宋体"/>
                <w:color w:val="auto"/>
                <w:kern w:val="0"/>
                <w:szCs w:val="21"/>
                <w:highlight w:val="none"/>
                <w:lang w:eastAsia="zh-CN"/>
              </w:rPr>
              <w:t>。</w:t>
            </w:r>
          </w:p>
          <w:p w14:paraId="587CB3FF">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3）投标文件组成齐全完整，内容均按规定填写。</w:t>
            </w:r>
          </w:p>
        </w:tc>
      </w:tr>
      <w:tr w14:paraId="7D0F4451">
        <w:tblPrEx>
          <w:tblCellMar>
            <w:top w:w="0" w:type="dxa"/>
            <w:left w:w="108" w:type="dxa"/>
            <w:bottom w:w="0" w:type="dxa"/>
            <w:right w:w="108" w:type="dxa"/>
          </w:tblCellMar>
        </w:tblPrEx>
        <w:trPr>
          <w:trHeight w:val="1260"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7FEE1626">
            <w:pPr>
              <w:adjustRightInd w:val="0"/>
              <w:snapToGrid w:val="0"/>
              <w:spacing w:line="400" w:lineRule="exact"/>
              <w:ind w:left="-210" w:leftChars="-100" w:right="-210" w:rightChars="-100"/>
              <w:jc w:val="center"/>
              <w:rPr>
                <w:rFonts w:ascii="宋体" w:hAnsi="宋体" w:cs="宋体"/>
                <w:b/>
                <w:bCs/>
                <w:color w:val="auto"/>
                <w:kern w:val="0"/>
                <w:szCs w:val="21"/>
                <w:highlight w:val="none"/>
              </w:rPr>
            </w:pPr>
          </w:p>
        </w:tc>
        <w:tc>
          <w:tcPr>
            <w:tcW w:w="800" w:type="dxa"/>
            <w:vMerge w:val="continue"/>
            <w:tcBorders>
              <w:top w:val="single" w:color="000000" w:sz="4" w:space="0"/>
              <w:left w:val="single" w:color="auto" w:sz="4" w:space="0"/>
              <w:bottom w:val="single" w:color="000000" w:sz="4" w:space="0"/>
              <w:right w:val="single" w:color="auto" w:sz="4" w:space="0"/>
            </w:tcBorders>
            <w:vAlign w:val="center"/>
          </w:tcPr>
          <w:p w14:paraId="7774011D">
            <w:pPr>
              <w:widowControl/>
              <w:adjustRightInd w:val="0"/>
              <w:snapToGrid w:val="0"/>
              <w:spacing w:line="400" w:lineRule="exact"/>
              <w:jc w:val="left"/>
              <w:rPr>
                <w:rFonts w:ascii="宋体" w:hAnsi="宋体" w:cs="宋体"/>
                <w:b/>
                <w:bCs/>
                <w:color w:val="auto"/>
                <w:kern w:val="0"/>
                <w:szCs w:val="21"/>
                <w:highlight w:val="none"/>
              </w:rPr>
            </w:pPr>
          </w:p>
        </w:tc>
        <w:tc>
          <w:tcPr>
            <w:tcW w:w="2297" w:type="dxa"/>
            <w:tcBorders>
              <w:top w:val="single" w:color="000000" w:sz="4" w:space="0"/>
              <w:left w:val="single" w:color="auto" w:sz="4" w:space="0"/>
              <w:bottom w:val="single" w:color="000000" w:sz="4" w:space="0"/>
              <w:right w:val="single" w:color="000000" w:sz="4" w:space="0"/>
            </w:tcBorders>
            <w:vAlign w:val="center"/>
          </w:tcPr>
          <w:p w14:paraId="3D0145D1">
            <w:pPr>
              <w:widowControl/>
              <w:adjustRightInd w:val="0"/>
              <w:snapToGrid w:val="0"/>
              <w:spacing w:line="400" w:lineRule="exact"/>
              <w:rPr>
                <w:rFonts w:ascii="宋体" w:hAnsi="宋体"/>
                <w:color w:val="auto"/>
                <w:kern w:val="0"/>
                <w:szCs w:val="21"/>
                <w:highlight w:val="none"/>
              </w:rPr>
            </w:pPr>
            <w:r>
              <w:rPr>
                <w:rFonts w:ascii="宋体" w:hAnsi="宋体"/>
                <w:color w:val="auto"/>
                <w:szCs w:val="21"/>
                <w:highlight w:val="none"/>
              </w:rPr>
              <w:t>2．</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5095" w:type="dxa"/>
            <w:tcBorders>
              <w:top w:val="single" w:color="000000" w:sz="4" w:space="0"/>
              <w:left w:val="nil"/>
              <w:bottom w:val="single" w:color="000000" w:sz="4" w:space="0"/>
              <w:right w:val="single" w:color="000000" w:sz="4" w:space="0"/>
            </w:tcBorders>
            <w:vAlign w:val="center"/>
          </w:tcPr>
          <w:p w14:paraId="3510CB48">
            <w:pPr>
              <w:pStyle w:val="299"/>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第二个信封</w:t>
            </w:r>
            <w:r>
              <w:rPr>
                <w:rFonts w:hint="eastAsia" w:ascii="宋体" w:hAnsi="宋体"/>
                <w:color w:val="auto"/>
                <w:szCs w:val="21"/>
                <w:highlight w:val="none"/>
                <w:lang w:eastAsia="zh-CN"/>
              </w:rPr>
              <w:t>）</w:t>
            </w:r>
            <w:r>
              <w:rPr>
                <w:rFonts w:ascii="宋体" w:hAnsi="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，投标人均应使用单位CA数字证书加盖投标人的单位电子印章；投标函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第二个信封</w:t>
            </w:r>
            <w:r>
              <w:rPr>
                <w:rFonts w:hint="eastAsia" w:ascii="宋体" w:hAnsi="宋体"/>
                <w:color w:val="auto"/>
                <w:szCs w:val="21"/>
                <w:highlight w:val="none"/>
                <w:lang w:eastAsia="zh-CN"/>
              </w:rPr>
              <w:t>）</w:t>
            </w:r>
            <w:r>
              <w:rPr>
                <w:rFonts w:ascii="宋体" w:hAnsi="宋体" w:cs="宋体"/>
                <w:color w:val="auto"/>
                <w:szCs w:val="21"/>
                <w:highlight w:val="none"/>
              </w:rPr>
              <w:t>中要求签字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，投标人均应使用个人CA数字证书加盖法定代表人或其委托代理人的个人电子签名章或个人电子印章。</w:t>
            </w:r>
          </w:p>
          <w:p w14:paraId="1E60EFC7">
            <w:pPr>
              <w:pStyle w:val="299"/>
              <w:adjustRightInd w:val="0"/>
              <w:snapToGrid w:val="0"/>
              <w:spacing w:line="400" w:lineRule="exact"/>
              <w:rPr>
                <w:rFonts w:ascii="宋体" w:hAnsi="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以</w:t>
            </w:r>
            <w:r>
              <w:rPr>
                <w:rFonts w:hint="eastAsia" w:ascii="宋体" w:hAnsi="宋体"/>
                <w:color w:val="auto"/>
                <w:szCs w:val="21"/>
                <w:highlight w:val="none"/>
              </w:rPr>
              <w:t>联合体</w:t>
            </w:r>
            <w:r>
              <w:rPr>
                <w:rFonts w:hint="eastAsia" w:ascii="宋体" w:hAnsi="宋体"/>
                <w:color w:val="auto"/>
                <w:szCs w:val="21"/>
                <w:highlight w:val="none"/>
                <w:lang w:val="en-US" w:eastAsia="zh-CN"/>
              </w:rPr>
              <w:t>形式</w:t>
            </w:r>
            <w:r>
              <w:rPr>
                <w:rFonts w:hint="eastAsia" w:ascii="宋体" w:hAnsi="宋体"/>
                <w:color w:val="auto"/>
                <w:szCs w:val="21"/>
                <w:highlight w:val="none"/>
              </w:rPr>
              <w:t>投标的，投标函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第二个信封</w:t>
            </w:r>
            <w:r>
              <w:rPr>
                <w:rFonts w:hint="eastAsia" w:ascii="宋体" w:hAnsi="宋体"/>
                <w:color w:val="auto"/>
                <w:szCs w:val="21"/>
                <w:highlight w:val="none"/>
                <w:lang w:eastAsia="zh-CN"/>
              </w:rPr>
              <w:t>）</w:t>
            </w:r>
            <w:r>
              <w:rPr>
                <w:rFonts w:hint="eastAsia" w:ascii="宋体" w:hAnsi="宋体"/>
                <w:color w:val="auto"/>
                <w:szCs w:val="21"/>
                <w:highlight w:val="none"/>
              </w:rPr>
              <w:t>由联合体牵头人按上述</w:t>
            </w:r>
            <w:r>
              <w:rPr>
                <w:rFonts w:hint="eastAsia" w:ascii="宋体" w:hAnsi="宋体"/>
                <w:color w:val="auto"/>
                <w:szCs w:val="21"/>
                <w:highlight w:val="none"/>
                <w:lang w:val="en-US" w:eastAsia="zh-CN"/>
              </w:rPr>
              <w:t>规定</w:t>
            </w:r>
            <w:r>
              <w:rPr>
                <w:rFonts w:ascii="宋体" w:hAnsi="宋体"/>
                <w:color w:val="auto"/>
                <w:szCs w:val="21"/>
                <w:highlight w:val="none"/>
              </w:rPr>
              <w:t>完成</w:t>
            </w:r>
            <w:r>
              <w:rPr>
                <w:rFonts w:hint="eastAsia" w:ascii="宋体" w:hAnsi="宋体"/>
                <w:color w:val="auto"/>
                <w:szCs w:val="21"/>
                <w:highlight w:val="none"/>
              </w:rPr>
              <w:t>签字、盖章。</w:t>
            </w:r>
          </w:p>
        </w:tc>
      </w:tr>
      <w:tr w14:paraId="1F24FDB8">
        <w:tblPrEx>
          <w:tblCellMar>
            <w:top w:w="0" w:type="dxa"/>
            <w:left w:w="108" w:type="dxa"/>
            <w:bottom w:w="0" w:type="dxa"/>
            <w:right w:w="108" w:type="dxa"/>
          </w:tblCellMar>
        </w:tblPrEx>
        <w:trPr>
          <w:trHeight w:val="785"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51F71FE5">
            <w:pPr>
              <w:widowControl/>
              <w:adjustRightInd w:val="0"/>
              <w:snapToGrid w:val="0"/>
              <w:spacing w:line="400" w:lineRule="exact"/>
              <w:ind w:left="-210" w:leftChars="-100" w:right="-210" w:rightChars="-100"/>
              <w:jc w:val="center"/>
              <w:rPr>
                <w:rFonts w:ascii="宋体" w:hAnsi="宋体"/>
                <w:color w:val="auto"/>
                <w:kern w:val="0"/>
                <w:szCs w:val="21"/>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748C4419">
            <w:pPr>
              <w:widowControl/>
              <w:adjustRightInd w:val="0"/>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2.1.3</w:t>
            </w:r>
          </w:p>
          <w:p w14:paraId="24E1A549">
            <w:pPr>
              <w:widowControl/>
              <w:adjustRightInd w:val="0"/>
              <w:snapToGrid w:val="0"/>
              <w:spacing w:line="400" w:lineRule="exact"/>
              <w:jc w:val="center"/>
              <w:rPr>
                <w:rFonts w:ascii="宋体" w:hAnsi="宋体"/>
                <w:color w:val="auto"/>
                <w:kern w:val="0"/>
                <w:szCs w:val="21"/>
                <w:highlight w:val="none"/>
              </w:rPr>
            </w:pPr>
            <w:r>
              <w:rPr>
                <w:rFonts w:hint="eastAsia" w:ascii="宋体" w:hAnsi="宋体"/>
                <w:color w:val="auto"/>
                <w:szCs w:val="21"/>
                <w:highlight w:val="none"/>
              </w:rPr>
              <w:t>响应性评审标准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30103461">
            <w:pPr>
              <w:widowControl/>
              <w:adjustRightInd w:val="0"/>
              <w:snapToGrid w:val="0"/>
              <w:spacing w:line="400" w:lineRule="exact"/>
              <w:rPr>
                <w:rFonts w:ascii="宋体" w:hAnsi="宋体"/>
                <w:color w:val="auto"/>
                <w:szCs w:val="21"/>
                <w:highlight w:val="none"/>
              </w:rPr>
            </w:pPr>
            <w:r>
              <w:rPr>
                <w:rFonts w:ascii="宋体" w:hAnsi="宋体" w:cs="宋体"/>
                <w:color w:val="auto"/>
                <w:szCs w:val="21"/>
                <w:highlight w:val="none"/>
              </w:rPr>
              <w:t>1.投标文件应符合的其他规定</w:t>
            </w:r>
          </w:p>
        </w:tc>
        <w:tc>
          <w:tcPr>
            <w:tcW w:w="5095" w:type="dxa"/>
            <w:tcBorders>
              <w:top w:val="single" w:color="auto" w:sz="4" w:space="0"/>
              <w:left w:val="single" w:color="auto" w:sz="4" w:space="0"/>
              <w:bottom w:val="single" w:color="auto" w:sz="4" w:space="0"/>
              <w:right w:val="single" w:color="auto" w:sz="4" w:space="0"/>
            </w:tcBorders>
            <w:vAlign w:val="center"/>
          </w:tcPr>
          <w:p w14:paraId="5A643B2D">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1）投标报价未超过招标文件设定的最高投标限价（如有）。</w:t>
            </w:r>
          </w:p>
          <w:p w14:paraId="27D48721">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2）投标报价的大写金额能够确定具体数值。</w:t>
            </w:r>
            <w:r>
              <w:rPr>
                <w:rStyle w:val="59"/>
                <w:rFonts w:ascii="宋体" w:hAnsi="宋体"/>
                <w:color w:val="auto"/>
                <w:szCs w:val="21"/>
                <w:highlight w:val="none"/>
              </w:rPr>
              <w:footnoteReference w:id="160"/>
            </w:r>
          </w:p>
          <w:p w14:paraId="1C8B47DA">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s="宋体"/>
                <w:color w:val="auto"/>
                <w:szCs w:val="21"/>
                <w:highlight w:val="none"/>
              </w:rPr>
              <w:t>同一投标人未提交两个</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以上</w:t>
            </w:r>
            <w:r>
              <w:rPr>
                <w:rFonts w:ascii="宋体" w:hAnsi="宋体" w:cs="宋体"/>
                <w:color w:val="auto"/>
                <w:szCs w:val="21"/>
                <w:highlight w:val="none"/>
              </w:rPr>
              <w:t>投标报价，</w:t>
            </w:r>
            <w:r>
              <w:rPr>
                <w:rFonts w:hint="eastAsia" w:ascii="宋体" w:hAnsi="宋体" w:cs="宋体"/>
                <w:color w:val="auto"/>
                <w:szCs w:val="21"/>
                <w:highlight w:val="none"/>
              </w:rPr>
              <w:t>但招标文件要求提交备选</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方案的除外</w:t>
            </w:r>
            <w:r>
              <w:rPr>
                <w:rFonts w:ascii="宋体" w:hAnsi="宋体"/>
                <w:color w:val="auto"/>
                <w:szCs w:val="21"/>
                <w:highlight w:val="none"/>
              </w:rPr>
              <w:t>。</w:t>
            </w:r>
          </w:p>
          <w:p w14:paraId="72CE8978">
            <w:pPr>
              <w:widowControl/>
              <w:adjustRightInd w:val="0"/>
              <w:snapToGrid w:val="0"/>
              <w:spacing w:line="400" w:lineRule="exact"/>
              <w:rPr>
                <w:rFonts w:hint="eastAsia" w:ascii="宋体" w:hAnsi="宋体"/>
                <w:color w:val="auto"/>
                <w:kern w:val="0"/>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kern w:val="0"/>
                <w:szCs w:val="21"/>
                <w:highlight w:val="none"/>
              </w:rPr>
              <w:t>若采用工程量固化清单电子方式，投标人填写完毕的工程量固化清单未对工程量固化清单电子文件中的数据、格式和运算定义进行修改。</w:t>
            </w:r>
          </w:p>
          <w:p w14:paraId="42848C84">
            <w:pPr>
              <w:widowControl/>
              <w:adjustRightInd w:val="0"/>
              <w:snapToGrid w:val="0"/>
              <w:spacing w:line="400" w:lineRule="exact"/>
              <w:rPr>
                <w:rFonts w:hint="eastAsia" w:ascii="宋体" w:hAnsi="宋体"/>
                <w:color w:val="auto"/>
                <w:kern w:val="0"/>
                <w:szCs w:val="21"/>
                <w:highlight w:val="none"/>
              </w:rPr>
            </w:pPr>
            <w:r>
              <w:rPr>
                <w:rFonts w:hint="eastAsia" w:ascii="宋体" w:hAnsi="宋体" w:eastAsia="宋体" w:cs="宋体"/>
                <w:color w:val="auto"/>
                <w:kern w:val="0"/>
                <w:szCs w:val="21"/>
                <w:highlight w:val="none"/>
              </w:rPr>
              <w:t>……</w:t>
            </w:r>
          </w:p>
        </w:tc>
      </w:tr>
    </w:tbl>
    <w:p w14:paraId="79FB9866">
      <w:pPr>
        <w:rPr>
          <w:color w:val="auto"/>
          <w:highlight w:val="none"/>
        </w:rPr>
      </w:pPr>
    </w:p>
    <w:p w14:paraId="256415DC">
      <w:pPr>
        <w:rPr>
          <w:rFonts w:hint="eastAsia"/>
          <w:color w:val="auto"/>
          <w:highlight w:val="none"/>
          <w:lang w:val="en-US" w:eastAsia="zh-CN"/>
        </w:rPr>
      </w:pPr>
      <w:r>
        <w:rPr>
          <w:rFonts w:hint="eastAsia"/>
          <w:color w:val="auto"/>
          <w:highlight w:val="none"/>
          <w:lang w:val="en-US" w:eastAsia="zh-CN"/>
        </w:rPr>
        <w:br w:type="page"/>
      </w:r>
    </w:p>
    <w:p w14:paraId="34FB6CC9">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9"/>
        <w:tblW w:w="8996" w:type="dxa"/>
        <w:tblInd w:w="-34" w:type="dxa"/>
        <w:tblLayout w:type="fixed"/>
        <w:tblCellMar>
          <w:top w:w="0" w:type="dxa"/>
          <w:left w:w="108" w:type="dxa"/>
          <w:bottom w:w="0" w:type="dxa"/>
          <w:right w:w="108" w:type="dxa"/>
        </w:tblCellMar>
      </w:tblPr>
      <w:tblGrid>
        <w:gridCol w:w="993"/>
        <w:gridCol w:w="1134"/>
        <w:gridCol w:w="6869"/>
      </w:tblGrid>
      <w:tr w14:paraId="462D82C4">
        <w:tblPrEx>
          <w:tblCellMar>
            <w:top w:w="0" w:type="dxa"/>
            <w:left w:w="108" w:type="dxa"/>
            <w:bottom w:w="0" w:type="dxa"/>
            <w:right w:w="108" w:type="dxa"/>
          </w:tblCellMar>
        </w:tblPrEx>
        <w:trPr>
          <w:tblHeader/>
        </w:trPr>
        <w:tc>
          <w:tcPr>
            <w:tcW w:w="993" w:type="dxa"/>
            <w:tcBorders>
              <w:top w:val="single" w:color="D6AFAC" w:sz="4" w:space="0"/>
              <w:left w:val="single" w:color="D6AFAC" w:sz="4" w:space="0"/>
              <w:bottom w:val="single" w:color="D6AFAC" w:sz="4" w:space="0"/>
              <w:right w:val="single" w:color="D6AFAC" w:sz="4" w:space="0"/>
            </w:tcBorders>
            <w:shd w:val="clear" w:color="auto" w:fill="EEE1DE"/>
            <w:vAlign w:val="center"/>
          </w:tcPr>
          <w:p w14:paraId="368D049E">
            <w:pPr>
              <w:widowControl/>
              <w:adjustRightInd w:val="0"/>
              <w:snapToGrid w:val="0"/>
              <w:spacing w:line="400" w:lineRule="exact"/>
              <w:jc w:val="center"/>
              <w:rPr>
                <w:rFonts w:ascii="宋体" w:hAnsi="宋体" w:eastAsia="宋体" w:cs="宋体"/>
                <w:b/>
                <w:bCs/>
                <w:color w:val="000000"/>
                <w:kern w:val="0"/>
                <w:sz w:val="21"/>
                <w:szCs w:val="21"/>
                <w:highlight w:val="none"/>
                <w:lang w:val="en-US" w:eastAsia="zh-CN" w:bidi="ar-SA"/>
              </w:rPr>
            </w:pPr>
            <w:r>
              <w:rPr>
                <w:rFonts w:hint="eastAsia" w:ascii="宋体" w:hAnsi="宋体" w:cs="宋体"/>
                <w:b/>
                <w:bCs/>
                <w:color w:val="000000"/>
                <w:kern w:val="0"/>
                <w:szCs w:val="21"/>
                <w:highlight w:val="none"/>
              </w:rPr>
              <w:t>条款号</w:t>
            </w:r>
          </w:p>
        </w:tc>
        <w:tc>
          <w:tcPr>
            <w:tcW w:w="1134" w:type="dxa"/>
            <w:tcBorders>
              <w:top w:val="single" w:color="D6AFAC" w:sz="4" w:space="0"/>
              <w:left w:val="single" w:color="D6AFAC" w:sz="4" w:space="0"/>
              <w:bottom w:val="single" w:color="D6AFAC" w:sz="4" w:space="0"/>
              <w:right w:val="single" w:color="D6AFAC" w:sz="4" w:space="0"/>
            </w:tcBorders>
            <w:shd w:val="clear" w:color="auto" w:fill="EEE1DE"/>
            <w:vAlign w:val="center"/>
          </w:tcPr>
          <w:p w14:paraId="6A7CE78B">
            <w:pPr>
              <w:widowControl/>
              <w:adjustRightInd w:val="0"/>
              <w:snapToGrid w:val="0"/>
              <w:spacing w:line="4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cs="宋体"/>
                <w:b/>
                <w:bCs/>
                <w:color w:val="000000"/>
                <w:kern w:val="0"/>
                <w:szCs w:val="21"/>
                <w:highlight w:val="none"/>
              </w:rPr>
              <w:t>条款内容</w:t>
            </w:r>
          </w:p>
        </w:tc>
        <w:tc>
          <w:tcPr>
            <w:tcW w:w="6869" w:type="dxa"/>
            <w:tcBorders>
              <w:top w:val="single" w:color="D6AFAC" w:sz="4" w:space="0"/>
              <w:left w:val="single" w:color="D6AFAC" w:sz="4" w:space="0"/>
              <w:bottom w:val="single" w:color="D6AFAC" w:sz="4" w:space="0"/>
              <w:right w:val="single" w:color="D6AFAC" w:sz="4" w:space="0"/>
            </w:tcBorders>
            <w:shd w:val="clear" w:color="auto" w:fill="EEE1DE"/>
            <w:vAlign w:val="center"/>
          </w:tcPr>
          <w:p w14:paraId="47A10910">
            <w:pPr>
              <w:pStyle w:val="299"/>
              <w:adjustRightInd w:val="0"/>
              <w:snapToGrid w:val="0"/>
              <w:spacing w:line="40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bCs/>
                <w:color w:val="000000"/>
                <w:szCs w:val="21"/>
                <w:highlight w:val="none"/>
              </w:rPr>
              <w:t>编列内容</w:t>
            </w:r>
          </w:p>
        </w:tc>
      </w:tr>
      <w:tr w14:paraId="5E705F03">
        <w:tblPrEx>
          <w:tblCellMar>
            <w:top w:w="0" w:type="dxa"/>
            <w:left w:w="108" w:type="dxa"/>
            <w:bottom w:w="0" w:type="dxa"/>
            <w:right w:w="108" w:type="dxa"/>
          </w:tblCellMar>
        </w:tblPrEx>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52D4CF9C">
            <w:pPr>
              <w:widowControl/>
              <w:adjustRightInd w:val="0"/>
              <w:snapToGrid w:val="0"/>
              <w:spacing w:line="400" w:lineRule="exact"/>
              <w:jc w:val="center"/>
              <w:rPr>
                <w:rFonts w:ascii="宋体" w:hAnsi="宋体" w:cs="宋体"/>
                <w:color w:val="000000"/>
                <w:kern w:val="0"/>
                <w:szCs w:val="21"/>
                <w:highlight w:val="none"/>
              </w:rPr>
            </w:pPr>
            <w:r>
              <w:rPr>
                <w:rFonts w:ascii="宋体" w:hAnsi="宋体" w:cs="宋体"/>
                <w:color w:val="000000"/>
                <w:kern w:val="0"/>
                <w:szCs w:val="21"/>
                <w:highlight w:val="none"/>
              </w:rPr>
              <w:t>2.2.1</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14:paraId="3B7373B7">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分值</w:t>
            </w:r>
          </w:p>
          <w:p w14:paraId="2297ECEA">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构成</w:t>
            </w:r>
          </w:p>
          <w:p w14:paraId="0C09888E">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s="宋体"/>
                <w:color w:val="000000"/>
                <w:szCs w:val="21"/>
                <w:highlight w:val="none"/>
              </w:rPr>
              <w:t>（总分</w:t>
            </w:r>
            <w:r>
              <w:rPr>
                <w:rFonts w:ascii="宋体" w:hAnsi="宋体" w:cs="宋体"/>
                <w:color w:val="000000"/>
                <w:szCs w:val="21"/>
                <w:highlight w:val="none"/>
              </w:rPr>
              <w:t>100分）</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7ADC22EA">
            <w:pPr>
              <w:pStyle w:val="299"/>
              <w:adjustRightInd w:val="0"/>
              <w:snapToGrid w:val="0"/>
              <w:spacing w:line="380" w:lineRule="exact"/>
              <w:rPr>
                <w:rFonts w:ascii="宋体" w:hAnsi="宋体" w:cs="宋体"/>
                <w:b/>
                <w:color w:val="000000"/>
                <w:szCs w:val="21"/>
                <w:highlight w:val="none"/>
              </w:rPr>
            </w:pPr>
            <w:r>
              <w:rPr>
                <w:rFonts w:hint="eastAsia" w:ascii="宋体" w:hAnsi="宋体" w:cs="宋体"/>
                <w:b/>
                <w:color w:val="000000"/>
                <w:szCs w:val="21"/>
                <w:highlight w:val="none"/>
              </w:rPr>
              <w:t>□</w:t>
            </w:r>
            <w:r>
              <w:rPr>
                <w:rFonts w:ascii="宋体" w:hAnsi="宋体" w:cs="宋体"/>
                <w:b/>
                <w:color w:val="000000"/>
                <w:szCs w:val="21"/>
                <w:highlight w:val="none"/>
                <w:u w:val="single"/>
              </w:rPr>
              <w:t xml:space="preserve">     </w:t>
            </w:r>
            <w:r>
              <w:rPr>
                <w:rFonts w:hint="eastAsia" w:ascii="宋体" w:hAnsi="宋体" w:cs="宋体"/>
                <w:b/>
                <w:color w:val="000000"/>
                <w:szCs w:val="21"/>
                <w:highlight w:val="none"/>
              </w:rPr>
              <w:t>标段</w:t>
            </w:r>
          </w:p>
          <w:p w14:paraId="24BAEF71">
            <w:pPr>
              <w:pStyle w:val="299"/>
              <w:adjustRightInd w:val="0"/>
              <w:snapToGrid w:val="0"/>
              <w:spacing w:line="380" w:lineRule="exact"/>
              <w:ind w:firstLine="315" w:firstLineChars="150"/>
              <w:rPr>
                <w:rFonts w:ascii="宋体" w:hAnsi="宋体" w:cs="宋体"/>
                <w:color w:val="000000"/>
                <w:szCs w:val="21"/>
                <w:highlight w:val="none"/>
              </w:rPr>
            </w:pPr>
            <w:r>
              <w:rPr>
                <w:rFonts w:hint="eastAsia" w:ascii="黑体" w:hAnsi="黑体" w:eastAsia="黑体" w:cs="黑体"/>
                <w:color w:val="000000"/>
                <w:szCs w:val="21"/>
                <w:highlight w:val="none"/>
              </w:rPr>
              <w:t>第一个信封（商务及技术文件）评分分值构成</w:t>
            </w:r>
            <w:r>
              <w:rPr>
                <w:rFonts w:ascii="宋体" w:hAnsi="宋体" w:cs="宋体"/>
                <w:color w:val="000000"/>
                <w:szCs w:val="21"/>
                <w:highlight w:val="none"/>
                <w:vertAlign w:val="superscript"/>
              </w:rPr>
              <w:footnoteReference w:id="161"/>
            </w:r>
            <w:r>
              <w:rPr>
                <w:rFonts w:hint="eastAsia" w:ascii="宋体" w:hAnsi="宋体" w:cs="宋体"/>
                <w:color w:val="000000"/>
                <w:szCs w:val="21"/>
                <w:highlight w:val="none"/>
              </w:rPr>
              <w:t>：</w:t>
            </w:r>
          </w:p>
          <w:p w14:paraId="7B92CC6C">
            <w:pPr>
              <w:pStyle w:val="299"/>
              <w:adjustRightInd w:val="0"/>
              <w:snapToGrid w:val="0"/>
              <w:spacing w:line="38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施工组织设计：</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14:paraId="657436BE">
            <w:pPr>
              <w:pStyle w:val="299"/>
              <w:adjustRightInd w:val="0"/>
              <w:snapToGrid w:val="0"/>
              <w:spacing w:line="38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主要人员：</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14:paraId="648110E3">
            <w:pPr>
              <w:pStyle w:val="299"/>
              <w:adjustRightInd w:val="0"/>
              <w:snapToGrid w:val="0"/>
              <w:spacing w:line="38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其他因素：</w:t>
            </w:r>
            <w:r>
              <w:rPr>
                <w:rFonts w:ascii="宋体" w:hAnsi="宋体" w:cs="宋体"/>
                <w:color w:val="000000"/>
                <w:szCs w:val="21"/>
                <w:highlight w:val="none"/>
                <w:u w:val="single"/>
              </w:rPr>
              <w:t xml:space="preserve">     </w:t>
            </w:r>
            <w:r>
              <w:rPr>
                <w:rFonts w:ascii="宋体" w:hAnsi="宋体" w:cs="宋体"/>
                <w:color w:val="000000"/>
                <w:szCs w:val="21"/>
                <w:highlight w:val="none"/>
              </w:rPr>
              <w:t>分，其中：</w:t>
            </w:r>
          </w:p>
          <w:p w14:paraId="539577CF">
            <w:pPr>
              <w:pStyle w:val="299"/>
              <w:adjustRightInd w:val="0"/>
              <w:snapToGrid w:val="0"/>
              <w:spacing w:line="380" w:lineRule="exact"/>
              <w:ind w:firstLine="1050" w:firstLineChars="500"/>
              <w:rPr>
                <w:rFonts w:ascii="宋体" w:hAnsi="宋体" w:cs="宋体"/>
                <w:color w:val="000000"/>
                <w:szCs w:val="21"/>
                <w:highlight w:val="none"/>
              </w:rPr>
            </w:pPr>
            <w:r>
              <w:rPr>
                <w:rFonts w:hint="eastAsia" w:ascii="宋体" w:hAnsi="宋体" w:cs="宋体"/>
                <w:color w:val="000000"/>
                <w:szCs w:val="21"/>
                <w:highlight w:val="none"/>
              </w:rPr>
              <w:t>技术能力</w:t>
            </w:r>
            <w:r>
              <w:rPr>
                <w:rStyle w:val="59"/>
                <w:rFonts w:ascii="宋体" w:hAnsi="宋体" w:cs="宋体"/>
                <w:color w:val="000000"/>
                <w:szCs w:val="21"/>
                <w:highlight w:val="none"/>
              </w:rPr>
              <w:t xml:space="preserve"> </w:t>
            </w:r>
            <w:r>
              <w:rPr>
                <w:rStyle w:val="59"/>
                <w:rFonts w:ascii="宋体" w:hAnsi="宋体" w:cs="宋体"/>
                <w:color w:val="000000"/>
                <w:szCs w:val="21"/>
                <w:highlight w:val="none"/>
              </w:rPr>
              <w:footnoteReference w:id="162"/>
            </w:r>
            <w:r>
              <w:rPr>
                <w:rFonts w:hint="eastAsia" w:ascii="宋体" w:hAnsi="宋体" w:cs="宋体"/>
                <w:color w:val="000000"/>
                <w:szCs w:val="21"/>
                <w:highlight w:val="none"/>
              </w:rPr>
              <w:t>：</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14:paraId="25B864C6">
            <w:pPr>
              <w:pStyle w:val="299"/>
              <w:adjustRightInd w:val="0"/>
              <w:snapToGrid w:val="0"/>
              <w:spacing w:line="380" w:lineRule="exact"/>
              <w:ind w:firstLine="1050" w:firstLineChars="500"/>
              <w:rPr>
                <w:rFonts w:ascii="宋体" w:hAnsi="宋体" w:cs="宋体"/>
                <w:color w:val="000000"/>
                <w:szCs w:val="21"/>
                <w:highlight w:val="none"/>
              </w:rPr>
            </w:pPr>
            <w:r>
              <w:rPr>
                <w:rFonts w:hint="eastAsia" w:ascii="宋体" w:hAnsi="宋体" w:cs="宋体"/>
                <w:color w:val="000000"/>
                <w:szCs w:val="21"/>
                <w:highlight w:val="none"/>
              </w:rPr>
              <w:t>财务能力：</w:t>
            </w:r>
            <w:r>
              <w:rPr>
                <w:rFonts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ascii="宋体" w:hAnsi="宋体" w:cs="宋体"/>
                <w:color w:val="000000"/>
                <w:szCs w:val="21"/>
                <w:highlight w:val="none"/>
                <w:u w:val="single"/>
              </w:rPr>
              <w:t xml:space="preserve">  </w:t>
            </w:r>
            <w:r>
              <w:rPr>
                <w:rFonts w:ascii="宋体" w:hAnsi="宋体" w:cs="宋体"/>
                <w:color w:val="000000"/>
                <w:szCs w:val="21"/>
                <w:highlight w:val="none"/>
              </w:rPr>
              <w:t xml:space="preserve">分  </w:t>
            </w:r>
          </w:p>
          <w:p w14:paraId="13F1AB8B">
            <w:pPr>
              <w:pStyle w:val="299"/>
              <w:adjustRightInd w:val="0"/>
              <w:snapToGrid w:val="0"/>
              <w:spacing w:line="380" w:lineRule="exact"/>
              <w:ind w:firstLine="1050" w:firstLineChars="500"/>
              <w:rPr>
                <w:rFonts w:ascii="宋体" w:hAnsi="宋体" w:cs="宋体"/>
                <w:color w:val="000000"/>
                <w:szCs w:val="21"/>
                <w:highlight w:val="none"/>
              </w:rPr>
            </w:pPr>
            <w:r>
              <w:rPr>
                <w:rFonts w:hint="eastAsia" w:ascii="宋体" w:hAnsi="宋体" w:cs="宋体"/>
                <w:color w:val="000000"/>
                <w:szCs w:val="21"/>
                <w:highlight w:val="none"/>
              </w:rPr>
              <w:t>业</w:t>
            </w:r>
            <w:r>
              <w:rPr>
                <w:rFonts w:ascii="宋体" w:hAnsi="宋体" w:cs="宋体"/>
                <w:color w:val="000000"/>
                <w:szCs w:val="21"/>
                <w:highlight w:val="none"/>
              </w:rPr>
              <w:t xml:space="preserve">    绩：</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14:paraId="745635DA">
            <w:pPr>
              <w:pStyle w:val="299"/>
              <w:adjustRightInd w:val="0"/>
              <w:snapToGrid w:val="0"/>
              <w:spacing w:line="380" w:lineRule="exact"/>
              <w:ind w:firstLine="1050" w:firstLineChars="500"/>
              <w:rPr>
                <w:rFonts w:ascii="宋体" w:hAnsi="宋体" w:cs="宋体"/>
                <w:color w:val="000000"/>
                <w:szCs w:val="21"/>
                <w:highlight w:val="none"/>
              </w:rPr>
            </w:pPr>
            <w:r>
              <w:rPr>
                <w:rFonts w:hint="eastAsia" w:ascii="宋体" w:hAnsi="宋体" w:cs="宋体"/>
                <w:color w:val="000000"/>
                <w:szCs w:val="21"/>
                <w:highlight w:val="none"/>
              </w:rPr>
              <w:t>履约信誉：</w:t>
            </w:r>
            <w:r>
              <w:rPr>
                <w:rFonts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14:paraId="1EB474CA">
            <w:pPr>
              <w:pStyle w:val="299"/>
              <w:adjustRightInd w:val="0"/>
              <w:snapToGrid w:val="0"/>
              <w:spacing w:line="380" w:lineRule="exact"/>
              <w:ind w:firstLine="1155" w:firstLineChars="550"/>
              <w:rPr>
                <w:rFonts w:ascii="宋体" w:hAnsi="宋体" w:cs="宋体"/>
                <w:color w:val="000000"/>
                <w:szCs w:val="21"/>
                <w:highlight w:val="none"/>
                <w:u w:val="single"/>
              </w:rPr>
            </w:pPr>
            <w:r>
              <w:rPr>
                <w:rFonts w:hint="eastAsia" w:ascii="宋体" w:hAnsi="宋体" w:cs="宋体"/>
                <w:color w:val="000000"/>
                <w:szCs w:val="21"/>
                <w:highlight w:val="none"/>
                <w:u w:val="none"/>
              </w:rPr>
              <w:t>……</w:t>
            </w:r>
          </w:p>
          <w:p w14:paraId="070C45C9">
            <w:pPr>
              <w:pStyle w:val="299"/>
              <w:adjustRightInd w:val="0"/>
              <w:snapToGrid w:val="0"/>
              <w:spacing w:line="380" w:lineRule="exact"/>
              <w:ind w:firstLine="315" w:firstLineChars="150"/>
              <w:rPr>
                <w:rFonts w:ascii="宋体" w:hAnsi="宋体" w:cs="宋体"/>
                <w:color w:val="000000"/>
                <w:szCs w:val="21"/>
                <w:highlight w:val="none"/>
              </w:rPr>
            </w:pPr>
            <w:r>
              <w:rPr>
                <w:rFonts w:hint="eastAsia" w:ascii="黑体" w:hAnsi="黑体" w:eastAsia="黑体" w:cs="黑体"/>
                <w:color w:val="000000"/>
                <w:szCs w:val="21"/>
                <w:highlight w:val="none"/>
              </w:rPr>
              <w:t>第二个信封（报价文件）评分分值构成</w:t>
            </w:r>
            <w:r>
              <w:rPr>
                <w:rStyle w:val="59"/>
                <w:rFonts w:ascii="宋体" w:hAnsi="宋体" w:cs="宋体"/>
                <w:color w:val="000000"/>
                <w:szCs w:val="21"/>
                <w:highlight w:val="none"/>
              </w:rPr>
              <w:footnoteReference w:id="163"/>
            </w:r>
            <w:r>
              <w:rPr>
                <w:rFonts w:hint="eastAsia" w:ascii="宋体" w:hAnsi="宋体" w:cs="宋体"/>
                <w:color w:val="000000"/>
                <w:szCs w:val="21"/>
                <w:highlight w:val="none"/>
              </w:rPr>
              <w:t>：</w:t>
            </w:r>
          </w:p>
          <w:p w14:paraId="45024DC8">
            <w:pPr>
              <w:pStyle w:val="299"/>
              <w:adjustRightInd w:val="0"/>
              <w:snapToGrid w:val="0"/>
              <w:spacing w:line="38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评标价：</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14:paraId="2717E6A0">
            <w:pPr>
              <w:pStyle w:val="299"/>
              <w:adjustRightInd w:val="0"/>
              <w:snapToGrid w:val="0"/>
              <w:spacing w:line="380" w:lineRule="exact"/>
              <w:rPr>
                <w:rFonts w:ascii="宋体" w:hAnsi="宋体" w:cs="宋体"/>
                <w:b/>
                <w:color w:val="000000"/>
                <w:szCs w:val="21"/>
                <w:highlight w:val="none"/>
              </w:rPr>
            </w:pPr>
            <w:r>
              <w:rPr>
                <w:rFonts w:hint="eastAsia" w:ascii="宋体" w:hAnsi="宋体" w:cs="宋体"/>
                <w:b/>
                <w:color w:val="000000"/>
                <w:szCs w:val="21"/>
                <w:highlight w:val="none"/>
              </w:rPr>
              <w:t>□</w:t>
            </w:r>
            <w:r>
              <w:rPr>
                <w:rFonts w:ascii="宋体" w:hAnsi="宋体" w:cs="宋体"/>
                <w:b/>
                <w:color w:val="000000"/>
                <w:szCs w:val="21"/>
                <w:highlight w:val="none"/>
                <w:u w:val="single"/>
              </w:rPr>
              <w:t xml:space="preserve">     </w:t>
            </w:r>
            <w:r>
              <w:rPr>
                <w:rFonts w:hint="eastAsia" w:ascii="宋体" w:hAnsi="宋体" w:cs="宋体"/>
                <w:b/>
                <w:color w:val="000000"/>
                <w:szCs w:val="21"/>
                <w:highlight w:val="none"/>
              </w:rPr>
              <w:t>标段</w:t>
            </w:r>
          </w:p>
          <w:p w14:paraId="39E2D749">
            <w:pPr>
              <w:widowControl/>
              <w:adjustRightInd w:val="0"/>
              <w:snapToGrid w:val="0"/>
              <w:spacing w:line="380" w:lineRule="exact"/>
              <w:ind w:firstLine="420" w:firstLineChars="200"/>
              <w:jc w:val="left"/>
              <w:rPr>
                <w:rFonts w:ascii="宋体" w:hAnsi="宋体"/>
                <w:color w:val="000000"/>
                <w:kern w:val="0"/>
                <w:szCs w:val="21"/>
                <w:highlight w:val="none"/>
                <w:u w:val="single"/>
              </w:rPr>
            </w:pPr>
            <w:r>
              <w:rPr>
                <w:rFonts w:hint="eastAsia" w:ascii="宋体" w:hAnsi="宋体" w:cs="宋体"/>
                <w:color w:val="000000"/>
                <w:szCs w:val="21"/>
                <w:highlight w:val="none"/>
                <w:u w:val="none"/>
              </w:rPr>
              <w:t>……</w:t>
            </w:r>
          </w:p>
        </w:tc>
      </w:tr>
      <w:tr w14:paraId="791036D2">
        <w:tblPrEx>
          <w:tblCellMar>
            <w:top w:w="0" w:type="dxa"/>
            <w:left w:w="108" w:type="dxa"/>
            <w:bottom w:w="0" w:type="dxa"/>
            <w:right w:w="108" w:type="dxa"/>
          </w:tblCellMar>
        </w:tblPrEx>
        <w:trPr>
          <w:trHeight w:val="421"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4FFA055D">
            <w:pPr>
              <w:widowControl/>
              <w:adjustRightInd w:val="0"/>
              <w:snapToGrid w:val="0"/>
              <w:spacing w:line="400" w:lineRule="exact"/>
              <w:jc w:val="center"/>
              <w:rPr>
                <w:rFonts w:ascii="宋体" w:hAnsi="宋体" w:cs="宋体"/>
                <w:color w:val="000000"/>
                <w:kern w:val="0"/>
                <w:szCs w:val="21"/>
                <w:highlight w:val="none"/>
              </w:rPr>
            </w:pPr>
            <w:r>
              <w:rPr>
                <w:rFonts w:ascii="宋体" w:hAnsi="宋体"/>
                <w:color w:val="000000"/>
                <w:szCs w:val="21"/>
                <w:highlight w:val="none"/>
              </w:rPr>
              <w:t>2.2.2</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14:paraId="2FDBEA2B">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olor w:val="000000"/>
                <w:szCs w:val="21"/>
                <w:highlight w:val="none"/>
              </w:rPr>
              <w:t>评标基准价计算方法</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1268F7C9">
            <w:pPr>
              <w:widowControl/>
              <w:adjustRightInd w:val="0"/>
              <w:snapToGrid w:val="0"/>
              <w:spacing w:line="400" w:lineRule="exact"/>
              <w:ind w:firstLine="0" w:firstLineChars="0"/>
              <w:rPr>
                <w:rFonts w:ascii="宋体" w:hAnsi="宋体" w:cs="宋体"/>
                <w:color w:val="000000"/>
                <w:szCs w:val="21"/>
                <w:highlight w:val="none"/>
              </w:rPr>
            </w:pPr>
            <w:r>
              <w:rPr>
                <w:rFonts w:hint="eastAsia" w:ascii="宋体" w:hAnsi="宋体" w:cs="宋体"/>
                <w:color w:val="000000"/>
                <w:szCs w:val="21"/>
                <w:highlight w:val="none"/>
              </w:rPr>
              <w:t>评标基准价的计算</w:t>
            </w:r>
            <w:r>
              <w:rPr>
                <w:rStyle w:val="59"/>
                <w:rFonts w:hint="eastAsia" w:ascii="宋体" w:hAnsi="宋体" w:cs="宋体"/>
                <w:color w:val="000000"/>
                <w:szCs w:val="21"/>
                <w:highlight w:val="none"/>
              </w:rPr>
              <w:footnoteReference w:id="164"/>
            </w:r>
            <w:r>
              <w:rPr>
                <w:rFonts w:hint="eastAsia" w:ascii="宋体" w:hAnsi="宋体" w:cs="宋体"/>
                <w:color w:val="000000"/>
                <w:szCs w:val="21"/>
                <w:highlight w:val="none"/>
              </w:rPr>
              <w:t>：</w:t>
            </w:r>
          </w:p>
          <w:p w14:paraId="5F090ED5">
            <w:pPr>
              <w:widowControl/>
              <w:adjustRightInd w:val="0"/>
              <w:snapToGrid w:val="0"/>
              <w:spacing w:line="400" w:lineRule="exact"/>
              <w:ind w:firstLine="0" w:firstLineChars="0"/>
              <w:rPr>
                <w:rFonts w:ascii="宋体" w:hAnsi="宋体" w:cs="宋体"/>
                <w:color w:val="000000"/>
                <w:szCs w:val="21"/>
                <w:highlight w:val="none"/>
              </w:rPr>
            </w:pPr>
            <w:r>
              <w:rPr>
                <w:rFonts w:hint="eastAsia" w:ascii="宋体" w:hAnsi="宋体" w:cs="宋体"/>
                <w:color w:val="000000"/>
                <w:szCs w:val="21"/>
                <w:highlight w:val="none"/>
              </w:rPr>
              <w:t>在开标现场，招标人将当场计算并宣布评标基准价。</w:t>
            </w:r>
          </w:p>
          <w:p w14:paraId="1FC3F9F3">
            <w:pPr>
              <w:widowControl/>
              <w:adjustRightInd w:val="0"/>
              <w:snapToGrid w:val="0"/>
              <w:spacing w:line="400" w:lineRule="exact"/>
              <w:ind w:firstLine="0" w:firstLineChars="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1）评标价的确定：</w:t>
            </w:r>
          </w:p>
          <w:p w14:paraId="7BB78E76">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评标价＝</w:t>
            </w:r>
            <w:r>
              <w:rPr>
                <w:rFonts w:hint="eastAsia" w:ascii="宋体" w:hAnsi="宋体" w:cs="宋体"/>
                <w:color w:val="000000"/>
                <w:szCs w:val="21"/>
                <w:highlight w:val="none"/>
                <w:u w:val="single"/>
              </w:rPr>
              <w:t>通过第一个信封</w:t>
            </w: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lang w:val="en-US" w:eastAsia="zh-CN"/>
              </w:rPr>
              <w:t>商务及技术文件</w:t>
            </w: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rPr>
              <w:t>评审的投标人投标函</w:t>
            </w: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rPr>
              <w:t>第二个信封</w:t>
            </w: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rPr>
              <w:t>中投标总报价大写金额</w:t>
            </w:r>
            <w:r>
              <w:rPr>
                <w:rStyle w:val="59"/>
                <w:rFonts w:hint="eastAsia" w:ascii="宋体" w:hAnsi="宋体" w:cs="宋体"/>
                <w:color w:val="000000"/>
                <w:szCs w:val="21"/>
                <w:highlight w:val="none"/>
              </w:rPr>
              <w:footnoteReference w:id="165"/>
            </w:r>
          </w:p>
          <w:p w14:paraId="1638A272">
            <w:pPr>
              <w:widowControl/>
              <w:adjustRightInd w:val="0"/>
              <w:snapToGrid w:val="0"/>
              <w:spacing w:line="400" w:lineRule="exact"/>
              <w:ind w:firstLine="0" w:firstLineChars="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lang w:val="en-US" w:eastAsia="zh-CN"/>
              </w:rPr>
              <w:t>评标价</w:t>
            </w:r>
            <w:r>
              <w:rPr>
                <w:rFonts w:ascii="宋体" w:hAnsi="宋体" w:cs="宋体"/>
                <w:color w:val="000000"/>
                <w:szCs w:val="21"/>
                <w:highlight w:val="none"/>
              </w:rPr>
              <w:t>不参加评标基准价计算的情形：</w:t>
            </w:r>
          </w:p>
          <w:p w14:paraId="2C77B7D0">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①未在投标函上填写投标总价；</w:t>
            </w:r>
          </w:p>
          <w:p w14:paraId="761D3790">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②投标报价超出招标人公布的最高投标限价；</w:t>
            </w:r>
          </w:p>
          <w:p w14:paraId="5EFFCAC1">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③投标报价的大写金额无法确定具体数值；</w:t>
            </w:r>
            <w:r>
              <w:rPr>
                <w:rStyle w:val="59"/>
                <w:rFonts w:ascii="宋体" w:hAnsi="宋体"/>
                <w:color w:val="000000"/>
                <w:szCs w:val="21"/>
                <w:highlight w:val="none"/>
              </w:rPr>
              <w:footnoteReference w:id="166"/>
            </w:r>
          </w:p>
          <w:p w14:paraId="04A0B0E9">
            <w:pPr>
              <w:widowControl/>
              <w:spacing w:line="400" w:lineRule="exact"/>
              <w:ind w:firstLine="211" w:firstLineChars="100"/>
              <w:rPr>
                <w:rFonts w:hint="eastAsia" w:ascii="宋体" w:hAnsi="宋体" w:eastAsia="宋体" w:cs="宋体"/>
                <w:color w:val="000000"/>
                <w:szCs w:val="21"/>
                <w:highlight w:val="none"/>
                <w:lang w:eastAsia="zh-CN"/>
              </w:rPr>
            </w:pPr>
            <w:r>
              <w:rPr>
                <w:rFonts w:hint="eastAsia" w:ascii="宋体" w:hAnsi="宋体" w:cs="宋体"/>
                <w:b/>
                <w:color w:val="000000"/>
                <w:szCs w:val="21"/>
                <w:highlight w:val="none"/>
              </w:rPr>
              <w:sym w:font="Wingdings 2" w:char="00A3"/>
            </w:r>
            <w:r>
              <w:rPr>
                <w:rFonts w:hint="eastAsia" w:ascii="宋体" w:hAnsi="宋体" w:cs="宋体"/>
                <w:b/>
                <w:color w:val="000000"/>
                <w:szCs w:val="21"/>
                <w:highlight w:val="none"/>
                <w:lang w:val="en-US" w:eastAsia="zh-CN"/>
              </w:rPr>
              <w:t xml:space="preserve"> </w:t>
            </w:r>
            <w:r>
              <w:rPr>
                <w:rFonts w:hint="eastAsia" w:ascii="宋体" w:hAnsi="宋体" w:cs="宋体"/>
                <w:color w:val="000000"/>
                <w:szCs w:val="21"/>
                <w:highlight w:val="none"/>
              </w:rPr>
              <w:fldChar w:fldCharType="begin"/>
            </w:r>
            <w:r>
              <w:rPr>
                <w:rFonts w:ascii="宋体" w:hAnsi="宋体" w:cs="宋体"/>
                <w:color w:val="000000"/>
                <w:szCs w:val="21"/>
                <w:highlight w:val="none"/>
              </w:rPr>
              <w:instrText xml:space="preserve"> = 4 \* GB3 \* MERGEFORMAT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④</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投标报价低于招标人公布的最高投标限价的</w:t>
            </w:r>
            <w:r>
              <w:rPr>
                <w:rFonts w:ascii="宋体" w:hAnsi="宋体" w:cs="宋体"/>
                <w:color w:val="000000"/>
                <w:szCs w:val="21"/>
                <w:highlight w:val="none"/>
                <w:u w:val="single"/>
              </w:rPr>
              <w:t xml:space="preserve">    </w:t>
            </w:r>
            <w:r>
              <w:rPr>
                <w:rFonts w:ascii="宋体" w:hAnsi="宋体" w:cs="宋体"/>
                <w:color w:val="000000"/>
                <w:szCs w:val="21"/>
                <w:highlight w:val="none"/>
              </w:rPr>
              <w:t>%</w:t>
            </w:r>
            <w:r>
              <w:rPr>
                <w:rStyle w:val="59"/>
                <w:rFonts w:ascii="宋体" w:hAnsi="宋体" w:cs="宋体"/>
                <w:color w:val="000000"/>
                <w:szCs w:val="21"/>
                <w:highlight w:val="none"/>
              </w:rPr>
              <w:footnoteReference w:id="167"/>
            </w:r>
            <w:r>
              <w:rPr>
                <w:rFonts w:hint="eastAsia" w:ascii="宋体" w:hAnsi="宋体" w:cs="宋体"/>
                <w:color w:val="000000"/>
                <w:szCs w:val="21"/>
                <w:highlight w:val="none"/>
                <w:lang w:eastAsia="zh-CN"/>
              </w:rPr>
              <w:t>；</w:t>
            </w:r>
          </w:p>
          <w:p w14:paraId="188FD101">
            <w:pPr>
              <w:widowControl/>
              <w:adjustRightInd w:val="0"/>
              <w:snapToGrid w:val="0"/>
              <w:spacing w:line="400" w:lineRule="exact"/>
              <w:ind w:firstLine="211" w:firstLineChars="100"/>
              <w:rPr>
                <w:rFonts w:ascii="宋体" w:hAnsi="宋体" w:cs="宋体"/>
                <w:color w:val="000000"/>
                <w:szCs w:val="21"/>
                <w:highlight w:val="none"/>
              </w:rPr>
            </w:pPr>
            <w:r>
              <w:rPr>
                <w:rFonts w:hint="eastAsia" w:ascii="宋体" w:hAnsi="宋体" w:cs="宋体"/>
                <w:b/>
                <w:color w:val="000000"/>
                <w:szCs w:val="21"/>
                <w:highlight w:val="none"/>
              </w:rPr>
              <w:sym w:font="Wingdings 2" w:char="00A3"/>
            </w:r>
            <w:r>
              <w:rPr>
                <w:rFonts w:ascii="宋体" w:hAnsi="宋体" w:cs="宋体"/>
                <w:b/>
                <w:color w:val="000000"/>
                <w:szCs w:val="21"/>
                <w:highlight w:val="none"/>
              </w:rPr>
              <w:t xml:space="preserve"> </w:t>
            </w:r>
            <w:r>
              <w:rPr>
                <w:rFonts w:hint="eastAsia" w:ascii="宋体" w:hAnsi="宋体" w:cs="宋体"/>
                <w:color w:val="000000"/>
                <w:szCs w:val="21"/>
                <w:highlight w:val="none"/>
              </w:rPr>
              <w:fldChar w:fldCharType="begin"/>
            </w:r>
            <w:r>
              <w:rPr>
                <w:rFonts w:ascii="宋体" w:hAnsi="宋体" w:cs="宋体"/>
                <w:color w:val="000000"/>
                <w:szCs w:val="21"/>
                <w:highlight w:val="none"/>
              </w:rPr>
              <w:instrText xml:space="preserve"> = 5 \* GB3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⑤</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其他情形：</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ascii="宋体" w:hAnsi="宋体" w:cs="宋体"/>
                <w:color w:val="000000"/>
                <w:szCs w:val="21"/>
                <w:highlight w:val="none"/>
              </w:rPr>
              <w:t xml:space="preserve">  </w:t>
            </w:r>
          </w:p>
        </w:tc>
      </w:tr>
      <w:tr w14:paraId="71E37469">
        <w:tblPrEx>
          <w:tblCellMar>
            <w:top w:w="0" w:type="dxa"/>
            <w:left w:w="108" w:type="dxa"/>
            <w:bottom w:w="0" w:type="dxa"/>
            <w:right w:w="108" w:type="dxa"/>
          </w:tblCellMar>
        </w:tblPrEx>
        <w:trPr>
          <w:trHeight w:val="226"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22AF61DC">
            <w:pPr>
              <w:widowControl/>
              <w:adjustRightInd w:val="0"/>
              <w:snapToGrid w:val="0"/>
              <w:spacing w:line="400" w:lineRule="exact"/>
              <w:jc w:val="center"/>
              <w:rPr>
                <w:rFonts w:ascii="宋体" w:hAnsi="宋体"/>
                <w:color w:val="000000"/>
                <w:szCs w:val="21"/>
                <w:highlight w:val="none"/>
              </w:rPr>
            </w:pPr>
            <w:r>
              <w:rPr>
                <w:rFonts w:ascii="宋体" w:hAnsi="宋体"/>
                <w:color w:val="000000"/>
                <w:szCs w:val="21"/>
                <w:highlight w:val="none"/>
              </w:rPr>
              <w:t>2.2.2</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14:paraId="360D5C54">
            <w:pPr>
              <w:widowControl/>
              <w:adjustRightInd w:val="0"/>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评标基准价计算方法</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39CB3BEB">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3）</w:t>
            </w:r>
            <w:r>
              <w:rPr>
                <w:rFonts w:hint="eastAsia" w:ascii="宋体" w:hAnsi="宋体"/>
                <w:color w:val="000000"/>
                <w:szCs w:val="21"/>
                <w:highlight w:val="none"/>
              </w:rPr>
              <w:t>解密成功的投标文件，若在投标截止期后撤销</w:t>
            </w:r>
            <w:r>
              <w:rPr>
                <w:rFonts w:hint="eastAsia" w:ascii="宋体" w:hAnsi="宋体"/>
                <w:color w:val="000000"/>
                <w:szCs w:val="21"/>
                <w:highlight w:val="none"/>
                <w:lang w:val="en-US" w:eastAsia="zh-CN"/>
              </w:rPr>
              <w:t>的</w:t>
            </w:r>
            <w:r>
              <w:rPr>
                <w:rFonts w:hint="eastAsia" w:ascii="宋体" w:hAnsi="宋体"/>
                <w:color w:val="000000"/>
                <w:szCs w:val="21"/>
                <w:highlight w:val="none"/>
              </w:rPr>
              <w:t>，应按程序对投标文件第一个信封</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商务及技术文件</w:t>
            </w:r>
            <w:r>
              <w:rPr>
                <w:rFonts w:hint="eastAsia" w:ascii="宋体" w:hAnsi="宋体"/>
                <w:color w:val="000000"/>
                <w:szCs w:val="21"/>
                <w:highlight w:val="none"/>
                <w:lang w:eastAsia="zh-CN"/>
              </w:rPr>
              <w:t>）</w:t>
            </w:r>
            <w:r>
              <w:rPr>
                <w:rFonts w:hint="eastAsia" w:ascii="宋体" w:hAnsi="宋体"/>
                <w:color w:val="000000"/>
                <w:szCs w:val="21"/>
                <w:highlight w:val="none"/>
              </w:rPr>
              <w:t>进行评审，若</w:t>
            </w:r>
            <w:r>
              <w:rPr>
                <w:rFonts w:hint="eastAsia" w:ascii="宋体" w:hAnsi="宋体"/>
                <w:color w:val="000000"/>
                <w:szCs w:val="21"/>
                <w:highlight w:val="none"/>
                <w:lang w:val="en-US" w:eastAsia="zh-CN"/>
              </w:rPr>
              <w:t>该投标文件</w:t>
            </w:r>
            <w:r>
              <w:rPr>
                <w:rFonts w:hint="eastAsia" w:ascii="宋体" w:hAnsi="宋体"/>
                <w:color w:val="000000"/>
                <w:szCs w:val="21"/>
                <w:highlight w:val="none"/>
              </w:rPr>
              <w:t>通过第一个信封</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商务及技术文件</w:t>
            </w:r>
            <w:r>
              <w:rPr>
                <w:rFonts w:hint="eastAsia" w:ascii="宋体" w:hAnsi="宋体"/>
                <w:color w:val="000000"/>
                <w:szCs w:val="21"/>
                <w:highlight w:val="none"/>
                <w:lang w:eastAsia="zh-CN"/>
              </w:rPr>
              <w:t>）</w:t>
            </w:r>
            <w:r>
              <w:rPr>
                <w:rFonts w:hint="eastAsia" w:ascii="宋体" w:hAnsi="宋体"/>
                <w:color w:val="000000"/>
                <w:szCs w:val="21"/>
                <w:highlight w:val="none"/>
              </w:rPr>
              <w:t>评审，则其投标报价文件在第二个信封</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报价文件</w:t>
            </w:r>
            <w:r>
              <w:rPr>
                <w:rFonts w:hint="eastAsia" w:ascii="宋体" w:hAnsi="宋体"/>
                <w:color w:val="000000"/>
                <w:szCs w:val="21"/>
                <w:highlight w:val="none"/>
                <w:lang w:eastAsia="zh-CN"/>
              </w:rPr>
              <w:t>）</w:t>
            </w:r>
            <w:r>
              <w:rPr>
                <w:rFonts w:hint="eastAsia" w:ascii="宋体" w:hAnsi="宋体"/>
                <w:color w:val="000000"/>
                <w:szCs w:val="21"/>
                <w:highlight w:val="none"/>
              </w:rPr>
              <w:t>开标时也应开启；若</w:t>
            </w:r>
            <w:r>
              <w:rPr>
                <w:rFonts w:hint="eastAsia" w:ascii="宋体" w:hAnsi="宋体"/>
                <w:color w:val="000000"/>
                <w:szCs w:val="21"/>
                <w:highlight w:val="none"/>
                <w:lang w:val="en-US" w:eastAsia="zh-CN"/>
              </w:rPr>
              <w:t>该投标文件</w:t>
            </w:r>
            <w:r>
              <w:rPr>
                <w:rFonts w:hint="eastAsia" w:ascii="宋体" w:hAnsi="宋体"/>
                <w:color w:val="000000"/>
                <w:szCs w:val="21"/>
                <w:highlight w:val="none"/>
              </w:rPr>
              <w:t>投标报价不属于本项第（</w:t>
            </w:r>
            <w:r>
              <w:rPr>
                <w:rFonts w:ascii="宋体" w:hAnsi="宋体"/>
                <w:color w:val="000000"/>
                <w:szCs w:val="21"/>
                <w:highlight w:val="none"/>
              </w:rPr>
              <w:t>2</w:t>
            </w:r>
            <w:r>
              <w:rPr>
                <w:rFonts w:hint="eastAsia" w:ascii="宋体" w:hAnsi="宋体"/>
                <w:color w:val="000000"/>
                <w:szCs w:val="21"/>
                <w:highlight w:val="none"/>
              </w:rPr>
              <w:t>）目情形</w:t>
            </w:r>
            <w:r>
              <w:rPr>
                <w:rFonts w:hint="eastAsia" w:ascii="宋体" w:hAnsi="宋体"/>
                <w:color w:val="000000"/>
                <w:szCs w:val="21"/>
                <w:highlight w:val="none"/>
                <w:lang w:val="en-US" w:eastAsia="zh-CN"/>
              </w:rPr>
              <w:t>的</w:t>
            </w:r>
            <w:r>
              <w:rPr>
                <w:rFonts w:hint="eastAsia" w:ascii="宋体" w:hAnsi="宋体"/>
                <w:color w:val="000000"/>
                <w:szCs w:val="21"/>
                <w:highlight w:val="none"/>
              </w:rPr>
              <w:t>，将参与评标基准价计算，但</w:t>
            </w:r>
            <w:r>
              <w:rPr>
                <w:rFonts w:hint="eastAsia" w:ascii="宋体" w:hAnsi="宋体"/>
                <w:color w:val="000000"/>
                <w:szCs w:val="21"/>
                <w:highlight w:val="none"/>
                <w:lang w:val="en-US" w:eastAsia="zh-CN"/>
              </w:rPr>
              <w:t>其</w:t>
            </w:r>
            <w:r>
              <w:rPr>
                <w:rFonts w:hint="eastAsia" w:ascii="宋体" w:hAnsi="宋体"/>
                <w:color w:val="000000"/>
                <w:szCs w:val="21"/>
                <w:highlight w:val="none"/>
              </w:rPr>
              <w:t>第二个信封（报价文件）不</w:t>
            </w:r>
            <w:r>
              <w:rPr>
                <w:rFonts w:hint="eastAsia" w:ascii="宋体" w:hAnsi="宋体"/>
                <w:color w:val="000000"/>
                <w:szCs w:val="21"/>
                <w:highlight w:val="none"/>
                <w:lang w:val="en-US" w:eastAsia="zh-CN"/>
              </w:rPr>
              <w:t>再进行</w:t>
            </w:r>
            <w:r>
              <w:rPr>
                <w:rFonts w:hint="eastAsia" w:ascii="宋体" w:hAnsi="宋体"/>
                <w:color w:val="000000"/>
                <w:szCs w:val="21"/>
                <w:highlight w:val="none"/>
              </w:rPr>
              <w:t>评审。</w:t>
            </w:r>
          </w:p>
          <w:p w14:paraId="6348DFF2">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4）评标基准价的确定</w:t>
            </w:r>
            <w:r>
              <w:rPr>
                <w:rFonts w:ascii="宋体" w:hAnsi="宋体" w:cs="宋体"/>
                <w:color w:val="000000"/>
                <w:szCs w:val="21"/>
                <w:highlight w:val="none"/>
                <w:vertAlign w:val="superscript"/>
              </w:rPr>
              <w:footnoteReference w:id="168"/>
            </w:r>
            <w:r>
              <w:rPr>
                <w:rFonts w:hint="eastAsia" w:ascii="宋体" w:hAnsi="宋体" w:cs="宋体"/>
                <w:color w:val="000000"/>
                <w:szCs w:val="21"/>
                <w:highlight w:val="none"/>
              </w:rPr>
              <w:t>：</w:t>
            </w:r>
          </w:p>
          <w:p w14:paraId="5048B613">
            <w:pPr>
              <w:pStyle w:val="299"/>
              <w:adjustRightInd w:val="0"/>
              <w:snapToGrid w:val="0"/>
              <w:spacing w:line="400" w:lineRule="exact"/>
              <w:ind w:firstLine="210" w:firstLineChars="100"/>
              <w:rPr>
                <w:rFonts w:hint="eastAsia" w:ascii="宋体" w:hAnsi="宋体" w:cs="宋体"/>
                <w:color w:val="000000"/>
                <w:szCs w:val="21"/>
                <w:highlight w:val="none"/>
              </w:rPr>
            </w:pPr>
            <w:r>
              <w:rPr>
                <w:rFonts w:hint="eastAsia" w:cs="宋体" w:asciiTheme="minorEastAsia" w:hAnsiTheme="minorEastAsia" w:eastAsiaTheme="minorEastAsia"/>
                <w:color w:val="000000"/>
                <w:szCs w:val="21"/>
                <w:highlight w:val="none"/>
              </w:rPr>
              <w:t>当评标基准价计算涉及随机抽取参数</w:t>
            </w:r>
            <w:r>
              <w:rPr>
                <w:rFonts w:hint="eastAsia" w:cs="宋体" w:asciiTheme="minorEastAsia" w:hAnsiTheme="minorEastAsia" w:eastAsiaTheme="minorEastAsia"/>
                <w:color w:val="000000"/>
                <w:szCs w:val="21"/>
                <w:highlight w:val="none"/>
                <w:lang w:val="en-US" w:eastAsia="zh-CN"/>
              </w:rPr>
              <w:t>时</w:t>
            </w:r>
            <w:r>
              <w:rPr>
                <w:rFonts w:hint="eastAsia" w:cs="宋体" w:asciiTheme="minorEastAsia" w:hAnsiTheme="minorEastAsia" w:eastAsiaTheme="minorEastAsia"/>
                <w:color w:val="000000"/>
                <w:szCs w:val="21"/>
                <w:highlight w:val="none"/>
              </w:rPr>
              <w:t>，均应由招标人或监督人或随机选定的投标人代表（现场开标时）随机抽取，</w:t>
            </w:r>
            <w:r>
              <w:rPr>
                <w:rFonts w:hint="eastAsia" w:ascii="宋体" w:hAnsi="宋体" w:cs="宋体"/>
                <w:color w:val="000000"/>
                <w:szCs w:val="21"/>
                <w:highlight w:val="none"/>
              </w:rPr>
              <w:t>且抽取过程</w:t>
            </w:r>
            <w:r>
              <w:rPr>
                <w:rFonts w:hint="eastAsia" w:cs="宋体" w:asciiTheme="minorEastAsia" w:hAnsiTheme="minorEastAsia" w:eastAsiaTheme="minorEastAsia"/>
                <w:color w:val="000000"/>
                <w:szCs w:val="21"/>
                <w:highlight w:val="none"/>
              </w:rPr>
              <w:t>须</w:t>
            </w:r>
            <w:r>
              <w:rPr>
                <w:rFonts w:hint="eastAsia" w:ascii="宋体" w:hAnsi="宋体" w:cs="宋体"/>
                <w:color w:val="000000"/>
                <w:szCs w:val="21"/>
                <w:highlight w:val="none"/>
              </w:rPr>
              <w:t>经公证机构现场公证。</w:t>
            </w:r>
          </w:p>
          <w:p w14:paraId="11084472">
            <w:pPr>
              <w:pStyle w:val="299"/>
              <w:adjustRightInd w:val="0"/>
              <w:snapToGrid w:val="0"/>
              <w:spacing w:line="400" w:lineRule="exact"/>
              <w:ind w:firstLine="210" w:firstLineChars="100"/>
              <w:rPr>
                <w:rFonts w:hint="eastAsia" w:ascii="宋体" w:hAnsi="宋体" w:cs="宋体"/>
                <w:color w:val="000000"/>
                <w:szCs w:val="21"/>
                <w:highlight w:val="none"/>
              </w:rPr>
            </w:pPr>
            <w:r>
              <w:rPr>
                <w:color w:val="000000"/>
                <w:szCs w:val="21"/>
                <w:highlight w:val="none"/>
              </w:rPr>
              <w:t>当所有投标报价低于招标人公布的最高投标限价值</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时，以</w:t>
            </w:r>
            <w:r>
              <w:rPr>
                <w:rFonts w:hint="eastAsia"/>
                <w:color w:val="000000"/>
                <w:szCs w:val="21"/>
                <w:highlight w:val="none"/>
              </w:rPr>
              <w:t>招标人</w:t>
            </w:r>
            <w:r>
              <w:rPr>
                <w:color w:val="000000"/>
                <w:szCs w:val="21"/>
                <w:highlight w:val="none"/>
              </w:rPr>
              <w:t>公布的</w:t>
            </w:r>
            <w:r>
              <w:rPr>
                <w:rFonts w:hint="eastAsia"/>
                <w:color w:val="000000"/>
                <w:szCs w:val="21"/>
                <w:highlight w:val="none"/>
              </w:rPr>
              <w:t>最高投标限价值的</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作为评标基准价。</w:t>
            </w:r>
          </w:p>
          <w:p w14:paraId="664CA592">
            <w:pPr>
              <w:widowControl/>
              <w:adjustRightInd w:val="0"/>
              <w:snapToGrid w:val="0"/>
              <w:spacing w:line="400" w:lineRule="exact"/>
              <w:ind w:firstLine="0" w:firstLineChars="0"/>
              <w:rPr>
                <w:rFonts w:ascii="宋体" w:hAnsi="宋体" w:cs="宋体"/>
                <w:color w:val="000000"/>
                <w:szCs w:val="21"/>
                <w:highlight w:val="none"/>
              </w:rPr>
            </w:pPr>
            <w:r>
              <w:rPr>
                <w:rFonts w:hint="eastAsia" w:ascii="宋体" w:hAnsi="宋体" w:cs="宋体"/>
                <w:b/>
                <w:bCs/>
                <w:color w:val="000000"/>
                <w:szCs w:val="21"/>
                <w:highlight w:val="none"/>
              </w:rPr>
              <w:t>□</w:t>
            </w:r>
            <w:r>
              <w:rPr>
                <w:rFonts w:ascii="宋体" w:hAnsi="宋体" w:cs="宋体"/>
                <w:b/>
                <w:bCs/>
                <w:color w:val="000000"/>
                <w:szCs w:val="21"/>
                <w:highlight w:val="none"/>
              </w:rPr>
              <w:t xml:space="preserve"> </w:t>
            </w:r>
            <w:r>
              <w:rPr>
                <w:rFonts w:hint="eastAsia" w:ascii="宋体" w:hAnsi="宋体" w:cs="宋体"/>
                <w:b/>
                <w:bCs/>
                <w:color w:val="000000"/>
                <w:szCs w:val="21"/>
                <w:highlight w:val="none"/>
              </w:rPr>
              <w:t>方法一（随机权重法）</w:t>
            </w:r>
            <w:r>
              <w:rPr>
                <w:rFonts w:hint="eastAsia" w:ascii="宋体" w:hAnsi="宋体" w:cs="宋体"/>
                <w:color w:val="000000"/>
                <w:szCs w:val="21"/>
                <w:highlight w:val="none"/>
              </w:rPr>
              <w:t>：</w:t>
            </w:r>
          </w:p>
          <w:p w14:paraId="0FC7CB2D">
            <w:pPr>
              <w:widowControl/>
              <w:adjustRightInd w:val="0"/>
              <w:snapToGrid w:val="0"/>
              <w:spacing w:line="400" w:lineRule="exact"/>
              <w:ind w:firstLine="210" w:firstLineChars="100"/>
              <w:jc w:val="left"/>
              <w:rPr>
                <w:rFonts w:ascii="宋体" w:hAnsi="宋体" w:cs="宋体"/>
                <w:color w:val="000000"/>
                <w:spacing w:val="20"/>
                <w:szCs w:val="21"/>
                <w:highlight w:val="none"/>
              </w:rPr>
            </w:pPr>
            <w:r>
              <w:rPr>
                <w:rFonts w:hint="eastAsia" w:ascii="宋体" w:hAnsi="宋体" w:cs="宋体"/>
                <w:color w:val="000000"/>
                <w:szCs w:val="21"/>
                <w:highlight w:val="none"/>
              </w:rPr>
              <w:fldChar w:fldCharType="begin"/>
            </w:r>
            <w:r>
              <w:rPr>
                <w:rFonts w:ascii="宋体" w:hAnsi="宋体" w:cs="宋体"/>
                <w:color w:val="000000"/>
                <w:szCs w:val="21"/>
                <w:highlight w:val="none"/>
              </w:rPr>
              <w:instrText xml:space="preserve"> = 1 \* GB3 \* MERGEFORMAT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①</w:t>
            </w:r>
            <w:r>
              <w:rPr>
                <w:rFonts w:hint="eastAsia" w:ascii="宋体" w:hAnsi="宋体" w:cs="宋体"/>
                <w:color w:val="000000"/>
                <w:szCs w:val="21"/>
                <w:highlight w:val="none"/>
              </w:rPr>
              <w:fldChar w:fldCharType="end"/>
            </w:r>
            <w:r>
              <w:rPr>
                <w:rFonts w:ascii="宋体" w:hAnsi="宋体" w:cs="宋体"/>
                <w:color w:val="000000"/>
                <w:szCs w:val="21"/>
                <w:highlight w:val="none"/>
              </w:rPr>
              <w:t xml:space="preserve"> </w:t>
            </w:r>
            <w:r>
              <w:rPr>
                <w:rFonts w:hint="eastAsia" w:ascii="宋体" w:hAnsi="宋体" w:cs="宋体"/>
                <w:color w:val="000000"/>
                <w:szCs w:val="21"/>
                <w:highlight w:val="none"/>
              </w:rPr>
              <w:t>评标基准价</w:t>
            </w:r>
            <w:r>
              <w:rPr>
                <w:rFonts w:hint="eastAsia" w:ascii="宋体" w:hAnsi="宋体" w:cs="宋体"/>
                <w:color w:val="000000"/>
                <w:spacing w:val="20"/>
                <w:szCs w:val="21"/>
                <w:highlight w:val="none"/>
              </w:rPr>
              <w:t>＝</w:t>
            </w:r>
            <w:r>
              <w:rPr>
                <w:rFonts w:ascii="宋体" w:hAnsi="宋体" w:cs="宋体"/>
                <w:color w:val="000000"/>
                <w:spacing w:val="20"/>
                <w:szCs w:val="21"/>
                <w:highlight w:val="none"/>
              </w:rPr>
              <w:t>A×K</w:t>
            </w:r>
            <w:r>
              <w:rPr>
                <w:rFonts w:ascii="宋体" w:hAnsi="宋体" w:cs="宋体"/>
                <w:color w:val="000000"/>
                <w:spacing w:val="20"/>
                <w:szCs w:val="21"/>
                <w:highlight w:val="none"/>
                <w:vertAlign w:val="subscript"/>
              </w:rPr>
              <w:t>1</w:t>
            </w:r>
            <w:r>
              <w:rPr>
                <w:rFonts w:hint="eastAsia" w:ascii="宋体" w:hAnsi="宋体" w:cs="宋体"/>
                <w:color w:val="000000"/>
                <w:spacing w:val="20"/>
                <w:szCs w:val="21"/>
                <w:highlight w:val="none"/>
              </w:rPr>
              <w:t>×</w:t>
            </w: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1</w:t>
            </w:r>
            <w:r>
              <w:rPr>
                <w:rFonts w:ascii="宋体" w:hAnsi="宋体" w:cs="宋体"/>
                <w:color w:val="000000"/>
                <w:spacing w:val="20"/>
                <w:szCs w:val="21"/>
                <w:highlight w:val="none"/>
              </w:rPr>
              <w:t>+B×K</w:t>
            </w:r>
            <w:r>
              <w:rPr>
                <w:rFonts w:ascii="宋体" w:hAnsi="宋体" w:cs="宋体"/>
                <w:color w:val="000000"/>
                <w:spacing w:val="20"/>
                <w:szCs w:val="21"/>
                <w:highlight w:val="none"/>
                <w:vertAlign w:val="subscript"/>
              </w:rPr>
              <w:t>2</w:t>
            </w:r>
            <w:r>
              <w:rPr>
                <w:rFonts w:hint="eastAsia" w:ascii="宋体" w:hAnsi="宋体" w:cs="宋体"/>
                <w:color w:val="000000"/>
                <w:spacing w:val="20"/>
                <w:szCs w:val="21"/>
                <w:highlight w:val="none"/>
              </w:rPr>
              <w:t>×</w:t>
            </w: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2</w:t>
            </w:r>
          </w:p>
          <w:p w14:paraId="6DA2C178">
            <w:pPr>
              <w:widowControl/>
              <w:adjustRightInd w:val="0"/>
              <w:snapToGrid w:val="0"/>
              <w:spacing w:line="400" w:lineRule="exact"/>
              <w:ind w:left="1050" w:leftChars="0" w:hanging="1050" w:hangingChars="500"/>
              <w:jc w:val="left"/>
              <w:rPr>
                <w:rFonts w:ascii="宋体" w:hAnsi="宋体" w:cs="宋体"/>
                <w:color w:val="000000"/>
                <w:szCs w:val="21"/>
                <w:highlight w:val="none"/>
              </w:rPr>
            </w:pPr>
            <w:r>
              <w:rPr>
                <w:rFonts w:hint="eastAsia" w:ascii="宋体" w:hAnsi="宋体" w:cs="宋体"/>
                <w:color w:val="000000"/>
                <w:szCs w:val="21"/>
                <w:highlight w:val="none"/>
                <w:lang w:val="en-US" w:eastAsia="zh-CN"/>
              </w:rPr>
              <w:t>式</w:t>
            </w:r>
            <w:r>
              <w:rPr>
                <w:rFonts w:hint="eastAsia" w:ascii="宋体" w:hAnsi="宋体" w:cs="宋体"/>
                <w:color w:val="000000"/>
                <w:szCs w:val="21"/>
                <w:highlight w:val="none"/>
              </w:rPr>
              <w:t>中：</w:t>
            </w:r>
            <w:r>
              <w:rPr>
                <w:rFonts w:ascii="宋体" w:hAnsi="宋体" w:cs="宋体"/>
                <w:color w:val="000000"/>
                <w:szCs w:val="21"/>
                <w:highlight w:val="none"/>
              </w:rPr>
              <w:t>A</w:t>
            </w:r>
            <w:r>
              <w:rPr>
                <w:rFonts w:hint="eastAsia" w:ascii="微软雅黑" w:hAnsi="微软雅黑" w:eastAsia="微软雅黑" w:cs="微软雅黑"/>
                <w:color w:val="000000"/>
                <w:szCs w:val="21"/>
                <w:highlight w:val="none"/>
                <w:lang w:eastAsia="zh-CN"/>
              </w:rPr>
              <w:t>——</w:t>
            </w:r>
            <w:r>
              <w:rPr>
                <w:rFonts w:hint="eastAsia" w:ascii="宋体" w:hAnsi="宋体" w:cs="宋体"/>
                <w:color w:val="000000"/>
                <w:szCs w:val="21"/>
                <w:highlight w:val="none"/>
              </w:rPr>
              <w:t>按本项规定应进入</w:t>
            </w:r>
            <w:r>
              <w:rPr>
                <w:rFonts w:hint="eastAsia" w:ascii="宋体" w:hAnsi="宋体"/>
                <w:color w:val="000000"/>
                <w:szCs w:val="21"/>
                <w:highlight w:val="none"/>
              </w:rPr>
              <w:t>评标基准价计算的评标价的</w:t>
            </w:r>
            <w:r>
              <w:rPr>
                <w:rFonts w:hint="eastAsia" w:ascii="宋体" w:hAnsi="宋体" w:cs="宋体"/>
                <w:color w:val="000000"/>
                <w:szCs w:val="21"/>
                <w:highlight w:val="none"/>
              </w:rPr>
              <w:t>算术</w:t>
            </w:r>
            <w:r>
              <w:rPr>
                <w:rFonts w:hint="eastAsia" w:ascii="宋体" w:hAnsi="宋体"/>
                <w:color w:val="000000"/>
                <w:szCs w:val="21"/>
                <w:highlight w:val="none"/>
              </w:rPr>
              <w:t>平均值</w:t>
            </w:r>
            <w:r>
              <w:rPr>
                <w:rFonts w:ascii="宋体" w:hAnsi="宋体" w:cs="宋体"/>
                <w:color w:val="000000"/>
                <w:szCs w:val="21"/>
                <w:highlight w:val="none"/>
              </w:rPr>
              <w:t>（若</w:t>
            </w:r>
            <w:r>
              <w:rPr>
                <w:rFonts w:hint="eastAsia" w:ascii="宋体" w:hAnsi="宋体" w:cs="宋体"/>
                <w:color w:val="000000"/>
                <w:szCs w:val="21"/>
                <w:highlight w:val="none"/>
              </w:rPr>
              <w:t>参与计算的评标价个数</w:t>
            </w:r>
            <w:r>
              <w:rPr>
                <w:rFonts w:ascii="宋体" w:hAnsi="宋体" w:cs="宋体"/>
                <w:color w:val="000000"/>
                <w:szCs w:val="21"/>
                <w:highlight w:val="none"/>
              </w:rPr>
              <w:t>≤10家时，直接取算术平均值为A；</w:t>
            </w:r>
            <w:r>
              <w:rPr>
                <w:rFonts w:hint="eastAsia" w:ascii="宋体" w:hAnsi="宋体" w:cs="宋体"/>
                <w:color w:val="000000"/>
                <w:szCs w:val="21"/>
                <w:highlight w:val="none"/>
              </w:rPr>
              <w:t>若参与计算的评标价个数</w:t>
            </w:r>
            <w:r>
              <w:rPr>
                <w:rFonts w:ascii="宋体" w:hAnsi="宋体" w:cs="宋体"/>
                <w:color w:val="000000"/>
                <w:szCs w:val="21"/>
                <w:highlight w:val="none"/>
              </w:rPr>
              <w:t>＞N×10家时，去掉其</w:t>
            </w:r>
            <w:r>
              <w:rPr>
                <w:rFonts w:hint="eastAsia" w:ascii="宋体" w:hAnsi="宋体" w:cs="宋体"/>
                <w:color w:val="000000"/>
                <w:szCs w:val="21"/>
                <w:highlight w:val="none"/>
              </w:rPr>
              <w:t>中的</w:t>
            </w:r>
            <w:r>
              <w:rPr>
                <w:rFonts w:ascii="宋体" w:hAnsi="宋体" w:cs="宋体"/>
                <w:color w:val="000000"/>
                <w:szCs w:val="21"/>
                <w:highlight w:val="none"/>
              </w:rPr>
              <w:t>N个最高</w:t>
            </w:r>
            <w:r>
              <w:rPr>
                <w:rFonts w:hint="eastAsia" w:ascii="宋体" w:hAnsi="宋体" w:cs="宋体"/>
                <w:color w:val="000000"/>
                <w:szCs w:val="21"/>
                <w:highlight w:val="none"/>
              </w:rPr>
              <w:t>评标</w:t>
            </w:r>
            <w:r>
              <w:rPr>
                <w:rFonts w:ascii="宋体" w:hAnsi="宋体" w:cs="宋体"/>
                <w:color w:val="000000"/>
                <w:szCs w:val="21"/>
                <w:highlight w:val="none"/>
              </w:rPr>
              <w:t>价和N个最低</w:t>
            </w:r>
            <w:r>
              <w:rPr>
                <w:rFonts w:hint="eastAsia" w:ascii="宋体" w:hAnsi="宋体" w:cs="宋体"/>
                <w:color w:val="000000"/>
                <w:szCs w:val="21"/>
                <w:highlight w:val="none"/>
              </w:rPr>
              <w:t>评标</w:t>
            </w:r>
            <w:r>
              <w:rPr>
                <w:rFonts w:ascii="宋体" w:hAnsi="宋体" w:cs="宋体"/>
                <w:color w:val="000000"/>
                <w:szCs w:val="21"/>
                <w:highlight w:val="none"/>
              </w:rPr>
              <w:t>价后取算术平均值为A，N为</w:t>
            </w:r>
            <w:r>
              <w:rPr>
                <w:rFonts w:hint="eastAsia" w:ascii="微软雅黑" w:hAnsi="微软雅黑" w:eastAsia="微软雅黑" w:cs="微软雅黑"/>
                <w:color w:val="000000"/>
                <w:szCs w:val="21"/>
                <w:highlight w:val="none"/>
                <w:lang w:val="en-US" w:eastAsia="zh-CN"/>
              </w:rPr>
              <w:t>≥</w:t>
            </w:r>
            <w:r>
              <w:rPr>
                <w:rFonts w:hint="eastAsia" w:ascii="宋体" w:hAnsi="宋体" w:cs="宋体"/>
                <w:color w:val="000000"/>
                <w:szCs w:val="21"/>
                <w:highlight w:val="none"/>
                <w:lang w:val="en-US" w:eastAsia="zh-CN"/>
              </w:rPr>
              <w:t>1的</w:t>
            </w:r>
            <w:r>
              <w:rPr>
                <w:rFonts w:ascii="宋体" w:hAnsi="宋体" w:cs="宋体"/>
                <w:color w:val="000000"/>
                <w:szCs w:val="21"/>
                <w:highlight w:val="none"/>
              </w:rPr>
              <w:t>自然数）</w:t>
            </w:r>
            <w:r>
              <w:rPr>
                <w:rFonts w:hint="eastAsia" w:ascii="宋体" w:hAnsi="宋体" w:cs="宋体"/>
                <w:color w:val="000000"/>
                <w:szCs w:val="21"/>
                <w:highlight w:val="none"/>
              </w:rPr>
              <w:t>；</w:t>
            </w:r>
          </w:p>
          <w:p w14:paraId="0A42CCE0">
            <w:pPr>
              <w:widowControl/>
              <w:adjustRightInd w:val="0"/>
              <w:snapToGrid w:val="0"/>
              <w:spacing w:line="400" w:lineRule="exact"/>
              <w:ind w:left="420" w:leftChars="200"/>
              <w:jc w:val="left"/>
              <w:rPr>
                <w:rFonts w:ascii="宋体" w:hAnsi="宋体" w:cs="宋体"/>
                <w:color w:val="000000"/>
                <w:spacing w:val="20"/>
                <w:szCs w:val="21"/>
                <w:highlight w:val="none"/>
              </w:rPr>
            </w:pPr>
            <w:r>
              <w:rPr>
                <w:rFonts w:ascii="宋体" w:hAnsi="宋体" w:cs="宋体"/>
                <w:color w:val="000000"/>
                <w:szCs w:val="21"/>
                <w:highlight w:val="none"/>
              </w:rPr>
              <w:t>B</w:t>
            </w:r>
            <w:r>
              <w:rPr>
                <w:rFonts w:hint="eastAsia" w:ascii="宋体" w:hAnsi="宋体" w:cs="宋体"/>
                <w:color w:val="000000"/>
                <w:szCs w:val="21"/>
                <w:highlight w:val="none"/>
                <w:lang w:val="en-US" w:eastAsia="zh-CN"/>
              </w:rPr>
              <w:t xml:space="preserve"> </w:t>
            </w:r>
            <w:r>
              <w:rPr>
                <w:rFonts w:hint="eastAsia" w:ascii="微软雅黑" w:hAnsi="微软雅黑" w:eastAsia="微软雅黑" w:cs="微软雅黑"/>
                <w:color w:val="000000"/>
                <w:szCs w:val="21"/>
                <w:highlight w:val="none"/>
                <w:lang w:eastAsia="zh-CN"/>
              </w:rPr>
              <w:t>——</w:t>
            </w:r>
            <w:r>
              <w:rPr>
                <w:rFonts w:ascii="宋体" w:hAnsi="宋体" w:cs="宋体"/>
                <w:color w:val="000000"/>
                <w:szCs w:val="21"/>
                <w:highlight w:val="none"/>
              </w:rPr>
              <w:t>为招标人公布的最高</w:t>
            </w:r>
            <w:r>
              <w:rPr>
                <w:rFonts w:hint="eastAsia" w:ascii="宋体" w:hAnsi="宋体" w:cs="宋体"/>
                <w:color w:val="000000"/>
                <w:szCs w:val="21"/>
                <w:highlight w:val="none"/>
              </w:rPr>
              <w:t>投标</w:t>
            </w:r>
            <w:r>
              <w:rPr>
                <w:rFonts w:ascii="宋体" w:hAnsi="宋体" w:cs="宋体"/>
                <w:color w:val="000000"/>
                <w:szCs w:val="21"/>
                <w:highlight w:val="none"/>
              </w:rPr>
              <w:t>限价</w:t>
            </w:r>
            <w:r>
              <w:rPr>
                <w:rFonts w:hint="eastAsia" w:ascii="宋体" w:hAnsi="宋体" w:cs="宋体"/>
                <w:color w:val="000000"/>
                <w:szCs w:val="21"/>
                <w:highlight w:val="none"/>
              </w:rPr>
              <w:t>；</w:t>
            </w:r>
          </w:p>
          <w:p w14:paraId="59DF324B">
            <w:pPr>
              <w:widowControl/>
              <w:adjustRightInd w:val="0"/>
              <w:snapToGrid w:val="0"/>
              <w:spacing w:line="400" w:lineRule="exact"/>
              <w:ind w:left="420" w:leftChars="200"/>
              <w:jc w:val="left"/>
              <w:rPr>
                <w:rFonts w:hint="eastAsia" w:ascii="宋体" w:hAnsi="宋体" w:cs="宋体"/>
                <w:color w:val="000000"/>
                <w:szCs w:val="21"/>
                <w:highlight w:val="none"/>
              </w:rPr>
            </w:pP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1</w:t>
            </w:r>
            <w:r>
              <w:rPr>
                <w:rFonts w:hint="eastAsia" w:ascii="微软雅黑" w:hAnsi="微软雅黑" w:eastAsia="微软雅黑" w:cs="微软雅黑"/>
                <w:color w:val="000000"/>
                <w:szCs w:val="21"/>
                <w:highlight w:val="none"/>
                <w:lang w:eastAsia="zh-CN"/>
              </w:rPr>
              <w:t>——</w:t>
            </w:r>
            <w:r>
              <w:rPr>
                <w:rFonts w:hint="eastAsia" w:ascii="宋体" w:hAnsi="宋体" w:cs="宋体"/>
                <w:color w:val="000000"/>
                <w:szCs w:val="21"/>
                <w:highlight w:val="none"/>
              </w:rPr>
              <w:t>为评标价算术平均值</w:t>
            </w:r>
            <w:r>
              <w:rPr>
                <w:rFonts w:ascii="宋体" w:hAnsi="宋体" w:cs="宋体"/>
                <w:color w:val="000000"/>
                <w:szCs w:val="21"/>
                <w:highlight w:val="none"/>
              </w:rPr>
              <w:t>A所占权重系数，取值范围</w:t>
            </w:r>
            <w:r>
              <w:rPr>
                <w:rStyle w:val="59"/>
                <w:rFonts w:ascii="宋体" w:hAnsi="宋体" w:cs="宋体"/>
                <w:color w:val="000000"/>
                <w:szCs w:val="21"/>
                <w:highlight w:val="none"/>
              </w:rPr>
              <w:footnoteReference w:id="169"/>
            </w:r>
            <w:r>
              <w:rPr>
                <w:rFonts w:hint="eastAsia" w:ascii="宋体" w:hAnsi="宋体" w:cs="宋体"/>
                <w:color w:val="000000"/>
                <w:szCs w:val="21"/>
                <w:highlight w:val="none"/>
              </w:rPr>
              <w:t>：</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p>
          <w:p w14:paraId="5B626F0B">
            <w:pPr>
              <w:widowControl/>
              <w:adjustRightInd w:val="0"/>
              <w:snapToGrid w:val="0"/>
              <w:spacing w:line="400" w:lineRule="exact"/>
              <w:ind w:left="420" w:leftChars="200"/>
              <w:jc w:val="left"/>
              <w:rPr>
                <w:rFonts w:ascii="宋体" w:hAnsi="宋体" w:cs="宋体"/>
                <w:color w:val="000000"/>
                <w:szCs w:val="21"/>
                <w:highlight w:val="none"/>
              </w:rPr>
            </w:pP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2</w:t>
            </w:r>
            <w:r>
              <w:rPr>
                <w:rFonts w:hint="eastAsia" w:ascii="微软雅黑" w:hAnsi="微软雅黑" w:eastAsia="微软雅黑" w:cs="微软雅黑"/>
                <w:color w:val="000000"/>
                <w:szCs w:val="21"/>
                <w:highlight w:val="none"/>
                <w:lang w:eastAsia="zh-CN"/>
              </w:rPr>
              <w:t>——</w:t>
            </w:r>
            <w:r>
              <w:rPr>
                <w:rFonts w:hint="eastAsia" w:ascii="宋体" w:hAnsi="宋体" w:cs="宋体"/>
                <w:color w:val="000000"/>
                <w:szCs w:val="21"/>
                <w:highlight w:val="none"/>
              </w:rPr>
              <w:t>为最高投标限价</w:t>
            </w:r>
            <w:r>
              <w:rPr>
                <w:rFonts w:ascii="宋体" w:hAnsi="宋体" w:cs="宋体"/>
                <w:color w:val="000000"/>
                <w:szCs w:val="21"/>
                <w:highlight w:val="none"/>
              </w:rPr>
              <w:t>B所占权重系数</w:t>
            </w: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2</w:t>
            </w:r>
            <w:r>
              <w:rPr>
                <w:rFonts w:ascii="宋体" w:hAnsi="宋体" w:cs="宋体"/>
                <w:color w:val="000000"/>
                <w:spacing w:val="20"/>
                <w:szCs w:val="21"/>
                <w:highlight w:val="none"/>
              </w:rPr>
              <w:t>=1－Q</w:t>
            </w:r>
            <w:r>
              <w:rPr>
                <w:rFonts w:ascii="宋体" w:hAnsi="宋体" w:cs="宋体"/>
                <w:color w:val="000000"/>
                <w:spacing w:val="20"/>
                <w:szCs w:val="21"/>
                <w:highlight w:val="none"/>
                <w:vertAlign w:val="subscript"/>
              </w:rPr>
              <w:t>1</w:t>
            </w:r>
            <w:r>
              <w:rPr>
                <w:rFonts w:hint="eastAsia" w:ascii="宋体" w:hAnsi="宋体" w:cs="宋体"/>
                <w:color w:val="000000"/>
                <w:spacing w:val="20"/>
                <w:szCs w:val="21"/>
                <w:highlight w:val="none"/>
              </w:rPr>
              <w:t>；</w:t>
            </w:r>
          </w:p>
          <w:p w14:paraId="20B1819C">
            <w:pPr>
              <w:widowControl/>
              <w:adjustRightInd w:val="0"/>
              <w:snapToGrid w:val="0"/>
              <w:spacing w:line="400" w:lineRule="exact"/>
              <w:ind w:left="420" w:leftChars="200"/>
              <w:jc w:val="left"/>
              <w:rPr>
                <w:rFonts w:ascii="宋体" w:hAnsi="宋体" w:cs="宋体"/>
                <w:color w:val="000000"/>
                <w:szCs w:val="21"/>
                <w:highlight w:val="none"/>
              </w:rPr>
            </w:pPr>
            <w:r>
              <w:rPr>
                <w:rFonts w:ascii="宋体" w:hAnsi="宋体" w:cs="宋体"/>
                <w:color w:val="000000"/>
                <w:szCs w:val="21"/>
                <w:highlight w:val="none"/>
              </w:rPr>
              <w:t>K</w:t>
            </w:r>
            <w:r>
              <w:rPr>
                <w:rFonts w:ascii="宋体" w:hAnsi="宋体" w:cs="宋体"/>
                <w:color w:val="000000"/>
                <w:szCs w:val="21"/>
                <w:highlight w:val="none"/>
                <w:vertAlign w:val="subscript"/>
              </w:rPr>
              <w:t>1</w:t>
            </w:r>
            <w:r>
              <w:rPr>
                <w:rFonts w:hint="eastAsia" w:ascii="微软雅黑" w:hAnsi="微软雅黑" w:eastAsia="微软雅黑" w:cs="微软雅黑"/>
                <w:color w:val="000000"/>
                <w:szCs w:val="21"/>
                <w:highlight w:val="none"/>
                <w:lang w:eastAsia="zh-CN"/>
              </w:rPr>
              <w:t>——</w:t>
            </w:r>
            <w:r>
              <w:rPr>
                <w:rFonts w:hint="eastAsia" w:ascii="宋体" w:hAnsi="宋体" w:cs="宋体"/>
                <w:color w:val="000000"/>
                <w:szCs w:val="21"/>
                <w:highlight w:val="none"/>
              </w:rPr>
              <w:t>为评标价算术平均值</w:t>
            </w:r>
            <w:r>
              <w:rPr>
                <w:rFonts w:ascii="宋体" w:hAnsi="宋体" w:cs="宋体"/>
                <w:color w:val="000000"/>
                <w:szCs w:val="21"/>
                <w:highlight w:val="none"/>
              </w:rPr>
              <w:t>A下浮系数，取值范围</w:t>
            </w:r>
            <w:r>
              <w:rPr>
                <w:rStyle w:val="59"/>
                <w:rFonts w:ascii="宋体" w:hAnsi="宋体" w:cs="宋体"/>
                <w:color w:val="000000"/>
                <w:szCs w:val="21"/>
                <w:highlight w:val="none"/>
              </w:rPr>
              <w:footnoteReference w:id="170"/>
            </w:r>
            <w:r>
              <w:rPr>
                <w:rFonts w:hint="eastAsia" w:ascii="宋体" w:hAnsi="宋体" w:cs="宋体"/>
                <w:color w:val="000000"/>
                <w:szCs w:val="21"/>
                <w:highlight w:val="none"/>
              </w:rPr>
              <w:t>：</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p>
          <w:p w14:paraId="44FAB643">
            <w:pPr>
              <w:widowControl/>
              <w:adjustRightInd w:val="0"/>
              <w:snapToGrid w:val="0"/>
              <w:spacing w:line="400" w:lineRule="exact"/>
              <w:ind w:left="420" w:leftChars="200"/>
              <w:jc w:val="left"/>
              <w:rPr>
                <w:rFonts w:ascii="宋体" w:hAnsi="宋体" w:cs="宋体"/>
                <w:color w:val="000000"/>
                <w:szCs w:val="21"/>
                <w:highlight w:val="none"/>
              </w:rPr>
            </w:pPr>
            <w:r>
              <w:rPr>
                <w:rFonts w:ascii="宋体" w:hAnsi="宋体" w:cs="宋体"/>
                <w:color w:val="000000"/>
                <w:szCs w:val="21"/>
                <w:highlight w:val="none"/>
              </w:rPr>
              <w:t>K</w:t>
            </w:r>
            <w:r>
              <w:rPr>
                <w:rFonts w:ascii="宋体" w:hAnsi="宋体" w:cs="宋体"/>
                <w:color w:val="000000"/>
                <w:szCs w:val="21"/>
                <w:highlight w:val="none"/>
                <w:vertAlign w:val="subscript"/>
              </w:rPr>
              <w:t>2</w:t>
            </w:r>
            <w:r>
              <w:rPr>
                <w:rFonts w:hint="eastAsia" w:ascii="微软雅黑" w:hAnsi="微软雅黑" w:eastAsia="微软雅黑" w:cs="微软雅黑"/>
                <w:color w:val="000000"/>
                <w:szCs w:val="21"/>
                <w:highlight w:val="none"/>
                <w:lang w:eastAsia="zh-CN"/>
              </w:rPr>
              <w:t>——</w:t>
            </w:r>
            <w:r>
              <w:rPr>
                <w:rFonts w:hint="eastAsia" w:ascii="宋体" w:hAnsi="宋体" w:cs="宋体"/>
                <w:color w:val="000000"/>
                <w:szCs w:val="21"/>
                <w:highlight w:val="none"/>
              </w:rPr>
              <w:t>为最高投标限价</w:t>
            </w:r>
            <w:r>
              <w:rPr>
                <w:rFonts w:ascii="宋体" w:hAnsi="宋体" w:cs="宋体"/>
                <w:color w:val="000000"/>
                <w:szCs w:val="21"/>
                <w:highlight w:val="none"/>
              </w:rPr>
              <w:t>B下浮系数，取值范围</w:t>
            </w:r>
            <w:r>
              <w:rPr>
                <w:rStyle w:val="59"/>
                <w:rFonts w:ascii="宋体" w:hAnsi="宋体" w:cs="宋体"/>
                <w:color w:val="000000"/>
                <w:szCs w:val="21"/>
                <w:highlight w:val="none"/>
              </w:rPr>
              <w:footnoteReference w:id="171"/>
            </w:r>
            <w:r>
              <w:rPr>
                <w:rFonts w:hint="eastAsia" w:ascii="宋体" w:hAnsi="宋体" w:cs="宋体"/>
                <w:color w:val="000000"/>
                <w:szCs w:val="21"/>
                <w:highlight w:val="none"/>
              </w:rPr>
              <w:t>：</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p>
          <w:p w14:paraId="463EAC04">
            <w:pPr>
              <w:widowControl/>
              <w:adjustRightInd w:val="0"/>
              <w:snapToGrid w:val="0"/>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M值、Q</w:t>
            </w:r>
            <w:r>
              <w:rPr>
                <w:rFonts w:ascii="宋体" w:hAnsi="宋体" w:cs="宋体"/>
                <w:color w:val="000000"/>
                <w:szCs w:val="21"/>
                <w:highlight w:val="none"/>
                <w:vertAlign w:val="subscript"/>
              </w:rPr>
              <w:t>1</w:t>
            </w:r>
            <w:r>
              <w:rPr>
                <w:rFonts w:hint="eastAsia" w:ascii="宋体" w:hAnsi="宋体" w:cs="宋体"/>
                <w:color w:val="000000"/>
                <w:szCs w:val="21"/>
                <w:highlight w:val="none"/>
              </w:rPr>
              <w:t>值、</w:t>
            </w:r>
            <w:r>
              <w:rPr>
                <w:rFonts w:ascii="宋体" w:hAnsi="宋体" w:cs="宋体"/>
                <w:color w:val="000000"/>
                <w:szCs w:val="21"/>
                <w:highlight w:val="none"/>
              </w:rPr>
              <w:t>K</w:t>
            </w:r>
            <w:r>
              <w:rPr>
                <w:rFonts w:ascii="宋体" w:hAnsi="宋体" w:cs="宋体"/>
                <w:color w:val="000000"/>
                <w:szCs w:val="21"/>
                <w:highlight w:val="none"/>
                <w:vertAlign w:val="subscript"/>
              </w:rPr>
              <w:t>1</w:t>
            </w:r>
            <w:r>
              <w:rPr>
                <w:rFonts w:hint="eastAsia" w:ascii="宋体" w:hAnsi="宋体" w:cs="宋体"/>
                <w:color w:val="000000"/>
                <w:szCs w:val="21"/>
                <w:highlight w:val="none"/>
              </w:rPr>
              <w:t>值、</w:t>
            </w:r>
            <w:r>
              <w:rPr>
                <w:rFonts w:ascii="宋体" w:hAnsi="宋体" w:cs="宋体"/>
                <w:color w:val="000000"/>
                <w:szCs w:val="21"/>
                <w:highlight w:val="none"/>
              </w:rPr>
              <w:t>K</w:t>
            </w:r>
            <w:r>
              <w:rPr>
                <w:rFonts w:ascii="宋体" w:hAnsi="宋体" w:cs="宋体"/>
                <w:color w:val="000000"/>
                <w:szCs w:val="21"/>
                <w:highlight w:val="none"/>
                <w:vertAlign w:val="subscript"/>
              </w:rPr>
              <w:t>2</w:t>
            </w:r>
            <w:r>
              <w:rPr>
                <w:rFonts w:hint="eastAsia" w:ascii="宋体" w:hAnsi="宋体" w:cs="宋体"/>
                <w:color w:val="000000"/>
                <w:szCs w:val="21"/>
                <w:highlight w:val="none"/>
              </w:rPr>
              <w:t>值均在第二个信封</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报价文件</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开标现场随机抽取确定，抽取要求见各系数的</w:t>
            </w:r>
            <w:r>
              <w:rPr>
                <w:rFonts w:ascii="宋体" w:hAnsi="宋体" w:cs="宋体"/>
                <w:color w:val="000000"/>
                <w:szCs w:val="21"/>
                <w:highlight w:val="none"/>
              </w:rPr>
              <w:t>确定。</w:t>
            </w:r>
          </w:p>
          <w:p w14:paraId="584407D9">
            <w:pPr>
              <w:adjustRightInd w:val="0"/>
              <w:snapToGrid w:val="0"/>
              <w:spacing w:line="400" w:lineRule="exac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fldChar w:fldCharType="begin"/>
            </w:r>
            <w:r>
              <w:rPr>
                <w:rFonts w:ascii="宋体" w:hAnsi="宋体" w:cs="宋体"/>
                <w:color w:val="000000"/>
                <w:szCs w:val="21"/>
                <w:highlight w:val="none"/>
              </w:rPr>
              <w:instrText xml:space="preserve"> = 2 \* GB3 \* MERGEFORMAT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②</w:t>
            </w:r>
            <w:r>
              <w:rPr>
                <w:rFonts w:hint="eastAsia" w:ascii="宋体" w:hAnsi="宋体" w:cs="宋体"/>
                <w:color w:val="000000"/>
                <w:szCs w:val="21"/>
                <w:highlight w:val="none"/>
              </w:rPr>
              <w:fldChar w:fldCharType="end"/>
            </w:r>
            <w:r>
              <w:rPr>
                <w:rFonts w:ascii="宋体" w:hAnsi="宋体" w:cs="宋体"/>
                <w:color w:val="000000"/>
                <w:szCs w:val="21"/>
                <w:highlight w:val="none"/>
              </w:rPr>
              <w:t xml:space="preserve"> K</w:t>
            </w:r>
            <w:r>
              <w:rPr>
                <w:rFonts w:ascii="宋体" w:hAnsi="宋体" w:cs="宋体"/>
                <w:color w:val="000000"/>
                <w:szCs w:val="21"/>
                <w:highlight w:val="none"/>
                <w:vertAlign w:val="subscript"/>
              </w:rPr>
              <w:t>1</w:t>
            </w:r>
            <w:r>
              <w:rPr>
                <w:rFonts w:hint="eastAsia" w:ascii="宋体" w:hAnsi="宋体" w:cs="宋体"/>
                <w:color w:val="000000"/>
                <w:szCs w:val="21"/>
                <w:highlight w:val="none"/>
              </w:rPr>
              <w:t>、</w:t>
            </w:r>
            <w:r>
              <w:rPr>
                <w:rFonts w:ascii="宋体" w:hAnsi="宋体" w:cs="宋体"/>
                <w:color w:val="000000"/>
                <w:szCs w:val="21"/>
                <w:highlight w:val="none"/>
              </w:rPr>
              <w:t>M</w:t>
            </w:r>
            <w:r>
              <w:rPr>
                <w:rFonts w:hint="eastAsia" w:ascii="宋体" w:hAnsi="宋体" w:cs="宋体"/>
                <w:color w:val="000000"/>
                <w:szCs w:val="21"/>
                <w:highlight w:val="none"/>
              </w:rPr>
              <w:t>、</w:t>
            </w:r>
            <w:r>
              <w:rPr>
                <w:rFonts w:ascii="宋体" w:hAnsi="宋体" w:cs="宋体"/>
                <w:color w:val="000000"/>
                <w:szCs w:val="21"/>
                <w:highlight w:val="none"/>
              </w:rPr>
              <w:t>K</w:t>
            </w:r>
            <w:r>
              <w:rPr>
                <w:rFonts w:ascii="宋体" w:hAnsi="宋体" w:cs="宋体"/>
                <w:color w:val="000000"/>
                <w:szCs w:val="21"/>
                <w:highlight w:val="none"/>
                <w:vertAlign w:val="subscript"/>
              </w:rPr>
              <w:t>2</w:t>
            </w:r>
            <w:r>
              <w:rPr>
                <w:rFonts w:hint="eastAsia" w:ascii="宋体" w:hAnsi="宋体" w:cs="宋体"/>
                <w:color w:val="000000"/>
                <w:szCs w:val="21"/>
                <w:highlight w:val="none"/>
              </w:rPr>
              <w:t>、</w:t>
            </w:r>
            <w:r>
              <w:rPr>
                <w:rFonts w:ascii="宋体" w:hAnsi="宋体" w:cs="宋体"/>
                <w:color w:val="000000"/>
                <w:szCs w:val="21"/>
                <w:highlight w:val="none"/>
              </w:rPr>
              <w:t>Q</w:t>
            </w:r>
            <w:r>
              <w:rPr>
                <w:rFonts w:ascii="宋体" w:hAnsi="宋体" w:cs="宋体"/>
                <w:color w:val="000000"/>
                <w:szCs w:val="21"/>
                <w:highlight w:val="none"/>
                <w:vertAlign w:val="subscript"/>
              </w:rPr>
              <w:t>1</w:t>
            </w:r>
            <w:r>
              <w:rPr>
                <w:rFonts w:hint="eastAsia" w:ascii="宋体" w:hAnsi="宋体" w:cs="宋体"/>
                <w:color w:val="000000"/>
                <w:szCs w:val="21"/>
                <w:highlight w:val="none"/>
              </w:rPr>
              <w:t>的确定：</w:t>
            </w:r>
          </w:p>
          <w:p w14:paraId="2501077E">
            <w:pPr>
              <w:widowControl/>
              <w:adjustRightInd w:val="0"/>
              <w:snapToGrid w:val="0"/>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K</w:t>
            </w:r>
            <w:r>
              <w:rPr>
                <w:rFonts w:ascii="宋体" w:hAnsi="宋体" w:cs="宋体"/>
                <w:color w:val="000000"/>
                <w:szCs w:val="21"/>
                <w:highlight w:val="none"/>
                <w:vertAlign w:val="subscript"/>
              </w:rPr>
              <w:t>1</w:t>
            </w:r>
            <w:r>
              <w:rPr>
                <w:rFonts w:hint="eastAsia" w:ascii="宋体" w:hAnsi="宋体" w:cs="宋体"/>
                <w:color w:val="000000"/>
                <w:szCs w:val="21"/>
                <w:highlight w:val="none"/>
              </w:rPr>
              <w:t>值的确定</w:t>
            </w:r>
            <w:r>
              <w:rPr>
                <w:rFonts w:hint="eastAsia" w:ascii="宋体" w:hAnsi="宋体" w:cs="宋体"/>
                <w:b/>
                <w:color w:val="000000"/>
                <w:szCs w:val="21"/>
                <w:highlight w:val="none"/>
              </w:rPr>
              <w:t>（□</w:t>
            </w:r>
            <w:r>
              <w:rPr>
                <w:rFonts w:hint="eastAsia" w:ascii="宋体" w:hAnsi="宋体" w:cs="宋体"/>
                <w:color w:val="000000"/>
                <w:szCs w:val="21"/>
                <w:highlight w:val="none"/>
              </w:rPr>
              <w:t>每个标段分别抽取</w:t>
            </w:r>
            <w:r>
              <w:rPr>
                <w:rFonts w:ascii="宋体" w:hAnsi="宋体" w:cs="宋体"/>
                <w:color w:val="000000"/>
                <w:szCs w:val="21"/>
                <w:highlight w:val="none"/>
              </w:rPr>
              <w:t>一次</w:t>
            </w:r>
            <w:r>
              <w:rPr>
                <w:rFonts w:hint="eastAsia" w:ascii="宋体" w:hAnsi="宋体" w:cs="宋体"/>
                <w:color w:val="000000"/>
                <w:szCs w:val="21"/>
                <w:highlight w:val="none"/>
              </w:rPr>
              <w:t>；</w:t>
            </w:r>
            <w:r>
              <w:rPr>
                <w:rFonts w:hint="eastAsia" w:ascii="宋体" w:hAnsi="宋体" w:cs="宋体"/>
                <w:b/>
                <w:color w:val="000000"/>
                <w:szCs w:val="21"/>
                <w:highlight w:val="none"/>
              </w:rPr>
              <w:t>□</w:t>
            </w:r>
            <w:r>
              <w:rPr>
                <w:rFonts w:hint="eastAsia" w:ascii="宋体" w:hAnsi="宋体" w:cs="宋体"/>
                <w:color w:val="000000"/>
                <w:szCs w:val="21"/>
                <w:highlight w:val="none"/>
              </w:rPr>
              <w:t>抽取</w:t>
            </w:r>
            <w:r>
              <w:rPr>
                <w:rFonts w:ascii="宋体" w:hAnsi="宋体" w:cs="宋体"/>
                <w:color w:val="000000"/>
                <w:szCs w:val="21"/>
                <w:highlight w:val="none"/>
              </w:rPr>
              <w:t>一次</w:t>
            </w:r>
            <w:r>
              <w:rPr>
                <w:rFonts w:hint="eastAsia" w:ascii="宋体" w:hAnsi="宋体" w:cs="宋体"/>
                <w:color w:val="000000"/>
                <w:szCs w:val="21"/>
                <w:highlight w:val="none"/>
              </w:rPr>
              <w:t>适用于</w:t>
            </w:r>
            <w:r>
              <w:rPr>
                <w:rFonts w:ascii="宋体" w:hAnsi="宋体" w:cs="宋体"/>
                <w:color w:val="000000"/>
                <w:szCs w:val="21"/>
                <w:highlight w:val="none"/>
              </w:rPr>
              <w:t>所有</w:t>
            </w:r>
            <w:r>
              <w:rPr>
                <w:rFonts w:hint="eastAsia" w:ascii="宋体" w:hAnsi="宋体" w:cs="宋体"/>
                <w:color w:val="000000"/>
                <w:szCs w:val="21"/>
                <w:highlight w:val="none"/>
              </w:rPr>
              <w:t>标段</w:t>
            </w:r>
            <w:r>
              <w:rPr>
                <w:rFonts w:hint="eastAsia" w:ascii="宋体" w:hAnsi="宋体" w:cs="宋体"/>
                <w:b/>
                <w:color w:val="000000"/>
                <w:szCs w:val="21"/>
                <w:highlight w:val="none"/>
              </w:rPr>
              <w:t>）</w:t>
            </w:r>
            <w:r>
              <w:rPr>
                <w:rFonts w:hint="eastAsia" w:ascii="宋体" w:hAnsi="宋体" w:cs="宋体"/>
                <w:color w:val="000000"/>
                <w:szCs w:val="21"/>
                <w:highlight w:val="none"/>
              </w:rPr>
              <w:t>：</w:t>
            </w:r>
          </w:p>
          <w:tbl>
            <w:tblPr>
              <w:tblStyle w:val="49"/>
              <w:tblW w:w="6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181"/>
              <w:gridCol w:w="1013"/>
              <w:gridCol w:w="919"/>
              <w:gridCol w:w="1026"/>
              <w:gridCol w:w="968"/>
            </w:tblGrid>
            <w:tr w14:paraId="063F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90" w:type="dxa"/>
                  <w:vAlign w:val="center"/>
                </w:tcPr>
                <w:p w14:paraId="3ADB9DAE">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1181" w:type="dxa"/>
                  <w:vAlign w:val="center"/>
                </w:tcPr>
                <w:p w14:paraId="091EC9B4">
                  <w:pPr>
                    <w:widowControl/>
                    <w:adjustRightInd w:val="0"/>
                    <w:snapToGrid w:val="0"/>
                    <w:spacing w:line="400" w:lineRule="exact"/>
                    <w:jc w:val="left"/>
                    <w:rPr>
                      <w:rFonts w:ascii="宋体" w:hAnsi="宋体" w:cs="宋体"/>
                      <w:color w:val="000000"/>
                      <w:szCs w:val="21"/>
                      <w:highlight w:val="none"/>
                    </w:rPr>
                  </w:pPr>
                </w:p>
              </w:tc>
              <w:tc>
                <w:tcPr>
                  <w:tcW w:w="1013" w:type="dxa"/>
                  <w:vAlign w:val="center"/>
                </w:tcPr>
                <w:p w14:paraId="16E22376">
                  <w:pPr>
                    <w:widowControl/>
                    <w:adjustRightInd w:val="0"/>
                    <w:snapToGrid w:val="0"/>
                    <w:spacing w:line="400" w:lineRule="exact"/>
                    <w:jc w:val="left"/>
                    <w:rPr>
                      <w:rFonts w:ascii="宋体" w:hAnsi="宋体" w:cs="宋体"/>
                      <w:color w:val="000000"/>
                      <w:szCs w:val="21"/>
                      <w:highlight w:val="none"/>
                    </w:rPr>
                  </w:pPr>
                </w:p>
              </w:tc>
              <w:tc>
                <w:tcPr>
                  <w:tcW w:w="919" w:type="dxa"/>
                  <w:vAlign w:val="center"/>
                </w:tcPr>
                <w:p w14:paraId="18EC16EA">
                  <w:pPr>
                    <w:widowControl/>
                    <w:adjustRightInd w:val="0"/>
                    <w:snapToGrid w:val="0"/>
                    <w:spacing w:line="400" w:lineRule="exact"/>
                    <w:jc w:val="left"/>
                    <w:rPr>
                      <w:rFonts w:ascii="宋体" w:hAnsi="宋体" w:cs="宋体"/>
                      <w:color w:val="000000"/>
                      <w:szCs w:val="21"/>
                      <w:highlight w:val="none"/>
                    </w:rPr>
                  </w:pPr>
                </w:p>
              </w:tc>
              <w:tc>
                <w:tcPr>
                  <w:tcW w:w="1026" w:type="dxa"/>
                  <w:vAlign w:val="center"/>
                </w:tcPr>
                <w:p w14:paraId="5CE607B6">
                  <w:pPr>
                    <w:widowControl/>
                    <w:adjustRightInd w:val="0"/>
                    <w:snapToGrid w:val="0"/>
                    <w:spacing w:line="400" w:lineRule="exact"/>
                    <w:jc w:val="left"/>
                    <w:rPr>
                      <w:rFonts w:ascii="宋体" w:hAnsi="宋体" w:cs="宋体"/>
                      <w:color w:val="000000"/>
                      <w:szCs w:val="21"/>
                      <w:highlight w:val="none"/>
                    </w:rPr>
                  </w:pPr>
                </w:p>
              </w:tc>
              <w:tc>
                <w:tcPr>
                  <w:tcW w:w="968" w:type="dxa"/>
                  <w:vAlign w:val="center"/>
                </w:tcPr>
                <w:p w14:paraId="58389888">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r>
            <w:tr w14:paraId="6902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90" w:type="dxa"/>
                  <w:vAlign w:val="center"/>
                </w:tcPr>
                <w:p w14:paraId="3BAE5FE8">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对应</w:t>
                  </w:r>
                  <w:r>
                    <w:rPr>
                      <w:rFonts w:ascii="宋体" w:hAnsi="宋体" w:cs="宋体"/>
                      <w:color w:val="000000"/>
                      <w:szCs w:val="21"/>
                      <w:highlight w:val="none"/>
                    </w:rPr>
                    <w:t>K</w:t>
                  </w:r>
                  <w:r>
                    <w:rPr>
                      <w:rFonts w:ascii="宋体" w:hAnsi="宋体" w:cs="宋体"/>
                      <w:color w:val="000000"/>
                      <w:szCs w:val="21"/>
                      <w:highlight w:val="none"/>
                      <w:vertAlign w:val="subscript"/>
                    </w:rPr>
                    <w:t>1</w:t>
                  </w:r>
                  <w:r>
                    <w:rPr>
                      <w:rFonts w:hint="eastAsia" w:ascii="宋体" w:hAnsi="宋体" w:cs="宋体"/>
                      <w:color w:val="000000"/>
                      <w:szCs w:val="21"/>
                      <w:highlight w:val="none"/>
                    </w:rPr>
                    <w:t>值</w:t>
                  </w:r>
                </w:p>
              </w:tc>
              <w:tc>
                <w:tcPr>
                  <w:tcW w:w="1181" w:type="dxa"/>
                  <w:vAlign w:val="center"/>
                </w:tcPr>
                <w:p w14:paraId="37BFD326">
                  <w:pPr>
                    <w:widowControl/>
                    <w:adjustRightInd w:val="0"/>
                    <w:snapToGrid w:val="0"/>
                    <w:spacing w:line="400" w:lineRule="exact"/>
                    <w:jc w:val="left"/>
                    <w:rPr>
                      <w:rFonts w:ascii="宋体" w:hAnsi="宋体" w:cs="宋体"/>
                      <w:color w:val="000000"/>
                      <w:szCs w:val="21"/>
                      <w:highlight w:val="none"/>
                    </w:rPr>
                  </w:pPr>
                </w:p>
              </w:tc>
              <w:tc>
                <w:tcPr>
                  <w:tcW w:w="1013" w:type="dxa"/>
                  <w:vAlign w:val="center"/>
                </w:tcPr>
                <w:p w14:paraId="2DC46C89">
                  <w:pPr>
                    <w:widowControl/>
                    <w:adjustRightInd w:val="0"/>
                    <w:snapToGrid w:val="0"/>
                    <w:spacing w:line="400" w:lineRule="exact"/>
                    <w:jc w:val="left"/>
                    <w:rPr>
                      <w:rFonts w:ascii="宋体" w:hAnsi="宋体" w:cs="宋体"/>
                      <w:color w:val="000000"/>
                      <w:szCs w:val="21"/>
                      <w:highlight w:val="none"/>
                    </w:rPr>
                  </w:pPr>
                </w:p>
              </w:tc>
              <w:tc>
                <w:tcPr>
                  <w:tcW w:w="919" w:type="dxa"/>
                  <w:vAlign w:val="center"/>
                </w:tcPr>
                <w:p w14:paraId="4D792B10">
                  <w:pPr>
                    <w:widowControl/>
                    <w:adjustRightInd w:val="0"/>
                    <w:snapToGrid w:val="0"/>
                    <w:spacing w:line="400" w:lineRule="exact"/>
                    <w:jc w:val="left"/>
                    <w:rPr>
                      <w:rFonts w:ascii="宋体" w:hAnsi="宋体" w:cs="宋体"/>
                      <w:color w:val="000000"/>
                      <w:szCs w:val="21"/>
                      <w:highlight w:val="none"/>
                    </w:rPr>
                  </w:pPr>
                </w:p>
              </w:tc>
              <w:tc>
                <w:tcPr>
                  <w:tcW w:w="1026" w:type="dxa"/>
                  <w:vAlign w:val="center"/>
                </w:tcPr>
                <w:p w14:paraId="06AD168C">
                  <w:pPr>
                    <w:widowControl/>
                    <w:adjustRightInd w:val="0"/>
                    <w:snapToGrid w:val="0"/>
                    <w:spacing w:line="400" w:lineRule="exact"/>
                    <w:jc w:val="left"/>
                    <w:rPr>
                      <w:rFonts w:ascii="宋体" w:hAnsi="宋体" w:cs="宋体"/>
                      <w:color w:val="000000"/>
                      <w:szCs w:val="21"/>
                      <w:highlight w:val="none"/>
                    </w:rPr>
                  </w:pPr>
                </w:p>
              </w:tc>
              <w:tc>
                <w:tcPr>
                  <w:tcW w:w="968" w:type="dxa"/>
                  <w:vAlign w:val="center"/>
                </w:tcPr>
                <w:p w14:paraId="0D766FF1">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r>
          </w:tbl>
          <w:p w14:paraId="2EB7E2FE">
            <w:pPr>
              <w:widowControl/>
              <w:adjustRightInd w:val="0"/>
              <w:snapToGrid w:val="0"/>
              <w:spacing w:line="400" w:lineRule="exact"/>
              <w:ind w:firstLine="0" w:firstLineChars="0"/>
              <w:rPr>
                <w:rFonts w:ascii="宋体" w:hAnsi="宋体" w:cs="宋体"/>
                <w:color w:val="000000"/>
                <w:szCs w:val="21"/>
                <w:highlight w:val="none"/>
              </w:rPr>
            </w:pPr>
            <w:r>
              <w:rPr>
                <w:rFonts w:ascii="宋体" w:hAnsi="宋体" w:cs="宋体"/>
                <w:color w:val="000000"/>
                <w:szCs w:val="21"/>
                <w:highlight w:val="none"/>
              </w:rPr>
              <w:t>M</w:t>
            </w:r>
            <w:r>
              <w:rPr>
                <w:rFonts w:hint="eastAsia" w:ascii="宋体" w:hAnsi="宋体" w:cs="宋体"/>
                <w:color w:val="000000"/>
                <w:szCs w:val="21"/>
                <w:highlight w:val="none"/>
              </w:rPr>
              <w:t>值的确定</w:t>
            </w:r>
            <w:r>
              <w:rPr>
                <w:rFonts w:hint="eastAsia" w:ascii="宋体" w:hAnsi="宋体" w:cs="宋体"/>
                <w:b/>
                <w:color w:val="000000"/>
                <w:szCs w:val="21"/>
                <w:highlight w:val="none"/>
              </w:rPr>
              <w:t>（□</w:t>
            </w:r>
            <w:r>
              <w:rPr>
                <w:rFonts w:hint="eastAsia" w:ascii="宋体" w:hAnsi="宋体" w:cs="宋体"/>
                <w:color w:val="000000"/>
                <w:szCs w:val="21"/>
                <w:highlight w:val="none"/>
              </w:rPr>
              <w:t>每个标段分别抽取</w:t>
            </w:r>
            <w:r>
              <w:rPr>
                <w:rFonts w:ascii="宋体" w:hAnsi="宋体" w:cs="宋体"/>
                <w:color w:val="000000"/>
                <w:szCs w:val="21"/>
                <w:highlight w:val="none"/>
              </w:rPr>
              <w:t>一次</w:t>
            </w:r>
            <w:r>
              <w:rPr>
                <w:rFonts w:hint="eastAsia" w:ascii="宋体" w:hAnsi="宋体" w:cs="宋体"/>
                <w:color w:val="000000"/>
                <w:szCs w:val="21"/>
                <w:highlight w:val="none"/>
              </w:rPr>
              <w:t>；</w:t>
            </w:r>
            <w:r>
              <w:rPr>
                <w:rFonts w:hint="eastAsia" w:ascii="宋体" w:hAnsi="宋体" w:cs="宋体"/>
                <w:b/>
                <w:color w:val="000000"/>
                <w:szCs w:val="21"/>
                <w:highlight w:val="none"/>
              </w:rPr>
              <w:t>□</w:t>
            </w:r>
            <w:r>
              <w:rPr>
                <w:rFonts w:hint="eastAsia" w:ascii="宋体" w:hAnsi="宋体" w:cs="宋体"/>
                <w:color w:val="000000"/>
                <w:szCs w:val="21"/>
                <w:highlight w:val="none"/>
              </w:rPr>
              <w:t>抽取</w:t>
            </w:r>
            <w:r>
              <w:rPr>
                <w:rFonts w:ascii="宋体" w:hAnsi="宋体" w:cs="宋体"/>
                <w:color w:val="000000"/>
                <w:szCs w:val="21"/>
                <w:highlight w:val="none"/>
              </w:rPr>
              <w:t>一次</w:t>
            </w:r>
            <w:r>
              <w:rPr>
                <w:rFonts w:hint="eastAsia" w:ascii="宋体" w:hAnsi="宋体" w:cs="宋体"/>
                <w:color w:val="000000"/>
                <w:szCs w:val="21"/>
                <w:highlight w:val="none"/>
              </w:rPr>
              <w:t>适用于</w:t>
            </w:r>
            <w:r>
              <w:rPr>
                <w:rFonts w:ascii="宋体" w:hAnsi="宋体" w:cs="宋体"/>
                <w:color w:val="000000"/>
                <w:szCs w:val="21"/>
                <w:highlight w:val="none"/>
              </w:rPr>
              <w:t>所有</w:t>
            </w:r>
            <w:r>
              <w:rPr>
                <w:rFonts w:hint="eastAsia" w:ascii="宋体" w:hAnsi="宋体" w:cs="宋体"/>
                <w:color w:val="000000"/>
                <w:szCs w:val="21"/>
                <w:highlight w:val="none"/>
              </w:rPr>
              <w:t>标段</w:t>
            </w:r>
            <w:r>
              <w:rPr>
                <w:rFonts w:hint="eastAsia" w:ascii="宋体" w:hAnsi="宋体" w:cs="宋体"/>
                <w:b/>
                <w:color w:val="000000"/>
                <w:szCs w:val="21"/>
                <w:highlight w:val="none"/>
              </w:rPr>
              <w:t>）</w:t>
            </w:r>
            <w:r>
              <w:rPr>
                <w:rFonts w:hint="eastAsia" w:ascii="宋体" w:hAnsi="宋体" w:cs="宋体"/>
                <w:color w:val="000000"/>
                <w:szCs w:val="21"/>
                <w:highlight w:val="none"/>
              </w:rPr>
              <w:t>：</w:t>
            </w:r>
          </w:p>
        </w:tc>
      </w:tr>
      <w:tr w14:paraId="1608C385">
        <w:tblPrEx>
          <w:tblCellMar>
            <w:top w:w="0" w:type="dxa"/>
            <w:left w:w="108" w:type="dxa"/>
            <w:bottom w:w="0" w:type="dxa"/>
            <w:right w:w="108" w:type="dxa"/>
          </w:tblCellMar>
        </w:tblPrEx>
        <w:trPr>
          <w:trHeight w:val="360"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36371CC6">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olor w:val="000000"/>
                <w:szCs w:val="21"/>
                <w:highlight w:val="none"/>
                <w:lang w:val="en-US" w:eastAsia="zh-CN"/>
              </w:rPr>
              <w:t>2.2.</w:t>
            </w:r>
            <w:r>
              <w:rPr>
                <w:rFonts w:ascii="宋体" w:hAnsi="宋体"/>
                <w:color w:val="000000"/>
                <w:szCs w:val="21"/>
                <w:highlight w:val="none"/>
              </w:rPr>
              <w:t>2</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14:paraId="1F54A49C">
            <w:pPr>
              <w:widowControl/>
              <w:adjustRightInd w:val="0"/>
              <w:snapToGrid w:val="0"/>
              <w:spacing w:line="400" w:lineRule="exact"/>
              <w:jc w:val="both"/>
              <w:rPr>
                <w:rFonts w:ascii="宋体" w:hAnsi="宋体"/>
                <w:color w:val="000000"/>
                <w:szCs w:val="21"/>
                <w:highlight w:val="none"/>
              </w:rPr>
            </w:pPr>
            <w:r>
              <w:rPr>
                <w:rFonts w:hint="eastAsia" w:ascii="宋体" w:hAnsi="宋体"/>
                <w:color w:val="000000"/>
                <w:szCs w:val="21"/>
                <w:highlight w:val="none"/>
              </w:rPr>
              <w:t>评标基准价计算方法</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tbl>
            <w:tblPr>
              <w:tblStyle w:val="49"/>
              <w:tblW w:w="6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53"/>
              <w:gridCol w:w="853"/>
              <w:gridCol w:w="853"/>
              <w:gridCol w:w="853"/>
              <w:gridCol w:w="853"/>
              <w:gridCol w:w="855"/>
            </w:tblGrid>
            <w:tr w14:paraId="5247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6" w:type="dxa"/>
                  <w:vAlign w:val="center"/>
                </w:tcPr>
                <w:p w14:paraId="3A13C2BC">
                  <w:pPr>
                    <w:widowControl/>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853" w:type="dxa"/>
                  <w:vAlign w:val="center"/>
                </w:tcPr>
                <w:p w14:paraId="550D9FE2">
                  <w:pPr>
                    <w:widowControl/>
                    <w:spacing w:line="400" w:lineRule="exact"/>
                    <w:ind w:firstLine="630" w:firstLineChars="300"/>
                    <w:jc w:val="center"/>
                    <w:rPr>
                      <w:rFonts w:ascii="宋体" w:hAnsi="宋体" w:cs="宋体"/>
                      <w:color w:val="000000"/>
                      <w:szCs w:val="21"/>
                      <w:highlight w:val="none"/>
                    </w:rPr>
                  </w:pPr>
                </w:p>
              </w:tc>
              <w:tc>
                <w:tcPr>
                  <w:tcW w:w="853" w:type="dxa"/>
                  <w:vAlign w:val="center"/>
                </w:tcPr>
                <w:p w14:paraId="32129934">
                  <w:pPr>
                    <w:widowControl/>
                    <w:spacing w:line="400" w:lineRule="exact"/>
                    <w:ind w:firstLine="630" w:firstLineChars="300"/>
                    <w:jc w:val="center"/>
                    <w:rPr>
                      <w:rFonts w:ascii="宋体" w:hAnsi="宋体" w:cs="宋体"/>
                      <w:color w:val="000000"/>
                      <w:szCs w:val="21"/>
                      <w:highlight w:val="none"/>
                    </w:rPr>
                  </w:pPr>
                </w:p>
              </w:tc>
              <w:tc>
                <w:tcPr>
                  <w:tcW w:w="853" w:type="dxa"/>
                  <w:vAlign w:val="center"/>
                </w:tcPr>
                <w:p w14:paraId="1B07FB9D">
                  <w:pPr>
                    <w:widowControl/>
                    <w:spacing w:line="400" w:lineRule="exact"/>
                    <w:ind w:firstLine="630" w:firstLineChars="300"/>
                    <w:jc w:val="center"/>
                    <w:rPr>
                      <w:rFonts w:ascii="宋体" w:hAnsi="宋体" w:cs="宋体"/>
                      <w:color w:val="000000"/>
                      <w:szCs w:val="21"/>
                      <w:highlight w:val="none"/>
                    </w:rPr>
                  </w:pPr>
                </w:p>
              </w:tc>
              <w:tc>
                <w:tcPr>
                  <w:tcW w:w="853" w:type="dxa"/>
                  <w:vAlign w:val="center"/>
                </w:tcPr>
                <w:p w14:paraId="320E96DE">
                  <w:pPr>
                    <w:widowControl/>
                    <w:spacing w:line="400" w:lineRule="exact"/>
                    <w:ind w:firstLine="630" w:firstLineChars="300"/>
                    <w:jc w:val="center"/>
                    <w:rPr>
                      <w:rFonts w:ascii="宋体" w:hAnsi="宋体" w:cs="宋体"/>
                      <w:color w:val="000000"/>
                      <w:szCs w:val="21"/>
                      <w:highlight w:val="none"/>
                    </w:rPr>
                  </w:pPr>
                </w:p>
              </w:tc>
              <w:tc>
                <w:tcPr>
                  <w:tcW w:w="853" w:type="dxa"/>
                  <w:vAlign w:val="center"/>
                </w:tcPr>
                <w:p w14:paraId="4D038212">
                  <w:pPr>
                    <w:widowControl/>
                    <w:spacing w:line="400" w:lineRule="exact"/>
                    <w:ind w:firstLine="630" w:firstLineChars="300"/>
                    <w:jc w:val="center"/>
                    <w:rPr>
                      <w:rFonts w:ascii="宋体" w:hAnsi="宋体" w:cs="宋体"/>
                      <w:color w:val="000000"/>
                      <w:szCs w:val="21"/>
                      <w:highlight w:val="none"/>
                    </w:rPr>
                  </w:pPr>
                </w:p>
              </w:tc>
              <w:tc>
                <w:tcPr>
                  <w:tcW w:w="855" w:type="dxa"/>
                  <w:vAlign w:val="center"/>
                </w:tcPr>
                <w:p w14:paraId="67C4E11A">
                  <w:pPr>
                    <w:widowControl/>
                    <w:spacing w:line="400" w:lineRule="exact"/>
                    <w:ind w:firstLine="630" w:firstLineChars="300"/>
                    <w:jc w:val="center"/>
                    <w:rPr>
                      <w:rFonts w:ascii="宋体" w:hAnsi="宋体" w:cs="宋体"/>
                      <w:color w:val="000000"/>
                      <w:szCs w:val="21"/>
                      <w:highlight w:val="none"/>
                    </w:rPr>
                  </w:pPr>
                </w:p>
              </w:tc>
            </w:tr>
            <w:tr w14:paraId="4E8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96" w:type="dxa"/>
                  <w:vAlign w:val="center"/>
                </w:tcPr>
                <w:p w14:paraId="1D1EF894">
                  <w:pPr>
                    <w:widowControl/>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对应</w:t>
                  </w:r>
                  <w:r>
                    <w:rPr>
                      <w:rFonts w:ascii="宋体" w:hAnsi="宋体" w:cs="宋体"/>
                      <w:color w:val="000000"/>
                      <w:szCs w:val="21"/>
                      <w:highlight w:val="none"/>
                    </w:rPr>
                    <w:t>M值</w:t>
                  </w:r>
                </w:p>
              </w:tc>
              <w:tc>
                <w:tcPr>
                  <w:tcW w:w="853" w:type="dxa"/>
                  <w:vAlign w:val="center"/>
                </w:tcPr>
                <w:p w14:paraId="43A57F4C">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0</w:t>
                  </w:r>
                </w:p>
              </w:tc>
              <w:tc>
                <w:tcPr>
                  <w:tcW w:w="853" w:type="dxa"/>
                  <w:vAlign w:val="center"/>
                </w:tcPr>
                <w:p w14:paraId="0F33398D">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1</w:t>
                  </w:r>
                </w:p>
              </w:tc>
              <w:tc>
                <w:tcPr>
                  <w:tcW w:w="853" w:type="dxa"/>
                  <w:vAlign w:val="center"/>
                </w:tcPr>
                <w:p w14:paraId="7BEB554E">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2</w:t>
                  </w:r>
                </w:p>
              </w:tc>
              <w:tc>
                <w:tcPr>
                  <w:tcW w:w="853" w:type="dxa"/>
                  <w:vAlign w:val="center"/>
                </w:tcPr>
                <w:p w14:paraId="763E8FCD">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3</w:t>
                  </w:r>
                </w:p>
              </w:tc>
              <w:tc>
                <w:tcPr>
                  <w:tcW w:w="853" w:type="dxa"/>
                  <w:vAlign w:val="center"/>
                </w:tcPr>
                <w:p w14:paraId="42168B9A">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4</w:t>
                  </w:r>
                </w:p>
              </w:tc>
              <w:tc>
                <w:tcPr>
                  <w:tcW w:w="855" w:type="dxa"/>
                  <w:vAlign w:val="center"/>
                </w:tcPr>
                <w:p w14:paraId="3E2A2E01">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5</w:t>
                  </w:r>
                </w:p>
              </w:tc>
            </w:tr>
          </w:tbl>
          <w:p w14:paraId="124844E4">
            <w:pPr>
              <w:widowControl/>
              <w:adjustRightInd w:val="0"/>
              <w:snapToGrid w:val="0"/>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K</w:t>
            </w:r>
            <w:r>
              <w:rPr>
                <w:rFonts w:ascii="宋体" w:hAnsi="宋体" w:cs="宋体"/>
                <w:color w:val="000000"/>
                <w:szCs w:val="21"/>
                <w:highlight w:val="none"/>
                <w:vertAlign w:val="subscript"/>
              </w:rPr>
              <w:t>2</w:t>
            </w:r>
            <w:r>
              <w:rPr>
                <w:rFonts w:hint="eastAsia" w:ascii="宋体" w:hAnsi="宋体" w:cs="宋体"/>
                <w:color w:val="000000"/>
                <w:szCs w:val="21"/>
                <w:highlight w:val="none"/>
              </w:rPr>
              <w:t>值的确定</w:t>
            </w:r>
            <w:r>
              <w:rPr>
                <w:rFonts w:hint="eastAsia" w:ascii="宋体" w:hAnsi="宋体" w:cs="宋体"/>
                <w:b/>
                <w:color w:val="000000"/>
                <w:szCs w:val="21"/>
                <w:highlight w:val="none"/>
              </w:rPr>
              <w:t>（□</w:t>
            </w:r>
            <w:r>
              <w:rPr>
                <w:rFonts w:hint="eastAsia" w:ascii="宋体" w:hAnsi="宋体" w:cs="宋体"/>
                <w:color w:val="000000"/>
                <w:szCs w:val="21"/>
                <w:highlight w:val="none"/>
              </w:rPr>
              <w:t>每个标段分别抽取</w:t>
            </w:r>
            <w:r>
              <w:rPr>
                <w:rFonts w:ascii="宋体" w:hAnsi="宋体" w:cs="宋体"/>
                <w:color w:val="000000"/>
                <w:szCs w:val="21"/>
                <w:highlight w:val="none"/>
              </w:rPr>
              <w:t>一次</w:t>
            </w:r>
            <w:r>
              <w:rPr>
                <w:rFonts w:hint="eastAsia" w:ascii="宋体" w:hAnsi="宋体" w:cs="宋体"/>
                <w:color w:val="000000"/>
                <w:szCs w:val="21"/>
                <w:highlight w:val="none"/>
              </w:rPr>
              <w:t>；</w:t>
            </w:r>
            <w:r>
              <w:rPr>
                <w:rFonts w:hint="eastAsia" w:ascii="宋体" w:hAnsi="宋体" w:cs="宋体"/>
                <w:b/>
                <w:color w:val="000000"/>
                <w:szCs w:val="21"/>
                <w:highlight w:val="none"/>
              </w:rPr>
              <w:t>□</w:t>
            </w:r>
            <w:r>
              <w:rPr>
                <w:rFonts w:hint="eastAsia" w:ascii="宋体" w:hAnsi="宋体" w:cs="宋体"/>
                <w:color w:val="000000"/>
                <w:szCs w:val="21"/>
                <w:highlight w:val="none"/>
              </w:rPr>
              <w:t>抽取</w:t>
            </w:r>
            <w:r>
              <w:rPr>
                <w:rFonts w:ascii="宋体" w:hAnsi="宋体" w:cs="宋体"/>
                <w:color w:val="000000"/>
                <w:szCs w:val="21"/>
                <w:highlight w:val="none"/>
              </w:rPr>
              <w:t>一次</w:t>
            </w:r>
            <w:r>
              <w:rPr>
                <w:rFonts w:hint="eastAsia" w:ascii="宋体" w:hAnsi="宋体" w:cs="宋体"/>
                <w:color w:val="000000"/>
                <w:szCs w:val="21"/>
                <w:highlight w:val="none"/>
              </w:rPr>
              <w:t>适用于</w:t>
            </w:r>
            <w:r>
              <w:rPr>
                <w:rFonts w:ascii="宋体" w:hAnsi="宋体" w:cs="宋体"/>
                <w:color w:val="000000"/>
                <w:szCs w:val="21"/>
                <w:highlight w:val="none"/>
              </w:rPr>
              <w:t>所有</w:t>
            </w:r>
            <w:r>
              <w:rPr>
                <w:rFonts w:hint="eastAsia" w:ascii="宋体" w:hAnsi="宋体" w:cs="宋体"/>
                <w:color w:val="000000"/>
                <w:szCs w:val="21"/>
                <w:highlight w:val="none"/>
              </w:rPr>
              <w:t>标段</w:t>
            </w:r>
            <w:r>
              <w:rPr>
                <w:rFonts w:hint="eastAsia" w:ascii="宋体" w:hAnsi="宋体" w:cs="宋体"/>
                <w:b/>
                <w:color w:val="000000"/>
                <w:szCs w:val="21"/>
                <w:highlight w:val="none"/>
              </w:rPr>
              <w:t>）</w:t>
            </w:r>
            <w:r>
              <w:rPr>
                <w:rFonts w:hint="eastAsia" w:ascii="宋体" w:hAnsi="宋体" w:cs="宋体"/>
                <w:color w:val="000000"/>
                <w:szCs w:val="21"/>
                <w:highlight w:val="none"/>
              </w:rPr>
              <w:t>：</w:t>
            </w:r>
          </w:p>
          <w:tbl>
            <w:tblPr>
              <w:tblStyle w:val="49"/>
              <w:tblW w:w="6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20"/>
              <w:gridCol w:w="1108"/>
              <w:gridCol w:w="970"/>
              <w:gridCol w:w="971"/>
              <w:gridCol w:w="938"/>
            </w:tblGrid>
            <w:tr w14:paraId="78AA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91" w:type="dxa"/>
                  <w:vAlign w:val="center"/>
                </w:tcPr>
                <w:p w14:paraId="3A446BBB">
                  <w:pPr>
                    <w:widowControl/>
                    <w:adjustRightInd w:val="0"/>
                    <w:snapToGrid w:val="0"/>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1020" w:type="dxa"/>
                  <w:vAlign w:val="center"/>
                </w:tcPr>
                <w:p w14:paraId="7C12AFFA">
                  <w:pPr>
                    <w:widowControl/>
                    <w:adjustRightInd w:val="0"/>
                    <w:snapToGrid w:val="0"/>
                    <w:spacing w:line="400" w:lineRule="exact"/>
                    <w:jc w:val="center"/>
                    <w:rPr>
                      <w:rFonts w:ascii="宋体" w:hAnsi="宋体" w:cs="宋体"/>
                      <w:color w:val="000000"/>
                      <w:szCs w:val="21"/>
                      <w:highlight w:val="none"/>
                    </w:rPr>
                  </w:pPr>
                </w:p>
              </w:tc>
              <w:tc>
                <w:tcPr>
                  <w:tcW w:w="1108" w:type="dxa"/>
                  <w:vAlign w:val="center"/>
                </w:tcPr>
                <w:p w14:paraId="0938F913">
                  <w:pPr>
                    <w:widowControl/>
                    <w:adjustRightInd w:val="0"/>
                    <w:snapToGrid w:val="0"/>
                    <w:spacing w:line="400" w:lineRule="exact"/>
                    <w:jc w:val="center"/>
                    <w:rPr>
                      <w:rFonts w:ascii="宋体" w:hAnsi="宋体" w:cs="宋体"/>
                      <w:color w:val="000000"/>
                      <w:szCs w:val="21"/>
                      <w:highlight w:val="none"/>
                    </w:rPr>
                  </w:pPr>
                </w:p>
              </w:tc>
              <w:tc>
                <w:tcPr>
                  <w:tcW w:w="970" w:type="dxa"/>
                  <w:vAlign w:val="center"/>
                </w:tcPr>
                <w:p w14:paraId="1131BAC2">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971" w:type="dxa"/>
                  <w:vAlign w:val="center"/>
                </w:tcPr>
                <w:p w14:paraId="3E61FFEF">
                  <w:pPr>
                    <w:widowControl/>
                    <w:adjustRightInd w:val="0"/>
                    <w:snapToGrid w:val="0"/>
                    <w:spacing w:line="400" w:lineRule="exact"/>
                    <w:jc w:val="center"/>
                    <w:rPr>
                      <w:rFonts w:ascii="宋体" w:hAnsi="宋体" w:cs="宋体"/>
                      <w:color w:val="000000"/>
                      <w:szCs w:val="21"/>
                      <w:highlight w:val="none"/>
                    </w:rPr>
                  </w:pPr>
                </w:p>
              </w:tc>
              <w:tc>
                <w:tcPr>
                  <w:tcW w:w="938" w:type="dxa"/>
                  <w:vAlign w:val="center"/>
                </w:tcPr>
                <w:p w14:paraId="3078BFA4">
                  <w:pPr>
                    <w:widowControl/>
                    <w:adjustRightInd w:val="0"/>
                    <w:snapToGrid w:val="0"/>
                    <w:spacing w:line="400" w:lineRule="exact"/>
                    <w:jc w:val="center"/>
                    <w:rPr>
                      <w:rFonts w:ascii="宋体" w:hAnsi="宋体" w:cs="宋体"/>
                      <w:color w:val="000000"/>
                      <w:szCs w:val="21"/>
                      <w:highlight w:val="none"/>
                    </w:rPr>
                  </w:pPr>
                </w:p>
              </w:tc>
            </w:tr>
            <w:tr w14:paraId="46A3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91" w:type="dxa"/>
                  <w:vAlign w:val="center"/>
                </w:tcPr>
                <w:p w14:paraId="548AC07A">
                  <w:pPr>
                    <w:widowControl/>
                    <w:adjustRightInd w:val="0"/>
                    <w:snapToGrid w:val="0"/>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对应</w:t>
                  </w:r>
                  <w:r>
                    <w:rPr>
                      <w:rFonts w:ascii="宋体" w:hAnsi="宋体" w:cs="宋体"/>
                      <w:color w:val="000000"/>
                      <w:szCs w:val="21"/>
                      <w:highlight w:val="none"/>
                    </w:rPr>
                    <w:t>K</w:t>
                  </w:r>
                  <w:r>
                    <w:rPr>
                      <w:rFonts w:ascii="宋体" w:hAnsi="宋体" w:cs="宋体"/>
                      <w:color w:val="000000"/>
                      <w:szCs w:val="21"/>
                      <w:highlight w:val="none"/>
                      <w:vertAlign w:val="subscript"/>
                    </w:rPr>
                    <w:t>2</w:t>
                  </w:r>
                  <w:r>
                    <w:rPr>
                      <w:rFonts w:ascii="宋体" w:hAnsi="宋体" w:cs="宋体"/>
                      <w:color w:val="000000"/>
                      <w:szCs w:val="21"/>
                      <w:highlight w:val="none"/>
                    </w:rPr>
                    <w:t>值</w:t>
                  </w:r>
                </w:p>
              </w:tc>
              <w:tc>
                <w:tcPr>
                  <w:tcW w:w="1020" w:type="dxa"/>
                  <w:vAlign w:val="center"/>
                </w:tcPr>
                <w:p w14:paraId="01ECF196">
                  <w:pPr>
                    <w:widowControl/>
                    <w:adjustRightInd w:val="0"/>
                    <w:snapToGrid w:val="0"/>
                    <w:spacing w:line="400" w:lineRule="exact"/>
                    <w:jc w:val="center"/>
                    <w:rPr>
                      <w:rFonts w:ascii="宋体" w:hAnsi="宋体" w:cs="宋体"/>
                      <w:color w:val="000000"/>
                      <w:szCs w:val="21"/>
                      <w:highlight w:val="none"/>
                    </w:rPr>
                  </w:pPr>
                  <w:r>
                    <w:rPr>
                      <w:rFonts w:ascii="宋体" w:hAnsi="宋体" w:cs="宋体"/>
                      <w:color w:val="000000"/>
                      <w:szCs w:val="21"/>
                      <w:highlight w:val="none"/>
                    </w:rPr>
                    <w:t>85%+M%</w:t>
                  </w:r>
                </w:p>
              </w:tc>
              <w:tc>
                <w:tcPr>
                  <w:tcW w:w="1108" w:type="dxa"/>
                  <w:vAlign w:val="center"/>
                </w:tcPr>
                <w:p w14:paraId="09C019B7">
                  <w:pPr>
                    <w:widowControl/>
                    <w:adjustRightInd w:val="0"/>
                    <w:snapToGrid w:val="0"/>
                    <w:spacing w:line="400" w:lineRule="exact"/>
                    <w:jc w:val="center"/>
                    <w:rPr>
                      <w:rFonts w:ascii="宋体" w:hAnsi="宋体" w:cs="宋体"/>
                      <w:color w:val="000000"/>
                      <w:szCs w:val="21"/>
                      <w:highlight w:val="none"/>
                    </w:rPr>
                  </w:pPr>
                </w:p>
              </w:tc>
              <w:tc>
                <w:tcPr>
                  <w:tcW w:w="970" w:type="dxa"/>
                  <w:vAlign w:val="center"/>
                </w:tcPr>
                <w:p w14:paraId="25C28756">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971" w:type="dxa"/>
                  <w:vAlign w:val="center"/>
                </w:tcPr>
                <w:p w14:paraId="4CC446C5">
                  <w:pPr>
                    <w:widowControl/>
                    <w:adjustRightInd w:val="0"/>
                    <w:snapToGrid w:val="0"/>
                    <w:spacing w:line="400" w:lineRule="exact"/>
                    <w:jc w:val="center"/>
                    <w:rPr>
                      <w:rFonts w:ascii="宋体" w:hAnsi="宋体" w:cs="宋体"/>
                      <w:color w:val="000000"/>
                      <w:szCs w:val="21"/>
                      <w:highlight w:val="none"/>
                    </w:rPr>
                  </w:pPr>
                </w:p>
              </w:tc>
              <w:tc>
                <w:tcPr>
                  <w:tcW w:w="938" w:type="dxa"/>
                  <w:vAlign w:val="center"/>
                </w:tcPr>
                <w:p w14:paraId="3AF76634">
                  <w:pPr>
                    <w:widowControl/>
                    <w:adjustRightInd w:val="0"/>
                    <w:snapToGrid w:val="0"/>
                    <w:spacing w:line="400" w:lineRule="exact"/>
                    <w:jc w:val="center"/>
                    <w:rPr>
                      <w:rFonts w:ascii="宋体" w:hAnsi="宋体" w:cs="宋体"/>
                      <w:color w:val="000000"/>
                      <w:szCs w:val="21"/>
                      <w:highlight w:val="none"/>
                    </w:rPr>
                  </w:pPr>
                  <w:r>
                    <w:rPr>
                      <w:rFonts w:ascii="宋体" w:hAnsi="宋体" w:cs="宋体"/>
                      <w:color w:val="000000"/>
                      <w:szCs w:val="21"/>
                      <w:highlight w:val="none"/>
                    </w:rPr>
                    <w:t>90%+M%</w:t>
                  </w:r>
                </w:p>
              </w:tc>
            </w:tr>
          </w:tbl>
          <w:p w14:paraId="02203E3D">
            <w:pPr>
              <w:widowControl/>
              <w:adjustRightInd w:val="0"/>
              <w:snapToGrid w:val="0"/>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Q</w:t>
            </w:r>
            <w:r>
              <w:rPr>
                <w:rFonts w:ascii="宋体" w:hAnsi="宋体" w:cs="宋体"/>
                <w:color w:val="000000"/>
                <w:szCs w:val="21"/>
                <w:highlight w:val="none"/>
                <w:vertAlign w:val="subscript"/>
              </w:rPr>
              <w:t>1</w:t>
            </w:r>
            <w:r>
              <w:rPr>
                <w:rFonts w:hint="eastAsia" w:ascii="宋体" w:hAnsi="宋体" w:cs="宋体"/>
                <w:color w:val="000000"/>
                <w:szCs w:val="21"/>
                <w:highlight w:val="none"/>
              </w:rPr>
              <w:t>值的确定</w:t>
            </w:r>
            <w:r>
              <w:rPr>
                <w:rFonts w:hint="eastAsia" w:ascii="宋体" w:hAnsi="宋体" w:cs="宋体"/>
                <w:b/>
                <w:color w:val="000000"/>
                <w:szCs w:val="21"/>
                <w:highlight w:val="none"/>
              </w:rPr>
              <w:t>（□</w:t>
            </w:r>
            <w:r>
              <w:rPr>
                <w:rFonts w:hint="eastAsia" w:ascii="宋体" w:hAnsi="宋体" w:cs="宋体"/>
                <w:color w:val="000000"/>
                <w:szCs w:val="21"/>
                <w:highlight w:val="none"/>
              </w:rPr>
              <w:t>每个标段分别抽取</w:t>
            </w:r>
            <w:r>
              <w:rPr>
                <w:rFonts w:ascii="宋体" w:hAnsi="宋体" w:cs="宋体"/>
                <w:color w:val="000000"/>
                <w:szCs w:val="21"/>
                <w:highlight w:val="none"/>
              </w:rPr>
              <w:t>一次</w:t>
            </w:r>
            <w:r>
              <w:rPr>
                <w:rFonts w:hint="eastAsia" w:ascii="宋体" w:hAnsi="宋体" w:cs="宋体"/>
                <w:color w:val="000000"/>
                <w:szCs w:val="21"/>
                <w:highlight w:val="none"/>
              </w:rPr>
              <w:t>；</w:t>
            </w:r>
            <w:r>
              <w:rPr>
                <w:rFonts w:hint="eastAsia" w:ascii="宋体" w:hAnsi="宋体" w:cs="宋体"/>
                <w:b/>
                <w:color w:val="000000"/>
                <w:szCs w:val="21"/>
                <w:highlight w:val="none"/>
              </w:rPr>
              <w:t>□</w:t>
            </w:r>
            <w:r>
              <w:rPr>
                <w:rFonts w:hint="eastAsia" w:ascii="宋体" w:hAnsi="宋体" w:cs="宋体"/>
                <w:color w:val="000000"/>
                <w:szCs w:val="21"/>
                <w:highlight w:val="none"/>
              </w:rPr>
              <w:t>抽取</w:t>
            </w:r>
            <w:r>
              <w:rPr>
                <w:rFonts w:ascii="宋体" w:hAnsi="宋体" w:cs="宋体"/>
                <w:color w:val="000000"/>
                <w:szCs w:val="21"/>
                <w:highlight w:val="none"/>
              </w:rPr>
              <w:t>一次</w:t>
            </w:r>
            <w:r>
              <w:rPr>
                <w:rFonts w:hint="eastAsia" w:ascii="宋体" w:hAnsi="宋体" w:cs="宋体"/>
                <w:color w:val="000000"/>
                <w:szCs w:val="21"/>
                <w:highlight w:val="none"/>
              </w:rPr>
              <w:t>适用于</w:t>
            </w:r>
            <w:r>
              <w:rPr>
                <w:rFonts w:ascii="宋体" w:hAnsi="宋体" w:cs="宋体"/>
                <w:color w:val="000000"/>
                <w:szCs w:val="21"/>
                <w:highlight w:val="none"/>
              </w:rPr>
              <w:t>所有</w:t>
            </w:r>
            <w:r>
              <w:rPr>
                <w:rFonts w:hint="eastAsia" w:ascii="宋体" w:hAnsi="宋体" w:cs="宋体"/>
                <w:color w:val="000000"/>
                <w:szCs w:val="21"/>
                <w:highlight w:val="none"/>
              </w:rPr>
              <w:t>标段</w:t>
            </w:r>
            <w:r>
              <w:rPr>
                <w:rFonts w:hint="eastAsia" w:ascii="宋体" w:hAnsi="宋体" w:cs="宋体"/>
                <w:b/>
                <w:color w:val="000000"/>
                <w:szCs w:val="21"/>
                <w:highlight w:val="none"/>
              </w:rPr>
              <w:t>）</w:t>
            </w:r>
            <w:r>
              <w:rPr>
                <w:rFonts w:hint="eastAsia" w:ascii="宋体" w:hAnsi="宋体" w:cs="宋体"/>
                <w:color w:val="000000"/>
                <w:szCs w:val="21"/>
                <w:highlight w:val="none"/>
              </w:rPr>
              <w:t>：</w:t>
            </w:r>
            <w:r>
              <w:rPr>
                <w:rFonts w:ascii="宋体" w:hAnsi="宋体" w:cs="宋体"/>
                <w:color w:val="000000"/>
                <w:szCs w:val="21"/>
                <w:highlight w:val="none"/>
              </w:rPr>
              <w:t xml:space="preserve"> </w:t>
            </w:r>
          </w:p>
          <w:tbl>
            <w:tblPr>
              <w:tblStyle w:val="49"/>
              <w:tblW w:w="6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744"/>
              <w:gridCol w:w="745"/>
              <w:gridCol w:w="745"/>
              <w:gridCol w:w="744"/>
              <w:gridCol w:w="745"/>
              <w:gridCol w:w="745"/>
              <w:gridCol w:w="745"/>
            </w:tblGrid>
            <w:tr w14:paraId="1B55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84" w:type="dxa"/>
                  <w:vAlign w:val="center"/>
                </w:tcPr>
                <w:p w14:paraId="395B8EA1">
                  <w:pPr>
                    <w:widowControl/>
                    <w:adjustRightInd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744" w:type="dxa"/>
                  <w:vAlign w:val="center"/>
                </w:tcPr>
                <w:p w14:paraId="6073EE90">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30597DE2">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16294EDD">
                  <w:pPr>
                    <w:widowControl/>
                    <w:adjustRightInd w:val="0"/>
                    <w:snapToGrid w:val="0"/>
                    <w:spacing w:line="400" w:lineRule="exact"/>
                    <w:jc w:val="left"/>
                    <w:rPr>
                      <w:rFonts w:ascii="宋体" w:hAnsi="宋体" w:cs="宋体"/>
                      <w:color w:val="000000"/>
                      <w:szCs w:val="21"/>
                      <w:highlight w:val="none"/>
                    </w:rPr>
                  </w:pPr>
                </w:p>
              </w:tc>
              <w:tc>
                <w:tcPr>
                  <w:tcW w:w="744" w:type="dxa"/>
                  <w:vAlign w:val="center"/>
                </w:tcPr>
                <w:p w14:paraId="565D8496">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6E7D54D2">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309BE785">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22977694">
                  <w:pPr>
                    <w:widowControl/>
                    <w:adjustRightInd w:val="0"/>
                    <w:snapToGrid w:val="0"/>
                    <w:spacing w:line="400" w:lineRule="exact"/>
                    <w:jc w:val="left"/>
                    <w:rPr>
                      <w:rFonts w:ascii="宋体" w:hAnsi="宋体" w:cs="宋体"/>
                      <w:color w:val="000000"/>
                      <w:szCs w:val="21"/>
                      <w:highlight w:val="none"/>
                    </w:rPr>
                  </w:pPr>
                </w:p>
              </w:tc>
            </w:tr>
            <w:tr w14:paraId="0126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84" w:type="dxa"/>
                  <w:vAlign w:val="center"/>
                </w:tcPr>
                <w:p w14:paraId="1DE59AA4">
                  <w:pPr>
                    <w:widowControl/>
                    <w:adjustRightInd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对应</w:t>
                  </w:r>
                  <w:r>
                    <w:rPr>
                      <w:rFonts w:ascii="宋体" w:hAnsi="宋体" w:cs="宋体"/>
                      <w:color w:val="000000"/>
                      <w:szCs w:val="21"/>
                      <w:highlight w:val="none"/>
                    </w:rPr>
                    <w:t>Q</w:t>
                  </w:r>
                  <w:r>
                    <w:rPr>
                      <w:rFonts w:ascii="宋体" w:hAnsi="宋体" w:cs="宋体"/>
                      <w:color w:val="000000"/>
                      <w:szCs w:val="21"/>
                      <w:highlight w:val="none"/>
                      <w:vertAlign w:val="subscript"/>
                    </w:rPr>
                    <w:t>1</w:t>
                  </w:r>
                  <w:r>
                    <w:rPr>
                      <w:rFonts w:hint="eastAsia" w:ascii="宋体" w:hAnsi="宋体" w:cs="宋体"/>
                      <w:color w:val="000000"/>
                      <w:szCs w:val="21"/>
                      <w:highlight w:val="none"/>
                    </w:rPr>
                    <w:t>值</w:t>
                  </w:r>
                </w:p>
              </w:tc>
              <w:tc>
                <w:tcPr>
                  <w:tcW w:w="744" w:type="dxa"/>
                  <w:vAlign w:val="center"/>
                </w:tcPr>
                <w:p w14:paraId="02067E59">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5F4CBA54">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51BAD44D">
                  <w:pPr>
                    <w:widowControl/>
                    <w:adjustRightInd w:val="0"/>
                    <w:snapToGrid w:val="0"/>
                    <w:spacing w:line="400" w:lineRule="exact"/>
                    <w:jc w:val="left"/>
                    <w:rPr>
                      <w:rFonts w:ascii="宋体" w:hAnsi="宋体" w:cs="宋体"/>
                      <w:color w:val="000000"/>
                      <w:szCs w:val="21"/>
                      <w:highlight w:val="none"/>
                    </w:rPr>
                  </w:pPr>
                </w:p>
              </w:tc>
              <w:tc>
                <w:tcPr>
                  <w:tcW w:w="744" w:type="dxa"/>
                  <w:vAlign w:val="center"/>
                </w:tcPr>
                <w:p w14:paraId="6796D73B">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5E9B8AB2">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47B8B9AB">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14:paraId="434EDAF4">
                  <w:pPr>
                    <w:widowControl/>
                    <w:adjustRightInd w:val="0"/>
                    <w:snapToGrid w:val="0"/>
                    <w:spacing w:line="400" w:lineRule="exact"/>
                    <w:jc w:val="left"/>
                    <w:rPr>
                      <w:rFonts w:ascii="宋体" w:hAnsi="宋体" w:cs="宋体"/>
                      <w:color w:val="000000"/>
                      <w:szCs w:val="21"/>
                      <w:highlight w:val="none"/>
                    </w:rPr>
                  </w:pPr>
                </w:p>
              </w:tc>
            </w:tr>
          </w:tbl>
          <w:p w14:paraId="321DE815">
            <w:pPr>
              <w:widowControl/>
              <w:spacing w:line="400" w:lineRule="exact"/>
              <w:ind w:firstLine="0" w:firstLineChars="0"/>
              <w:rPr>
                <w:rFonts w:ascii="宋体" w:hAnsi="宋体" w:cs="宋体"/>
                <w:color w:val="000000"/>
                <w:szCs w:val="21"/>
                <w:highlight w:val="none"/>
              </w:rPr>
            </w:pPr>
            <w:r>
              <w:rPr>
                <w:rFonts w:hint="eastAsia" w:ascii="宋体" w:hAnsi="宋体" w:cs="宋体"/>
                <w:b/>
                <w:bCs/>
                <w:color w:val="000000"/>
                <w:szCs w:val="21"/>
                <w:highlight w:val="none"/>
              </w:rPr>
              <w:t>□</w:t>
            </w:r>
            <w:r>
              <w:rPr>
                <w:rFonts w:ascii="宋体" w:hAnsi="宋体" w:cs="宋体"/>
                <w:b/>
                <w:bCs/>
                <w:color w:val="000000"/>
                <w:szCs w:val="21"/>
                <w:highlight w:val="none"/>
              </w:rPr>
              <w:t xml:space="preserve"> </w:t>
            </w:r>
            <w:r>
              <w:rPr>
                <w:rFonts w:hint="eastAsia" w:ascii="宋体" w:hAnsi="宋体" w:cs="宋体"/>
                <w:b/>
                <w:bCs/>
                <w:color w:val="000000"/>
                <w:szCs w:val="21"/>
                <w:highlight w:val="none"/>
              </w:rPr>
              <w:t>方法二（二次平均法）</w:t>
            </w:r>
            <w:r>
              <w:rPr>
                <w:rFonts w:hint="eastAsia" w:ascii="宋体" w:hAnsi="宋体" w:cs="宋体"/>
                <w:color w:val="000000"/>
                <w:szCs w:val="21"/>
                <w:highlight w:val="none"/>
              </w:rPr>
              <w:t>：</w:t>
            </w:r>
          </w:p>
          <w:p w14:paraId="1FB0C860">
            <w:pPr>
              <w:widowControl/>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第一次平均：</w:t>
            </w:r>
            <w:r>
              <w:rPr>
                <w:rFonts w:hint="eastAsia" w:ascii="宋体" w:hAnsi="宋体" w:cs="宋体"/>
                <w:color w:val="000000"/>
                <w:szCs w:val="21"/>
                <w:highlight w:val="none"/>
              </w:rPr>
              <w:t>按本项规定应进入</w:t>
            </w:r>
            <w:r>
              <w:rPr>
                <w:rFonts w:hint="eastAsia" w:ascii="宋体" w:hAnsi="宋体"/>
                <w:color w:val="000000"/>
                <w:szCs w:val="21"/>
                <w:highlight w:val="none"/>
              </w:rPr>
              <w:t>评标基准价计算的评标价的</w:t>
            </w:r>
            <w:r>
              <w:rPr>
                <w:rFonts w:hint="eastAsia" w:ascii="宋体" w:hAnsi="宋体" w:cs="宋体"/>
                <w:color w:val="000000"/>
                <w:szCs w:val="21"/>
                <w:highlight w:val="none"/>
              </w:rPr>
              <w:t>算术</w:t>
            </w:r>
            <w:r>
              <w:rPr>
                <w:rFonts w:hint="eastAsia" w:ascii="宋体" w:hAnsi="宋体"/>
                <w:color w:val="000000"/>
                <w:szCs w:val="21"/>
                <w:highlight w:val="none"/>
              </w:rPr>
              <w:t>平均值</w:t>
            </w:r>
            <w:r>
              <w:rPr>
                <w:rFonts w:hint="eastAsia" w:ascii="宋体" w:hAnsi="宋体" w:cs="宋体"/>
                <w:color w:val="000000"/>
                <w:szCs w:val="21"/>
                <w:highlight w:val="none"/>
              </w:rPr>
              <w:t>（若参与计算的评标价个数</w:t>
            </w:r>
            <w:r>
              <w:rPr>
                <w:rFonts w:ascii="宋体" w:hAnsi="宋体" w:cs="宋体"/>
                <w:color w:val="000000"/>
                <w:szCs w:val="21"/>
                <w:highlight w:val="none"/>
              </w:rPr>
              <w:t>≤10家时，直接取</w:t>
            </w:r>
            <w:r>
              <w:rPr>
                <w:rFonts w:hint="eastAsia" w:ascii="宋体" w:hAnsi="宋体" w:cs="宋体"/>
                <w:color w:val="000000"/>
                <w:szCs w:val="21"/>
                <w:highlight w:val="none"/>
                <w:lang w:eastAsia="zh-CN"/>
              </w:rPr>
              <w:t>算术</w:t>
            </w:r>
            <w:r>
              <w:rPr>
                <w:rFonts w:ascii="宋体" w:hAnsi="宋体" w:cs="宋体"/>
                <w:color w:val="000000"/>
                <w:szCs w:val="21"/>
                <w:highlight w:val="none"/>
              </w:rPr>
              <w:t>平均值；若</w:t>
            </w:r>
            <w:r>
              <w:rPr>
                <w:rFonts w:hint="eastAsia" w:ascii="宋体" w:hAnsi="宋体" w:cs="宋体"/>
                <w:color w:val="000000"/>
                <w:szCs w:val="21"/>
                <w:highlight w:val="none"/>
              </w:rPr>
              <w:t>参与计算的评标价个数</w:t>
            </w:r>
            <w:r>
              <w:rPr>
                <w:rFonts w:ascii="宋体" w:hAnsi="宋体" w:cs="宋体"/>
                <w:color w:val="000000"/>
                <w:szCs w:val="21"/>
                <w:highlight w:val="none"/>
              </w:rPr>
              <w:t>＞</w:t>
            </w:r>
            <w:r>
              <w:rPr>
                <w:rFonts w:hint="eastAsia" w:ascii="宋体" w:hAnsi="宋体" w:cs="宋体"/>
                <w:color w:val="000000"/>
                <w:szCs w:val="21"/>
                <w:highlight w:val="none"/>
                <w:lang w:val="en-US" w:eastAsia="zh-CN"/>
              </w:rPr>
              <w:t>n</w:t>
            </w:r>
            <w:r>
              <w:rPr>
                <w:rFonts w:ascii="宋体" w:hAnsi="宋体" w:cs="宋体"/>
                <w:color w:val="000000"/>
                <w:szCs w:val="21"/>
                <w:highlight w:val="none"/>
              </w:rPr>
              <w:t>×10家时，去掉其中的</w:t>
            </w:r>
            <w:r>
              <w:rPr>
                <w:rFonts w:hint="eastAsia" w:ascii="宋体" w:hAnsi="宋体" w:cs="宋体"/>
                <w:color w:val="000000"/>
                <w:szCs w:val="21"/>
                <w:highlight w:val="none"/>
                <w:lang w:val="en-US" w:eastAsia="zh-CN"/>
              </w:rPr>
              <w:t>n</w:t>
            </w:r>
            <w:r>
              <w:rPr>
                <w:rFonts w:ascii="宋体" w:hAnsi="宋体" w:cs="宋体"/>
                <w:color w:val="000000"/>
                <w:szCs w:val="21"/>
                <w:highlight w:val="none"/>
              </w:rPr>
              <w:t>个最高评标价和</w:t>
            </w:r>
            <w:r>
              <w:rPr>
                <w:rFonts w:hint="eastAsia" w:ascii="宋体" w:hAnsi="宋体" w:cs="宋体"/>
                <w:color w:val="000000"/>
                <w:szCs w:val="21"/>
                <w:highlight w:val="none"/>
                <w:lang w:val="en-US" w:eastAsia="zh-CN"/>
              </w:rPr>
              <w:t>n</w:t>
            </w:r>
            <w:r>
              <w:rPr>
                <w:rFonts w:ascii="宋体" w:hAnsi="宋体" w:cs="宋体"/>
                <w:color w:val="000000"/>
                <w:szCs w:val="21"/>
                <w:highlight w:val="none"/>
              </w:rPr>
              <w:t>个最低评标价后取算术平均值，</w:t>
            </w:r>
            <w:r>
              <w:rPr>
                <w:rFonts w:hint="eastAsia" w:ascii="宋体" w:hAnsi="宋体" w:cs="宋体"/>
                <w:color w:val="000000"/>
                <w:szCs w:val="21"/>
                <w:highlight w:val="none"/>
                <w:lang w:val="en-US" w:eastAsia="zh-CN"/>
              </w:rPr>
              <w:t>n</w:t>
            </w:r>
            <w:r>
              <w:rPr>
                <w:rFonts w:ascii="宋体" w:hAnsi="宋体" w:cs="宋体"/>
                <w:color w:val="000000"/>
                <w:szCs w:val="21"/>
                <w:highlight w:val="none"/>
              </w:rPr>
              <w:t>为</w:t>
            </w:r>
            <w:r>
              <w:rPr>
                <w:rFonts w:hint="eastAsia" w:ascii="微软雅黑" w:hAnsi="微软雅黑" w:eastAsia="微软雅黑" w:cs="微软雅黑"/>
                <w:color w:val="000000"/>
                <w:szCs w:val="21"/>
                <w:highlight w:val="none"/>
                <w:lang w:val="en-US" w:eastAsia="zh-CN"/>
              </w:rPr>
              <w:t>≥</w:t>
            </w:r>
            <w:r>
              <w:rPr>
                <w:rFonts w:hint="eastAsia" w:ascii="宋体" w:hAnsi="宋体" w:cs="宋体"/>
                <w:color w:val="000000"/>
                <w:szCs w:val="21"/>
                <w:highlight w:val="none"/>
                <w:lang w:val="en-US" w:eastAsia="zh-CN"/>
              </w:rPr>
              <w:t>1的</w:t>
            </w:r>
            <w:r>
              <w:rPr>
                <w:rFonts w:ascii="宋体" w:hAnsi="宋体" w:cs="宋体"/>
                <w:color w:val="000000"/>
                <w:szCs w:val="21"/>
                <w:highlight w:val="none"/>
              </w:rPr>
              <w:t>自然数）。</w:t>
            </w:r>
          </w:p>
          <w:p w14:paraId="583079E3">
            <w:pPr>
              <w:widowControl/>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第二次平均：对所有小于或</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等于第一次评标价</w:t>
            </w:r>
            <w:r>
              <w:rPr>
                <w:rFonts w:hint="eastAsia" w:ascii="宋体" w:hAnsi="宋体" w:cs="宋体"/>
                <w:color w:val="000000"/>
                <w:szCs w:val="21"/>
                <w:highlight w:val="none"/>
                <w:lang w:val="en-US" w:eastAsia="zh-CN"/>
              </w:rPr>
              <w:t>算术</w:t>
            </w:r>
            <w:r>
              <w:rPr>
                <w:rFonts w:hint="eastAsia" w:ascii="宋体" w:hAnsi="宋体" w:cs="宋体"/>
                <w:color w:val="000000"/>
                <w:szCs w:val="21"/>
                <w:highlight w:val="none"/>
              </w:rPr>
              <w:t>平均值的评标价（不含第一次平均已去掉的最低价）的二次算术平均值后即为评标基准价。</w:t>
            </w:r>
          </w:p>
          <w:p w14:paraId="46C63DF3">
            <w:pPr>
              <w:widowControl/>
              <w:spacing w:line="400" w:lineRule="exact"/>
              <w:ind w:firstLine="0" w:firstLineChars="0"/>
              <w:rPr>
                <w:rFonts w:ascii="宋体" w:hAnsi="宋体" w:cs="宋体"/>
                <w:color w:val="000000"/>
                <w:szCs w:val="21"/>
                <w:highlight w:val="none"/>
              </w:rPr>
            </w:pPr>
            <w:r>
              <w:rPr>
                <w:rFonts w:hint="eastAsia" w:ascii="宋体" w:hAnsi="宋体" w:cs="宋体"/>
                <w:b/>
                <w:bCs/>
                <w:color w:val="000000"/>
                <w:szCs w:val="21"/>
                <w:highlight w:val="none"/>
              </w:rPr>
              <w:t>□</w:t>
            </w:r>
            <w:r>
              <w:rPr>
                <w:rFonts w:ascii="宋体" w:hAnsi="宋体" w:cs="宋体"/>
                <w:b/>
                <w:bCs/>
                <w:color w:val="000000"/>
                <w:szCs w:val="21"/>
                <w:highlight w:val="none"/>
              </w:rPr>
              <w:t xml:space="preserve"> </w:t>
            </w:r>
            <w:r>
              <w:rPr>
                <w:rFonts w:hint="eastAsia" w:ascii="宋体" w:hAnsi="宋体" w:cs="宋体"/>
                <w:b/>
                <w:bCs/>
                <w:color w:val="000000"/>
                <w:szCs w:val="21"/>
                <w:highlight w:val="none"/>
              </w:rPr>
              <w:t>方法三（随机低价法）</w:t>
            </w:r>
            <w:r>
              <w:rPr>
                <w:rFonts w:hint="eastAsia" w:ascii="宋体" w:hAnsi="宋体" w:cs="宋体"/>
                <w:color w:val="000000"/>
                <w:szCs w:val="21"/>
                <w:highlight w:val="none"/>
              </w:rPr>
              <w:t>：</w:t>
            </w:r>
          </w:p>
          <w:p w14:paraId="6CAE5D44">
            <w:pPr>
              <w:widowControl/>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评标基准价＝去掉</w:t>
            </w:r>
            <w:r>
              <w:rPr>
                <w:rFonts w:ascii="宋体" w:hAnsi="宋体" w:cs="宋体"/>
                <w:color w:val="000000"/>
                <w:szCs w:val="21"/>
                <w:highlight w:val="none"/>
              </w:rPr>
              <w:t>n个最低</w:t>
            </w:r>
            <w:r>
              <w:rPr>
                <w:rFonts w:hint="eastAsia" w:ascii="宋体" w:hAnsi="宋体" w:cs="宋体"/>
                <w:color w:val="000000"/>
                <w:szCs w:val="21"/>
                <w:highlight w:val="none"/>
              </w:rPr>
              <w:t>评标</w:t>
            </w:r>
            <w:r>
              <w:rPr>
                <w:rFonts w:ascii="宋体" w:hAnsi="宋体" w:cs="宋体"/>
                <w:color w:val="000000"/>
                <w:szCs w:val="21"/>
                <w:highlight w:val="none"/>
              </w:rPr>
              <w:t>价后的最低</w:t>
            </w:r>
            <w:r>
              <w:rPr>
                <w:rFonts w:hint="eastAsia" w:ascii="宋体" w:hAnsi="宋体" w:cs="宋体"/>
                <w:color w:val="000000"/>
                <w:szCs w:val="21"/>
                <w:highlight w:val="none"/>
              </w:rPr>
              <w:t>评标</w:t>
            </w:r>
            <w:r>
              <w:rPr>
                <w:rFonts w:ascii="宋体" w:hAnsi="宋体" w:cs="宋体"/>
                <w:color w:val="000000"/>
                <w:szCs w:val="21"/>
                <w:highlight w:val="none"/>
              </w:rPr>
              <w:t>价。</w:t>
            </w:r>
          </w:p>
          <w:p w14:paraId="05979335">
            <w:pPr>
              <w:widowControl/>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n在第二个信封</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报价文件</w:t>
            </w:r>
            <w:r>
              <w:rPr>
                <w:rFonts w:hint="eastAsia" w:ascii="宋体" w:hAnsi="宋体" w:cs="宋体"/>
                <w:color w:val="000000"/>
                <w:szCs w:val="21"/>
                <w:highlight w:val="none"/>
                <w:lang w:eastAsia="zh-CN"/>
              </w:rPr>
              <w:t>）</w:t>
            </w:r>
            <w:r>
              <w:rPr>
                <w:rFonts w:ascii="宋体" w:hAnsi="宋体" w:cs="宋体"/>
                <w:color w:val="000000"/>
                <w:szCs w:val="21"/>
                <w:highlight w:val="none"/>
              </w:rPr>
              <w:t>开标现场随机抽取，n的取值范围为</w:t>
            </w:r>
            <w:r>
              <w:rPr>
                <w:rFonts w:hint="eastAsia" w:ascii="宋体" w:hAnsi="宋体" w:cs="宋体"/>
                <w:color w:val="000000"/>
                <w:szCs w:val="21"/>
                <w:highlight w:val="none"/>
              </w:rPr>
              <w:t>按本项规定参与</w:t>
            </w:r>
            <w:r>
              <w:rPr>
                <w:rFonts w:hint="eastAsia" w:ascii="宋体" w:hAnsi="宋体"/>
                <w:color w:val="000000"/>
                <w:szCs w:val="21"/>
                <w:highlight w:val="none"/>
              </w:rPr>
              <w:t>评标基准价计算的评标价</w:t>
            </w:r>
            <w:r>
              <w:rPr>
                <w:rFonts w:ascii="宋体" w:hAnsi="宋体" w:cs="宋体"/>
                <w:color w:val="000000"/>
                <w:szCs w:val="21"/>
                <w:highlight w:val="none"/>
              </w:rPr>
              <w:t>数量的</w:t>
            </w:r>
            <w:r>
              <w:rPr>
                <w:rFonts w:ascii="宋体" w:hAnsi="宋体" w:cs="宋体"/>
                <w:color w:val="000000"/>
                <w:szCs w:val="21"/>
                <w:highlight w:val="none"/>
                <w:u w:val="single"/>
              </w:rPr>
              <w:t xml:space="preserve">     </w:t>
            </w:r>
            <w:r>
              <w:rPr>
                <w:rFonts w:ascii="宋体" w:hAnsi="宋体" w:cs="宋体"/>
                <w:color w:val="000000"/>
                <w:szCs w:val="21"/>
                <w:highlight w:val="none"/>
              </w:rPr>
              <w:t>（0.2～0.7倍）</w:t>
            </w:r>
            <w:r>
              <w:rPr>
                <w:rStyle w:val="59"/>
                <w:rFonts w:ascii="宋体" w:hAnsi="宋体" w:cs="宋体"/>
                <w:color w:val="000000"/>
                <w:szCs w:val="21"/>
                <w:highlight w:val="none"/>
              </w:rPr>
              <w:footnoteReference w:id="172"/>
            </w:r>
            <w:r>
              <w:rPr>
                <w:rFonts w:hint="eastAsia" w:ascii="宋体" w:hAnsi="宋体" w:cs="宋体"/>
                <w:color w:val="000000"/>
                <w:szCs w:val="21"/>
                <w:highlight w:val="none"/>
              </w:rPr>
              <w:t>向下取整后的所有整数。</w:t>
            </w:r>
          </w:p>
          <w:p w14:paraId="6073CC8F">
            <w:pPr>
              <w:widowControl/>
              <w:spacing w:line="400" w:lineRule="exact"/>
              <w:ind w:firstLine="0" w:firstLineChars="0"/>
              <w:rPr>
                <w:rFonts w:ascii="宋体" w:hAnsi="宋体" w:cs="宋体"/>
                <w:color w:val="000000"/>
                <w:szCs w:val="21"/>
                <w:highlight w:val="none"/>
              </w:rPr>
            </w:pPr>
            <w:r>
              <w:rPr>
                <w:rFonts w:hint="eastAsia" w:ascii="宋体" w:hAnsi="宋体" w:cs="宋体"/>
                <w:b/>
                <w:color w:val="000000"/>
                <w:szCs w:val="21"/>
                <w:highlight w:val="none"/>
              </w:rPr>
              <w:t>□</w:t>
            </w:r>
            <w:r>
              <w:rPr>
                <w:rFonts w:ascii="宋体" w:hAnsi="宋体" w:cs="宋体"/>
                <w:b/>
                <w:color w:val="000000"/>
                <w:szCs w:val="21"/>
                <w:highlight w:val="none"/>
              </w:rPr>
              <w:t xml:space="preserve"> </w:t>
            </w:r>
            <w:r>
              <w:rPr>
                <w:rFonts w:hint="eastAsia" w:ascii="宋体" w:hAnsi="宋体" w:cs="宋体"/>
                <w:b/>
                <w:color w:val="000000"/>
                <w:szCs w:val="21"/>
                <w:highlight w:val="none"/>
              </w:rPr>
              <w:t>方法四（最低价法）</w:t>
            </w:r>
            <w:r>
              <w:rPr>
                <w:rFonts w:hint="eastAsia" w:ascii="宋体" w:hAnsi="宋体" w:cs="宋体"/>
                <w:color w:val="000000"/>
                <w:szCs w:val="21"/>
                <w:highlight w:val="none"/>
              </w:rPr>
              <w:t>：</w:t>
            </w:r>
          </w:p>
          <w:p w14:paraId="4F9CB688">
            <w:pPr>
              <w:widowControl/>
              <w:spacing w:line="40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按本项规定参与</w:t>
            </w:r>
            <w:r>
              <w:rPr>
                <w:rFonts w:hint="eastAsia" w:ascii="宋体" w:hAnsi="宋体"/>
                <w:color w:val="000000"/>
                <w:szCs w:val="21"/>
                <w:highlight w:val="none"/>
              </w:rPr>
              <w:t>评标基准价计算的评标价</w:t>
            </w:r>
            <w:r>
              <w:rPr>
                <w:rFonts w:hint="eastAsia" w:ascii="宋体" w:hAnsi="宋体" w:cs="宋体"/>
                <w:color w:val="000000"/>
                <w:szCs w:val="21"/>
                <w:highlight w:val="none"/>
              </w:rPr>
              <w:t>中的最低评标价为评标基准价。</w:t>
            </w:r>
          </w:p>
          <w:p w14:paraId="6AB79F4D">
            <w:pPr>
              <w:widowControl/>
              <w:spacing w:line="400" w:lineRule="exact"/>
              <w:ind w:firstLine="0" w:firstLineChars="0"/>
              <w:rPr>
                <w:rFonts w:ascii="宋体" w:hAnsi="宋体" w:cs="宋体"/>
                <w:color w:val="000000"/>
                <w:szCs w:val="21"/>
                <w:highlight w:val="none"/>
              </w:rPr>
            </w:pPr>
            <w:r>
              <w:rPr>
                <w:rFonts w:hint="eastAsia" w:ascii="宋体" w:hAnsi="宋体" w:cs="宋体"/>
                <w:b/>
                <w:color w:val="000000"/>
                <w:szCs w:val="21"/>
                <w:highlight w:val="none"/>
              </w:rPr>
              <w:t>□</w:t>
            </w:r>
            <w:r>
              <w:rPr>
                <w:rFonts w:ascii="宋体" w:hAnsi="宋体" w:cs="宋体"/>
                <w:b/>
                <w:color w:val="000000"/>
                <w:szCs w:val="21"/>
                <w:highlight w:val="none"/>
              </w:rPr>
              <w:t xml:space="preserve"> </w:t>
            </w:r>
            <w:r>
              <w:rPr>
                <w:rFonts w:hint="eastAsia" w:ascii="宋体" w:hAnsi="宋体" w:cs="宋体"/>
                <w:b/>
                <w:color w:val="000000"/>
                <w:szCs w:val="21"/>
                <w:highlight w:val="none"/>
              </w:rPr>
              <w:t>方法五（随机下浮系数法）</w:t>
            </w:r>
            <w:r>
              <w:rPr>
                <w:rFonts w:hint="eastAsia" w:ascii="宋体" w:hAnsi="宋体" w:cs="宋体"/>
                <w:color w:val="000000"/>
                <w:szCs w:val="21"/>
                <w:highlight w:val="none"/>
              </w:rPr>
              <w:t>：</w:t>
            </w:r>
          </w:p>
          <w:p w14:paraId="23AB8EDD">
            <w:pPr>
              <w:widowControl/>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以最高投标限价下浮</w:t>
            </w:r>
            <w:r>
              <w:rPr>
                <w:rFonts w:ascii="宋体" w:hAnsi="宋体" w:cs="宋体"/>
                <w:color w:val="000000"/>
                <w:szCs w:val="21"/>
                <w:highlight w:val="none"/>
                <w:u w:val="single"/>
              </w:rPr>
              <w:t xml:space="preserve">       </w:t>
            </w:r>
            <w:r>
              <w:rPr>
                <w:rFonts w:ascii="宋体" w:hAnsi="宋体" w:cs="宋体"/>
                <w:color w:val="000000"/>
                <w:szCs w:val="21"/>
                <w:highlight w:val="none"/>
              </w:rPr>
              <w:t>%</w:t>
            </w:r>
            <w:r>
              <w:rPr>
                <w:rStyle w:val="59"/>
                <w:rFonts w:ascii="宋体" w:hAnsi="宋体" w:cs="宋体"/>
                <w:color w:val="000000"/>
                <w:szCs w:val="21"/>
                <w:highlight w:val="none"/>
              </w:rPr>
              <w:footnoteReference w:id="173"/>
            </w:r>
            <w:r>
              <w:rPr>
                <w:rFonts w:hint="eastAsia" w:ascii="宋体" w:hAnsi="宋体" w:cs="宋体"/>
                <w:color w:val="000000"/>
                <w:szCs w:val="21"/>
                <w:highlight w:val="none"/>
              </w:rPr>
              <w:t>作为评标基准价。</w:t>
            </w:r>
          </w:p>
          <w:tbl>
            <w:tblPr>
              <w:tblStyle w:val="49"/>
              <w:tblW w:w="6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81"/>
              <w:gridCol w:w="1004"/>
              <w:gridCol w:w="832"/>
              <w:gridCol w:w="1308"/>
              <w:gridCol w:w="899"/>
            </w:tblGrid>
            <w:tr w14:paraId="5EA9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6" w:type="dxa"/>
                  <w:vAlign w:val="center"/>
                </w:tcPr>
                <w:p w14:paraId="2D2DEFC4">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781" w:type="dxa"/>
                  <w:vAlign w:val="center"/>
                </w:tcPr>
                <w:p w14:paraId="644D81C7">
                  <w:pPr>
                    <w:widowControl/>
                    <w:adjustRightInd w:val="0"/>
                    <w:snapToGrid w:val="0"/>
                    <w:spacing w:line="400" w:lineRule="exact"/>
                    <w:jc w:val="center"/>
                    <w:rPr>
                      <w:rFonts w:ascii="宋体" w:hAnsi="宋体" w:cs="宋体"/>
                      <w:color w:val="000000"/>
                      <w:szCs w:val="21"/>
                      <w:highlight w:val="none"/>
                    </w:rPr>
                  </w:pPr>
                </w:p>
              </w:tc>
              <w:tc>
                <w:tcPr>
                  <w:tcW w:w="1004" w:type="dxa"/>
                  <w:vAlign w:val="center"/>
                </w:tcPr>
                <w:p w14:paraId="2E74A2A1">
                  <w:pPr>
                    <w:widowControl/>
                    <w:adjustRightInd w:val="0"/>
                    <w:snapToGrid w:val="0"/>
                    <w:spacing w:line="400" w:lineRule="exact"/>
                    <w:jc w:val="center"/>
                    <w:rPr>
                      <w:rFonts w:ascii="宋体" w:hAnsi="宋体" w:cs="宋体"/>
                      <w:color w:val="000000"/>
                      <w:szCs w:val="21"/>
                      <w:highlight w:val="none"/>
                    </w:rPr>
                  </w:pPr>
                </w:p>
              </w:tc>
              <w:tc>
                <w:tcPr>
                  <w:tcW w:w="832" w:type="dxa"/>
                  <w:vAlign w:val="center"/>
                </w:tcPr>
                <w:p w14:paraId="762F858A">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1308" w:type="dxa"/>
                  <w:vAlign w:val="center"/>
                </w:tcPr>
                <w:p w14:paraId="7FB99507">
                  <w:pPr>
                    <w:widowControl/>
                    <w:adjustRightInd w:val="0"/>
                    <w:snapToGrid w:val="0"/>
                    <w:spacing w:line="400" w:lineRule="exact"/>
                    <w:jc w:val="center"/>
                    <w:rPr>
                      <w:rFonts w:ascii="宋体" w:hAnsi="宋体" w:cs="宋体"/>
                      <w:color w:val="000000"/>
                      <w:szCs w:val="21"/>
                      <w:highlight w:val="none"/>
                    </w:rPr>
                  </w:pPr>
                </w:p>
              </w:tc>
              <w:tc>
                <w:tcPr>
                  <w:tcW w:w="899" w:type="dxa"/>
                  <w:vAlign w:val="center"/>
                </w:tcPr>
                <w:p w14:paraId="333D6060">
                  <w:pPr>
                    <w:widowControl/>
                    <w:adjustRightInd w:val="0"/>
                    <w:snapToGrid w:val="0"/>
                    <w:spacing w:line="400" w:lineRule="exact"/>
                    <w:jc w:val="center"/>
                    <w:rPr>
                      <w:rFonts w:ascii="宋体" w:hAnsi="宋体" w:cs="宋体"/>
                      <w:color w:val="000000"/>
                      <w:szCs w:val="21"/>
                      <w:highlight w:val="none"/>
                    </w:rPr>
                  </w:pPr>
                </w:p>
              </w:tc>
            </w:tr>
            <w:tr w14:paraId="54DB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66" w:type="dxa"/>
                  <w:vAlign w:val="center"/>
                </w:tcPr>
                <w:p w14:paraId="54D44CA1">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对应下浮系数</w:t>
                  </w:r>
                </w:p>
              </w:tc>
              <w:tc>
                <w:tcPr>
                  <w:tcW w:w="781" w:type="dxa"/>
                  <w:vAlign w:val="center"/>
                </w:tcPr>
                <w:p w14:paraId="45411F86">
                  <w:pPr>
                    <w:widowControl/>
                    <w:adjustRightInd w:val="0"/>
                    <w:snapToGrid w:val="0"/>
                    <w:spacing w:line="400" w:lineRule="exact"/>
                    <w:jc w:val="center"/>
                    <w:rPr>
                      <w:rFonts w:ascii="宋体" w:hAnsi="宋体" w:cs="宋体"/>
                      <w:color w:val="000000"/>
                      <w:szCs w:val="21"/>
                      <w:highlight w:val="none"/>
                    </w:rPr>
                  </w:pPr>
                  <w:r>
                    <w:rPr>
                      <w:rFonts w:ascii="宋体" w:hAnsi="宋体" w:cs="宋体"/>
                      <w:color w:val="000000"/>
                      <w:szCs w:val="21"/>
                      <w:highlight w:val="none"/>
                    </w:rPr>
                    <w:t>85%</w:t>
                  </w:r>
                </w:p>
              </w:tc>
              <w:tc>
                <w:tcPr>
                  <w:tcW w:w="1004" w:type="dxa"/>
                  <w:vAlign w:val="center"/>
                </w:tcPr>
                <w:p w14:paraId="497D0408">
                  <w:pPr>
                    <w:widowControl/>
                    <w:adjustRightInd w:val="0"/>
                    <w:snapToGrid w:val="0"/>
                    <w:spacing w:line="400" w:lineRule="exact"/>
                    <w:jc w:val="center"/>
                    <w:rPr>
                      <w:rFonts w:ascii="宋体" w:hAnsi="宋体" w:cs="宋体"/>
                      <w:color w:val="000000"/>
                      <w:szCs w:val="21"/>
                      <w:highlight w:val="none"/>
                    </w:rPr>
                  </w:pPr>
                </w:p>
              </w:tc>
              <w:tc>
                <w:tcPr>
                  <w:tcW w:w="832" w:type="dxa"/>
                  <w:vAlign w:val="center"/>
                </w:tcPr>
                <w:p w14:paraId="46EFB986">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1308" w:type="dxa"/>
                  <w:vAlign w:val="center"/>
                </w:tcPr>
                <w:p w14:paraId="5AD77868">
                  <w:pPr>
                    <w:widowControl/>
                    <w:adjustRightInd w:val="0"/>
                    <w:snapToGrid w:val="0"/>
                    <w:spacing w:line="400" w:lineRule="exact"/>
                    <w:jc w:val="center"/>
                    <w:rPr>
                      <w:rFonts w:ascii="宋体" w:hAnsi="宋体" w:cs="宋体"/>
                      <w:color w:val="000000"/>
                      <w:szCs w:val="21"/>
                      <w:highlight w:val="none"/>
                    </w:rPr>
                  </w:pPr>
                </w:p>
              </w:tc>
              <w:tc>
                <w:tcPr>
                  <w:tcW w:w="899" w:type="dxa"/>
                  <w:vAlign w:val="center"/>
                </w:tcPr>
                <w:p w14:paraId="0A614349">
                  <w:pPr>
                    <w:widowControl/>
                    <w:adjustRightInd w:val="0"/>
                    <w:snapToGrid w:val="0"/>
                    <w:spacing w:line="400" w:lineRule="exact"/>
                    <w:jc w:val="center"/>
                    <w:rPr>
                      <w:rFonts w:ascii="宋体" w:hAnsi="宋体" w:cs="宋体"/>
                      <w:color w:val="000000"/>
                      <w:szCs w:val="21"/>
                      <w:highlight w:val="none"/>
                    </w:rPr>
                  </w:pPr>
                  <w:r>
                    <w:rPr>
                      <w:rFonts w:ascii="宋体" w:hAnsi="宋体" w:cs="宋体"/>
                      <w:color w:val="000000"/>
                      <w:szCs w:val="21"/>
                      <w:highlight w:val="none"/>
                    </w:rPr>
                    <w:t>95%</w:t>
                  </w:r>
                </w:p>
              </w:tc>
            </w:tr>
          </w:tbl>
          <w:p w14:paraId="18A376BC">
            <w:pPr>
              <w:widowControl/>
              <w:spacing w:line="400" w:lineRule="exact"/>
              <w:ind w:firstLine="0" w:firstLineChars="0"/>
              <w:rPr>
                <w:rFonts w:ascii="宋体" w:hAnsi="宋体" w:cs="宋体"/>
                <w:b/>
                <w:color w:val="000000"/>
                <w:szCs w:val="21"/>
                <w:highlight w:val="none"/>
              </w:rPr>
            </w:pPr>
            <w:r>
              <w:rPr>
                <w:rFonts w:hint="eastAsia" w:ascii="宋体" w:hAnsi="宋体" w:cs="宋体"/>
                <w:b/>
                <w:color w:val="000000"/>
                <w:szCs w:val="21"/>
                <w:highlight w:val="none"/>
              </w:rPr>
              <w:t>□</w:t>
            </w:r>
            <w:r>
              <w:rPr>
                <w:rFonts w:ascii="宋体" w:hAnsi="宋体" w:cs="宋体"/>
                <w:b/>
                <w:color w:val="000000"/>
                <w:szCs w:val="21"/>
                <w:highlight w:val="none"/>
              </w:rPr>
              <w:t xml:space="preserve"> </w:t>
            </w:r>
            <w:r>
              <w:rPr>
                <w:rFonts w:hint="eastAsia" w:ascii="宋体" w:hAnsi="宋体" w:cs="宋体"/>
                <w:b/>
                <w:color w:val="000000"/>
                <w:szCs w:val="21"/>
                <w:highlight w:val="none"/>
              </w:rPr>
              <w:t>方法六：</w:t>
            </w:r>
          </w:p>
          <w:p w14:paraId="70276CCE">
            <w:pPr>
              <w:widowControl/>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p>
          <w:p w14:paraId="7C67CFF4">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5</w:t>
            </w:r>
            <w:r>
              <w:rPr>
                <w:rFonts w:hint="eastAsia" w:ascii="宋体" w:hAnsi="宋体" w:cs="宋体"/>
                <w:color w:val="000000"/>
                <w:szCs w:val="21"/>
                <w:highlight w:val="none"/>
              </w:rPr>
              <w:t>）评标基准价确定场合：</w:t>
            </w:r>
          </w:p>
          <w:p w14:paraId="72139184">
            <w:pPr>
              <w:widowControl/>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评标基准价按以上规则计算后在第二个信封</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报价文件</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开标现场公布，如果投标人认为评标基准价计算有误，有权在开标现场提出，经监督人当场核实确认后，可重新计算和宣布评标基准价。</w:t>
            </w:r>
          </w:p>
          <w:p w14:paraId="1E351DCC">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在评标过程中，评标委员会应对招标人开标时计算的评标基准价进行复核，存在计算错误的应予以修正并在评标报告中作出说明。除</w:t>
            </w:r>
            <w:r>
              <w:rPr>
                <w:rFonts w:ascii="宋体" w:hAnsi="宋体" w:cs="宋体"/>
                <w:color w:val="000000"/>
                <w:szCs w:val="21"/>
                <w:highlight w:val="none"/>
              </w:rPr>
              <w:t>开标时计算错误外，</w:t>
            </w:r>
            <w:r>
              <w:rPr>
                <w:rFonts w:hint="eastAsia" w:ascii="宋体" w:hAnsi="宋体" w:cs="宋体"/>
                <w:color w:val="000000"/>
                <w:szCs w:val="21"/>
                <w:highlight w:val="none"/>
              </w:rPr>
              <w:t>确认后的评标基准价不因第二个信封</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报价文件</w:t>
            </w:r>
            <w:r>
              <w:rPr>
                <w:rFonts w:hint="eastAsia" w:ascii="宋体" w:hAnsi="宋体" w:cs="宋体"/>
                <w:color w:val="000000"/>
                <w:szCs w:val="21"/>
                <w:highlight w:val="none"/>
                <w:lang w:eastAsia="zh-CN"/>
              </w:rPr>
              <w:t>）</w:t>
            </w:r>
            <w:r>
              <w:rPr>
                <w:rFonts w:ascii="宋体" w:hAnsi="宋体" w:cs="宋体"/>
                <w:color w:val="000000"/>
                <w:szCs w:val="21"/>
                <w:highlight w:val="none"/>
              </w:rPr>
              <w:t>评审否决投标而</w:t>
            </w:r>
            <w:r>
              <w:rPr>
                <w:rFonts w:hint="eastAsia" w:ascii="宋体" w:hAnsi="宋体" w:cs="宋体"/>
                <w:color w:val="000000"/>
                <w:szCs w:val="21"/>
                <w:highlight w:val="none"/>
              </w:rPr>
              <w:t>改变，也不因招投标当事人异议、投诉以及其</w:t>
            </w:r>
            <w:r>
              <w:rPr>
                <w:rFonts w:hint="eastAsia" w:ascii="宋体" w:hAnsi="宋体" w:cs="宋体"/>
                <w:color w:val="000000"/>
                <w:szCs w:val="21"/>
                <w:highlight w:val="none"/>
                <w:lang w:val="en-US" w:eastAsia="zh-CN"/>
              </w:rPr>
              <w:t>他</w:t>
            </w:r>
            <w:r>
              <w:rPr>
                <w:rFonts w:hint="eastAsia" w:ascii="宋体" w:hAnsi="宋体" w:cs="宋体"/>
                <w:color w:val="000000"/>
                <w:szCs w:val="21"/>
                <w:highlight w:val="none"/>
              </w:rPr>
              <w:t>任何情形而改变。</w:t>
            </w:r>
          </w:p>
        </w:tc>
      </w:tr>
      <w:tr w14:paraId="1B8000B5">
        <w:tblPrEx>
          <w:tblCellMar>
            <w:top w:w="0" w:type="dxa"/>
            <w:left w:w="108" w:type="dxa"/>
            <w:bottom w:w="0" w:type="dxa"/>
            <w:right w:w="108" w:type="dxa"/>
          </w:tblCellMar>
        </w:tblPrEx>
        <w:trPr>
          <w:trHeight w:val="1101"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2CE67427">
            <w:pPr>
              <w:widowControl/>
              <w:adjustRightInd w:val="0"/>
              <w:snapToGrid w:val="0"/>
              <w:spacing w:line="400" w:lineRule="exact"/>
              <w:jc w:val="center"/>
              <w:rPr>
                <w:rFonts w:ascii="宋体" w:hAnsi="宋体" w:cs="宋体"/>
                <w:color w:val="000000"/>
                <w:kern w:val="0"/>
                <w:szCs w:val="21"/>
                <w:highlight w:val="none"/>
              </w:rPr>
            </w:pPr>
            <w:r>
              <w:rPr>
                <w:rFonts w:ascii="宋体" w:hAnsi="宋体"/>
                <w:color w:val="000000"/>
                <w:szCs w:val="21"/>
                <w:highlight w:val="none"/>
              </w:rPr>
              <w:t>2.2.3</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14:paraId="23FA9CAF">
            <w:pPr>
              <w:widowControl/>
              <w:adjustRightInd w:val="0"/>
              <w:snapToGrid w:val="0"/>
              <w:spacing w:line="400" w:lineRule="exact"/>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评标价的偏差率计算</w:t>
            </w:r>
            <w:r>
              <w:rPr>
                <w:rFonts w:hint="eastAsia" w:ascii="宋体" w:hAnsi="宋体"/>
                <w:color w:val="000000"/>
                <w:szCs w:val="21"/>
                <w:highlight w:val="none"/>
                <w:lang w:val="en-US" w:eastAsia="zh-CN"/>
              </w:rPr>
              <w:t>公式</w:t>
            </w:r>
          </w:p>
        </w:tc>
        <w:tc>
          <w:tcPr>
            <w:tcW w:w="6869" w:type="dxa"/>
            <w:tcBorders>
              <w:top w:val="single" w:color="D6AFAC" w:sz="4" w:space="0"/>
              <w:left w:val="single" w:color="D6AFAC" w:sz="0" w:space="0"/>
              <w:bottom w:val="single" w:color="D6AFAC" w:sz="4" w:space="0"/>
              <w:right w:val="single" w:color="D6AFAC" w:sz="4" w:space="0"/>
            </w:tcBorders>
            <w:shd w:val="clear" w:color="auto" w:fill="FEFEFE"/>
            <w:vAlign w:val="center"/>
          </w:tcPr>
          <w:p w14:paraId="00E6298E">
            <w:pPr>
              <w:pStyle w:val="299"/>
              <w:adjustRightInd w:val="0"/>
              <w:snapToGrid w:val="0"/>
              <w:spacing w:line="400" w:lineRule="exact"/>
              <w:rPr>
                <w:rFonts w:ascii="宋体" w:hAnsi="宋体"/>
                <w:color w:val="000000"/>
                <w:szCs w:val="21"/>
                <w:highlight w:val="none"/>
              </w:rPr>
            </w:pPr>
            <w:r>
              <w:rPr>
                <w:rFonts w:hint="eastAsia" w:ascii="宋体" w:hAnsi="宋体"/>
                <w:color w:val="000000"/>
                <w:szCs w:val="21"/>
                <w:highlight w:val="none"/>
              </w:rPr>
              <w:t>偏差率＝</w:t>
            </w:r>
            <w:r>
              <w:rPr>
                <w:rFonts w:ascii="宋体" w:hAnsi="宋体"/>
                <w:b/>
                <w:color w:val="000000"/>
                <w:szCs w:val="21"/>
                <w:highlight w:val="none"/>
              </w:rPr>
              <w:t>|</w:t>
            </w:r>
            <w:r>
              <w:rPr>
                <w:rFonts w:ascii="宋体" w:hAnsi="宋体"/>
                <w:color w:val="000000"/>
                <w:szCs w:val="21"/>
                <w:highlight w:val="none"/>
              </w:rPr>
              <w:t>100%×（投标人评标价－评标基准价）／评标基准价</w:t>
            </w:r>
            <w:r>
              <w:rPr>
                <w:rFonts w:ascii="宋体" w:hAnsi="宋体"/>
                <w:b/>
                <w:color w:val="000000"/>
                <w:szCs w:val="21"/>
                <w:highlight w:val="none"/>
              </w:rPr>
              <w:t>|</w:t>
            </w:r>
          </w:p>
          <w:p w14:paraId="32156F75">
            <w:pPr>
              <w:widowControl/>
              <w:adjustRightInd w:val="0"/>
              <w:snapToGrid w:val="0"/>
              <w:spacing w:line="400" w:lineRule="exact"/>
              <w:rPr>
                <w:rFonts w:hint="eastAsia" w:ascii="宋体" w:hAnsi="宋体" w:eastAsia="宋体"/>
                <w:color w:val="000000"/>
                <w:szCs w:val="21"/>
                <w:highlight w:val="none"/>
                <w:lang w:eastAsia="zh-CN"/>
              </w:rPr>
            </w:pPr>
            <w:r>
              <w:rPr>
                <w:rFonts w:hint="eastAsia" w:ascii="宋体" w:hAnsi="宋体"/>
                <w:color w:val="000000"/>
                <w:szCs w:val="21"/>
                <w:highlight w:val="none"/>
              </w:rPr>
              <w:t>偏差率保留</w:t>
            </w:r>
            <w:r>
              <w:rPr>
                <w:rFonts w:ascii="宋体" w:hAnsi="宋体"/>
                <w:color w:val="000000"/>
                <w:szCs w:val="21"/>
                <w:highlight w:val="none"/>
                <w:u w:val="single"/>
              </w:rPr>
              <w:t xml:space="preserve">      </w:t>
            </w:r>
            <w:r>
              <w:rPr>
                <w:rFonts w:hint="eastAsia" w:ascii="宋体" w:hAnsi="宋体"/>
                <w:color w:val="000000"/>
                <w:szCs w:val="21"/>
                <w:highlight w:val="none"/>
              </w:rPr>
              <w:t>位小数</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前数值的位数</w:t>
            </w:r>
            <w:r>
              <w:rPr>
                <w:rFonts w:hint="eastAsia" w:ascii="宋体" w:hAnsi="宋体"/>
                <w:color w:val="000000"/>
                <w:szCs w:val="21"/>
                <w:highlight w:val="none"/>
                <w:lang w:eastAsia="zh-CN"/>
              </w:rPr>
              <w:t>）。</w:t>
            </w:r>
          </w:p>
        </w:tc>
      </w:tr>
      <w:tr w14:paraId="253DC181">
        <w:tblPrEx>
          <w:tblCellMar>
            <w:top w:w="0" w:type="dxa"/>
            <w:left w:w="108" w:type="dxa"/>
            <w:bottom w:w="0" w:type="dxa"/>
            <w:right w:w="108" w:type="dxa"/>
          </w:tblCellMar>
        </w:tblPrEx>
        <w:trPr>
          <w:trHeight w:val="580"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5F80E9D9">
            <w:pPr>
              <w:widowControl/>
              <w:adjustRightInd w:val="0"/>
              <w:snapToGrid w:val="0"/>
              <w:spacing w:line="400" w:lineRule="exact"/>
              <w:jc w:val="center"/>
              <w:rPr>
                <w:rFonts w:ascii="宋体" w:hAnsi="宋体" w:cs="宋体"/>
                <w:color w:val="000000"/>
                <w:kern w:val="0"/>
                <w:szCs w:val="21"/>
                <w:highlight w:val="none"/>
              </w:rPr>
            </w:pPr>
            <w:r>
              <w:rPr>
                <w:rFonts w:ascii="宋体" w:hAnsi="宋体" w:cs="宋体"/>
                <w:color w:val="000000"/>
                <w:kern w:val="0"/>
                <w:szCs w:val="21"/>
                <w:highlight w:val="none"/>
              </w:rPr>
              <w:t>2.2.4</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14:paraId="1FCDA56B">
            <w:pPr>
              <w:pStyle w:val="299"/>
              <w:adjustRightInd w:val="0"/>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评分标准</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p w14:paraId="45F643BB">
            <w:pPr>
              <w:pStyle w:val="299"/>
              <w:adjustRightInd w:val="0"/>
              <w:snapToGrid w:val="0"/>
              <w:spacing w:line="400" w:lineRule="exact"/>
              <w:rPr>
                <w:rFonts w:hint="eastAsia" w:ascii="宋体" w:hAnsi="宋体" w:eastAsia="宋体"/>
                <w:b/>
                <w:color w:val="000000"/>
                <w:szCs w:val="21"/>
                <w:highlight w:val="none"/>
                <w:lang w:eastAsia="zh-CN"/>
              </w:rPr>
            </w:pPr>
            <w:r>
              <w:rPr>
                <w:rFonts w:hint="eastAsia" w:ascii="宋体" w:hAnsi="宋体" w:cs="宋体"/>
                <w:color w:val="000000"/>
                <w:szCs w:val="21"/>
                <w:highlight w:val="none"/>
              </w:rPr>
              <w:t>见“评分因素与权重分值”</w:t>
            </w:r>
            <w:r>
              <w:rPr>
                <w:rFonts w:hint="eastAsia" w:ascii="宋体" w:hAnsi="宋体" w:cs="宋体"/>
                <w:color w:val="000000"/>
                <w:szCs w:val="21"/>
                <w:highlight w:val="none"/>
                <w:lang w:eastAsia="zh-CN"/>
              </w:rPr>
              <w:t>。</w:t>
            </w:r>
          </w:p>
        </w:tc>
      </w:tr>
    </w:tbl>
    <w:p w14:paraId="5E236A5C">
      <w:pPr>
        <w:rPr>
          <w:color w:val="auto"/>
          <w:highlight w:val="none"/>
        </w:rPr>
      </w:pPr>
    </w:p>
    <w:p w14:paraId="662E056B">
      <w:pPr>
        <w:rPr>
          <w:rFonts w:hint="eastAsia"/>
          <w:color w:val="auto"/>
          <w:highlight w:val="none"/>
          <w:lang w:val="en-US" w:eastAsia="zh-CN"/>
        </w:rPr>
      </w:pPr>
      <w:r>
        <w:rPr>
          <w:rFonts w:hint="eastAsia"/>
          <w:color w:val="auto"/>
          <w:highlight w:val="none"/>
          <w:lang w:val="en-US" w:eastAsia="zh-CN"/>
        </w:rPr>
        <w:br w:type="page"/>
      </w:r>
    </w:p>
    <w:p w14:paraId="6032DD65">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9"/>
        <w:tblW w:w="8996" w:type="dxa"/>
        <w:tblInd w:w="-34" w:type="dxa"/>
        <w:tblLayout w:type="fixed"/>
        <w:tblCellMar>
          <w:top w:w="0" w:type="dxa"/>
          <w:left w:w="108" w:type="dxa"/>
          <w:bottom w:w="0" w:type="dxa"/>
          <w:right w:w="108" w:type="dxa"/>
        </w:tblCellMar>
      </w:tblPr>
      <w:tblGrid>
        <w:gridCol w:w="993"/>
        <w:gridCol w:w="1134"/>
        <w:gridCol w:w="6869"/>
      </w:tblGrid>
      <w:tr w14:paraId="28AB1F8A">
        <w:tblPrEx>
          <w:tblCellMar>
            <w:top w:w="0" w:type="dxa"/>
            <w:left w:w="108" w:type="dxa"/>
            <w:bottom w:w="0" w:type="dxa"/>
            <w:right w:w="108" w:type="dxa"/>
          </w:tblCellMar>
        </w:tblPrEx>
        <w:trPr>
          <w:trHeight w:val="354" w:hRule="atLeast"/>
          <w:tblHeader/>
        </w:trPr>
        <w:tc>
          <w:tcPr>
            <w:tcW w:w="2127" w:type="dxa"/>
            <w:gridSpan w:val="2"/>
            <w:tcBorders>
              <w:top w:val="single" w:color="000000" w:sz="4" w:space="0"/>
              <w:left w:val="single" w:color="000000" w:sz="4" w:space="0"/>
              <w:bottom w:val="single" w:color="auto" w:sz="4" w:space="0"/>
              <w:right w:val="single" w:color="000000" w:sz="4" w:space="0"/>
            </w:tcBorders>
            <w:vAlign w:val="center"/>
          </w:tcPr>
          <w:p w14:paraId="4CB43EFC">
            <w:pPr>
              <w:widowControl/>
              <w:adjustRightInd w:val="0"/>
              <w:snapToGrid w:val="0"/>
              <w:spacing w:line="400" w:lineRule="exact"/>
              <w:jc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条款号</w:t>
            </w:r>
          </w:p>
        </w:tc>
        <w:tc>
          <w:tcPr>
            <w:tcW w:w="6869" w:type="dxa"/>
            <w:tcBorders>
              <w:top w:val="single" w:color="000000" w:sz="4" w:space="0"/>
              <w:left w:val="nil"/>
              <w:bottom w:val="single" w:color="auto" w:sz="4" w:space="0"/>
              <w:right w:val="single" w:color="000000" w:sz="4" w:space="0"/>
            </w:tcBorders>
            <w:vAlign w:val="center"/>
          </w:tcPr>
          <w:p w14:paraId="7B0EA116">
            <w:pPr>
              <w:pStyle w:val="299"/>
              <w:adjustRightInd w:val="0"/>
              <w:snapToGrid w:val="0"/>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评审因素与评审标准</w:t>
            </w:r>
          </w:p>
        </w:tc>
      </w:tr>
      <w:tr w14:paraId="38375633">
        <w:tblPrEx>
          <w:tblCellMar>
            <w:top w:w="0" w:type="dxa"/>
            <w:left w:w="108" w:type="dxa"/>
            <w:bottom w:w="0" w:type="dxa"/>
            <w:right w:w="108" w:type="dxa"/>
          </w:tblCellMar>
        </w:tblPrEx>
        <w:trPr>
          <w:trHeight w:val="2142" w:hRule="atLeast"/>
        </w:trPr>
        <w:tc>
          <w:tcPr>
            <w:tcW w:w="993" w:type="dxa"/>
            <w:tcBorders>
              <w:top w:val="single" w:color="000000" w:sz="4" w:space="0"/>
              <w:left w:val="single" w:color="000000" w:sz="4" w:space="0"/>
              <w:bottom w:val="single" w:color="auto" w:sz="4" w:space="0"/>
              <w:right w:val="single" w:color="000000" w:sz="4" w:space="0"/>
            </w:tcBorders>
            <w:vAlign w:val="center"/>
          </w:tcPr>
          <w:p w14:paraId="13371D81">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3.1</w:t>
            </w:r>
          </w:p>
          <w:p w14:paraId="3CA1C554">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第一个信封初步评审</w:t>
            </w:r>
          </w:p>
        </w:tc>
        <w:tc>
          <w:tcPr>
            <w:tcW w:w="1134" w:type="dxa"/>
            <w:tcBorders>
              <w:top w:val="single" w:color="auto" w:sz="4" w:space="0"/>
              <w:left w:val="nil"/>
              <w:bottom w:val="single" w:color="auto" w:sz="4" w:space="0"/>
              <w:right w:val="single" w:color="000000" w:sz="4" w:space="0"/>
            </w:tcBorders>
            <w:vAlign w:val="center"/>
          </w:tcPr>
          <w:p w14:paraId="52FC50CF">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3.1.1</w:t>
            </w:r>
          </w:p>
        </w:tc>
        <w:tc>
          <w:tcPr>
            <w:tcW w:w="6869" w:type="dxa"/>
            <w:tcBorders>
              <w:top w:val="single" w:color="000000" w:sz="4" w:space="0"/>
              <w:left w:val="nil"/>
              <w:bottom w:val="single" w:color="auto" w:sz="4" w:space="0"/>
              <w:right w:val="single" w:color="000000" w:sz="4" w:space="0"/>
            </w:tcBorders>
            <w:vAlign w:val="center"/>
          </w:tcPr>
          <w:p w14:paraId="0E264DEB">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1）评标委员会依据本章第2.1.1</w:t>
            </w:r>
            <w:r>
              <w:rPr>
                <w:rFonts w:hint="eastAsia" w:ascii="宋体" w:hAnsi="宋体" w:cs="宋体"/>
                <w:color w:val="auto"/>
                <w:szCs w:val="21"/>
                <w:highlight w:val="none"/>
              </w:rPr>
              <w:t>项、第</w:t>
            </w:r>
            <w:r>
              <w:rPr>
                <w:rFonts w:ascii="宋体" w:hAnsi="宋体" w:cs="宋体"/>
                <w:color w:val="auto"/>
                <w:szCs w:val="21"/>
                <w:highlight w:val="none"/>
              </w:rPr>
              <w:t>2.1.2</w:t>
            </w:r>
            <w:r>
              <w:rPr>
                <w:rFonts w:hint="eastAsia" w:ascii="宋体" w:hAnsi="宋体" w:cs="宋体"/>
                <w:color w:val="auto"/>
                <w:szCs w:val="21"/>
                <w:highlight w:val="none"/>
              </w:rPr>
              <w:t>项、第</w:t>
            </w:r>
            <w:r>
              <w:rPr>
                <w:rFonts w:ascii="宋体" w:hAnsi="宋体" w:cs="宋体"/>
                <w:color w:val="auto"/>
                <w:szCs w:val="21"/>
                <w:highlight w:val="none"/>
              </w:rPr>
              <w:t>2.1.3项规定的标准对投标文件第一个信封（商务及技术文件）进行初步评审。有一项不符合评审标准的，评标委员会应否决其投标。</w:t>
            </w:r>
          </w:p>
          <w:p w14:paraId="39D2CB8C">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2）通过第一个信封</w:t>
            </w:r>
            <w:r>
              <w:rPr>
                <w:rFonts w:hint="eastAsia" w:ascii="宋体" w:hAnsi="宋体" w:cs="宋体"/>
                <w:color w:val="auto"/>
                <w:szCs w:val="21"/>
                <w:highlight w:val="none"/>
                <w:lang w:eastAsia="zh-CN"/>
              </w:rPr>
              <w:t>（</w:t>
            </w:r>
            <w:r>
              <w:rPr>
                <w:rFonts w:ascii="宋体" w:hAnsi="宋体" w:cs="宋体"/>
                <w:color w:val="auto"/>
                <w:szCs w:val="21"/>
                <w:highlight w:val="none"/>
              </w:rPr>
              <w:t>商务</w:t>
            </w:r>
            <w:r>
              <w:rPr>
                <w:rFonts w:hint="eastAsia" w:ascii="宋体" w:hAnsi="宋体" w:cs="宋体"/>
                <w:color w:val="auto"/>
                <w:szCs w:val="21"/>
                <w:highlight w:val="none"/>
                <w:lang w:val="en-US" w:eastAsia="zh-CN"/>
              </w:rPr>
              <w:t>及</w:t>
            </w:r>
            <w:r>
              <w:rPr>
                <w:rFonts w:ascii="宋体" w:hAnsi="宋体" w:cs="宋体"/>
                <w:color w:val="auto"/>
                <w:szCs w:val="21"/>
                <w:highlight w:val="none"/>
              </w:rPr>
              <w:t>技术文件</w:t>
            </w:r>
            <w:r>
              <w:rPr>
                <w:rFonts w:hint="eastAsia" w:ascii="宋体" w:hAnsi="宋体" w:cs="宋体"/>
                <w:color w:val="auto"/>
                <w:szCs w:val="21"/>
                <w:highlight w:val="none"/>
                <w:lang w:eastAsia="zh-CN"/>
              </w:rPr>
              <w:t>）</w:t>
            </w:r>
            <w:r>
              <w:rPr>
                <w:rFonts w:ascii="宋体" w:hAnsi="宋体" w:cs="宋体"/>
                <w:color w:val="auto"/>
                <w:szCs w:val="21"/>
                <w:highlight w:val="none"/>
              </w:rPr>
              <w:t>评审的投标人</w:t>
            </w:r>
            <w:r>
              <w:rPr>
                <w:rFonts w:hint="eastAsia" w:ascii="宋体" w:hAnsi="宋体" w:cs="宋体"/>
                <w:color w:val="auto"/>
                <w:szCs w:val="21"/>
                <w:highlight w:val="none"/>
              </w:rPr>
              <w:t>仅有</w:t>
            </w:r>
            <w:r>
              <w:rPr>
                <w:rFonts w:hint="eastAsia" w:ascii="宋体" w:hAnsi="宋体" w:cs="宋体"/>
                <w:color w:val="auto"/>
                <w:szCs w:val="21"/>
                <w:highlight w:val="none"/>
                <w:lang w:val="en-US" w:eastAsia="zh-CN"/>
              </w:rPr>
              <w:t>2家</w:t>
            </w:r>
            <w:r>
              <w:rPr>
                <w:rFonts w:ascii="宋体" w:hAnsi="宋体" w:cs="宋体"/>
                <w:color w:val="auto"/>
                <w:szCs w:val="21"/>
                <w:highlight w:val="none"/>
              </w:rPr>
              <w:t>的，评标委员会可以否决全部投标；未否决全部投标的，评标委员会应当在评标报告中阐明理由，招标人应当按照第二章</w:t>
            </w:r>
            <w:r>
              <w:rPr>
                <w:rFonts w:hint="eastAsia" w:ascii="宋体" w:hAnsi="宋体" w:cs="宋体"/>
                <w:color w:val="auto"/>
                <w:szCs w:val="21"/>
                <w:highlight w:val="none"/>
              </w:rPr>
              <w:t>“投标人须知”前附表</w:t>
            </w:r>
            <w:r>
              <w:rPr>
                <w:rFonts w:ascii="宋体" w:hAnsi="宋体" w:cs="宋体"/>
                <w:color w:val="auto"/>
                <w:szCs w:val="21"/>
                <w:highlight w:val="none"/>
              </w:rPr>
              <w:t>第5.2.3项规定的程序进行第二个信封</w:t>
            </w:r>
            <w:r>
              <w:rPr>
                <w:rFonts w:hint="eastAsia" w:ascii="宋体" w:hAnsi="宋体" w:cs="宋体"/>
                <w:color w:val="auto"/>
                <w:szCs w:val="21"/>
                <w:highlight w:val="none"/>
                <w:lang w:eastAsia="zh-CN"/>
              </w:rPr>
              <w:t>（</w:t>
            </w:r>
            <w:r>
              <w:rPr>
                <w:rFonts w:ascii="宋体" w:hAnsi="宋体" w:cs="宋体"/>
                <w:color w:val="auto"/>
                <w:szCs w:val="21"/>
                <w:highlight w:val="none"/>
              </w:rPr>
              <w:t>报价文件</w:t>
            </w:r>
            <w:r>
              <w:rPr>
                <w:rFonts w:hint="eastAsia" w:ascii="宋体" w:hAnsi="宋体" w:cs="宋体"/>
                <w:color w:val="auto"/>
                <w:szCs w:val="21"/>
                <w:highlight w:val="none"/>
                <w:lang w:eastAsia="zh-CN"/>
              </w:rPr>
              <w:t>）</w:t>
            </w:r>
            <w:r>
              <w:rPr>
                <w:rFonts w:ascii="宋体" w:hAnsi="宋体" w:cs="宋体"/>
                <w:color w:val="auto"/>
                <w:szCs w:val="21"/>
                <w:highlight w:val="none"/>
              </w:rPr>
              <w:t>开标，但评标委员会在进行</w:t>
            </w:r>
            <w:r>
              <w:rPr>
                <w:rFonts w:hint="eastAsia" w:ascii="宋体" w:hAnsi="宋体" w:cs="宋体"/>
                <w:color w:val="auto"/>
                <w:szCs w:val="21"/>
                <w:highlight w:val="none"/>
                <w:lang w:val="en-US" w:eastAsia="zh-CN"/>
              </w:rPr>
              <w:t>第二个信封（</w:t>
            </w:r>
            <w:r>
              <w:rPr>
                <w:rFonts w:ascii="宋体" w:hAnsi="宋体" w:cs="宋体"/>
                <w:color w:val="auto"/>
                <w:szCs w:val="21"/>
                <w:highlight w:val="none"/>
              </w:rPr>
              <w:t>报价文件</w:t>
            </w:r>
            <w:r>
              <w:rPr>
                <w:rFonts w:hint="eastAsia" w:ascii="宋体" w:hAnsi="宋体" w:cs="宋体"/>
                <w:color w:val="auto"/>
                <w:szCs w:val="21"/>
                <w:highlight w:val="none"/>
                <w:lang w:val="en-US" w:eastAsia="zh-CN"/>
              </w:rPr>
              <w:t>）</w:t>
            </w:r>
            <w:r>
              <w:rPr>
                <w:rFonts w:ascii="宋体" w:hAnsi="宋体" w:cs="宋体"/>
                <w:color w:val="auto"/>
                <w:szCs w:val="21"/>
                <w:highlight w:val="none"/>
              </w:rPr>
              <w:t>评审时仍有权否决全部投标；评标委员会未在</w:t>
            </w:r>
            <w:r>
              <w:rPr>
                <w:rFonts w:hint="eastAsia" w:ascii="宋体" w:hAnsi="宋体" w:cs="宋体"/>
                <w:color w:val="auto"/>
                <w:szCs w:val="21"/>
                <w:highlight w:val="none"/>
                <w:lang w:val="en-US" w:eastAsia="zh-CN"/>
              </w:rPr>
              <w:t>第二个信封（</w:t>
            </w:r>
            <w:r>
              <w:rPr>
                <w:rFonts w:ascii="宋体" w:hAnsi="宋体" w:cs="宋体"/>
                <w:color w:val="auto"/>
                <w:szCs w:val="21"/>
                <w:highlight w:val="none"/>
              </w:rPr>
              <w:t>报价文件</w:t>
            </w:r>
            <w:r>
              <w:rPr>
                <w:rFonts w:hint="eastAsia" w:ascii="宋体" w:hAnsi="宋体" w:cs="宋体"/>
                <w:color w:val="auto"/>
                <w:szCs w:val="21"/>
                <w:highlight w:val="none"/>
                <w:lang w:val="en-US" w:eastAsia="zh-CN"/>
              </w:rPr>
              <w:t>）</w:t>
            </w:r>
            <w:r>
              <w:rPr>
                <w:rFonts w:ascii="宋体" w:hAnsi="宋体" w:cs="宋体"/>
                <w:color w:val="auto"/>
                <w:szCs w:val="21"/>
                <w:highlight w:val="none"/>
              </w:rPr>
              <w:t>评审时否决全部投标的，应当在评标报告中阐明理由并推荐中标候选人。</w:t>
            </w:r>
          </w:p>
          <w:p w14:paraId="53F9B64D">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3）当通过第一个信封</w:t>
            </w:r>
            <w:r>
              <w:rPr>
                <w:rFonts w:hint="eastAsia" w:ascii="宋体" w:hAnsi="宋体" w:cs="宋体"/>
                <w:color w:val="auto"/>
                <w:szCs w:val="21"/>
                <w:highlight w:val="none"/>
                <w:lang w:eastAsia="zh-CN"/>
              </w:rPr>
              <w:t>（</w:t>
            </w:r>
            <w:r>
              <w:rPr>
                <w:rFonts w:ascii="宋体" w:hAnsi="宋体" w:cs="宋体"/>
                <w:color w:val="auto"/>
                <w:szCs w:val="21"/>
                <w:highlight w:val="none"/>
              </w:rPr>
              <w:t>商务</w:t>
            </w:r>
            <w:r>
              <w:rPr>
                <w:rFonts w:hint="eastAsia" w:ascii="宋体" w:hAnsi="宋体" w:cs="宋体"/>
                <w:color w:val="auto"/>
                <w:szCs w:val="21"/>
                <w:highlight w:val="none"/>
                <w:lang w:val="en-US" w:eastAsia="zh-CN"/>
              </w:rPr>
              <w:t>及</w:t>
            </w:r>
            <w:r>
              <w:rPr>
                <w:rFonts w:ascii="宋体" w:hAnsi="宋体" w:cs="宋体"/>
                <w:color w:val="auto"/>
                <w:szCs w:val="21"/>
                <w:highlight w:val="none"/>
              </w:rPr>
              <w:t>技术文件</w:t>
            </w:r>
            <w:r>
              <w:rPr>
                <w:rFonts w:hint="eastAsia" w:ascii="宋体" w:hAnsi="宋体" w:cs="宋体"/>
                <w:color w:val="auto"/>
                <w:szCs w:val="21"/>
                <w:highlight w:val="none"/>
                <w:lang w:eastAsia="zh-CN"/>
              </w:rPr>
              <w:t>）</w:t>
            </w:r>
            <w:r>
              <w:rPr>
                <w:rFonts w:ascii="宋体" w:hAnsi="宋体" w:cs="宋体"/>
                <w:color w:val="auto"/>
                <w:szCs w:val="21"/>
                <w:highlight w:val="none"/>
              </w:rPr>
              <w:t>评审的投标人仅有1家时，评标委员会应否决其投标。</w:t>
            </w:r>
          </w:p>
        </w:tc>
      </w:tr>
      <w:tr w14:paraId="32DF8A50">
        <w:tblPrEx>
          <w:tblCellMar>
            <w:top w:w="0" w:type="dxa"/>
            <w:left w:w="108" w:type="dxa"/>
            <w:bottom w:w="0" w:type="dxa"/>
            <w:right w:w="108" w:type="dxa"/>
          </w:tblCellMar>
        </w:tblPrEx>
        <w:trPr>
          <w:trHeight w:val="2347"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3CAB44C">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w:t>
            </w:r>
          </w:p>
          <w:p w14:paraId="757D2457">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第一个信封详细评审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189CD8BE">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szCs w:val="21"/>
                <w:highlight w:val="none"/>
              </w:rPr>
              <w:t>3.2.1</w:t>
            </w:r>
          </w:p>
        </w:tc>
        <w:tc>
          <w:tcPr>
            <w:tcW w:w="6869" w:type="dxa"/>
            <w:tcBorders>
              <w:top w:val="single" w:color="auto" w:sz="4" w:space="0"/>
              <w:left w:val="single" w:color="auto" w:sz="4" w:space="0"/>
              <w:bottom w:val="single" w:color="auto" w:sz="4" w:space="0"/>
              <w:right w:val="single" w:color="auto" w:sz="4" w:space="0"/>
            </w:tcBorders>
            <w:vAlign w:val="center"/>
          </w:tcPr>
          <w:p w14:paraId="4065D07E">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1）按本章第2.2.4项（1）目规定的评审因素和分值对施工组织设计部分计算出得分A；</w:t>
            </w:r>
          </w:p>
          <w:p w14:paraId="3685EC95">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2）按本章第2.2.4项（2）目规定的评审因素和分值对主要人员部分计算出得分B；</w:t>
            </w:r>
          </w:p>
          <w:p w14:paraId="6991C2E2">
            <w:pPr>
              <w:widowControl/>
              <w:adjustRightInd w:val="0"/>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3）按本章第2.2.4项（4）目规定的评审因素和分值对其他部分计算出得分D</w:t>
            </w:r>
            <w:r>
              <w:rPr>
                <w:rFonts w:hint="eastAsia" w:ascii="宋体" w:hAnsi="宋体" w:cs="宋体"/>
                <w:color w:val="auto"/>
                <w:szCs w:val="21"/>
                <w:highlight w:val="none"/>
                <w:lang w:val="en-US" w:eastAsia="zh-CN"/>
              </w:rPr>
              <w:t>。</w:t>
            </w:r>
          </w:p>
        </w:tc>
      </w:tr>
      <w:tr w14:paraId="01C6FF21">
        <w:tblPrEx>
          <w:tblCellMar>
            <w:top w:w="0" w:type="dxa"/>
            <w:left w:w="108" w:type="dxa"/>
            <w:bottom w:w="0" w:type="dxa"/>
            <w:right w:w="108" w:type="dxa"/>
          </w:tblCellMar>
        </w:tblPrEx>
        <w:trPr>
          <w:trHeight w:val="530" w:hRule="atLeast"/>
        </w:trPr>
        <w:tc>
          <w:tcPr>
            <w:tcW w:w="993" w:type="dxa"/>
            <w:vMerge w:val="continue"/>
            <w:tcBorders>
              <w:top w:val="single" w:color="auto" w:sz="4" w:space="0"/>
              <w:left w:val="single" w:color="auto" w:sz="4" w:space="0"/>
              <w:right w:val="single" w:color="auto" w:sz="4" w:space="0"/>
            </w:tcBorders>
            <w:vAlign w:val="center"/>
          </w:tcPr>
          <w:p w14:paraId="77257707">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0EE20B">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szCs w:val="21"/>
                <w:highlight w:val="none"/>
              </w:rPr>
              <w:t>3.2.2</w:t>
            </w:r>
          </w:p>
        </w:tc>
        <w:tc>
          <w:tcPr>
            <w:tcW w:w="6869" w:type="dxa"/>
            <w:tcBorders>
              <w:top w:val="single" w:color="auto" w:sz="4" w:space="0"/>
              <w:left w:val="single" w:color="auto" w:sz="4" w:space="0"/>
              <w:bottom w:val="single" w:color="auto" w:sz="4" w:space="0"/>
              <w:right w:val="single" w:color="auto" w:sz="4" w:space="0"/>
            </w:tcBorders>
            <w:vAlign w:val="center"/>
          </w:tcPr>
          <w:p w14:paraId="7DBA2B26">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投标人的商务和技术得分分值计算</w:t>
            </w:r>
            <w:r>
              <w:rPr>
                <w:rFonts w:asciiTheme="minorEastAsia" w:hAnsiTheme="minorEastAsia" w:eastAsiaTheme="minorEastAsia"/>
                <w:color w:val="auto"/>
                <w:szCs w:val="21"/>
                <w:highlight w:val="none"/>
              </w:rPr>
              <w:t>“四舍五入”</w:t>
            </w:r>
            <w:r>
              <w:rPr>
                <w:rFonts w:hint="eastAsia"/>
                <w:color w:val="auto"/>
                <w:szCs w:val="21"/>
                <w:highlight w:val="none"/>
              </w:rPr>
              <w:t>至少保留小数点后</w:t>
            </w:r>
            <w:r>
              <w:rPr>
                <w:rFonts w:asciiTheme="minorEastAsia" w:hAnsiTheme="minorEastAsia" w:eastAsiaTheme="minorEastAsia"/>
                <w:color w:val="auto"/>
                <w:szCs w:val="21"/>
                <w:highlight w:val="none"/>
                <w:u w:val="single"/>
              </w:rPr>
              <w:t xml:space="preserve">  </w:t>
            </w:r>
            <w:r>
              <w:rPr>
                <w:rFonts w:hint="eastAsia"/>
                <w:color w:val="auto"/>
                <w:szCs w:val="21"/>
                <w:highlight w:val="none"/>
              </w:rPr>
              <w:t>位</w:t>
            </w:r>
            <w:r>
              <w:rPr>
                <w:rFonts w:hint="eastAsia" w:ascii="宋体" w:hAnsi="宋体" w:cs="宋体"/>
                <w:color w:val="auto"/>
                <w:szCs w:val="21"/>
                <w:highlight w:val="none"/>
              </w:rPr>
              <w:t>。</w:t>
            </w:r>
          </w:p>
        </w:tc>
      </w:tr>
      <w:tr w14:paraId="12D57BD6">
        <w:tblPrEx>
          <w:tblCellMar>
            <w:top w:w="0" w:type="dxa"/>
            <w:left w:w="108" w:type="dxa"/>
            <w:bottom w:w="0" w:type="dxa"/>
            <w:right w:w="108" w:type="dxa"/>
          </w:tblCellMar>
        </w:tblPrEx>
        <w:trPr>
          <w:trHeight w:val="502" w:hRule="atLeast"/>
        </w:trPr>
        <w:tc>
          <w:tcPr>
            <w:tcW w:w="993" w:type="dxa"/>
            <w:vMerge w:val="continue"/>
            <w:tcBorders>
              <w:left w:val="single" w:color="auto" w:sz="4" w:space="0"/>
              <w:bottom w:val="single" w:color="auto" w:sz="4" w:space="0"/>
              <w:right w:val="single" w:color="auto" w:sz="4" w:space="0"/>
            </w:tcBorders>
            <w:vAlign w:val="center"/>
          </w:tcPr>
          <w:p w14:paraId="4CD597C2">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DA3FD2">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szCs w:val="21"/>
                <w:highlight w:val="none"/>
              </w:rPr>
              <w:t>3.2.3</w:t>
            </w:r>
          </w:p>
        </w:tc>
        <w:tc>
          <w:tcPr>
            <w:tcW w:w="6869" w:type="dxa"/>
            <w:tcBorders>
              <w:top w:val="single" w:color="auto" w:sz="4" w:space="0"/>
              <w:left w:val="single" w:color="auto" w:sz="4" w:space="0"/>
              <w:bottom w:val="single" w:color="auto" w:sz="4" w:space="0"/>
              <w:right w:val="single" w:color="auto" w:sz="4" w:space="0"/>
            </w:tcBorders>
            <w:vAlign w:val="center"/>
          </w:tcPr>
          <w:p w14:paraId="73029099">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投标人的商务和技术得分</w:t>
            </w:r>
            <w:r>
              <w:rPr>
                <w:rFonts w:ascii="宋体" w:hAnsi="宋体" w:cs="宋体"/>
                <w:color w:val="auto"/>
                <w:szCs w:val="21"/>
                <w:highlight w:val="none"/>
              </w:rPr>
              <w:t>=A＋B＋D。</w:t>
            </w:r>
          </w:p>
        </w:tc>
      </w:tr>
      <w:tr w14:paraId="23FCA380">
        <w:tblPrEx>
          <w:tblCellMar>
            <w:top w:w="0" w:type="dxa"/>
            <w:left w:w="108" w:type="dxa"/>
            <w:bottom w:w="0" w:type="dxa"/>
            <w:right w:w="108" w:type="dxa"/>
          </w:tblCellMar>
        </w:tblPrEx>
        <w:trPr>
          <w:trHeight w:val="102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2D49D49">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w:t>
            </w:r>
          </w:p>
          <w:p w14:paraId="51C30D0E">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第二个信封初步评审</w:t>
            </w:r>
          </w:p>
        </w:tc>
        <w:tc>
          <w:tcPr>
            <w:tcW w:w="1134" w:type="dxa"/>
            <w:tcBorders>
              <w:top w:val="single" w:color="auto" w:sz="4" w:space="0"/>
              <w:left w:val="single" w:color="auto" w:sz="4" w:space="0"/>
              <w:bottom w:val="single" w:color="000000" w:sz="4" w:space="0"/>
              <w:right w:val="single" w:color="000000" w:sz="4" w:space="0"/>
            </w:tcBorders>
            <w:vAlign w:val="center"/>
          </w:tcPr>
          <w:p w14:paraId="564C6D90">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3.4.1</w:t>
            </w:r>
          </w:p>
        </w:tc>
        <w:tc>
          <w:tcPr>
            <w:tcW w:w="6869" w:type="dxa"/>
            <w:tcBorders>
              <w:top w:val="single" w:color="auto" w:sz="4" w:space="0"/>
              <w:left w:val="nil"/>
              <w:bottom w:val="single" w:color="000000" w:sz="4" w:space="0"/>
              <w:right w:val="single" w:color="000000" w:sz="4" w:space="0"/>
            </w:tcBorders>
            <w:vAlign w:val="center"/>
          </w:tcPr>
          <w:p w14:paraId="12375F45">
            <w:pPr>
              <w:widowControl/>
              <w:adjustRightInd w:val="0"/>
              <w:snapToGrid w:val="0"/>
              <w:spacing w:line="400" w:lineRule="exact"/>
              <w:rPr>
                <w:rFonts w:ascii="宋体" w:hAnsi="宋体"/>
                <w:color w:val="auto"/>
                <w:kern w:val="0"/>
                <w:szCs w:val="21"/>
                <w:highlight w:val="none"/>
              </w:rPr>
            </w:pPr>
            <w:r>
              <w:rPr>
                <w:rFonts w:hint="eastAsia" w:ascii="宋体" w:hAnsi="宋体" w:cs="宋体"/>
                <w:color w:val="auto"/>
                <w:kern w:val="0"/>
                <w:szCs w:val="21"/>
                <w:highlight w:val="none"/>
              </w:rPr>
              <w:t>评标委员会依据本章第</w:t>
            </w:r>
            <w:r>
              <w:rPr>
                <w:rFonts w:ascii="宋体" w:hAnsi="宋体" w:cs="宋体"/>
                <w:color w:val="auto"/>
                <w:kern w:val="0"/>
                <w:szCs w:val="21"/>
                <w:highlight w:val="none"/>
              </w:rPr>
              <w:t>2.1.1项、第2.1.3项规定的评审标准对投标文件第二个信封（报价文件）进行初步评审，有一项不符合评审标准的，</w:t>
            </w:r>
            <w:r>
              <w:rPr>
                <w:rFonts w:hint="eastAsia" w:ascii="宋体" w:hAnsi="宋体"/>
                <w:color w:val="auto"/>
                <w:szCs w:val="21"/>
                <w:highlight w:val="none"/>
              </w:rPr>
              <w:t>评标委员会应否决其投标</w:t>
            </w:r>
            <w:r>
              <w:rPr>
                <w:rFonts w:hint="eastAsia" w:ascii="宋体" w:hAnsi="宋体" w:cs="宋体"/>
                <w:color w:val="auto"/>
                <w:kern w:val="0"/>
                <w:szCs w:val="21"/>
                <w:highlight w:val="none"/>
              </w:rPr>
              <w:t>。</w:t>
            </w:r>
          </w:p>
        </w:tc>
      </w:tr>
      <w:tr w14:paraId="5EF1D49E">
        <w:tblPrEx>
          <w:tblCellMar>
            <w:top w:w="0" w:type="dxa"/>
            <w:left w:w="108" w:type="dxa"/>
            <w:bottom w:w="0" w:type="dxa"/>
            <w:right w:w="108" w:type="dxa"/>
          </w:tblCellMar>
        </w:tblPrEx>
        <w:trPr>
          <w:trHeight w:val="1083"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7A95FA5">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000000" w:sz="4" w:space="0"/>
            </w:tcBorders>
            <w:vAlign w:val="center"/>
          </w:tcPr>
          <w:p w14:paraId="281E682A">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3.4.2</w:t>
            </w:r>
          </w:p>
        </w:tc>
        <w:tc>
          <w:tcPr>
            <w:tcW w:w="6869" w:type="dxa"/>
            <w:tcBorders>
              <w:top w:val="single" w:color="auto" w:sz="4" w:space="0"/>
              <w:left w:val="nil"/>
              <w:bottom w:val="single" w:color="auto" w:sz="4" w:space="0"/>
              <w:right w:val="single" w:color="000000" w:sz="4" w:space="0"/>
            </w:tcBorders>
            <w:vAlign w:val="center"/>
          </w:tcPr>
          <w:p w14:paraId="6BAA5789">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对投标人投标报价进行算术性修正的原则：</w:t>
            </w:r>
          </w:p>
          <w:p w14:paraId="1965B03D">
            <w:pPr>
              <w:pStyle w:val="299"/>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 方式一：</w:t>
            </w:r>
          </w:p>
          <w:p w14:paraId="448CC65B">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1）投标函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中的</w:t>
            </w:r>
            <w:r>
              <w:rPr>
                <w:rFonts w:hint="eastAsia" w:ascii="宋体" w:hAnsi="宋体" w:cs="宋体"/>
                <w:color w:val="auto"/>
                <w:kern w:val="0"/>
                <w:szCs w:val="21"/>
                <w:highlight w:val="none"/>
                <w:lang w:val="en-US" w:eastAsia="zh-CN"/>
              </w:rPr>
              <w:t>投标总报价</w:t>
            </w:r>
            <w:r>
              <w:rPr>
                <w:rFonts w:ascii="宋体" w:hAnsi="宋体" w:cs="宋体"/>
                <w:color w:val="auto"/>
                <w:kern w:val="0"/>
                <w:szCs w:val="21"/>
                <w:highlight w:val="none"/>
              </w:rPr>
              <w:t>大写金额与小写金额不一致的，以大写金额为准。</w:t>
            </w:r>
          </w:p>
          <w:p w14:paraId="252EB580">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2）清单汇总表投标报价金额与投标函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中的</w:t>
            </w:r>
            <w:r>
              <w:rPr>
                <w:rFonts w:hint="eastAsia" w:ascii="宋体" w:hAnsi="宋体" w:cs="宋体"/>
                <w:color w:val="auto"/>
                <w:kern w:val="0"/>
                <w:szCs w:val="21"/>
                <w:highlight w:val="none"/>
                <w:lang w:val="en-US" w:eastAsia="zh-CN"/>
              </w:rPr>
              <w:t>投标总报价</w:t>
            </w:r>
            <w:r>
              <w:rPr>
                <w:rFonts w:ascii="宋体" w:hAnsi="宋体" w:cs="宋体"/>
                <w:color w:val="auto"/>
                <w:kern w:val="0"/>
                <w:szCs w:val="21"/>
                <w:highlight w:val="none"/>
              </w:rPr>
              <w:t>大写金额不一致的，以投标函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中</w:t>
            </w:r>
            <w:r>
              <w:rPr>
                <w:rFonts w:hint="eastAsia" w:ascii="宋体" w:hAnsi="宋体" w:cs="宋体"/>
                <w:color w:val="auto"/>
                <w:kern w:val="0"/>
                <w:szCs w:val="21"/>
                <w:highlight w:val="none"/>
                <w:lang w:val="en-US" w:eastAsia="zh-CN"/>
              </w:rPr>
              <w:t>投标总报价</w:t>
            </w:r>
            <w:r>
              <w:rPr>
                <w:rFonts w:ascii="宋体" w:hAnsi="宋体" w:cs="宋体"/>
                <w:color w:val="auto"/>
                <w:kern w:val="0"/>
                <w:szCs w:val="21"/>
                <w:highlight w:val="none"/>
              </w:rPr>
              <w:t>大写金额为准。</w:t>
            </w:r>
          </w:p>
          <w:p w14:paraId="3904E44D">
            <w:pPr>
              <w:pStyle w:val="299"/>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方式二：</w:t>
            </w:r>
            <w:r>
              <w:rPr>
                <w:rStyle w:val="59"/>
                <w:rFonts w:hint="eastAsia" w:ascii="宋体" w:hAnsi="宋体" w:cs="宋体"/>
                <w:color w:val="auto"/>
                <w:kern w:val="0"/>
                <w:szCs w:val="21"/>
                <w:highlight w:val="none"/>
              </w:rPr>
              <w:footnoteReference w:id="174"/>
            </w:r>
          </w:p>
          <w:p w14:paraId="1626497F">
            <w:pPr>
              <w:widowControl/>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p>
        </w:tc>
      </w:tr>
      <w:tr w14:paraId="7DFAEBA6">
        <w:tblPrEx>
          <w:tblCellMar>
            <w:top w:w="0" w:type="dxa"/>
            <w:left w:w="108" w:type="dxa"/>
            <w:bottom w:w="0" w:type="dxa"/>
            <w:right w:w="108" w:type="dxa"/>
          </w:tblCellMar>
        </w:tblPrEx>
        <w:trPr>
          <w:trHeight w:val="1650"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055A9F1B">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w:t>
            </w:r>
          </w:p>
          <w:p w14:paraId="13CB117C">
            <w:pPr>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第二个信封初步评审</w:t>
            </w:r>
          </w:p>
        </w:tc>
        <w:tc>
          <w:tcPr>
            <w:tcW w:w="1134" w:type="dxa"/>
            <w:tcBorders>
              <w:top w:val="single" w:color="auto" w:sz="4" w:space="0"/>
              <w:left w:val="single" w:color="auto" w:sz="4" w:space="0"/>
              <w:bottom w:val="single" w:color="auto" w:sz="4" w:space="0"/>
              <w:right w:val="single" w:color="auto" w:sz="4" w:space="0"/>
            </w:tcBorders>
            <w:vAlign w:val="center"/>
          </w:tcPr>
          <w:p w14:paraId="2A4A4F63">
            <w:pPr>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3.4.3</w:t>
            </w:r>
          </w:p>
        </w:tc>
        <w:tc>
          <w:tcPr>
            <w:tcW w:w="6869" w:type="dxa"/>
            <w:tcBorders>
              <w:top w:val="single" w:color="auto" w:sz="4" w:space="0"/>
              <w:left w:val="single" w:color="auto" w:sz="4" w:space="0"/>
              <w:bottom w:val="single" w:color="auto" w:sz="4" w:space="0"/>
              <w:right w:val="single" w:color="auto" w:sz="4" w:space="0"/>
            </w:tcBorders>
            <w:vAlign w:val="center"/>
          </w:tcPr>
          <w:p w14:paraId="627D2173">
            <w:pPr>
              <w:adjustRightInd w:val="0"/>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对投标人已标价工程量清单中的投标报价有其他错误进行修正的原则：</w:t>
            </w:r>
          </w:p>
          <w:p w14:paraId="2BC5ED54">
            <w:pPr>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方式一：</w:t>
            </w:r>
          </w:p>
          <w:p w14:paraId="6BCE4FC3">
            <w:pPr>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工程量清单中的投标报价有其他错误的，评标阶段不作修正，在签订合同时以投标函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第二个信封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中投标总报价大写金额为准，按第二章“投标人须知”前附表第</w:t>
            </w:r>
            <w:r>
              <w:rPr>
                <w:rFonts w:ascii="宋体" w:hAnsi="宋体" w:cs="宋体"/>
                <w:color w:val="auto"/>
                <w:kern w:val="0"/>
                <w:szCs w:val="21"/>
                <w:highlight w:val="none"/>
              </w:rPr>
              <w:t>7.8.3项规定修正。</w:t>
            </w:r>
          </w:p>
          <w:p w14:paraId="63BC1C38">
            <w:pPr>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方式二：</w:t>
            </w:r>
            <w:r>
              <w:rPr>
                <w:rStyle w:val="59"/>
                <w:rFonts w:hint="eastAsia" w:ascii="宋体" w:hAnsi="宋体" w:cs="宋体"/>
                <w:color w:val="auto"/>
                <w:kern w:val="0"/>
                <w:szCs w:val="21"/>
                <w:highlight w:val="none"/>
              </w:rPr>
              <w:footnoteReference w:id="175"/>
            </w:r>
          </w:p>
          <w:p w14:paraId="0EA40E42">
            <w:pPr>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p>
        </w:tc>
      </w:tr>
      <w:tr w14:paraId="5950EF26">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742401F">
            <w:pPr>
              <w:widowControl/>
              <w:adjustRightInd w:val="0"/>
              <w:snapToGrid w:val="0"/>
              <w:spacing w:line="400" w:lineRule="exact"/>
              <w:jc w:val="center"/>
              <w:rPr>
                <w:rFonts w:ascii="宋体" w:hAnsi="宋体" w:cs="宋体"/>
                <w:b/>
                <w:bCs/>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5DD1B57">
            <w:pPr>
              <w:widowControl/>
              <w:adjustRightInd w:val="0"/>
              <w:snapToGrid w:val="0"/>
              <w:spacing w:line="400" w:lineRule="exact"/>
              <w:jc w:val="center"/>
              <w:rPr>
                <w:rFonts w:ascii="宋体" w:hAnsi="宋体" w:cs="宋体"/>
                <w:b/>
                <w:bCs/>
                <w:color w:val="auto"/>
                <w:kern w:val="0"/>
                <w:szCs w:val="21"/>
                <w:highlight w:val="none"/>
              </w:rPr>
            </w:pPr>
            <w:r>
              <w:rPr>
                <w:rFonts w:ascii="宋体" w:hAnsi="宋体" w:cs="宋体"/>
                <w:color w:val="auto"/>
                <w:kern w:val="0"/>
                <w:szCs w:val="21"/>
                <w:highlight w:val="none"/>
              </w:rPr>
              <w:t>3.4.4</w:t>
            </w:r>
          </w:p>
        </w:tc>
        <w:tc>
          <w:tcPr>
            <w:tcW w:w="6869" w:type="dxa"/>
            <w:tcBorders>
              <w:top w:val="single" w:color="auto" w:sz="4" w:space="0"/>
              <w:left w:val="nil"/>
              <w:bottom w:val="single" w:color="auto" w:sz="4" w:space="0"/>
              <w:right w:val="single" w:color="auto" w:sz="4" w:space="0"/>
            </w:tcBorders>
            <w:vAlign w:val="center"/>
          </w:tcPr>
          <w:p w14:paraId="185DE529">
            <w:pPr>
              <w:widowControl/>
              <w:adjustRightInd w:val="0"/>
              <w:snapToGrid w:val="0"/>
              <w:spacing w:line="400" w:lineRule="exact"/>
              <w:jc w:val="left"/>
              <w:rPr>
                <w:rFonts w:ascii="宋体" w:hAnsi="宋体" w:cs="宋体"/>
                <w:b/>
                <w:bCs/>
                <w:color w:val="auto"/>
                <w:kern w:val="0"/>
                <w:szCs w:val="21"/>
                <w:highlight w:val="none"/>
              </w:rPr>
            </w:pPr>
            <w:r>
              <w:rPr>
                <w:rFonts w:hint="eastAsia" w:ascii="宋体" w:hAnsi="宋体"/>
                <w:color w:val="auto"/>
                <w:szCs w:val="21"/>
                <w:highlight w:val="none"/>
              </w:rPr>
              <w:t>投标人的投标报价若超过最高投标限价（如有），评标委员会应否决其投标。</w:t>
            </w:r>
          </w:p>
        </w:tc>
      </w:tr>
      <w:tr w14:paraId="7D231142">
        <w:tblPrEx>
          <w:tblCellMar>
            <w:top w:w="0" w:type="dxa"/>
            <w:left w:w="108" w:type="dxa"/>
            <w:bottom w:w="0" w:type="dxa"/>
            <w:right w:w="108" w:type="dxa"/>
          </w:tblCellMar>
        </w:tblPrEx>
        <w:trPr>
          <w:trHeight w:val="840"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0B359D1A">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3.5</w:t>
            </w:r>
          </w:p>
          <w:p w14:paraId="3A5DC276">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第二个信封详细评审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68F42E22">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3.5.1</w:t>
            </w:r>
          </w:p>
        </w:tc>
        <w:tc>
          <w:tcPr>
            <w:tcW w:w="6869" w:type="dxa"/>
            <w:tcBorders>
              <w:top w:val="single" w:color="auto" w:sz="4" w:space="0"/>
              <w:bottom w:val="single" w:color="auto" w:sz="4" w:space="0"/>
              <w:right w:val="single" w:color="auto" w:sz="4" w:space="0"/>
            </w:tcBorders>
            <w:vAlign w:val="center"/>
          </w:tcPr>
          <w:p w14:paraId="1B14ED66">
            <w:pPr>
              <w:widowControl/>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按本章</w:t>
            </w:r>
            <w:r>
              <w:rPr>
                <w:rFonts w:ascii="宋体" w:hAnsi="宋体" w:cs="宋体"/>
                <w:color w:val="auto"/>
                <w:szCs w:val="21"/>
                <w:highlight w:val="none"/>
              </w:rPr>
              <w:t>第2.2.4项（3）目规定的评审因素和分值对评标价计算出得分F，评标价得分分值计算</w:t>
            </w:r>
            <w:r>
              <w:rPr>
                <w:rFonts w:asciiTheme="minorEastAsia" w:hAnsiTheme="minorEastAsia" w:eastAsiaTheme="minorEastAsia"/>
                <w:color w:val="auto"/>
                <w:szCs w:val="21"/>
                <w:highlight w:val="none"/>
              </w:rPr>
              <w:t>“四舍五入”</w:t>
            </w:r>
            <w:r>
              <w:rPr>
                <w:rFonts w:hint="eastAsia"/>
                <w:color w:val="auto"/>
                <w:szCs w:val="21"/>
                <w:highlight w:val="none"/>
              </w:rPr>
              <w:t>至少保留小数点后</w:t>
            </w:r>
            <w:r>
              <w:rPr>
                <w:rFonts w:asciiTheme="minorEastAsia" w:hAnsiTheme="minorEastAsia" w:eastAsiaTheme="minorEastAsia"/>
                <w:color w:val="auto"/>
                <w:szCs w:val="21"/>
                <w:highlight w:val="none"/>
                <w:u w:val="single"/>
              </w:rPr>
              <w:t xml:space="preserve">    </w:t>
            </w:r>
            <w:r>
              <w:rPr>
                <w:rFonts w:hint="eastAsia"/>
                <w:color w:val="auto"/>
                <w:szCs w:val="21"/>
                <w:highlight w:val="none"/>
              </w:rPr>
              <w:t>位</w:t>
            </w:r>
            <w:r>
              <w:rPr>
                <w:rFonts w:hint="eastAsia" w:ascii="宋体" w:hAnsi="宋体" w:cs="宋体"/>
                <w:color w:val="auto"/>
                <w:szCs w:val="21"/>
                <w:highlight w:val="none"/>
              </w:rPr>
              <w:t>。</w:t>
            </w:r>
          </w:p>
        </w:tc>
      </w:tr>
      <w:tr w14:paraId="21EBD579">
        <w:tblPrEx>
          <w:tblCellMar>
            <w:top w:w="0" w:type="dxa"/>
            <w:left w:w="108" w:type="dxa"/>
            <w:bottom w:w="0" w:type="dxa"/>
            <w:right w:w="108" w:type="dxa"/>
          </w:tblCellMar>
        </w:tblPrEx>
        <w:trPr>
          <w:trHeight w:val="5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7E1BAAE">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000000" w:sz="4" w:space="0"/>
              <w:right w:val="single" w:color="auto" w:sz="4" w:space="0"/>
            </w:tcBorders>
            <w:vAlign w:val="center"/>
          </w:tcPr>
          <w:p w14:paraId="6996E300">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3.5.2</w:t>
            </w:r>
          </w:p>
        </w:tc>
        <w:tc>
          <w:tcPr>
            <w:tcW w:w="6869" w:type="dxa"/>
            <w:tcBorders>
              <w:top w:val="single" w:color="auto" w:sz="4" w:space="0"/>
              <w:left w:val="single" w:color="auto" w:sz="4" w:space="0"/>
              <w:bottom w:val="single" w:color="auto" w:sz="4" w:space="0"/>
              <w:right w:val="single" w:color="auto" w:sz="4" w:space="0"/>
            </w:tcBorders>
            <w:vAlign w:val="center"/>
          </w:tcPr>
          <w:p w14:paraId="0A3569F8">
            <w:pPr>
              <w:widowControl/>
              <w:adjustRightInd w:val="0"/>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投标人综合得分＝投标人的商务和技术得分＋</w:t>
            </w:r>
            <w:r>
              <w:rPr>
                <w:rFonts w:ascii="宋体" w:hAnsi="宋体" w:cs="宋体"/>
                <w:color w:val="auto"/>
                <w:szCs w:val="21"/>
                <w:highlight w:val="none"/>
              </w:rPr>
              <w:t>F</w:t>
            </w:r>
            <w:r>
              <w:rPr>
                <w:rFonts w:hint="eastAsia" w:ascii="宋体" w:hAnsi="宋体" w:cs="宋体"/>
                <w:color w:val="auto"/>
                <w:szCs w:val="21"/>
                <w:highlight w:val="none"/>
                <w:lang w:eastAsia="zh-CN"/>
              </w:rPr>
              <w:t>。</w:t>
            </w:r>
          </w:p>
        </w:tc>
      </w:tr>
      <w:tr w14:paraId="74AEFE23">
        <w:tblPrEx>
          <w:tblCellMar>
            <w:top w:w="0" w:type="dxa"/>
            <w:left w:w="108" w:type="dxa"/>
            <w:bottom w:w="0" w:type="dxa"/>
            <w:right w:w="108" w:type="dxa"/>
          </w:tblCellMar>
        </w:tblPrEx>
        <w:trPr>
          <w:trHeight w:val="57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2FDC6FE">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auto" w:sz="4" w:space="0"/>
              <w:left w:val="single" w:color="auto" w:sz="4" w:space="0"/>
              <w:bottom w:val="single" w:color="000000" w:sz="4" w:space="0"/>
              <w:right w:val="single" w:color="000000" w:sz="4" w:space="0"/>
            </w:tcBorders>
            <w:vAlign w:val="center"/>
          </w:tcPr>
          <w:p w14:paraId="78F91C10">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3.5.3</w:t>
            </w:r>
          </w:p>
        </w:tc>
        <w:tc>
          <w:tcPr>
            <w:tcW w:w="6869" w:type="dxa"/>
            <w:tcBorders>
              <w:top w:val="single" w:color="auto" w:sz="4" w:space="0"/>
              <w:left w:val="nil"/>
              <w:bottom w:val="single" w:color="000000" w:sz="4" w:space="0"/>
              <w:right w:val="single" w:color="000000" w:sz="4" w:space="0"/>
            </w:tcBorders>
            <w:vAlign w:val="center"/>
          </w:tcPr>
          <w:p w14:paraId="6F4FC5EE">
            <w:pPr>
              <w:widowControl/>
              <w:adjustRightInd w:val="0"/>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评标委员会认定投标人以低于成本报价的，其投标将予以否决。</w:t>
            </w:r>
          </w:p>
        </w:tc>
      </w:tr>
      <w:tr w14:paraId="4ADFE56A">
        <w:tblPrEx>
          <w:tblCellMar>
            <w:top w:w="0" w:type="dxa"/>
            <w:left w:w="108" w:type="dxa"/>
            <w:bottom w:w="0" w:type="dxa"/>
            <w:right w:w="108" w:type="dxa"/>
          </w:tblCellMar>
        </w:tblPrEx>
        <w:trPr>
          <w:trHeight w:val="110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7B81404F">
            <w:pPr>
              <w:widowControl/>
              <w:adjustRightInd w:val="0"/>
              <w:snapToGrid w:val="0"/>
              <w:spacing w:line="400" w:lineRule="exact"/>
              <w:jc w:val="center"/>
              <w:rPr>
                <w:rFonts w:ascii="宋体" w:hAnsi="宋体"/>
                <w:color w:val="auto"/>
                <w:szCs w:val="21"/>
                <w:highlight w:val="none"/>
              </w:rPr>
            </w:pPr>
            <w:r>
              <w:rPr>
                <w:rFonts w:ascii="宋体" w:hAnsi="宋体"/>
                <w:color w:val="auto"/>
                <w:szCs w:val="21"/>
                <w:highlight w:val="none"/>
              </w:rPr>
              <w:t>3.6</w:t>
            </w:r>
          </w:p>
          <w:p w14:paraId="51C1A857">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olor w:val="auto"/>
                <w:szCs w:val="21"/>
                <w:highlight w:val="none"/>
              </w:rPr>
              <w:t>投标文件相关信息</w:t>
            </w:r>
            <w:r>
              <w:rPr>
                <w:rFonts w:hint="eastAsia" w:ascii="宋体" w:hAnsi="宋体"/>
                <w:color w:val="auto"/>
                <w:szCs w:val="21"/>
                <w:highlight w:val="none"/>
                <w:lang w:val="en-US" w:eastAsia="zh-CN"/>
              </w:rPr>
              <w:t>的</w:t>
            </w:r>
            <w:r>
              <w:rPr>
                <w:rFonts w:hint="eastAsia" w:ascii="宋体" w:hAnsi="宋体"/>
                <w:color w:val="auto"/>
                <w:szCs w:val="21"/>
                <w:highlight w:val="none"/>
              </w:rPr>
              <w:t>核查</w:t>
            </w:r>
          </w:p>
        </w:tc>
        <w:tc>
          <w:tcPr>
            <w:tcW w:w="1134" w:type="dxa"/>
            <w:tcBorders>
              <w:top w:val="single" w:color="000000" w:sz="4" w:space="0"/>
              <w:left w:val="single" w:color="auto" w:sz="4" w:space="0"/>
              <w:bottom w:val="single" w:color="000000" w:sz="4" w:space="0"/>
              <w:right w:val="single" w:color="000000" w:sz="4" w:space="0"/>
            </w:tcBorders>
            <w:vAlign w:val="center"/>
          </w:tcPr>
          <w:p w14:paraId="1B9749EF">
            <w:pPr>
              <w:widowControl/>
              <w:adjustRightInd w:val="0"/>
              <w:snapToGrid w:val="0"/>
              <w:spacing w:line="400" w:lineRule="exact"/>
              <w:jc w:val="center"/>
              <w:rPr>
                <w:rFonts w:ascii="宋体" w:hAnsi="宋体" w:cs="宋体"/>
                <w:color w:val="auto"/>
                <w:kern w:val="0"/>
                <w:szCs w:val="21"/>
                <w:highlight w:val="none"/>
              </w:rPr>
            </w:pPr>
            <w:r>
              <w:rPr>
                <w:rFonts w:ascii="宋体" w:hAnsi="宋体"/>
                <w:color w:val="auto"/>
                <w:szCs w:val="21"/>
                <w:highlight w:val="none"/>
              </w:rPr>
              <w:t>3.6.1</w:t>
            </w:r>
          </w:p>
        </w:tc>
        <w:tc>
          <w:tcPr>
            <w:tcW w:w="6869" w:type="dxa"/>
            <w:tcBorders>
              <w:top w:val="single" w:color="000000" w:sz="4" w:space="0"/>
              <w:left w:val="nil"/>
              <w:bottom w:val="single" w:color="000000" w:sz="4" w:space="0"/>
              <w:right w:val="single" w:color="000000" w:sz="4" w:space="0"/>
            </w:tcBorders>
            <w:vAlign w:val="center"/>
          </w:tcPr>
          <w:p w14:paraId="571831FE">
            <w:pPr>
              <w:widowControl/>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经核实评标委员会认定投标人</w:t>
            </w:r>
            <w:r>
              <w:rPr>
                <w:rFonts w:hint="eastAsia" w:ascii="宋体" w:hAnsi="宋体" w:cs="宋体"/>
                <w:color w:val="auto"/>
                <w:szCs w:val="21"/>
                <w:highlight w:val="none"/>
                <w:lang w:val="en-US" w:eastAsia="zh-CN"/>
              </w:rPr>
              <w:t>按招标文件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章“投标文件格式”要求</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提供的信息与</w:t>
            </w:r>
            <w:r>
              <w:rPr>
                <w:rFonts w:hint="eastAsia" w:ascii="宋体" w:hAnsi="宋体"/>
                <w:color w:val="auto"/>
                <w:szCs w:val="21"/>
                <w:highlight w:val="none"/>
              </w:rPr>
              <w:t>交通运输主管部门</w:t>
            </w:r>
            <w:r>
              <w:rPr>
                <w:rFonts w:ascii="宋体" w:hAnsi="宋体"/>
                <w:color w:val="auto"/>
                <w:szCs w:val="21"/>
                <w:highlight w:val="none"/>
              </w:rPr>
              <w:t>“</w:t>
            </w:r>
            <w:r>
              <w:rPr>
                <w:rFonts w:hint="eastAsia" w:ascii="宋体" w:hAnsi="宋体" w:cs="宋体"/>
                <w:color w:val="auto"/>
                <w:kern w:val="2"/>
                <w:sz w:val="21"/>
                <w:szCs w:val="21"/>
                <w:highlight w:val="none"/>
              </w:rPr>
              <w:t>全国公路建设市场监督管理系统</w:t>
            </w:r>
            <w:r>
              <w:rPr>
                <w:rFonts w:ascii="宋体" w:hAnsi="宋体"/>
                <w:color w:val="auto"/>
                <w:szCs w:val="21"/>
                <w:highlight w:val="none"/>
              </w:rPr>
              <w:t>”</w:t>
            </w:r>
            <w:r>
              <w:rPr>
                <w:rStyle w:val="59"/>
                <w:rFonts w:ascii="宋体" w:hAnsi="宋体"/>
                <w:color w:val="auto"/>
                <w:szCs w:val="21"/>
                <w:highlight w:val="none"/>
              </w:rPr>
              <w:footnoteReference w:id="176"/>
            </w:r>
            <w:r>
              <w:rPr>
                <w:rFonts w:hint="eastAsia" w:ascii="宋体" w:hAnsi="宋体"/>
                <w:color w:val="auto"/>
                <w:szCs w:val="21"/>
                <w:highlight w:val="none"/>
              </w:rPr>
              <w:t>以及“信用交通·四川”</w:t>
            </w:r>
            <w:r>
              <w:rPr>
                <w:rFonts w:hint="eastAsia" w:ascii="宋体" w:hAnsi="宋体"/>
                <w:color w:val="auto"/>
                <w:szCs w:val="21"/>
                <w:highlight w:val="none"/>
                <w:lang w:val="en-US" w:eastAsia="zh-CN"/>
              </w:rPr>
              <w:t>等相关网站</w:t>
            </w:r>
            <w:r>
              <w:rPr>
                <w:rFonts w:hint="eastAsia" w:ascii="宋体" w:hAnsi="宋体"/>
                <w:color w:val="auto"/>
                <w:szCs w:val="21"/>
                <w:highlight w:val="none"/>
              </w:rPr>
              <w:t>发布的信息不符</w:t>
            </w:r>
            <w:r>
              <w:rPr>
                <w:rFonts w:hint="eastAsia" w:ascii="宋体" w:hAnsi="宋体" w:cs="宋体"/>
                <w:color w:val="auto"/>
                <w:szCs w:val="21"/>
                <w:highlight w:val="none"/>
              </w:rPr>
              <w:t>，使得投标人的资格条件不符合招标文件规定的，评标委员会应否决其投标</w:t>
            </w:r>
            <w:r>
              <w:rPr>
                <w:rFonts w:hint="eastAsia" w:ascii="宋体" w:hAnsi="宋体"/>
                <w:color w:val="auto"/>
                <w:szCs w:val="21"/>
                <w:highlight w:val="none"/>
              </w:rPr>
              <w:t>。</w:t>
            </w:r>
          </w:p>
        </w:tc>
      </w:tr>
      <w:tr w14:paraId="2B587154">
        <w:tblPrEx>
          <w:tblCellMar>
            <w:top w:w="0" w:type="dxa"/>
            <w:left w:w="108" w:type="dxa"/>
            <w:bottom w:w="0" w:type="dxa"/>
            <w:right w:w="108" w:type="dxa"/>
          </w:tblCellMar>
        </w:tblPrEx>
        <w:trPr>
          <w:trHeight w:val="8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0F4901F">
            <w:pPr>
              <w:widowControl/>
              <w:adjustRightInd w:val="0"/>
              <w:snapToGrid w:val="0"/>
              <w:spacing w:line="400" w:lineRule="exact"/>
              <w:jc w:val="center"/>
              <w:rPr>
                <w:rFonts w:ascii="宋体" w:hAnsi="宋体" w:cs="宋体"/>
                <w:color w:val="auto"/>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4C190FD">
            <w:pPr>
              <w:widowControl/>
              <w:adjustRightInd w:val="0"/>
              <w:snapToGrid w:val="0"/>
              <w:spacing w:line="400" w:lineRule="exact"/>
              <w:jc w:val="center"/>
              <w:rPr>
                <w:rFonts w:ascii="宋体" w:hAnsi="宋体" w:cs="宋体"/>
                <w:color w:val="auto"/>
                <w:kern w:val="0"/>
                <w:szCs w:val="21"/>
                <w:highlight w:val="none"/>
              </w:rPr>
            </w:pPr>
            <w:r>
              <w:rPr>
                <w:rFonts w:ascii="宋体" w:hAnsi="宋体"/>
                <w:color w:val="auto"/>
                <w:szCs w:val="21"/>
                <w:highlight w:val="none"/>
              </w:rPr>
              <w:t>3.6.2</w:t>
            </w:r>
          </w:p>
        </w:tc>
        <w:tc>
          <w:tcPr>
            <w:tcW w:w="6869" w:type="dxa"/>
            <w:tcBorders>
              <w:top w:val="single" w:color="000000" w:sz="4" w:space="0"/>
              <w:left w:val="nil"/>
              <w:bottom w:val="single" w:color="000000" w:sz="4" w:space="0"/>
              <w:right w:val="single" w:color="000000" w:sz="4" w:space="0"/>
            </w:tcBorders>
            <w:vAlign w:val="center"/>
          </w:tcPr>
          <w:p w14:paraId="07ADA859">
            <w:pPr>
              <w:widowControl/>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评标委员会在评标过程中发现投标人存在</w:t>
            </w:r>
            <w:r>
              <w:rPr>
                <w:rFonts w:hint="eastAsia" w:ascii="宋体" w:hAnsi="宋体"/>
                <w:color w:val="auto"/>
                <w:kern w:val="0"/>
                <w:szCs w:val="21"/>
                <w:highlight w:val="none"/>
              </w:rPr>
              <w:t>串通投标、弄虚作假、行贿等违法行为的</w:t>
            </w:r>
            <w:r>
              <w:rPr>
                <w:rFonts w:hint="eastAsia" w:ascii="宋体" w:hAnsi="宋体"/>
                <w:color w:val="auto"/>
                <w:szCs w:val="21"/>
                <w:highlight w:val="none"/>
              </w:rPr>
              <w:t>，评标委员会应否决其投标。</w:t>
            </w:r>
          </w:p>
        </w:tc>
      </w:tr>
      <w:tr w14:paraId="6AF41C6C">
        <w:tblPrEx>
          <w:tblCellMar>
            <w:top w:w="0" w:type="dxa"/>
            <w:left w:w="108" w:type="dxa"/>
            <w:bottom w:w="0" w:type="dxa"/>
            <w:right w:w="108" w:type="dxa"/>
          </w:tblCellMar>
        </w:tblPrEx>
        <w:tc>
          <w:tcPr>
            <w:tcW w:w="993" w:type="dxa"/>
            <w:tcBorders>
              <w:top w:val="single" w:color="auto" w:sz="4" w:space="0"/>
              <w:left w:val="single" w:color="000000" w:sz="4" w:space="0"/>
              <w:bottom w:val="single" w:color="auto" w:sz="4" w:space="0"/>
              <w:right w:val="single" w:color="000000" w:sz="4" w:space="0"/>
            </w:tcBorders>
            <w:vAlign w:val="center"/>
          </w:tcPr>
          <w:p w14:paraId="38828F97">
            <w:pPr>
              <w:widowControl/>
              <w:adjustRightInd w:val="0"/>
              <w:snapToGri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3.7</w:t>
            </w:r>
          </w:p>
          <w:p w14:paraId="5AB45B2C">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投标文件的澄清和说明</w:t>
            </w:r>
          </w:p>
        </w:tc>
        <w:tc>
          <w:tcPr>
            <w:tcW w:w="1134" w:type="dxa"/>
            <w:tcBorders>
              <w:top w:val="single" w:color="000000" w:sz="4" w:space="0"/>
              <w:left w:val="nil"/>
              <w:bottom w:val="single" w:color="000000" w:sz="4" w:space="0"/>
              <w:right w:val="single" w:color="000000" w:sz="4" w:space="0"/>
            </w:tcBorders>
            <w:vAlign w:val="center"/>
          </w:tcPr>
          <w:p w14:paraId="6C6BC5B2">
            <w:pPr>
              <w:widowControl/>
              <w:adjustRightInd w:val="0"/>
              <w:snapToGrid w:val="0"/>
              <w:spacing w:line="400" w:lineRule="exact"/>
              <w:ind w:firstLine="120"/>
              <w:rPr>
                <w:rFonts w:ascii="宋体" w:hAnsi="宋体" w:cs="宋体"/>
                <w:color w:val="auto"/>
                <w:kern w:val="0"/>
                <w:szCs w:val="21"/>
                <w:highlight w:val="none"/>
              </w:rPr>
            </w:pPr>
            <w:r>
              <w:rPr>
                <w:rFonts w:ascii="宋体" w:hAnsi="宋体" w:cs="宋体"/>
                <w:color w:val="auto"/>
                <w:kern w:val="0"/>
                <w:szCs w:val="21"/>
                <w:highlight w:val="none"/>
              </w:rPr>
              <w:t>3.7.1</w:t>
            </w:r>
          </w:p>
        </w:tc>
        <w:tc>
          <w:tcPr>
            <w:tcW w:w="6869" w:type="dxa"/>
            <w:tcBorders>
              <w:top w:val="single" w:color="000000" w:sz="4" w:space="0"/>
              <w:left w:val="nil"/>
              <w:bottom w:val="single" w:color="000000" w:sz="4" w:space="0"/>
              <w:right w:val="single" w:color="000000" w:sz="4" w:space="0"/>
            </w:tcBorders>
            <w:vAlign w:val="center"/>
          </w:tcPr>
          <w:p w14:paraId="0EB3B356">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1）在评标过程中，评标委员会通过“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”要求投标人对投标文件中含义不明确的内容、明显文字或计算错误进行澄清或说明。评标委员会不接受投标人主动提出的澄清、说明。</w:t>
            </w:r>
          </w:p>
          <w:p w14:paraId="01567132">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2）投标人收到问题澄清通知后必须在规定时间内通过“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”给予澄清，投标人的澄清必须加盖投标人单位电子印章或法定代表</w:t>
            </w:r>
            <w:r>
              <w:rPr>
                <w:rFonts w:hint="eastAsia" w:ascii="宋体" w:hAnsi="宋体" w:cs="宋体"/>
                <w:color w:val="auto"/>
                <w:szCs w:val="21"/>
                <w:highlight w:val="none"/>
              </w:rPr>
              <w:t>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w:t>
            </w:r>
            <w:r>
              <w:rPr>
                <w:rFonts w:hint="eastAsia" w:ascii="宋体" w:hAnsi="宋体" w:cs="宋体"/>
                <w:color w:val="auto"/>
                <w:szCs w:val="21"/>
                <w:highlight w:val="none"/>
                <w:lang w:val="en-US" w:eastAsia="zh-CN"/>
              </w:rPr>
              <w:t>名</w:t>
            </w:r>
            <w:r>
              <w:rPr>
                <w:rFonts w:hint="eastAsia" w:ascii="宋体" w:hAnsi="宋体" w:cs="宋体"/>
                <w:color w:val="auto"/>
                <w:szCs w:val="21"/>
                <w:highlight w:val="none"/>
              </w:rPr>
              <w:t>章或</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电子印章。</w:t>
            </w:r>
          </w:p>
          <w:p w14:paraId="42082E10">
            <w:pPr>
              <w:widowControl/>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3）投标人不按评标委员会要求澄清或说明的，评标委员会应否决其投标。</w:t>
            </w:r>
          </w:p>
        </w:tc>
      </w:tr>
      <w:tr w14:paraId="7C1F641B">
        <w:tblPrEx>
          <w:tblCellMar>
            <w:top w:w="0" w:type="dxa"/>
            <w:left w:w="108" w:type="dxa"/>
            <w:bottom w:w="0" w:type="dxa"/>
            <w:right w:w="108" w:type="dxa"/>
          </w:tblCellMar>
        </w:tblPrEx>
        <w:trPr>
          <w:trHeight w:val="770" w:hRule="atLeast"/>
        </w:trPr>
        <w:tc>
          <w:tcPr>
            <w:tcW w:w="8996" w:type="dxa"/>
            <w:gridSpan w:val="3"/>
            <w:tcBorders>
              <w:top w:val="single" w:color="auto" w:sz="4" w:space="0"/>
              <w:left w:val="single" w:color="000000" w:sz="4" w:space="0"/>
              <w:bottom w:val="single" w:color="000000" w:sz="4" w:space="0"/>
              <w:right w:val="single" w:color="000000" w:sz="4" w:space="0"/>
            </w:tcBorders>
            <w:vAlign w:val="center"/>
          </w:tcPr>
          <w:p w14:paraId="7447ACEC">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需要补充的</w:t>
            </w:r>
            <w:r>
              <w:rPr>
                <w:rFonts w:ascii="宋体" w:hAnsi="宋体" w:cs="宋体"/>
                <w:color w:val="auto"/>
                <w:szCs w:val="21"/>
                <w:highlight w:val="none"/>
              </w:rPr>
              <w:t>其他内容：</w:t>
            </w:r>
          </w:p>
          <w:p w14:paraId="23113E5D">
            <w:pPr>
              <w:pStyle w:val="299"/>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none"/>
              </w:rPr>
              <w:t>……</w:t>
            </w:r>
          </w:p>
        </w:tc>
      </w:tr>
    </w:tbl>
    <w:p w14:paraId="215FE074">
      <w:pPr>
        <w:rPr>
          <w:rFonts w:ascii="黑体" w:hAnsi="黑体" w:eastAsia="黑体" w:cs="宋体"/>
          <w:color w:val="auto"/>
          <w:sz w:val="28"/>
          <w:szCs w:val="28"/>
          <w:highlight w:val="none"/>
        </w:rPr>
      </w:pPr>
      <w:r>
        <w:rPr>
          <w:rStyle w:val="128"/>
          <w:rFonts w:ascii="黑体" w:hAnsi="黑体" w:cs="黑体"/>
          <w:color w:val="auto"/>
          <w:sz w:val="30"/>
          <w:szCs w:val="30"/>
          <w:highlight w:val="none"/>
        </w:rPr>
        <w:br w:type="page"/>
      </w:r>
      <w:r>
        <w:rPr>
          <w:rStyle w:val="128"/>
          <w:rFonts w:ascii="黑体" w:hAnsi="黑体" w:cs="黑体"/>
          <w:color w:val="auto"/>
          <w:sz w:val="30"/>
          <w:szCs w:val="30"/>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标段评分因素与权重分值</w:t>
      </w:r>
    </w:p>
    <w:p w14:paraId="19CCDC1D">
      <w:pPr>
        <w:rPr>
          <w:rFonts w:ascii="黑体" w:hAnsi="黑体" w:eastAsia="黑体" w:cs="宋体"/>
          <w:color w:val="auto"/>
          <w:sz w:val="28"/>
          <w:szCs w:val="28"/>
          <w:highlight w:val="none"/>
        </w:rPr>
      </w:pPr>
    </w:p>
    <w:tbl>
      <w:tblPr>
        <w:tblStyle w:val="4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4"/>
        <w:gridCol w:w="1136"/>
        <w:gridCol w:w="3260"/>
        <w:gridCol w:w="709"/>
        <w:gridCol w:w="1262"/>
      </w:tblGrid>
      <w:tr w14:paraId="7BBE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1129" w:type="dxa"/>
            <w:vMerge w:val="restart"/>
            <w:vAlign w:val="center"/>
          </w:tcPr>
          <w:p w14:paraId="2B757EAC">
            <w:pPr>
              <w:pStyle w:val="299"/>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641" w:type="dxa"/>
            <w:gridSpan w:val="5"/>
            <w:vAlign w:val="center"/>
          </w:tcPr>
          <w:p w14:paraId="773AA0E0">
            <w:pPr>
              <w:pStyle w:val="299"/>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评分因素与权重分值</w:t>
            </w:r>
          </w:p>
        </w:tc>
      </w:tr>
      <w:tr w14:paraId="1414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vMerge w:val="continue"/>
            <w:vAlign w:val="center"/>
          </w:tcPr>
          <w:p w14:paraId="0263A60B">
            <w:pPr>
              <w:pStyle w:val="299"/>
              <w:adjustRightInd w:val="0"/>
              <w:snapToGrid w:val="0"/>
              <w:spacing w:line="276" w:lineRule="auto"/>
              <w:jc w:val="center"/>
              <w:rPr>
                <w:rFonts w:ascii="宋体" w:hAnsi="宋体" w:cs="宋体"/>
                <w:b/>
                <w:color w:val="auto"/>
                <w:szCs w:val="21"/>
                <w:highlight w:val="none"/>
              </w:rPr>
            </w:pPr>
          </w:p>
        </w:tc>
        <w:tc>
          <w:tcPr>
            <w:tcW w:w="1274" w:type="dxa"/>
            <w:vAlign w:val="center"/>
          </w:tcPr>
          <w:p w14:paraId="44AB8A72">
            <w:pPr>
              <w:pStyle w:val="299"/>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1136" w:type="dxa"/>
            <w:vAlign w:val="center"/>
          </w:tcPr>
          <w:p w14:paraId="3A350764">
            <w:pPr>
              <w:pStyle w:val="299"/>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评分因素权重分值</w:t>
            </w:r>
          </w:p>
        </w:tc>
        <w:tc>
          <w:tcPr>
            <w:tcW w:w="3260" w:type="dxa"/>
            <w:vAlign w:val="center"/>
          </w:tcPr>
          <w:p w14:paraId="233CD3B3">
            <w:pPr>
              <w:pStyle w:val="299"/>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各评分因素细分项</w:t>
            </w:r>
          </w:p>
        </w:tc>
        <w:tc>
          <w:tcPr>
            <w:tcW w:w="709" w:type="dxa"/>
            <w:vAlign w:val="center"/>
          </w:tcPr>
          <w:p w14:paraId="5CE7D151">
            <w:pPr>
              <w:pStyle w:val="299"/>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1262" w:type="dxa"/>
            <w:vAlign w:val="center"/>
          </w:tcPr>
          <w:p w14:paraId="07C2A520">
            <w:pPr>
              <w:pStyle w:val="299"/>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评分标准</w:t>
            </w:r>
            <w:r>
              <w:rPr>
                <w:rStyle w:val="59"/>
                <w:rFonts w:ascii="宋体" w:hAnsi="宋体" w:cs="宋体"/>
                <w:b/>
                <w:color w:val="auto"/>
                <w:szCs w:val="21"/>
                <w:highlight w:val="none"/>
              </w:rPr>
              <w:footnoteReference w:id="177"/>
            </w:r>
          </w:p>
        </w:tc>
      </w:tr>
      <w:tr w14:paraId="410E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4300E179">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2.2.4（1）</w:t>
            </w:r>
          </w:p>
        </w:tc>
        <w:tc>
          <w:tcPr>
            <w:tcW w:w="1274" w:type="dxa"/>
            <w:vMerge w:val="restart"/>
            <w:vAlign w:val="center"/>
          </w:tcPr>
          <w:p w14:paraId="51D8E817">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施工组织设计</w:t>
            </w:r>
            <w:r>
              <w:rPr>
                <w:rFonts w:ascii="宋体" w:hAnsi="宋体" w:cs="宋体"/>
                <w:color w:val="auto"/>
                <w:szCs w:val="21"/>
                <w:highlight w:val="none"/>
              </w:rPr>
              <w:t>A</w:t>
            </w:r>
          </w:p>
        </w:tc>
        <w:tc>
          <w:tcPr>
            <w:tcW w:w="1136" w:type="dxa"/>
            <w:vMerge w:val="restart"/>
            <w:vAlign w:val="center"/>
          </w:tcPr>
          <w:p w14:paraId="50BFB691">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Fonts w:ascii="宋体" w:hAnsi="宋体" w:cs="宋体"/>
                <w:color w:val="auto"/>
                <w:szCs w:val="21"/>
                <w:highlight w:val="none"/>
              </w:rPr>
              <w:t xml:space="preserve"> </w:t>
            </w:r>
          </w:p>
        </w:tc>
        <w:tc>
          <w:tcPr>
            <w:tcW w:w="3260" w:type="dxa"/>
            <w:vAlign w:val="center"/>
          </w:tcPr>
          <w:p w14:paraId="4C5CAE8E">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总体施工组织</w:t>
            </w:r>
            <w:r>
              <w:rPr>
                <w:rFonts w:hint="eastAsia" w:ascii="宋体" w:hAnsi="宋体" w:cs="宋体"/>
                <w:color w:val="auto"/>
                <w:szCs w:val="21"/>
                <w:highlight w:val="none"/>
                <w:lang w:val="en-US" w:eastAsia="zh-CN"/>
              </w:rPr>
              <w:t>布置及规划</w:t>
            </w:r>
            <w:r>
              <w:rPr>
                <w:rFonts w:ascii="宋体" w:hAnsi="宋体" w:cs="宋体"/>
                <w:color w:val="auto"/>
                <w:szCs w:val="21"/>
                <w:highlight w:val="none"/>
                <w:u w:val="none"/>
              </w:rPr>
              <w:t>A</w:t>
            </w:r>
            <w:r>
              <w:rPr>
                <w:rFonts w:ascii="宋体" w:hAnsi="宋体" w:cs="宋体"/>
                <w:color w:val="auto"/>
                <w:szCs w:val="21"/>
                <w:highlight w:val="none"/>
                <w:u w:val="none"/>
                <w:vertAlign w:val="subscript"/>
              </w:rPr>
              <w:t>1</w:t>
            </w:r>
          </w:p>
        </w:tc>
        <w:tc>
          <w:tcPr>
            <w:tcW w:w="709" w:type="dxa"/>
            <w:vAlign w:val="center"/>
          </w:tcPr>
          <w:p w14:paraId="21BBF74F">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3F2CC533">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7B2D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2B233C21">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6B342248">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35D323DB">
            <w:pPr>
              <w:pStyle w:val="299"/>
              <w:adjustRightInd w:val="0"/>
              <w:snapToGrid w:val="0"/>
              <w:spacing w:line="400" w:lineRule="exact"/>
              <w:rPr>
                <w:rFonts w:ascii="宋体" w:hAnsi="宋体" w:cs="宋体"/>
                <w:color w:val="auto"/>
                <w:szCs w:val="21"/>
                <w:highlight w:val="none"/>
              </w:rPr>
            </w:pPr>
          </w:p>
        </w:tc>
        <w:tc>
          <w:tcPr>
            <w:tcW w:w="3260" w:type="dxa"/>
            <w:vAlign w:val="center"/>
          </w:tcPr>
          <w:p w14:paraId="13656DF9">
            <w:pPr>
              <w:pStyle w:val="299"/>
              <w:adjustRightInd w:val="0"/>
              <w:snapToGrid w:val="0"/>
              <w:spacing w:line="400" w:lineRule="exact"/>
              <w:rPr>
                <w:rFonts w:ascii="宋体" w:hAnsi="宋体" w:cs="宋体"/>
                <w:color w:val="auto"/>
                <w:szCs w:val="21"/>
                <w:highlight w:val="none"/>
              </w:rPr>
            </w:pPr>
            <w:r>
              <w:rPr>
                <w:rFonts w:hint="eastAsia"/>
                <w:color w:val="auto"/>
                <w:highlight w:val="none"/>
              </w:rPr>
              <w:t>重点、关键和难点工程的施工方案</w:t>
            </w:r>
            <w:r>
              <w:rPr>
                <w:rFonts w:ascii="宋体" w:hAnsi="宋体" w:cs="宋体"/>
                <w:color w:val="auto"/>
                <w:szCs w:val="21"/>
                <w:highlight w:val="none"/>
                <w:u w:val="none"/>
              </w:rPr>
              <w:t>A</w:t>
            </w:r>
            <w:r>
              <w:rPr>
                <w:rFonts w:ascii="宋体" w:hAnsi="宋体" w:cs="宋体"/>
                <w:color w:val="auto"/>
                <w:szCs w:val="21"/>
                <w:highlight w:val="none"/>
                <w:u w:val="none"/>
                <w:vertAlign w:val="subscript"/>
              </w:rPr>
              <w:t>2</w:t>
            </w:r>
          </w:p>
        </w:tc>
        <w:tc>
          <w:tcPr>
            <w:tcW w:w="709" w:type="dxa"/>
            <w:vAlign w:val="center"/>
          </w:tcPr>
          <w:p w14:paraId="42FE458E">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52691022">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3EDB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170611AD">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50D5DD01">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202F21F4">
            <w:pPr>
              <w:pStyle w:val="299"/>
              <w:adjustRightInd w:val="0"/>
              <w:snapToGrid w:val="0"/>
              <w:spacing w:line="400" w:lineRule="exact"/>
              <w:rPr>
                <w:rFonts w:ascii="宋体" w:hAnsi="宋体" w:cs="宋体"/>
                <w:color w:val="auto"/>
                <w:szCs w:val="21"/>
                <w:highlight w:val="none"/>
              </w:rPr>
            </w:pPr>
          </w:p>
        </w:tc>
        <w:tc>
          <w:tcPr>
            <w:tcW w:w="3260" w:type="dxa"/>
            <w:vAlign w:val="center"/>
          </w:tcPr>
          <w:p w14:paraId="2FAE7440">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工期保证体系及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3</w:t>
            </w:r>
          </w:p>
        </w:tc>
        <w:tc>
          <w:tcPr>
            <w:tcW w:w="709" w:type="dxa"/>
            <w:vAlign w:val="center"/>
          </w:tcPr>
          <w:p w14:paraId="3901D420">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5FB9BA7D">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41A1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0170938">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175E1829">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0A8C78F1">
            <w:pPr>
              <w:pStyle w:val="299"/>
              <w:adjustRightInd w:val="0"/>
              <w:snapToGrid w:val="0"/>
              <w:spacing w:line="400" w:lineRule="exact"/>
              <w:rPr>
                <w:rFonts w:ascii="宋体" w:hAnsi="宋体" w:cs="宋体"/>
                <w:color w:val="auto"/>
                <w:szCs w:val="21"/>
                <w:highlight w:val="none"/>
              </w:rPr>
            </w:pPr>
          </w:p>
        </w:tc>
        <w:tc>
          <w:tcPr>
            <w:tcW w:w="3260" w:type="dxa"/>
            <w:vAlign w:val="center"/>
          </w:tcPr>
          <w:p w14:paraId="0C4C49FC">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工程质量管理体系及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4</w:t>
            </w:r>
          </w:p>
        </w:tc>
        <w:tc>
          <w:tcPr>
            <w:tcW w:w="709" w:type="dxa"/>
            <w:vAlign w:val="center"/>
          </w:tcPr>
          <w:p w14:paraId="447A886A">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4F149D57">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05C1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1AE2521B">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1DD4FD02">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35A9FAE6">
            <w:pPr>
              <w:pStyle w:val="299"/>
              <w:adjustRightInd w:val="0"/>
              <w:snapToGrid w:val="0"/>
              <w:spacing w:line="400" w:lineRule="exact"/>
              <w:rPr>
                <w:rFonts w:ascii="宋体" w:hAnsi="宋体" w:cs="宋体"/>
                <w:color w:val="auto"/>
                <w:szCs w:val="21"/>
                <w:highlight w:val="none"/>
              </w:rPr>
            </w:pPr>
          </w:p>
        </w:tc>
        <w:tc>
          <w:tcPr>
            <w:tcW w:w="3260" w:type="dxa"/>
            <w:vAlign w:val="center"/>
          </w:tcPr>
          <w:p w14:paraId="51077EBA">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安全生产管理体系及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5</w:t>
            </w:r>
          </w:p>
        </w:tc>
        <w:tc>
          <w:tcPr>
            <w:tcW w:w="709" w:type="dxa"/>
            <w:vAlign w:val="center"/>
          </w:tcPr>
          <w:p w14:paraId="6C508B60">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2B26CF0F">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46FC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B6D96BB">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46A68ADD">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1BBBCC88">
            <w:pPr>
              <w:pStyle w:val="299"/>
              <w:adjustRightInd w:val="0"/>
              <w:snapToGrid w:val="0"/>
              <w:spacing w:line="400" w:lineRule="exact"/>
              <w:rPr>
                <w:rFonts w:ascii="宋体" w:hAnsi="宋体" w:cs="宋体"/>
                <w:color w:val="auto"/>
                <w:szCs w:val="21"/>
                <w:highlight w:val="none"/>
              </w:rPr>
            </w:pPr>
          </w:p>
        </w:tc>
        <w:tc>
          <w:tcPr>
            <w:tcW w:w="3260" w:type="dxa"/>
            <w:vAlign w:val="center"/>
          </w:tcPr>
          <w:p w14:paraId="6829727F">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环境保护、</w:t>
            </w:r>
            <w:r>
              <w:rPr>
                <w:rFonts w:ascii="宋体" w:hAnsi="宋体" w:cs="宋体"/>
                <w:color w:val="auto"/>
                <w:szCs w:val="21"/>
                <w:highlight w:val="none"/>
              </w:rPr>
              <w:t>水土保持保证</w:t>
            </w:r>
            <w:r>
              <w:rPr>
                <w:rFonts w:hint="eastAsia" w:ascii="宋体" w:hAnsi="宋体" w:cs="宋体"/>
                <w:color w:val="auto"/>
                <w:szCs w:val="21"/>
                <w:highlight w:val="none"/>
              </w:rPr>
              <w:t>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6</w:t>
            </w:r>
          </w:p>
        </w:tc>
        <w:tc>
          <w:tcPr>
            <w:tcW w:w="709" w:type="dxa"/>
            <w:vAlign w:val="center"/>
          </w:tcPr>
          <w:p w14:paraId="2D977447">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7DA652E0">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7EC3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1E29AFFB">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7AC7D85D">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4ACB93E3">
            <w:pPr>
              <w:pStyle w:val="299"/>
              <w:adjustRightInd w:val="0"/>
              <w:snapToGrid w:val="0"/>
              <w:spacing w:line="400" w:lineRule="exact"/>
              <w:rPr>
                <w:rFonts w:ascii="宋体" w:hAnsi="宋体" w:cs="宋体"/>
                <w:color w:val="auto"/>
                <w:szCs w:val="21"/>
                <w:highlight w:val="none"/>
              </w:rPr>
            </w:pPr>
          </w:p>
        </w:tc>
        <w:tc>
          <w:tcPr>
            <w:tcW w:w="3260" w:type="dxa"/>
            <w:vAlign w:val="center"/>
          </w:tcPr>
          <w:p w14:paraId="2A0CD2D7">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文明施工</w:t>
            </w:r>
            <w:r>
              <w:rPr>
                <w:rFonts w:ascii="宋体" w:hAnsi="宋体" w:cs="宋体"/>
                <w:color w:val="auto"/>
                <w:szCs w:val="21"/>
                <w:highlight w:val="none"/>
              </w:rPr>
              <w:t>、</w:t>
            </w:r>
            <w:r>
              <w:rPr>
                <w:rFonts w:hint="eastAsia" w:ascii="宋体" w:hAnsi="宋体" w:cs="宋体"/>
                <w:color w:val="auto"/>
                <w:szCs w:val="21"/>
                <w:highlight w:val="none"/>
              </w:rPr>
              <w:t>文物保护保证体系及</w:t>
            </w:r>
            <w:r>
              <w:rPr>
                <w:rFonts w:ascii="宋体" w:hAnsi="宋体" w:cs="宋体"/>
                <w:color w:val="auto"/>
                <w:szCs w:val="21"/>
                <w:highlight w:val="none"/>
              </w:rPr>
              <w:t>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7</w:t>
            </w:r>
          </w:p>
        </w:tc>
        <w:tc>
          <w:tcPr>
            <w:tcW w:w="709" w:type="dxa"/>
            <w:vAlign w:val="center"/>
          </w:tcPr>
          <w:p w14:paraId="79D77F52">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093C4232">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1AD4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94261CC">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2D8CBE25">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5526DDA9">
            <w:pPr>
              <w:pStyle w:val="299"/>
              <w:adjustRightInd w:val="0"/>
              <w:snapToGrid w:val="0"/>
              <w:spacing w:line="400" w:lineRule="exact"/>
              <w:rPr>
                <w:rFonts w:ascii="宋体" w:hAnsi="宋体" w:cs="宋体"/>
                <w:color w:val="auto"/>
                <w:szCs w:val="21"/>
                <w:highlight w:val="none"/>
              </w:rPr>
            </w:pPr>
          </w:p>
        </w:tc>
        <w:tc>
          <w:tcPr>
            <w:tcW w:w="3260" w:type="dxa"/>
            <w:vAlign w:val="center"/>
          </w:tcPr>
          <w:p w14:paraId="074EDC24">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标准化、品质工程保证体系及保证措施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8</w:t>
            </w:r>
          </w:p>
        </w:tc>
        <w:tc>
          <w:tcPr>
            <w:tcW w:w="709" w:type="dxa"/>
            <w:vAlign w:val="center"/>
          </w:tcPr>
          <w:p w14:paraId="22C11FD2">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0828B8EF">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06A8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0090FE0A">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36E4B935">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1D6323E3">
            <w:pPr>
              <w:pStyle w:val="299"/>
              <w:adjustRightInd w:val="0"/>
              <w:snapToGrid w:val="0"/>
              <w:spacing w:line="400" w:lineRule="exact"/>
              <w:rPr>
                <w:rFonts w:ascii="宋体" w:hAnsi="宋体" w:cs="宋体"/>
                <w:color w:val="auto"/>
                <w:szCs w:val="21"/>
                <w:highlight w:val="none"/>
              </w:rPr>
            </w:pPr>
          </w:p>
        </w:tc>
        <w:tc>
          <w:tcPr>
            <w:tcW w:w="3260" w:type="dxa"/>
            <w:vAlign w:val="center"/>
          </w:tcPr>
          <w:p w14:paraId="40B3C8C4">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项目风险预测</w:t>
            </w:r>
            <w:r>
              <w:rPr>
                <w:rFonts w:ascii="宋体" w:hAnsi="宋体" w:cs="宋体"/>
                <w:color w:val="auto"/>
                <w:szCs w:val="21"/>
                <w:highlight w:val="none"/>
              </w:rPr>
              <w:t>与防范、事故应急预案</w:t>
            </w:r>
            <w:r>
              <w:rPr>
                <w:rFonts w:ascii="宋体" w:hAnsi="宋体" w:cs="宋体"/>
                <w:color w:val="auto"/>
                <w:szCs w:val="21"/>
                <w:highlight w:val="none"/>
                <w:u w:val="none"/>
              </w:rPr>
              <w:t>A</w:t>
            </w:r>
            <w:r>
              <w:rPr>
                <w:rFonts w:ascii="宋体" w:hAnsi="宋体" w:cs="宋体"/>
                <w:color w:val="auto"/>
                <w:szCs w:val="21"/>
                <w:highlight w:val="none"/>
                <w:u w:val="none"/>
                <w:vertAlign w:val="subscript"/>
              </w:rPr>
              <w:t>9</w:t>
            </w:r>
          </w:p>
        </w:tc>
        <w:tc>
          <w:tcPr>
            <w:tcW w:w="709" w:type="dxa"/>
            <w:vAlign w:val="center"/>
          </w:tcPr>
          <w:p w14:paraId="1BD9ED81">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3D0F669D">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00A6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0BD0916B">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619E9ADE">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3C9AA622">
            <w:pPr>
              <w:pStyle w:val="299"/>
              <w:adjustRightInd w:val="0"/>
              <w:snapToGrid w:val="0"/>
              <w:spacing w:line="400" w:lineRule="exact"/>
              <w:rPr>
                <w:rFonts w:ascii="宋体" w:hAnsi="宋体" w:cs="宋体"/>
                <w:color w:val="auto"/>
                <w:szCs w:val="21"/>
                <w:highlight w:val="none"/>
              </w:rPr>
            </w:pPr>
          </w:p>
        </w:tc>
        <w:tc>
          <w:tcPr>
            <w:tcW w:w="3260" w:type="dxa"/>
            <w:vAlign w:val="center"/>
          </w:tcPr>
          <w:p w14:paraId="0B9AD433">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709" w:type="dxa"/>
            <w:vAlign w:val="center"/>
          </w:tcPr>
          <w:p w14:paraId="7B730F94">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262" w:type="dxa"/>
            <w:vAlign w:val="center"/>
          </w:tcPr>
          <w:p w14:paraId="4C7D9A44">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2549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0E1B1B8C">
            <w:pPr>
              <w:pStyle w:val="299"/>
              <w:adjustRightInd w:val="0"/>
              <w:snapToGrid w:val="0"/>
              <w:spacing w:line="400" w:lineRule="exact"/>
              <w:jc w:val="center"/>
              <w:rPr>
                <w:rFonts w:ascii="宋体" w:hAnsi="宋体" w:cs="宋体"/>
                <w:color w:val="auto"/>
                <w:szCs w:val="21"/>
                <w:highlight w:val="none"/>
              </w:rPr>
            </w:pPr>
          </w:p>
        </w:tc>
        <w:tc>
          <w:tcPr>
            <w:tcW w:w="1274" w:type="dxa"/>
            <w:vMerge w:val="continue"/>
            <w:vAlign w:val="center"/>
          </w:tcPr>
          <w:p w14:paraId="5DA913F6">
            <w:pPr>
              <w:pStyle w:val="299"/>
              <w:adjustRightInd w:val="0"/>
              <w:snapToGrid w:val="0"/>
              <w:spacing w:line="400" w:lineRule="exact"/>
              <w:jc w:val="center"/>
              <w:rPr>
                <w:rFonts w:ascii="宋体" w:hAnsi="宋体" w:cs="宋体"/>
                <w:color w:val="auto"/>
                <w:szCs w:val="21"/>
                <w:highlight w:val="none"/>
              </w:rPr>
            </w:pPr>
          </w:p>
        </w:tc>
        <w:tc>
          <w:tcPr>
            <w:tcW w:w="1136" w:type="dxa"/>
            <w:vMerge w:val="continue"/>
            <w:vAlign w:val="center"/>
          </w:tcPr>
          <w:p w14:paraId="3D3792ED">
            <w:pPr>
              <w:pStyle w:val="299"/>
              <w:adjustRightInd w:val="0"/>
              <w:snapToGrid w:val="0"/>
              <w:spacing w:line="400" w:lineRule="exact"/>
              <w:rPr>
                <w:rFonts w:ascii="宋体" w:hAnsi="宋体" w:cs="宋体"/>
                <w:color w:val="auto"/>
                <w:szCs w:val="21"/>
                <w:highlight w:val="none"/>
              </w:rPr>
            </w:pPr>
          </w:p>
        </w:tc>
        <w:tc>
          <w:tcPr>
            <w:tcW w:w="5231" w:type="dxa"/>
            <w:gridSpan w:val="3"/>
            <w:vAlign w:val="center"/>
          </w:tcPr>
          <w:p w14:paraId="440353D8">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注</w:t>
            </w:r>
            <w:r>
              <w:rPr>
                <w:rFonts w:hint="eastAsia" w:ascii="宋体" w:hAnsi="宋体" w:cs="宋体"/>
                <w:color w:val="auto"/>
                <w:szCs w:val="21"/>
                <w:highlight w:val="none"/>
              </w:rPr>
              <w:t>：</w:t>
            </w:r>
          </w:p>
          <w:p w14:paraId="27FBCBFF">
            <w:pPr>
              <w:pStyle w:val="299"/>
              <w:adjustRightInd w:val="0"/>
              <w:snapToGrid w:val="0"/>
              <w:spacing w:line="400" w:lineRule="exact"/>
              <w:rPr>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color w:val="auto"/>
                <w:highlight w:val="none"/>
              </w:rPr>
              <w:t>招标人应根据项目具体情况确定各评分因素及评分因素权重分值，并对各评分因素进行细分（如有）、确定各评分因素细分项的分值，各评分因素权重分值合计应为</w:t>
            </w:r>
            <w:r>
              <w:rPr>
                <w:rFonts w:hint="eastAsia"/>
                <w:color w:val="auto"/>
                <w:highlight w:val="none"/>
                <w:lang w:val="en-US" w:eastAsia="zh-CN"/>
              </w:rPr>
              <w:t>本项评分因素权重分值满分</w:t>
            </w:r>
            <w:r>
              <w:rPr>
                <w:rFonts w:hint="eastAsia"/>
                <w:color w:val="auto"/>
                <w:highlight w:val="none"/>
              </w:rPr>
              <w:t>。各评分因素得分均不应低于其权重分值的</w:t>
            </w:r>
            <w:r>
              <w:rPr>
                <w:color w:val="auto"/>
                <w:highlight w:val="none"/>
              </w:rPr>
              <w:t>60%</w:t>
            </w:r>
            <w:r>
              <w:rPr>
                <w:rFonts w:hint="eastAsia"/>
                <w:color w:val="auto"/>
                <w:highlight w:val="none"/>
                <w:lang w:eastAsia="zh-CN"/>
              </w:rPr>
              <w:t>。</w:t>
            </w:r>
            <w:r>
              <w:rPr>
                <w:rFonts w:hint="eastAsia"/>
                <w:color w:val="auto"/>
                <w:highlight w:val="none"/>
              </w:rPr>
              <w:t>评标委员会成员对某一项评分因素的评分低于权重分值</w:t>
            </w:r>
            <w:r>
              <w:rPr>
                <w:color w:val="auto"/>
                <w:highlight w:val="none"/>
              </w:rPr>
              <w:t>60%</w:t>
            </w:r>
            <w:r>
              <w:rPr>
                <w:rFonts w:hint="eastAsia"/>
                <w:color w:val="auto"/>
                <w:highlight w:val="none"/>
              </w:rPr>
              <w:t>的，应在评标报告中作出说明。</w:t>
            </w:r>
          </w:p>
          <w:p w14:paraId="5AF13AC4">
            <w:pPr>
              <w:pStyle w:val="299"/>
              <w:adjustRightInd w:val="0"/>
              <w:snapToGrid w:val="0"/>
              <w:spacing w:line="400" w:lineRule="exact"/>
              <w:rPr>
                <w:color w:val="auto"/>
                <w:highlight w:val="none"/>
              </w:rPr>
            </w:pPr>
            <w:r>
              <w:rPr>
                <w:rFonts w:hint="eastAsia"/>
                <w:color w:val="auto"/>
                <w:highlight w:val="none"/>
              </w:rPr>
              <w:t>（</w:t>
            </w:r>
            <w:r>
              <w:rPr>
                <w:color w:val="auto"/>
                <w:highlight w:val="none"/>
              </w:rPr>
              <w:t>2</w:t>
            </w:r>
            <w:r>
              <w:rPr>
                <w:rFonts w:hint="eastAsia"/>
                <w:color w:val="auto"/>
                <w:highlight w:val="none"/>
              </w:rPr>
              <w:t xml:space="preserve">）各评分因素细分项得分计算方式：  </w:t>
            </w:r>
          </w:p>
          <w:p w14:paraId="12232DC2">
            <w:pPr>
              <w:pStyle w:val="299"/>
              <w:adjustRightInd w:val="0"/>
              <w:snapToGrid w:val="0"/>
              <w:spacing w:line="400" w:lineRule="exact"/>
              <w:ind w:firstLine="210" w:firstLineChars="100"/>
              <w:rPr>
                <w:color w:val="auto"/>
                <w:highlight w:val="none"/>
              </w:rPr>
            </w:pPr>
            <w:r>
              <w:rPr>
                <w:rFonts w:hint="eastAsia"/>
                <w:color w:val="auto"/>
                <w:szCs w:val="21"/>
                <w:highlight w:val="none"/>
              </w:rPr>
              <w:sym w:font="Wingdings 2" w:char="00A3"/>
            </w:r>
            <w:r>
              <w:rPr>
                <w:rFonts w:hint="eastAsia"/>
                <w:color w:val="auto"/>
                <w:szCs w:val="21"/>
                <w:highlight w:val="none"/>
              </w:rPr>
              <w:t xml:space="preserve"> 方式一：</w:t>
            </w:r>
            <w:r>
              <w:rPr>
                <w:rFonts w:hint="eastAsia"/>
                <w:color w:val="auto"/>
                <w:highlight w:val="none"/>
              </w:rPr>
              <w:t>各评分因素细分项得分应以评标委员会各成员的打分平均值确定。</w:t>
            </w:r>
          </w:p>
          <w:p w14:paraId="1508DE44">
            <w:pPr>
              <w:pStyle w:val="299"/>
              <w:adjustRightInd w:val="0"/>
              <w:snapToGrid w:val="0"/>
              <w:spacing w:line="400" w:lineRule="exact"/>
              <w:ind w:firstLine="210" w:firstLineChars="100"/>
              <w:rPr>
                <w:rFonts w:hint="eastAsia" w:eastAsia="宋体"/>
                <w:color w:val="auto"/>
                <w:szCs w:val="21"/>
                <w:highlight w:val="none"/>
                <w:lang w:val="en-US" w:eastAsia="zh-CN"/>
              </w:rPr>
            </w:pPr>
            <w:r>
              <w:rPr>
                <w:rFonts w:hint="eastAsia"/>
                <w:color w:val="auto"/>
                <w:szCs w:val="21"/>
                <w:highlight w:val="none"/>
              </w:rPr>
              <w:sym w:font="Wingdings 2" w:char="00A3"/>
            </w:r>
            <w:r>
              <w:rPr>
                <w:rFonts w:hint="eastAsia"/>
                <w:color w:val="auto"/>
                <w:szCs w:val="21"/>
                <w:highlight w:val="none"/>
              </w:rPr>
              <w:t xml:space="preserve"> </w:t>
            </w:r>
            <w:r>
              <w:rPr>
                <w:rFonts w:hint="eastAsia"/>
                <w:color w:val="auto"/>
                <w:szCs w:val="21"/>
                <w:highlight w:val="none"/>
                <w:lang w:val="en-US" w:eastAsia="zh-CN"/>
              </w:rPr>
              <w:t>方式二：</w:t>
            </w:r>
            <w:r>
              <w:rPr>
                <w:rFonts w:hint="eastAsia"/>
                <w:color w:val="auto"/>
                <w:highlight w:val="none"/>
              </w:rPr>
              <w:t>评标委员会成员总数为</w:t>
            </w:r>
            <w:r>
              <w:rPr>
                <w:color w:val="auto"/>
                <w:highlight w:val="none"/>
              </w:rPr>
              <w:t>7</w:t>
            </w:r>
            <w:r>
              <w:rPr>
                <w:rFonts w:hint="eastAsia"/>
                <w:color w:val="auto"/>
                <w:highlight w:val="none"/>
              </w:rPr>
              <w:t>人（含</w:t>
            </w:r>
            <w:r>
              <w:rPr>
                <w:color w:val="auto"/>
                <w:highlight w:val="none"/>
              </w:rPr>
              <w:t>7</w:t>
            </w:r>
            <w:r>
              <w:rPr>
                <w:rFonts w:hint="eastAsia"/>
                <w:color w:val="auto"/>
                <w:highlight w:val="none"/>
              </w:rPr>
              <w:t>人）以上时，该平均值以去掉一个最高和一个最低分后计算。</w:t>
            </w:r>
          </w:p>
          <w:p w14:paraId="29DD9BD3">
            <w:pPr>
              <w:pStyle w:val="299"/>
              <w:adjustRightInd w:val="0"/>
              <w:snapToGrid w:val="0"/>
              <w:spacing w:line="400" w:lineRule="exact"/>
              <w:ind w:firstLine="210" w:firstLineChars="100"/>
              <w:rPr>
                <w:color w:val="auto"/>
                <w:highlight w:val="none"/>
              </w:rPr>
            </w:pPr>
            <w:r>
              <w:rPr>
                <w:rFonts w:hint="eastAsia" w:ascii="宋体" w:hAnsi="宋体" w:eastAsia="宋体" w:cs="宋体"/>
                <w:color w:val="auto"/>
                <w:szCs w:val="21"/>
                <w:highlight w:val="none"/>
              </w:rPr>
              <w:t>□</w:t>
            </w:r>
            <w:r>
              <w:rPr>
                <w:rFonts w:hint="eastAsia" w:eastAsia="宋体"/>
                <w:color w:val="auto"/>
                <w:szCs w:val="21"/>
                <w:highlight w:val="none"/>
                <w:lang w:val="en-US" w:eastAsia="zh-CN"/>
              </w:rPr>
              <w:t xml:space="preserve"> </w:t>
            </w:r>
            <w:r>
              <w:rPr>
                <w:rFonts w:hint="eastAsia"/>
                <w:color w:val="auto"/>
                <w:szCs w:val="21"/>
                <w:highlight w:val="none"/>
              </w:rPr>
              <w:t>方式</w:t>
            </w:r>
            <w:r>
              <w:rPr>
                <w:rFonts w:hint="eastAsia"/>
                <w:color w:val="auto"/>
                <w:szCs w:val="21"/>
                <w:highlight w:val="none"/>
                <w:lang w:val="en-US" w:eastAsia="zh-CN"/>
              </w:rPr>
              <w:t>三</w:t>
            </w:r>
            <w:r>
              <w:rPr>
                <w:rFonts w:hint="eastAsia"/>
                <w:color w:val="auto"/>
                <w:szCs w:val="21"/>
                <w:highlight w:val="none"/>
              </w:rPr>
              <w:t>：</w:t>
            </w:r>
            <w:r>
              <w:rPr>
                <w:rFonts w:hint="eastAsia"/>
                <w:color w:val="auto"/>
                <w:highlight w:val="none"/>
              </w:rPr>
              <w:t>各评分因素细分项得分计算步骤如下：</w:t>
            </w:r>
          </w:p>
          <w:p w14:paraId="09F34C54">
            <w:pPr>
              <w:pStyle w:val="299"/>
              <w:numPr>
                <w:ilvl w:val="255"/>
                <w:numId w:val="0"/>
              </w:numPr>
              <w:adjustRightInd w:val="0"/>
              <w:snapToGrid w:val="0"/>
              <w:spacing w:line="400" w:lineRule="exact"/>
              <w:ind w:firstLine="420" w:firstLineChars="200"/>
              <w:rPr>
                <w:color w:val="auto"/>
                <w:highlight w:val="none"/>
              </w:rPr>
            </w:pP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rFonts w:hint="eastAsia"/>
                <w:color w:val="auto"/>
                <w:highlight w:val="none"/>
              </w:rPr>
              <w:t>①</w:t>
            </w:r>
            <w:r>
              <w:rPr>
                <w:rFonts w:hint="eastAsia"/>
                <w:color w:val="auto"/>
                <w:highlight w:val="none"/>
              </w:rPr>
              <w:fldChar w:fldCharType="end"/>
            </w:r>
            <w:r>
              <w:rPr>
                <w:rFonts w:hint="eastAsia"/>
                <w:color w:val="auto"/>
                <w:highlight w:val="none"/>
              </w:rPr>
              <w:t>计算各专家对所有投标人评分因素细分项最高评分与最低评分的差值（简称“分差值”），确定分差值最大专家的个数。</w:t>
            </w:r>
          </w:p>
          <w:p w14:paraId="7DB634A1">
            <w:pPr>
              <w:pStyle w:val="299"/>
              <w:numPr>
                <w:ilvl w:val="255"/>
                <w:numId w:val="0"/>
              </w:numPr>
              <w:adjustRightInd w:val="0"/>
              <w:snapToGrid w:val="0"/>
              <w:spacing w:line="400" w:lineRule="exact"/>
              <w:ind w:firstLine="420" w:firstLineChars="200"/>
              <w:rPr>
                <w:color w:val="auto"/>
                <w:highlight w:val="none"/>
              </w:rPr>
            </w:pP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rFonts w:hint="eastAsia"/>
                <w:color w:val="auto"/>
                <w:highlight w:val="none"/>
              </w:rPr>
              <w:t>②</w:t>
            </w:r>
            <w:r>
              <w:rPr>
                <w:rFonts w:hint="eastAsia"/>
                <w:color w:val="auto"/>
                <w:highlight w:val="none"/>
              </w:rPr>
              <w:fldChar w:fldCharType="end"/>
            </w:r>
            <w:r>
              <w:rPr>
                <w:rFonts w:hint="eastAsia"/>
                <w:color w:val="auto"/>
                <w:highlight w:val="none"/>
              </w:rPr>
              <w:t>同一细分项，若分差值最大的专家个数≤2名，则去掉分差值最大的专家该细分项评分；若分差值最大的专家个数≥3名，则保留所有专家细分项评分。</w:t>
            </w:r>
          </w:p>
          <w:p w14:paraId="35C5EBBA">
            <w:pPr>
              <w:pStyle w:val="299"/>
              <w:adjustRightInd w:val="0"/>
              <w:snapToGrid w:val="0"/>
              <w:spacing w:line="400" w:lineRule="exact"/>
              <w:ind w:firstLine="420" w:firstLineChars="200"/>
              <w:rPr>
                <w:rFonts w:hint="eastAsia"/>
                <w:color w:val="auto"/>
                <w:highlight w:val="none"/>
              </w:rPr>
            </w:pPr>
            <w:r>
              <w:rPr>
                <w:rFonts w:hint="eastAsia"/>
                <w:color w:val="auto"/>
                <w:highlight w:val="none"/>
              </w:rPr>
              <w:fldChar w:fldCharType="begin"/>
            </w:r>
            <w:r>
              <w:rPr>
                <w:rFonts w:hint="eastAsia"/>
                <w:color w:val="auto"/>
                <w:highlight w:val="none"/>
              </w:rPr>
              <w:instrText xml:space="preserve"> = 3 \* GB3 \* MERGEFORMAT </w:instrText>
            </w:r>
            <w:r>
              <w:rPr>
                <w:rFonts w:hint="eastAsia"/>
                <w:color w:val="auto"/>
                <w:highlight w:val="none"/>
              </w:rPr>
              <w:fldChar w:fldCharType="separate"/>
            </w:r>
            <w:r>
              <w:rPr>
                <w:rFonts w:hint="eastAsia"/>
                <w:color w:val="auto"/>
                <w:highlight w:val="none"/>
              </w:rPr>
              <w:t>③</w:t>
            </w:r>
            <w:r>
              <w:rPr>
                <w:rFonts w:hint="eastAsia"/>
                <w:color w:val="auto"/>
                <w:highlight w:val="none"/>
              </w:rPr>
              <w:fldChar w:fldCharType="end"/>
            </w:r>
            <w:r>
              <w:rPr>
                <w:rFonts w:hint="eastAsia"/>
                <w:color w:val="auto"/>
                <w:highlight w:val="none"/>
              </w:rPr>
              <w:t>各评分因素细分项最终得分应以完成上述</w:t>
            </w: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color w:val="auto"/>
                <w:highlight w:val="none"/>
              </w:rPr>
              <w:t>①</w:t>
            </w:r>
            <w:r>
              <w:rPr>
                <w:rFonts w:hint="eastAsia"/>
                <w:color w:val="auto"/>
                <w:highlight w:val="none"/>
              </w:rPr>
              <w:fldChar w:fldCharType="end"/>
            </w: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color w:val="auto"/>
                <w:highlight w:val="none"/>
              </w:rPr>
              <w:t>②</w:t>
            </w:r>
            <w:r>
              <w:rPr>
                <w:rFonts w:hint="eastAsia"/>
                <w:color w:val="auto"/>
                <w:highlight w:val="none"/>
              </w:rPr>
              <w:fldChar w:fldCharType="end"/>
            </w:r>
            <w:r>
              <w:rPr>
                <w:rFonts w:hint="eastAsia"/>
                <w:color w:val="auto"/>
                <w:highlight w:val="none"/>
              </w:rPr>
              <w:t>步骤后，再对仍保留的专家细分项评分去掉一个最高和一个最低分后计算平均值。</w:t>
            </w:r>
          </w:p>
          <w:p w14:paraId="362243EA">
            <w:pPr>
              <w:pStyle w:val="299"/>
              <w:adjustRightInd w:val="0"/>
              <w:snapToGrid w:val="0"/>
              <w:spacing w:line="400" w:lineRule="exact"/>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投标人投标文件中施工组织设计各评分因素细分项无内容的得</w:t>
            </w:r>
            <w:r>
              <w:rPr>
                <w:color w:val="auto"/>
                <w:highlight w:val="none"/>
              </w:rPr>
              <w:t>0</w:t>
            </w:r>
            <w:r>
              <w:rPr>
                <w:rFonts w:hint="eastAsia"/>
                <w:color w:val="auto"/>
                <w:highlight w:val="none"/>
              </w:rPr>
              <w:t>分。</w:t>
            </w:r>
          </w:p>
          <w:p w14:paraId="4AC4CF23">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color w:val="auto"/>
                <w:highlight w:val="none"/>
              </w:rPr>
              <w:t>（</w:t>
            </w:r>
            <w:r>
              <w:rPr>
                <w:rFonts w:hint="eastAsia"/>
                <w:color w:val="auto"/>
                <w:highlight w:val="none"/>
                <w:lang w:val="en-US" w:eastAsia="zh-CN"/>
              </w:rPr>
              <w:t>4</w:t>
            </w:r>
            <w:r>
              <w:rPr>
                <w:rFonts w:hint="eastAsia"/>
                <w:color w:val="auto"/>
                <w:highlight w:val="none"/>
              </w:rPr>
              <w:t>）招标人对施工组织设计评审采用暗标方式的，投标人施工组织设计</w:t>
            </w:r>
            <w:r>
              <w:rPr>
                <w:rFonts w:hint="eastAsia" w:ascii="宋体" w:hAnsi="宋体"/>
                <w:color w:val="auto"/>
                <w:kern w:val="0"/>
                <w:highlight w:val="none"/>
              </w:rPr>
              <w:t>中出现投标人的名称和其他可识别投标人身份的文字、符号、标识等时，其施工组织设计评审得分为</w:t>
            </w:r>
            <w:r>
              <w:rPr>
                <w:rFonts w:ascii="宋体" w:hAnsi="宋体"/>
                <w:color w:val="auto"/>
                <w:kern w:val="0"/>
                <w:highlight w:val="none"/>
                <w:u w:val="single"/>
              </w:rPr>
              <w:t xml:space="preserve"> 0 </w:t>
            </w:r>
            <w:r>
              <w:rPr>
                <w:rFonts w:hint="eastAsia" w:ascii="宋体" w:hAnsi="宋体"/>
                <w:color w:val="auto"/>
                <w:kern w:val="0"/>
                <w:highlight w:val="none"/>
              </w:rPr>
              <w:t>分。</w:t>
            </w:r>
          </w:p>
          <w:p w14:paraId="0B9D37A2">
            <w:pPr>
              <w:pStyle w:val="299"/>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w:t>
            </w:r>
          </w:p>
        </w:tc>
      </w:tr>
      <w:tr w14:paraId="0A1F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14:paraId="4CDDC0F8">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5FBD635F">
            <w:pPr>
              <w:pStyle w:val="299"/>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w:t>
            </w:r>
          </w:p>
        </w:tc>
      </w:tr>
    </w:tbl>
    <w:p w14:paraId="63608C5C">
      <w:pPr>
        <w:rPr>
          <w:color w:val="auto"/>
          <w:highlight w:val="none"/>
        </w:rPr>
      </w:pPr>
    </w:p>
    <w:p w14:paraId="3E81A013">
      <w:pPr>
        <w:rPr>
          <w:rFonts w:hint="eastAsia"/>
          <w:color w:val="auto"/>
          <w:highlight w:val="none"/>
          <w:lang w:val="en-US" w:eastAsia="zh-CN"/>
        </w:rPr>
      </w:pPr>
      <w:r>
        <w:rPr>
          <w:rFonts w:hint="eastAsia"/>
          <w:color w:val="auto"/>
          <w:highlight w:val="none"/>
          <w:lang w:val="en-US" w:eastAsia="zh-CN"/>
        </w:rPr>
        <w:br w:type="page"/>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
        <w:gridCol w:w="850"/>
        <w:gridCol w:w="851"/>
        <w:gridCol w:w="850"/>
        <w:gridCol w:w="709"/>
        <w:gridCol w:w="709"/>
        <w:gridCol w:w="3402"/>
      </w:tblGrid>
      <w:tr w14:paraId="57B7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975" w:type="dxa"/>
            <w:vMerge w:val="restart"/>
            <w:vAlign w:val="center"/>
          </w:tcPr>
          <w:p w14:paraId="28398285">
            <w:pPr>
              <w:spacing w:line="360" w:lineRule="exact"/>
              <w:jc w:val="center"/>
              <w:rPr>
                <w:b/>
                <w:color w:val="auto"/>
                <w:highlight w:val="none"/>
              </w:rPr>
            </w:pPr>
            <w:r>
              <w:rPr>
                <w:rFonts w:hint="eastAsia"/>
                <w:b/>
                <w:color w:val="auto"/>
                <w:highlight w:val="none"/>
              </w:rPr>
              <w:t>条款号</w:t>
            </w:r>
          </w:p>
        </w:tc>
        <w:tc>
          <w:tcPr>
            <w:tcW w:w="7951" w:type="dxa"/>
            <w:gridSpan w:val="7"/>
            <w:vAlign w:val="center"/>
          </w:tcPr>
          <w:p w14:paraId="579569EC">
            <w:pPr>
              <w:spacing w:line="360" w:lineRule="exact"/>
              <w:jc w:val="center"/>
              <w:rPr>
                <w:b/>
                <w:color w:val="auto"/>
                <w:highlight w:val="none"/>
              </w:rPr>
            </w:pPr>
            <w:r>
              <w:rPr>
                <w:rFonts w:hint="eastAsia" w:ascii="宋体" w:hAnsi="宋体" w:cs="宋体"/>
                <w:b/>
                <w:color w:val="auto"/>
                <w:szCs w:val="21"/>
                <w:highlight w:val="none"/>
              </w:rPr>
              <w:t>评分因素与权重分值</w:t>
            </w:r>
            <w:r>
              <w:rPr>
                <w:rFonts w:ascii="宋体" w:hAnsi="宋体" w:cs="宋体"/>
                <w:b/>
                <w:color w:val="auto"/>
                <w:szCs w:val="21"/>
                <w:highlight w:val="none"/>
                <w:vertAlign w:val="superscript"/>
              </w:rPr>
              <w:footnoteReference w:id="178"/>
            </w:r>
          </w:p>
        </w:tc>
      </w:tr>
      <w:tr w14:paraId="2036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975" w:type="dxa"/>
            <w:vMerge w:val="continue"/>
            <w:vAlign w:val="center"/>
          </w:tcPr>
          <w:p w14:paraId="1468E69B">
            <w:pPr>
              <w:spacing w:line="360" w:lineRule="exact"/>
              <w:jc w:val="center"/>
              <w:rPr>
                <w:b/>
                <w:color w:val="auto"/>
                <w:highlight w:val="none"/>
              </w:rPr>
            </w:pPr>
          </w:p>
        </w:tc>
        <w:tc>
          <w:tcPr>
            <w:tcW w:w="1430" w:type="dxa"/>
            <w:gridSpan w:val="2"/>
            <w:vAlign w:val="center"/>
          </w:tcPr>
          <w:p w14:paraId="23C21974">
            <w:pPr>
              <w:spacing w:line="276" w:lineRule="auto"/>
              <w:jc w:val="center"/>
              <w:rPr>
                <w:b/>
                <w:color w:val="auto"/>
                <w:highlight w:val="none"/>
              </w:rPr>
            </w:pPr>
            <w:r>
              <w:rPr>
                <w:rFonts w:hint="eastAsia"/>
                <w:b/>
                <w:color w:val="auto"/>
                <w:highlight w:val="none"/>
              </w:rPr>
              <w:t>评分因素</w:t>
            </w:r>
          </w:p>
        </w:tc>
        <w:tc>
          <w:tcPr>
            <w:tcW w:w="851" w:type="dxa"/>
            <w:vAlign w:val="center"/>
          </w:tcPr>
          <w:p w14:paraId="00E245E8">
            <w:pPr>
              <w:spacing w:line="276" w:lineRule="auto"/>
              <w:jc w:val="center"/>
              <w:rPr>
                <w:b/>
                <w:color w:val="auto"/>
                <w:highlight w:val="none"/>
              </w:rPr>
            </w:pPr>
            <w:r>
              <w:rPr>
                <w:rFonts w:hint="eastAsia"/>
                <w:b/>
                <w:color w:val="auto"/>
                <w:highlight w:val="none"/>
              </w:rPr>
              <w:t>评分因素权重分值</w:t>
            </w:r>
          </w:p>
        </w:tc>
        <w:tc>
          <w:tcPr>
            <w:tcW w:w="1559" w:type="dxa"/>
            <w:gridSpan w:val="2"/>
            <w:vAlign w:val="center"/>
          </w:tcPr>
          <w:p w14:paraId="4A1F951F">
            <w:pPr>
              <w:spacing w:line="276" w:lineRule="auto"/>
              <w:jc w:val="center"/>
              <w:rPr>
                <w:b/>
                <w:color w:val="auto"/>
                <w:highlight w:val="none"/>
              </w:rPr>
            </w:pPr>
            <w:r>
              <w:rPr>
                <w:rFonts w:hint="eastAsia"/>
                <w:b/>
                <w:color w:val="auto"/>
                <w:highlight w:val="none"/>
              </w:rPr>
              <w:t>各评分因素细分项</w:t>
            </w:r>
          </w:p>
        </w:tc>
        <w:tc>
          <w:tcPr>
            <w:tcW w:w="709" w:type="dxa"/>
            <w:vAlign w:val="center"/>
          </w:tcPr>
          <w:p w14:paraId="45634712">
            <w:pPr>
              <w:spacing w:line="276" w:lineRule="auto"/>
              <w:jc w:val="center"/>
              <w:rPr>
                <w:b/>
                <w:color w:val="auto"/>
                <w:highlight w:val="none"/>
              </w:rPr>
            </w:pPr>
            <w:r>
              <w:rPr>
                <w:rFonts w:hint="eastAsia"/>
                <w:b/>
                <w:color w:val="auto"/>
                <w:highlight w:val="none"/>
              </w:rPr>
              <w:t>分值</w:t>
            </w:r>
          </w:p>
        </w:tc>
        <w:tc>
          <w:tcPr>
            <w:tcW w:w="3402" w:type="dxa"/>
            <w:vAlign w:val="center"/>
          </w:tcPr>
          <w:p w14:paraId="1F5C21CE">
            <w:pPr>
              <w:spacing w:line="276" w:lineRule="auto"/>
              <w:jc w:val="center"/>
              <w:rPr>
                <w:b/>
                <w:color w:val="auto"/>
                <w:highlight w:val="none"/>
              </w:rPr>
            </w:pPr>
            <w:r>
              <w:rPr>
                <w:rFonts w:hint="eastAsia"/>
                <w:b/>
                <w:color w:val="auto"/>
                <w:highlight w:val="none"/>
              </w:rPr>
              <w:t>评分标准</w:t>
            </w:r>
          </w:p>
        </w:tc>
      </w:tr>
      <w:tr w14:paraId="7BE4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2AC2D9F7">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2.2.4（2）</w:t>
            </w:r>
          </w:p>
        </w:tc>
        <w:tc>
          <w:tcPr>
            <w:tcW w:w="1430" w:type="dxa"/>
            <w:gridSpan w:val="2"/>
            <w:vAlign w:val="center"/>
          </w:tcPr>
          <w:p w14:paraId="1A94F9B2">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主要人员</w:t>
            </w:r>
          </w:p>
          <w:p w14:paraId="12C9BE4A">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B</w:t>
            </w:r>
          </w:p>
        </w:tc>
        <w:tc>
          <w:tcPr>
            <w:tcW w:w="851" w:type="dxa"/>
            <w:vAlign w:val="center"/>
          </w:tcPr>
          <w:p w14:paraId="7653679C">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Style w:val="59"/>
                <w:rFonts w:ascii="宋体" w:hAnsi="宋体" w:cs="宋体"/>
                <w:color w:val="auto"/>
                <w:szCs w:val="21"/>
                <w:highlight w:val="none"/>
              </w:rPr>
              <w:footnoteReference w:id="179"/>
            </w:r>
          </w:p>
        </w:tc>
        <w:tc>
          <w:tcPr>
            <w:tcW w:w="1559" w:type="dxa"/>
            <w:gridSpan w:val="2"/>
            <w:vAlign w:val="center"/>
          </w:tcPr>
          <w:p w14:paraId="37BB1EC8">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项目经理任职资格与业绩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1</w:t>
            </w:r>
            <w:r>
              <w:rPr>
                <w:rStyle w:val="59"/>
                <w:rFonts w:ascii="宋体" w:hAnsi="宋体" w:cs="宋体"/>
                <w:color w:val="auto"/>
                <w:kern w:val="0"/>
                <w:szCs w:val="21"/>
                <w:highlight w:val="none"/>
              </w:rPr>
              <w:footnoteReference w:id="180"/>
            </w:r>
          </w:p>
        </w:tc>
        <w:tc>
          <w:tcPr>
            <w:tcW w:w="709" w:type="dxa"/>
            <w:vAlign w:val="center"/>
          </w:tcPr>
          <w:p w14:paraId="04D45100">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3202973F">
            <w:pPr>
              <w:widowControl/>
              <w:adjustRightInd w:val="0"/>
              <w:snapToGrid w:val="0"/>
              <w:spacing w:line="400" w:lineRule="exact"/>
              <w:ind w:left="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满足资格审查条件最低要求得</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039ED453">
            <w:pPr>
              <w:widowControl/>
              <w:adjustRightInd w:val="0"/>
              <w:snapToGrid w:val="0"/>
              <w:spacing w:line="400" w:lineRule="exact"/>
              <w:ind w:left="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2）技术职称每升高一级加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Style w:val="59"/>
                <w:rFonts w:ascii="宋体" w:hAnsi="宋体" w:cs="宋体"/>
                <w:color w:val="auto"/>
                <w:kern w:val="0"/>
                <w:szCs w:val="21"/>
                <w:highlight w:val="none"/>
              </w:rPr>
              <w:footnoteReference w:id="181"/>
            </w:r>
          </w:p>
          <w:p w14:paraId="5D10726B">
            <w:pPr>
              <w:widowControl/>
              <w:adjustRightInd w:val="0"/>
              <w:snapToGrid w:val="0"/>
              <w:spacing w:line="400" w:lineRule="exact"/>
              <w:ind w:left="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3）扣除满足资格条件最低要求的业绩</w:t>
            </w:r>
            <w:r>
              <w:rPr>
                <w:rFonts w:hint="eastAsia" w:ascii="宋体" w:hAnsi="宋体" w:cs="宋体"/>
                <w:color w:val="auto"/>
                <w:kern w:val="0"/>
                <w:szCs w:val="21"/>
                <w:highlight w:val="none"/>
              </w:rPr>
              <w:t>数量后：</w:t>
            </w:r>
          </w:p>
          <w:p w14:paraId="5CEF2BC7">
            <w:pPr>
              <w:widowControl/>
              <w:adjustRightInd w:val="0"/>
              <w:snapToGrid w:val="0"/>
              <w:spacing w:line="40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w:t>
            </w:r>
            <w:r>
              <w:rPr>
                <w:rFonts w:hint="eastAsia" w:ascii="宋体" w:hAnsi="宋体" w:cs="宋体"/>
                <w:color w:val="auto"/>
                <w:szCs w:val="21"/>
                <w:highlight w:val="none"/>
              </w:rPr>
              <w:t>（□新建；□改扩建；□新建或改扩建）</w:t>
            </w:r>
            <w:r>
              <w:rPr>
                <w:rStyle w:val="59"/>
                <w:rFonts w:ascii="宋体" w:hAnsi="宋体" w:cs="宋体"/>
                <w:color w:val="auto"/>
                <w:szCs w:val="21"/>
                <w:highlight w:val="none"/>
              </w:rPr>
              <w:footnoteReference w:id="182"/>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公路路基土建工程</w:t>
            </w:r>
            <w:r>
              <w:rPr>
                <w:rStyle w:val="59"/>
                <w:rFonts w:ascii="宋体" w:hAnsi="宋体" w:cs="宋体"/>
                <w:color w:val="auto"/>
                <w:szCs w:val="21"/>
                <w:highlight w:val="none"/>
              </w:rPr>
              <w:footnoteReference w:id="183"/>
            </w:r>
            <w:r>
              <w:rPr>
                <w:rFonts w:hint="eastAsia" w:ascii="宋体" w:hAnsi="宋体" w:cs="宋体"/>
                <w:color w:val="auto"/>
                <w:kern w:val="0"/>
                <w:szCs w:val="21"/>
                <w:highlight w:val="none"/>
              </w:rPr>
              <w:t>施工资格审查要求职务业绩加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262D7A2D">
            <w:pPr>
              <w:widowControl/>
              <w:adjustRightInd w:val="0"/>
              <w:snapToGrid w:val="0"/>
              <w:spacing w:line="40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座国内（□新建；□改扩建；□新建或改扩建）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Fonts w:ascii="宋体" w:hAnsi="宋体" w:cs="宋体"/>
                <w:color w:val="auto"/>
                <w:szCs w:val="21"/>
                <w:highlight w:val="none"/>
                <w:vertAlign w:val="superscript"/>
              </w:rPr>
              <w:footnoteReference w:id="184"/>
            </w:r>
            <w:r>
              <w:rPr>
                <w:rFonts w:hint="eastAsia" w:ascii="宋体" w:hAnsi="宋体" w:cs="宋体"/>
                <w:color w:val="auto"/>
                <w:kern w:val="0"/>
                <w:szCs w:val="21"/>
                <w:highlight w:val="none"/>
              </w:rPr>
              <w:t>施工资格审查要求职务业绩加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ascii="宋体" w:hAnsi="宋体" w:cs="宋体"/>
                <w:color w:val="auto"/>
                <w:szCs w:val="21"/>
                <w:highlight w:val="none"/>
                <w:u w:val="single"/>
              </w:rPr>
              <w:t xml:space="preserve"> 1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Style w:val="59"/>
                <w:rFonts w:ascii="宋体" w:hAnsi="宋体" w:cs="宋体"/>
                <w:color w:val="auto"/>
                <w:kern w:val="0"/>
                <w:szCs w:val="21"/>
                <w:highlight w:val="none"/>
              </w:rPr>
              <w:footnoteReference w:id="185"/>
            </w:r>
            <w:r>
              <w:rPr>
                <w:rFonts w:hint="eastAsia" w:ascii="宋体" w:hAnsi="宋体" w:cs="宋体"/>
                <w:color w:val="auto"/>
                <w:kern w:val="0"/>
                <w:szCs w:val="21"/>
                <w:highlight w:val="none"/>
              </w:rPr>
              <w:t>特大桥加</w:t>
            </w:r>
          </w:p>
          <w:p w14:paraId="230C8EE4">
            <w:pPr>
              <w:widowControl/>
              <w:adjustRightInd w:val="0"/>
              <w:snapToGrid w:val="0"/>
              <w:spacing w:line="400" w:lineRule="exact"/>
              <w:ind w:left="210" w:leftChars="100" w:firstLine="0" w:firstLineChars="0"/>
              <w:rPr>
                <w:rFonts w:ascii="宋体" w:hAnsi="宋体" w:cs="宋体"/>
                <w:color w:val="auto"/>
                <w:kern w:val="0"/>
                <w:szCs w:val="21"/>
                <w:highlight w:val="none"/>
                <w:u w:val="singl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ascii="宋体" w:hAnsi="宋体" w:cs="宋体"/>
                <w:color w:val="auto"/>
                <w:kern w:val="0"/>
                <w:szCs w:val="21"/>
                <w:highlight w:val="none"/>
                <w:u w:val="single"/>
              </w:rPr>
              <w:t xml:space="preserve"> 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691E6888">
            <w:pPr>
              <w:adjustRightInd w:val="0"/>
              <w:snapToGrid w:val="0"/>
              <w:spacing w:line="400" w:lineRule="exact"/>
              <w:ind w:left="211" w:hanging="211" w:hangingChars="100"/>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座国内（□新建；□改</w:t>
            </w:r>
          </w:p>
        </w:tc>
      </w:tr>
      <w:tr w14:paraId="32EE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2" w:hRule="atLeast"/>
          <w:jc w:val="center"/>
        </w:trPr>
        <w:tc>
          <w:tcPr>
            <w:tcW w:w="975" w:type="dxa"/>
            <w:vAlign w:val="center"/>
          </w:tcPr>
          <w:p w14:paraId="7392501E">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2.2.4（2）</w:t>
            </w:r>
          </w:p>
        </w:tc>
        <w:tc>
          <w:tcPr>
            <w:tcW w:w="1430" w:type="dxa"/>
            <w:gridSpan w:val="2"/>
            <w:vAlign w:val="center"/>
          </w:tcPr>
          <w:p w14:paraId="137C04BA">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主要</w:t>
            </w:r>
          </w:p>
          <w:p w14:paraId="69D4A268">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p w14:paraId="30EE6A27">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B</w:t>
            </w:r>
          </w:p>
        </w:tc>
        <w:tc>
          <w:tcPr>
            <w:tcW w:w="851" w:type="dxa"/>
            <w:vAlign w:val="center"/>
          </w:tcPr>
          <w:p w14:paraId="7C68B953">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559" w:type="dxa"/>
            <w:gridSpan w:val="2"/>
            <w:vAlign w:val="center"/>
          </w:tcPr>
          <w:p w14:paraId="38F11120">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项目经理任职资格与业绩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1</w:t>
            </w:r>
          </w:p>
        </w:tc>
        <w:tc>
          <w:tcPr>
            <w:tcW w:w="709" w:type="dxa"/>
            <w:vAlign w:val="center"/>
          </w:tcPr>
          <w:p w14:paraId="7943D515">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77E39912">
            <w:pPr>
              <w:adjustRightInd w:val="0"/>
              <w:snapToGrid w:val="0"/>
              <w:spacing w:line="400" w:lineRule="exact"/>
              <w:ind w:left="210" w:leftChars="100"/>
              <w:rPr>
                <w:rFonts w:ascii="宋体" w:hAnsi="宋体" w:cs="宋体"/>
                <w:color w:val="auto"/>
                <w:kern w:val="0"/>
                <w:szCs w:val="21"/>
                <w:highlight w:val="none"/>
              </w:rPr>
            </w:pPr>
            <w:r>
              <w:rPr>
                <w:rFonts w:hint="eastAsia" w:ascii="宋体" w:hAnsi="宋体" w:cs="宋体"/>
                <w:color w:val="auto"/>
                <w:szCs w:val="21"/>
                <w:highlight w:val="none"/>
              </w:rPr>
              <w:t>扩建；□新建或改扩建）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公路（□中隧道及以上；</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长隧道及以上；□特长隧道；□单洞长度</w:t>
            </w:r>
            <w:r>
              <w:rPr>
                <w:rStyle w:val="59"/>
                <w:rFonts w:ascii="宋体" w:hAnsi="宋体" w:cs="宋体"/>
                <w:color w:val="auto"/>
                <w:szCs w:val="21"/>
                <w:highlight w:val="none"/>
              </w:rPr>
              <w:footnoteReference w:id="186"/>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米及以上特长隧道）</w:t>
            </w:r>
            <w:r>
              <w:rPr>
                <w:rStyle w:val="59"/>
                <w:rFonts w:ascii="宋体" w:hAnsi="宋体" w:cs="宋体"/>
                <w:color w:val="auto"/>
                <w:szCs w:val="21"/>
                <w:highlight w:val="none"/>
              </w:rPr>
              <w:footnoteReference w:id="187"/>
            </w:r>
            <w:r>
              <w:rPr>
                <w:rFonts w:hint="eastAsia" w:ascii="宋体" w:hAnsi="宋体" w:cs="宋体"/>
                <w:color w:val="auto"/>
                <w:szCs w:val="21"/>
                <w:highlight w:val="none"/>
              </w:rPr>
              <w:t>施工项目</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257693DB">
            <w:pPr>
              <w:adjustRightInd w:val="0"/>
              <w:snapToGrid w:val="0"/>
              <w:spacing w:line="400" w:lineRule="exact"/>
              <w:ind w:left="211" w:hanging="211" w:hangingChars="100"/>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公路路面工程施工项目中担任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6EAD880">
            <w:pPr>
              <w:adjustRightInd w:val="0"/>
              <w:snapToGrid w:val="0"/>
              <w:spacing w:line="400" w:lineRule="exact"/>
              <w:ind w:left="211" w:hanging="211" w:hangingChars="100"/>
              <w:jc w:val="left"/>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w:t>
            </w:r>
            <w:r>
              <w:rPr>
                <w:rFonts w:hint="eastAsia" w:ascii="宋体" w:hAnsi="宋体"/>
                <w:color w:val="auto"/>
                <w:szCs w:val="21"/>
                <w:highlight w:val="none"/>
              </w:rPr>
              <w:t>交通安全设施工程施工</w:t>
            </w:r>
            <w:r>
              <w:rPr>
                <w:rFonts w:hint="eastAsia" w:ascii="宋体" w:hAnsi="宋体" w:cs="宋体"/>
                <w:color w:val="auto"/>
                <w:szCs w:val="21"/>
                <w:highlight w:val="none"/>
              </w:rPr>
              <w:t>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634FEA45">
            <w:pPr>
              <w:adjustRightInd w:val="0"/>
              <w:snapToGrid w:val="0"/>
              <w:spacing w:line="400" w:lineRule="exact"/>
              <w:ind w:left="211" w:hanging="211" w:hangingChars="100"/>
              <w:jc w:val="left"/>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公路隧道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w:t>
            </w:r>
            <w:r>
              <w:rPr>
                <w:rFonts w:hint="eastAsia" w:ascii="宋体" w:hAnsi="宋体" w:cs="宋体"/>
                <w:color w:val="auto"/>
                <w:szCs w:val="21"/>
                <w:highlight w:val="none"/>
              </w:rPr>
              <w:t>项目中担任</w:t>
            </w:r>
            <w:r>
              <w:rPr>
                <w:rFonts w:hint="eastAsia" w:ascii="宋体" w:hAnsi="宋体" w:cs="宋体"/>
                <w:color w:val="auto"/>
                <w:kern w:val="0"/>
                <w:szCs w:val="21"/>
                <w:highlight w:val="none"/>
              </w:rPr>
              <w:t>资格审查要求职务业绩加</w:t>
            </w:r>
          </w:p>
          <w:p w14:paraId="6934A0D0">
            <w:pPr>
              <w:adjustRightInd w:val="0"/>
              <w:snapToGrid w:val="0"/>
              <w:spacing w:line="400" w:lineRule="exact"/>
              <w:ind w:left="210" w:leftChars="100" w:firstLine="0" w:firstLineChars="0"/>
              <w:jc w:val="left"/>
              <w:rPr>
                <w:rFonts w:hint="eastAsia" w:ascii="宋体" w:hAnsi="宋体" w:cs="宋体"/>
                <w:color w:val="auto"/>
                <w:kern w:val="0"/>
                <w:szCs w:val="21"/>
                <w:highlight w:val="none"/>
                <w:lang w:eastAsia="zh-CN"/>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3C6185B2">
            <w:pPr>
              <w:widowControl/>
              <w:adjustRightInd w:val="0"/>
              <w:snapToGrid w:val="0"/>
              <w:spacing w:line="400" w:lineRule="exact"/>
              <w:ind w:left="211" w:hanging="211" w:hangingChars="100"/>
              <w:jc w:val="left"/>
              <w:rPr>
                <w:rFonts w:hint="eastAsia" w:ascii="宋体" w:hAnsi="宋体" w:cs="宋体"/>
                <w:color w:val="auto"/>
                <w:kern w:val="0"/>
                <w:szCs w:val="21"/>
                <w:highlight w:val="none"/>
                <w:lang w:eastAsia="zh-CN"/>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w:t>
            </w:r>
            <w:r>
              <w:rPr>
                <w:rFonts w:hint="eastAsia" w:ascii="宋体" w:hAnsi="宋体"/>
                <w:color w:val="auto"/>
                <w:szCs w:val="21"/>
                <w:highlight w:val="none"/>
              </w:rPr>
              <w:t>国内房建工程施工项目中担任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39E02711">
            <w:pPr>
              <w:widowControl/>
              <w:adjustRightInd w:val="0"/>
              <w:snapToGrid w:val="0"/>
              <w:spacing w:line="400" w:lineRule="exact"/>
              <w:jc w:val="lef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p>
          <w:p w14:paraId="13654DFC">
            <w:pPr>
              <w:widowControl/>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w:t>
            </w:r>
            <w:r>
              <w:rPr>
                <w:rFonts w:ascii="宋体" w:hAnsi="宋体" w:cs="宋体"/>
                <w:color w:val="auto"/>
                <w:kern w:val="0"/>
                <w:szCs w:val="21"/>
                <w:highlight w:val="none"/>
              </w:rPr>
              <w:t>3）合计得分最多至满分为止。</w:t>
            </w:r>
          </w:p>
        </w:tc>
      </w:tr>
      <w:tr w14:paraId="6B3A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jc w:val="center"/>
        </w:trPr>
        <w:tc>
          <w:tcPr>
            <w:tcW w:w="975" w:type="dxa"/>
            <w:vMerge w:val="restart"/>
            <w:vAlign w:val="center"/>
          </w:tcPr>
          <w:p w14:paraId="3D3A8C51">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2.2.4（2）</w:t>
            </w:r>
          </w:p>
        </w:tc>
        <w:tc>
          <w:tcPr>
            <w:tcW w:w="1430" w:type="dxa"/>
            <w:gridSpan w:val="2"/>
            <w:vMerge w:val="restart"/>
            <w:vAlign w:val="center"/>
          </w:tcPr>
          <w:p w14:paraId="1A2088B9">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主要</w:t>
            </w:r>
          </w:p>
          <w:p w14:paraId="60406FEB">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p w14:paraId="42043048">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B</w:t>
            </w:r>
          </w:p>
        </w:tc>
        <w:tc>
          <w:tcPr>
            <w:tcW w:w="851" w:type="dxa"/>
            <w:vMerge w:val="restart"/>
            <w:vAlign w:val="center"/>
          </w:tcPr>
          <w:p w14:paraId="1352CC44">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559" w:type="dxa"/>
            <w:gridSpan w:val="2"/>
            <w:vAlign w:val="center"/>
          </w:tcPr>
          <w:p w14:paraId="028FCB8C">
            <w:pPr>
              <w:pStyle w:val="299"/>
              <w:adjustRightInd w:val="0"/>
              <w:snapToGrid w:val="0"/>
              <w:spacing w:line="38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项目总工任职资格与业绩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2</w:t>
            </w:r>
          </w:p>
        </w:tc>
        <w:tc>
          <w:tcPr>
            <w:tcW w:w="709" w:type="dxa"/>
            <w:vAlign w:val="center"/>
          </w:tcPr>
          <w:p w14:paraId="7E2604CC">
            <w:pPr>
              <w:pStyle w:val="299"/>
              <w:adjustRightInd w:val="0"/>
              <w:snapToGrid w:val="0"/>
              <w:spacing w:line="400" w:lineRule="exact"/>
              <w:rPr>
                <w:rFonts w:ascii="宋体" w:hAnsi="宋体" w:cs="宋体"/>
                <w:color w:val="auto"/>
                <w:szCs w:val="21"/>
                <w:highlight w:val="none"/>
                <w:u w:val="single"/>
              </w:rPr>
            </w:pPr>
          </w:p>
          <w:p w14:paraId="50E6AA84">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11C62D98">
            <w:pPr>
              <w:widowControl/>
              <w:numPr>
                <w:ilvl w:val="-1"/>
                <w:numId w:val="0"/>
              </w:numPr>
              <w:adjustRightInd w:val="0"/>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满足资格审查条件最低要求得</w:t>
            </w:r>
          </w:p>
          <w:p w14:paraId="26B731F0">
            <w:pPr>
              <w:widowControl/>
              <w:numPr>
                <w:ilvl w:val="-1"/>
                <w:numId w:val="0"/>
              </w:numPr>
              <w:adjustRightInd w:val="0"/>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w:t>
            </w:r>
          </w:p>
          <w:p w14:paraId="4C001BF9">
            <w:pPr>
              <w:widowControl/>
              <w:adjustRightInd w:val="0"/>
              <w:snapToGrid w:val="0"/>
              <w:spacing w:line="400" w:lineRule="exact"/>
              <w:ind w:firstLine="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2）技术职称每升高一级加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D288A51">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3）扣除满足资格条件最低要求的业绩</w:t>
            </w:r>
            <w:r>
              <w:rPr>
                <w:rFonts w:hint="eastAsia" w:ascii="宋体" w:hAnsi="宋体" w:cs="宋体"/>
                <w:color w:val="auto"/>
                <w:kern w:val="0"/>
                <w:szCs w:val="21"/>
                <w:highlight w:val="none"/>
              </w:rPr>
              <w:t>数量后：</w:t>
            </w:r>
          </w:p>
          <w:p w14:paraId="5875FD58">
            <w:pPr>
              <w:widowControl/>
              <w:adjustRightInd w:val="0"/>
              <w:snapToGrid w:val="0"/>
              <w:spacing w:line="40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w:t>
            </w:r>
            <w:r>
              <w:rPr>
                <w:rFonts w:hint="eastAsia" w:ascii="宋体" w:hAnsi="宋体" w:cs="宋体"/>
                <w:color w:val="auto"/>
                <w:szCs w:val="21"/>
                <w:highlight w:val="none"/>
              </w:rPr>
              <w:t>（□新建；□改扩建；□新建或改扩建）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公路路基土建工程施工资格审查要求职务业绩加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p>
          <w:p w14:paraId="52884913">
            <w:pPr>
              <w:widowControl/>
              <w:adjustRightInd w:val="0"/>
              <w:snapToGrid w:val="0"/>
              <w:spacing w:line="400" w:lineRule="exact"/>
              <w:ind w:left="210" w:leftChars="100" w:firstLine="0" w:firstLineChars="0"/>
              <w:rPr>
                <w:rFonts w:hint="eastAsia"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4B348B34">
            <w:pPr>
              <w:widowControl/>
              <w:adjustRightInd w:val="0"/>
              <w:snapToGrid w:val="0"/>
              <w:spacing w:line="400" w:lineRule="exact"/>
              <w:ind w:left="211" w:leftChars="0"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座国内（□新建；□改扩建；□新建或改扩建）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Fonts w:hint="eastAsia" w:ascii="宋体" w:hAnsi="宋体" w:cs="宋体"/>
                <w:color w:val="auto"/>
                <w:kern w:val="0"/>
                <w:szCs w:val="21"/>
                <w:highlight w:val="none"/>
              </w:rPr>
              <w:t>施工资格审查要求职务业绩加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ascii="宋体" w:hAnsi="宋体" w:cs="宋体"/>
                <w:color w:val="auto"/>
                <w:szCs w:val="21"/>
                <w:highlight w:val="none"/>
                <w:u w:val="single"/>
              </w:rPr>
              <w:t xml:space="preserve"> 1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ascii="宋体" w:hAnsi="宋体" w:cs="宋体"/>
                <w:color w:val="auto"/>
                <w:szCs w:val="21"/>
                <w:highlight w:val="none"/>
                <w:u w:val="single"/>
              </w:rPr>
              <w:t xml:space="preserve"> 1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4A659D20">
            <w:pPr>
              <w:widowControl/>
              <w:adjustRightInd w:val="0"/>
              <w:snapToGrid w:val="0"/>
              <w:spacing w:line="400" w:lineRule="exact"/>
              <w:ind w:left="211" w:leftChars="0" w:hanging="211" w:hangingChars="10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座国内（□新建；□改扩建；□新建或改扩建）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公路（□中隧道及以上；□长隧道及以上；□特长隧道；□单洞长度</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米及以上特长隧道）施工项目</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71903E20">
            <w:pPr>
              <w:widowControl/>
              <w:adjustRightInd w:val="0"/>
              <w:snapToGrid w:val="0"/>
              <w:spacing w:line="40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公路路面工程施工项目中担任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p>
          <w:p w14:paraId="47932447">
            <w:pPr>
              <w:widowControl/>
              <w:adjustRightInd w:val="0"/>
              <w:snapToGrid w:val="0"/>
              <w:spacing w:line="40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65932BE1">
            <w:pPr>
              <w:adjustRightInd w:val="0"/>
              <w:snapToGrid w:val="0"/>
              <w:spacing w:line="40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w:t>
            </w:r>
            <w:r>
              <w:rPr>
                <w:rFonts w:hint="eastAsia" w:ascii="宋体" w:hAnsi="宋体"/>
                <w:color w:val="auto"/>
                <w:szCs w:val="21"/>
                <w:highlight w:val="none"/>
              </w:rPr>
              <w:t>交通安全设施工程施工</w:t>
            </w:r>
            <w:r>
              <w:rPr>
                <w:rFonts w:hint="eastAsia" w:ascii="宋体" w:hAnsi="宋体" w:cs="宋体"/>
                <w:color w:val="auto"/>
                <w:szCs w:val="21"/>
                <w:highlight w:val="none"/>
              </w:rPr>
              <w:t>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95F2DA8">
            <w:pPr>
              <w:adjustRightInd w:val="0"/>
              <w:snapToGrid w:val="0"/>
              <w:spacing w:line="400" w:lineRule="exact"/>
              <w:ind w:left="211" w:hanging="211" w:hangingChars="100"/>
              <w:jc w:val="left"/>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公路隧道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w:t>
            </w:r>
            <w:r>
              <w:rPr>
                <w:rFonts w:hint="eastAsia" w:ascii="宋体" w:hAnsi="宋体" w:cs="宋体"/>
                <w:color w:val="auto"/>
                <w:szCs w:val="21"/>
                <w:highlight w:val="none"/>
              </w:rPr>
              <w:t>项目中担任</w:t>
            </w:r>
            <w:r>
              <w:rPr>
                <w:rFonts w:hint="eastAsia" w:ascii="宋体" w:hAnsi="宋体" w:cs="宋体"/>
                <w:color w:val="auto"/>
                <w:kern w:val="0"/>
                <w:szCs w:val="21"/>
                <w:highlight w:val="none"/>
              </w:rPr>
              <w:t>资格审查要求职务业绩加</w:t>
            </w:r>
          </w:p>
          <w:p w14:paraId="4CFF4FF1">
            <w:pPr>
              <w:adjustRightInd w:val="0"/>
              <w:snapToGrid w:val="0"/>
              <w:spacing w:line="400" w:lineRule="exact"/>
              <w:ind w:left="210" w:leftChars="100" w:firstLine="0" w:firstLineChars="0"/>
              <w:jc w:val="left"/>
              <w:rPr>
                <w:rFonts w:hint="eastAsia" w:ascii="宋体" w:hAnsi="宋体" w:cs="宋体"/>
                <w:color w:val="auto"/>
                <w:kern w:val="0"/>
                <w:szCs w:val="21"/>
                <w:highlight w:val="none"/>
                <w:lang w:eastAsia="zh-CN"/>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64EE2732">
            <w:pPr>
              <w:widowControl/>
              <w:adjustRightInd w:val="0"/>
              <w:snapToGrid w:val="0"/>
              <w:spacing w:line="400" w:lineRule="exact"/>
              <w:ind w:left="211" w:hanging="211" w:hangingChars="100"/>
              <w:jc w:val="left"/>
              <w:rPr>
                <w:rFonts w:hint="eastAsia" w:ascii="宋体" w:hAnsi="宋体" w:cs="宋体"/>
                <w:color w:val="auto"/>
                <w:kern w:val="0"/>
                <w:szCs w:val="21"/>
                <w:highlight w:val="none"/>
                <w:lang w:eastAsia="zh-CN"/>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个</w:t>
            </w:r>
            <w:r>
              <w:rPr>
                <w:rFonts w:hint="eastAsia" w:ascii="宋体" w:hAnsi="宋体"/>
                <w:color w:val="auto"/>
                <w:szCs w:val="21"/>
                <w:highlight w:val="none"/>
              </w:rPr>
              <w:t>国内房建工程施工项目中担任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3BBD11E1">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p>
          <w:p w14:paraId="215D6516">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w:t>
            </w:r>
            <w:r>
              <w:rPr>
                <w:rFonts w:ascii="宋体" w:hAnsi="宋体" w:cs="宋体"/>
                <w:color w:val="auto"/>
                <w:kern w:val="0"/>
                <w:szCs w:val="21"/>
                <w:highlight w:val="none"/>
              </w:rPr>
              <w:t>3）合计得分最多至满分为止。</w:t>
            </w:r>
          </w:p>
        </w:tc>
      </w:tr>
      <w:tr w14:paraId="7374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75" w:type="dxa"/>
            <w:vMerge w:val="restart"/>
            <w:vAlign w:val="center"/>
          </w:tcPr>
          <w:p w14:paraId="017F9B46">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2.2.4（2）</w:t>
            </w:r>
          </w:p>
        </w:tc>
        <w:tc>
          <w:tcPr>
            <w:tcW w:w="1430" w:type="dxa"/>
            <w:gridSpan w:val="2"/>
            <w:vMerge w:val="restart"/>
            <w:vAlign w:val="center"/>
          </w:tcPr>
          <w:p w14:paraId="2307CF25">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主要</w:t>
            </w:r>
          </w:p>
          <w:p w14:paraId="2D1A3208">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p w14:paraId="1313110F">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B</w:t>
            </w:r>
          </w:p>
        </w:tc>
        <w:tc>
          <w:tcPr>
            <w:tcW w:w="851" w:type="dxa"/>
            <w:vMerge w:val="restart"/>
            <w:vAlign w:val="center"/>
          </w:tcPr>
          <w:p w14:paraId="223EE89B">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850" w:type="dxa"/>
            <w:vMerge w:val="restart"/>
            <w:vAlign w:val="center"/>
          </w:tcPr>
          <w:p w14:paraId="71A7A497">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其他管理和技术人员任职资格与业绩</w:t>
            </w:r>
            <w:r>
              <w:rPr>
                <w:rFonts w:ascii="宋体" w:hAnsi="宋体" w:cs="宋体"/>
                <w:color w:val="auto"/>
                <w:szCs w:val="21"/>
                <w:highlight w:val="none"/>
              </w:rPr>
              <w:t xml:space="preserve"> B</w:t>
            </w:r>
            <w:r>
              <w:rPr>
                <w:rFonts w:ascii="宋体" w:hAnsi="宋体" w:cs="宋体"/>
                <w:color w:val="auto"/>
                <w:szCs w:val="21"/>
                <w:highlight w:val="none"/>
                <w:vertAlign w:val="subscript"/>
              </w:rPr>
              <w:t>3</w:t>
            </w:r>
            <w:r>
              <w:rPr>
                <w:rStyle w:val="59"/>
                <w:rFonts w:ascii="宋体" w:hAnsi="宋体" w:cs="宋体"/>
                <w:color w:val="auto"/>
                <w:szCs w:val="21"/>
                <w:highlight w:val="none"/>
              </w:rPr>
              <w:footnoteReference w:id="188"/>
            </w:r>
          </w:p>
        </w:tc>
        <w:tc>
          <w:tcPr>
            <w:tcW w:w="709" w:type="dxa"/>
            <w:vAlign w:val="center"/>
          </w:tcPr>
          <w:p w14:paraId="7E8E2F51">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c>
          <w:tcPr>
            <w:tcW w:w="709" w:type="dxa"/>
            <w:vAlign w:val="center"/>
          </w:tcPr>
          <w:p w14:paraId="5CB308C4">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7127AD0D">
            <w:pPr>
              <w:widowControl/>
              <w:adjustRightInd w:val="0"/>
              <w:snapToGrid w:val="0"/>
              <w:spacing w:line="400" w:lineRule="exact"/>
              <w:jc w:val="left"/>
              <w:rPr>
                <w:rFonts w:ascii="宋体" w:hAnsi="宋体" w:cs="宋体"/>
                <w:color w:val="auto"/>
                <w:kern w:val="0"/>
                <w:szCs w:val="21"/>
                <w:highlight w:val="none"/>
              </w:rPr>
            </w:pPr>
            <w:r>
              <w:rPr>
                <w:rFonts w:ascii="宋体" w:hAnsi="宋体" w:cs="宋体"/>
                <w:color w:val="auto"/>
                <w:szCs w:val="21"/>
                <w:highlight w:val="none"/>
                <w:u w:val="single"/>
              </w:rPr>
              <w:t xml:space="preserve">       </w:t>
            </w:r>
          </w:p>
        </w:tc>
      </w:tr>
      <w:tr w14:paraId="194A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75" w:type="dxa"/>
            <w:vMerge w:val="continue"/>
            <w:vAlign w:val="center"/>
          </w:tcPr>
          <w:p w14:paraId="5E45EBAB">
            <w:pPr>
              <w:pStyle w:val="299"/>
              <w:adjustRightInd w:val="0"/>
              <w:snapToGrid w:val="0"/>
              <w:spacing w:line="400" w:lineRule="exact"/>
              <w:jc w:val="center"/>
              <w:rPr>
                <w:rFonts w:ascii="宋体" w:hAnsi="宋体" w:cs="宋体"/>
                <w:color w:val="auto"/>
                <w:szCs w:val="21"/>
                <w:highlight w:val="none"/>
              </w:rPr>
            </w:pPr>
          </w:p>
        </w:tc>
        <w:tc>
          <w:tcPr>
            <w:tcW w:w="1430" w:type="dxa"/>
            <w:gridSpan w:val="2"/>
            <w:vMerge w:val="continue"/>
            <w:vAlign w:val="center"/>
          </w:tcPr>
          <w:p w14:paraId="6C1E76E4">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7A5476EB">
            <w:pPr>
              <w:pStyle w:val="299"/>
              <w:adjustRightInd w:val="0"/>
              <w:snapToGrid w:val="0"/>
              <w:spacing w:line="400" w:lineRule="exact"/>
              <w:rPr>
                <w:rFonts w:ascii="宋体" w:hAnsi="宋体" w:cs="宋体"/>
                <w:color w:val="auto"/>
                <w:szCs w:val="21"/>
                <w:highlight w:val="none"/>
                <w:u w:val="single"/>
              </w:rPr>
            </w:pPr>
          </w:p>
        </w:tc>
        <w:tc>
          <w:tcPr>
            <w:tcW w:w="850" w:type="dxa"/>
            <w:vMerge w:val="continue"/>
            <w:vAlign w:val="center"/>
          </w:tcPr>
          <w:p w14:paraId="3570F64B">
            <w:pPr>
              <w:pStyle w:val="299"/>
              <w:adjustRightInd w:val="0"/>
              <w:snapToGrid w:val="0"/>
              <w:spacing w:line="400" w:lineRule="exact"/>
              <w:rPr>
                <w:rFonts w:ascii="宋体" w:hAnsi="宋体" w:cs="宋体"/>
                <w:color w:val="auto"/>
                <w:szCs w:val="21"/>
                <w:highlight w:val="none"/>
              </w:rPr>
            </w:pPr>
          </w:p>
        </w:tc>
        <w:tc>
          <w:tcPr>
            <w:tcW w:w="709" w:type="dxa"/>
            <w:vAlign w:val="center"/>
          </w:tcPr>
          <w:p w14:paraId="38A49332">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c>
          <w:tcPr>
            <w:tcW w:w="709" w:type="dxa"/>
            <w:vAlign w:val="center"/>
          </w:tcPr>
          <w:p w14:paraId="17F99E91">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019EB726">
            <w:pPr>
              <w:widowControl/>
              <w:adjustRightInd w:val="0"/>
              <w:snapToGrid w:val="0"/>
              <w:spacing w:line="400" w:lineRule="exact"/>
              <w:jc w:val="left"/>
              <w:rPr>
                <w:rFonts w:ascii="宋体" w:hAnsi="宋体" w:cs="宋体"/>
                <w:color w:val="auto"/>
                <w:kern w:val="0"/>
                <w:szCs w:val="21"/>
                <w:highlight w:val="none"/>
              </w:rPr>
            </w:pPr>
            <w:r>
              <w:rPr>
                <w:rFonts w:ascii="宋体" w:hAnsi="宋体" w:cs="宋体"/>
                <w:color w:val="auto"/>
                <w:szCs w:val="21"/>
                <w:highlight w:val="none"/>
                <w:u w:val="single"/>
              </w:rPr>
              <w:t xml:space="preserve">       </w:t>
            </w:r>
          </w:p>
        </w:tc>
      </w:tr>
      <w:tr w14:paraId="494C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7FFCD87E">
            <w:pPr>
              <w:pStyle w:val="299"/>
              <w:adjustRightInd w:val="0"/>
              <w:snapToGrid w:val="0"/>
              <w:spacing w:line="400" w:lineRule="exact"/>
              <w:jc w:val="center"/>
              <w:rPr>
                <w:rFonts w:ascii="宋体" w:hAnsi="宋体" w:cs="宋体"/>
                <w:color w:val="auto"/>
                <w:szCs w:val="21"/>
                <w:highlight w:val="none"/>
              </w:rPr>
            </w:pPr>
          </w:p>
        </w:tc>
        <w:tc>
          <w:tcPr>
            <w:tcW w:w="1430" w:type="dxa"/>
            <w:gridSpan w:val="2"/>
            <w:vMerge w:val="continue"/>
            <w:vAlign w:val="center"/>
          </w:tcPr>
          <w:p w14:paraId="1251B80F">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54921089">
            <w:pPr>
              <w:pStyle w:val="299"/>
              <w:adjustRightInd w:val="0"/>
              <w:snapToGrid w:val="0"/>
              <w:spacing w:line="400" w:lineRule="exact"/>
              <w:rPr>
                <w:rFonts w:ascii="宋体" w:hAnsi="宋体" w:cs="宋体"/>
                <w:color w:val="auto"/>
                <w:szCs w:val="21"/>
                <w:highlight w:val="none"/>
                <w:u w:val="single"/>
              </w:rPr>
            </w:pPr>
          </w:p>
        </w:tc>
        <w:tc>
          <w:tcPr>
            <w:tcW w:w="850" w:type="dxa"/>
            <w:vMerge w:val="continue"/>
            <w:vAlign w:val="center"/>
          </w:tcPr>
          <w:p w14:paraId="7778BB11">
            <w:pPr>
              <w:pStyle w:val="299"/>
              <w:adjustRightInd w:val="0"/>
              <w:snapToGrid w:val="0"/>
              <w:spacing w:line="400" w:lineRule="exact"/>
              <w:rPr>
                <w:rFonts w:ascii="宋体" w:hAnsi="宋体" w:cs="宋体"/>
                <w:color w:val="auto"/>
                <w:szCs w:val="21"/>
                <w:highlight w:val="none"/>
              </w:rPr>
            </w:pPr>
          </w:p>
        </w:tc>
        <w:tc>
          <w:tcPr>
            <w:tcW w:w="709" w:type="dxa"/>
            <w:vAlign w:val="center"/>
          </w:tcPr>
          <w:p w14:paraId="557272DC">
            <w:pPr>
              <w:pStyle w:val="299"/>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w:t>
            </w:r>
          </w:p>
        </w:tc>
        <w:tc>
          <w:tcPr>
            <w:tcW w:w="709" w:type="dxa"/>
            <w:vAlign w:val="center"/>
          </w:tcPr>
          <w:p w14:paraId="36530B76">
            <w:pPr>
              <w:pStyle w:val="299"/>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w:t>
            </w:r>
          </w:p>
        </w:tc>
        <w:tc>
          <w:tcPr>
            <w:tcW w:w="3402" w:type="dxa"/>
            <w:vAlign w:val="center"/>
          </w:tcPr>
          <w:p w14:paraId="3B981A47">
            <w:pPr>
              <w:widowControl/>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szCs w:val="21"/>
                <w:highlight w:val="none"/>
              </w:rPr>
              <w:t>……</w:t>
            </w:r>
          </w:p>
        </w:tc>
      </w:tr>
      <w:tr w14:paraId="0AFD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jc w:val="center"/>
        </w:trPr>
        <w:tc>
          <w:tcPr>
            <w:tcW w:w="975" w:type="dxa"/>
            <w:vAlign w:val="center"/>
          </w:tcPr>
          <w:p w14:paraId="2ABA0E56">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2.2.4（3）</w:t>
            </w:r>
          </w:p>
        </w:tc>
        <w:tc>
          <w:tcPr>
            <w:tcW w:w="1430" w:type="dxa"/>
            <w:gridSpan w:val="2"/>
            <w:vAlign w:val="center"/>
          </w:tcPr>
          <w:p w14:paraId="24170C09">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评标价</w:t>
            </w:r>
            <w:r>
              <w:rPr>
                <w:rFonts w:ascii="宋体" w:hAnsi="宋体" w:cs="宋体"/>
                <w:color w:val="auto"/>
                <w:szCs w:val="21"/>
                <w:highlight w:val="none"/>
              </w:rPr>
              <w:t>F</w:t>
            </w:r>
          </w:p>
        </w:tc>
        <w:tc>
          <w:tcPr>
            <w:tcW w:w="851" w:type="dxa"/>
            <w:vAlign w:val="center"/>
          </w:tcPr>
          <w:p w14:paraId="4D5D5CDA">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5670" w:type="dxa"/>
            <w:gridSpan w:val="4"/>
            <w:vAlign w:val="center"/>
          </w:tcPr>
          <w:p w14:paraId="6F0D62F1">
            <w:pPr>
              <w:pStyle w:val="299"/>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评标价得分</w:t>
            </w:r>
            <w:r>
              <w:rPr>
                <w:rFonts w:ascii="宋体" w:hAnsi="宋体" w:cs="宋体"/>
                <w:color w:val="auto"/>
                <w:szCs w:val="21"/>
                <w:highlight w:val="none"/>
              </w:rPr>
              <w:t>F计算公式：</w:t>
            </w:r>
          </w:p>
          <w:p w14:paraId="14B9C325">
            <w:pPr>
              <w:pStyle w:val="299"/>
              <w:adjustRightInd w:val="0"/>
              <w:snapToGrid w:val="0"/>
              <w:spacing w:line="380" w:lineRule="exact"/>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rPr>
              <w:t>方式一</w:t>
            </w:r>
            <w:r>
              <w:rPr>
                <w:rFonts w:hint="eastAsia" w:ascii="宋体" w:hAnsi="宋体" w:cs="宋体"/>
                <w:color w:val="auto"/>
                <w:szCs w:val="21"/>
                <w:highlight w:val="none"/>
              </w:rPr>
              <w:t>：</w:t>
            </w:r>
          </w:p>
          <w:p w14:paraId="60AA546B">
            <w:pPr>
              <w:pStyle w:val="299"/>
              <w:adjustRightInd w:val="0"/>
              <w:snapToGrid w:val="0"/>
              <w:spacing w:line="38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1）如果投标人的评标价＞评标基准价，</w:t>
            </w:r>
          </w:p>
          <w:p w14:paraId="6D90DECD">
            <w:pPr>
              <w:pStyle w:val="299"/>
              <w:adjustRightInd w:val="0"/>
              <w:snapToGrid w:val="0"/>
              <w:spacing w:line="38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则评标价得分</w:t>
            </w:r>
            <w:r>
              <w:rPr>
                <w:rFonts w:ascii="宋体" w:hAnsi="宋体" w:cs="宋体"/>
                <w:color w:val="auto"/>
                <w:szCs w:val="21"/>
                <w:highlight w:val="none"/>
              </w:rPr>
              <w:t>F</w:t>
            </w:r>
            <w:r>
              <w:rPr>
                <w:rFonts w:hint="eastAsia" w:ascii="宋体" w:hAnsi="宋体"/>
                <w:color w:val="auto"/>
                <w:szCs w:val="21"/>
                <w:highlight w:val="none"/>
              </w:rPr>
              <w:t>＝</w:t>
            </w:r>
            <w:r>
              <w:rPr>
                <w:rFonts w:ascii="宋体" w:hAnsi="宋体" w:cs="宋体"/>
                <w:color w:val="auto"/>
                <w:szCs w:val="21"/>
                <w:highlight w:val="none"/>
              </w:rPr>
              <w:t>F</w:t>
            </w:r>
            <w:r>
              <w:rPr>
                <w:rFonts w:ascii="宋体" w:hAnsi="宋体" w:cs="宋体"/>
                <w:color w:val="auto"/>
                <w:szCs w:val="21"/>
                <w:highlight w:val="none"/>
                <w:vertAlign w:val="subscript"/>
              </w:rPr>
              <w:t>0</w:t>
            </w:r>
            <w:r>
              <w:rPr>
                <w:rFonts w:hint="eastAsia" w:ascii="宋体" w:hAnsi="宋体" w:cs="宋体"/>
                <w:color w:val="auto"/>
                <w:szCs w:val="21"/>
                <w:highlight w:val="none"/>
              </w:rPr>
              <w:t>－偏差率×</w:t>
            </w:r>
            <w:r>
              <w:rPr>
                <w:rFonts w:ascii="宋体" w:hAnsi="宋体" w:cs="宋体"/>
                <w:color w:val="auto"/>
                <w:szCs w:val="21"/>
                <w:highlight w:val="none"/>
              </w:rPr>
              <w:t>100×E</w:t>
            </w:r>
            <w:r>
              <w:rPr>
                <w:rFonts w:ascii="宋体" w:hAnsi="宋体" w:cs="宋体"/>
                <w:color w:val="auto"/>
                <w:szCs w:val="21"/>
                <w:highlight w:val="none"/>
                <w:vertAlign w:val="subscript"/>
              </w:rPr>
              <w:t>1</w:t>
            </w:r>
          </w:p>
          <w:p w14:paraId="035D5CA1">
            <w:pPr>
              <w:pStyle w:val="299"/>
              <w:adjustRightInd w:val="0"/>
              <w:snapToGrid w:val="0"/>
              <w:spacing w:line="38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2）如果投标人的评标价≤评标基准价，则</w:t>
            </w:r>
          </w:p>
          <w:p w14:paraId="31D2233D">
            <w:pPr>
              <w:pStyle w:val="299"/>
              <w:adjustRightInd w:val="0"/>
              <w:snapToGrid w:val="0"/>
              <w:spacing w:line="38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评标价得分</w:t>
            </w:r>
            <w:r>
              <w:rPr>
                <w:rFonts w:ascii="宋体" w:hAnsi="宋体" w:cs="宋体"/>
                <w:color w:val="auto"/>
                <w:szCs w:val="21"/>
                <w:highlight w:val="none"/>
              </w:rPr>
              <w:t>F</w:t>
            </w:r>
            <w:r>
              <w:rPr>
                <w:rFonts w:hint="eastAsia" w:ascii="宋体" w:hAnsi="宋体"/>
                <w:color w:val="auto"/>
                <w:szCs w:val="21"/>
                <w:highlight w:val="none"/>
              </w:rPr>
              <w:t>＝</w:t>
            </w:r>
            <w:r>
              <w:rPr>
                <w:rFonts w:ascii="宋体" w:hAnsi="宋体" w:cs="宋体"/>
                <w:color w:val="auto"/>
                <w:szCs w:val="21"/>
                <w:highlight w:val="none"/>
              </w:rPr>
              <w:t>F</w:t>
            </w:r>
            <w:r>
              <w:rPr>
                <w:rFonts w:ascii="宋体" w:hAnsi="宋体" w:cs="宋体"/>
                <w:color w:val="auto"/>
                <w:szCs w:val="21"/>
                <w:highlight w:val="none"/>
                <w:vertAlign w:val="subscript"/>
              </w:rPr>
              <w:t>0</w:t>
            </w:r>
            <w:r>
              <w:rPr>
                <w:rFonts w:hint="eastAsia" w:ascii="宋体" w:hAnsi="宋体" w:cs="宋体"/>
                <w:color w:val="auto"/>
                <w:szCs w:val="21"/>
                <w:highlight w:val="none"/>
              </w:rPr>
              <w:t>－偏差率×</w:t>
            </w:r>
            <w:r>
              <w:rPr>
                <w:rFonts w:ascii="宋体" w:hAnsi="宋体" w:cs="宋体"/>
                <w:color w:val="auto"/>
                <w:szCs w:val="21"/>
                <w:highlight w:val="none"/>
              </w:rPr>
              <w:t>100×E</w:t>
            </w:r>
            <w:r>
              <w:rPr>
                <w:rFonts w:ascii="宋体" w:hAnsi="宋体" w:cs="宋体"/>
                <w:color w:val="auto"/>
                <w:szCs w:val="21"/>
                <w:highlight w:val="none"/>
                <w:vertAlign w:val="subscript"/>
              </w:rPr>
              <w:t>2</w:t>
            </w:r>
          </w:p>
          <w:p w14:paraId="6B62618C">
            <w:pPr>
              <w:pStyle w:val="299"/>
              <w:adjustRightInd w:val="0"/>
              <w:snapToGrid w:val="0"/>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其中：</w:t>
            </w:r>
            <w:r>
              <w:rPr>
                <w:rFonts w:ascii="宋体" w:hAnsi="宋体" w:cs="宋体"/>
                <w:color w:val="auto"/>
                <w:szCs w:val="21"/>
                <w:highlight w:val="none"/>
              </w:rPr>
              <w:t>F</w:t>
            </w:r>
            <w:r>
              <w:rPr>
                <w:rFonts w:ascii="宋体" w:hAnsi="宋体" w:cs="宋体"/>
                <w:color w:val="auto"/>
                <w:szCs w:val="21"/>
                <w:highlight w:val="none"/>
                <w:vertAlign w:val="subscript"/>
              </w:rPr>
              <w:t>0</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评标价所占的权重分值；</w:t>
            </w:r>
            <w:r>
              <w:rPr>
                <w:rFonts w:ascii="宋体" w:hAnsi="宋体" w:cs="宋体"/>
                <w:color w:val="auto"/>
                <w:szCs w:val="21"/>
                <w:highlight w:val="none"/>
              </w:rPr>
              <w:t>E</w:t>
            </w:r>
            <w:r>
              <w:rPr>
                <w:rFonts w:ascii="宋体" w:hAnsi="宋体" w:cs="宋体"/>
                <w:color w:val="auto"/>
                <w:szCs w:val="21"/>
                <w:highlight w:val="none"/>
                <w:vertAlign w:val="subscript"/>
              </w:rPr>
              <w:t>1</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评标价每高于评标基准价一个百分点的扣分值；</w:t>
            </w:r>
            <w:r>
              <w:rPr>
                <w:rFonts w:ascii="宋体" w:hAnsi="宋体" w:cs="宋体"/>
                <w:color w:val="auto"/>
                <w:szCs w:val="21"/>
                <w:highlight w:val="none"/>
              </w:rPr>
              <w:t xml:space="preserve"> E</w:t>
            </w:r>
            <w:r>
              <w:rPr>
                <w:rFonts w:ascii="宋体" w:hAnsi="宋体" w:cs="宋体"/>
                <w:color w:val="auto"/>
                <w:szCs w:val="21"/>
                <w:highlight w:val="none"/>
                <w:vertAlign w:val="subscript"/>
              </w:rPr>
              <w:t>2</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评标价每低于评标基准价一个百分点的扣分值。投标人评标价得分最低为</w:t>
            </w:r>
            <w:r>
              <w:rPr>
                <w:rFonts w:ascii="宋体" w:hAnsi="宋体" w:cs="宋体"/>
                <w:color w:val="auto"/>
                <w:szCs w:val="21"/>
                <w:highlight w:val="none"/>
              </w:rPr>
              <w:t>0分。</w:t>
            </w:r>
          </w:p>
          <w:p w14:paraId="3F655F85">
            <w:pPr>
              <w:pStyle w:val="299"/>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本次招标</w:t>
            </w:r>
            <w:r>
              <w:rPr>
                <w:rFonts w:ascii="宋体" w:hAnsi="宋体" w:cs="宋体"/>
                <w:color w:val="auto"/>
                <w:szCs w:val="21"/>
                <w:highlight w:val="none"/>
              </w:rPr>
              <w:t xml:space="preserve"> E</w:t>
            </w:r>
            <w:r>
              <w:rPr>
                <w:rFonts w:ascii="宋体" w:hAnsi="宋体" w:cs="宋体"/>
                <w:color w:val="auto"/>
                <w:szCs w:val="21"/>
                <w:highlight w:val="none"/>
                <w:vertAlign w:val="subscript"/>
              </w:rPr>
              <w:t>1</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p w14:paraId="269BD4CD">
            <w:pPr>
              <w:pStyle w:val="299"/>
              <w:adjustRightInd w:val="0"/>
              <w:snapToGrid w:val="0"/>
              <w:spacing w:line="380" w:lineRule="exact"/>
              <w:ind w:firstLine="1365" w:firstLineChars="650"/>
              <w:rPr>
                <w:rFonts w:ascii="宋体" w:hAnsi="宋体" w:cs="宋体"/>
                <w:color w:val="auto"/>
                <w:szCs w:val="21"/>
                <w:highlight w:val="none"/>
                <w:u w:val="single"/>
              </w:rPr>
            </w:pPr>
            <w:r>
              <w:rPr>
                <w:rFonts w:ascii="宋体" w:hAnsi="宋体" w:cs="宋体"/>
                <w:color w:val="auto"/>
                <w:szCs w:val="21"/>
                <w:highlight w:val="none"/>
              </w:rPr>
              <w:t>E</w:t>
            </w:r>
            <w:r>
              <w:rPr>
                <w:rFonts w:ascii="宋体" w:hAnsi="宋体" w:cs="宋体"/>
                <w:color w:val="auto"/>
                <w:szCs w:val="21"/>
                <w:highlight w:val="none"/>
                <w:vertAlign w:val="subscript"/>
              </w:rPr>
              <w:t>2</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Style w:val="59"/>
                <w:rFonts w:ascii="宋体" w:hAnsi="宋体" w:cs="宋体"/>
                <w:color w:val="auto"/>
                <w:szCs w:val="21"/>
                <w:highlight w:val="none"/>
              </w:rPr>
              <w:footnoteReference w:id="189"/>
            </w:r>
          </w:p>
          <w:p w14:paraId="4C404F93">
            <w:pPr>
              <w:pStyle w:val="299"/>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rPr>
              <w:t>方式二：</w:t>
            </w:r>
            <w:r>
              <w:rPr>
                <w:rStyle w:val="59"/>
                <w:rFonts w:ascii="宋体" w:hAnsi="宋体" w:cs="宋体"/>
                <w:b/>
                <w:bCs/>
                <w:color w:val="auto"/>
                <w:szCs w:val="21"/>
                <w:highlight w:val="none"/>
              </w:rPr>
              <w:footnoteReference w:id="190"/>
            </w:r>
          </w:p>
          <w:p w14:paraId="4AFD7A68">
            <w:pPr>
              <w:pStyle w:val="299"/>
              <w:adjustRightInd w:val="0"/>
              <w:snapToGrid w:val="0"/>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评标价得分</w:t>
            </w:r>
            <w:r>
              <w:rPr>
                <w:rFonts w:ascii="宋体" w:hAnsi="宋体" w:cs="宋体"/>
                <w:color w:val="auto"/>
                <w:szCs w:val="21"/>
                <w:highlight w:val="none"/>
              </w:rPr>
              <w:t>F=（评标基准价／投标人的评标价）×评标价权重分</w:t>
            </w:r>
          </w:p>
          <w:p w14:paraId="5812A4BE">
            <w:pPr>
              <w:pStyle w:val="299"/>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rPr>
              <w:t>方式三：</w:t>
            </w:r>
          </w:p>
          <w:p w14:paraId="4CD298B0">
            <w:pPr>
              <w:widowControl/>
              <w:adjustRightInd w:val="0"/>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w:t>
            </w:r>
          </w:p>
        </w:tc>
      </w:tr>
      <w:tr w14:paraId="704B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75" w:type="dxa"/>
            <w:vMerge w:val="restart"/>
            <w:vAlign w:val="center"/>
          </w:tcPr>
          <w:p w14:paraId="7877E864">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2.2.4（4）</w:t>
            </w:r>
          </w:p>
        </w:tc>
        <w:tc>
          <w:tcPr>
            <w:tcW w:w="580" w:type="dxa"/>
            <w:vMerge w:val="restart"/>
            <w:vAlign w:val="center"/>
          </w:tcPr>
          <w:p w14:paraId="6CFB0B13">
            <w:pPr>
              <w:pStyle w:val="299"/>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其他因素</w:t>
            </w:r>
            <w:r>
              <w:rPr>
                <w:rFonts w:ascii="宋体" w:hAnsi="宋体" w:cs="宋体"/>
                <w:color w:val="auto"/>
                <w:szCs w:val="21"/>
                <w:highlight w:val="none"/>
              </w:rPr>
              <w:t>D</w:t>
            </w:r>
            <w:r>
              <w:rPr>
                <w:rStyle w:val="59"/>
                <w:rFonts w:ascii="宋体" w:hAnsi="宋体" w:cs="宋体"/>
                <w:color w:val="auto"/>
                <w:szCs w:val="21"/>
                <w:highlight w:val="none"/>
              </w:rPr>
              <w:footnoteReference w:id="191"/>
            </w:r>
          </w:p>
        </w:tc>
        <w:tc>
          <w:tcPr>
            <w:tcW w:w="850" w:type="dxa"/>
            <w:vMerge w:val="restart"/>
            <w:vAlign w:val="center"/>
          </w:tcPr>
          <w:p w14:paraId="63961EA7">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技术能力</w:t>
            </w:r>
            <w:r>
              <w:rPr>
                <w:rFonts w:ascii="宋体" w:hAnsi="宋体" w:cs="宋体"/>
                <w:color w:val="auto"/>
                <w:szCs w:val="21"/>
                <w:highlight w:val="none"/>
              </w:rPr>
              <w:t>G</w:t>
            </w:r>
            <w:r>
              <w:rPr>
                <w:rStyle w:val="59"/>
                <w:rFonts w:ascii="宋体" w:hAnsi="宋体" w:cs="宋体"/>
                <w:color w:val="auto"/>
                <w:szCs w:val="21"/>
                <w:highlight w:val="none"/>
              </w:rPr>
              <w:footnoteReference w:id="192"/>
            </w:r>
          </w:p>
        </w:tc>
        <w:tc>
          <w:tcPr>
            <w:tcW w:w="851" w:type="dxa"/>
            <w:vMerge w:val="restart"/>
            <w:vAlign w:val="center"/>
          </w:tcPr>
          <w:p w14:paraId="38D9D475">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559" w:type="dxa"/>
            <w:gridSpan w:val="2"/>
            <w:vAlign w:val="center"/>
          </w:tcPr>
          <w:p w14:paraId="49ACD7A3">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c>
          <w:tcPr>
            <w:tcW w:w="709" w:type="dxa"/>
            <w:vAlign w:val="center"/>
          </w:tcPr>
          <w:p w14:paraId="67562C24">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3626AFCD">
            <w:pPr>
              <w:widowControl/>
              <w:adjustRightInd w:val="0"/>
              <w:snapToGrid w:val="0"/>
              <w:spacing w:line="400" w:lineRule="exact"/>
              <w:jc w:val="lef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6C9A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5" w:type="dxa"/>
            <w:vMerge w:val="continue"/>
            <w:vAlign w:val="center"/>
          </w:tcPr>
          <w:p w14:paraId="39AFF131">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1B680C9A">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0C5AF15A">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4A6A1282">
            <w:pPr>
              <w:pStyle w:val="299"/>
              <w:adjustRightInd w:val="0"/>
              <w:snapToGrid w:val="0"/>
              <w:spacing w:line="400" w:lineRule="exact"/>
              <w:rPr>
                <w:rFonts w:ascii="宋体" w:hAnsi="宋体" w:cs="宋体"/>
                <w:color w:val="auto"/>
                <w:szCs w:val="21"/>
                <w:highlight w:val="none"/>
                <w:u w:val="single"/>
              </w:rPr>
            </w:pPr>
          </w:p>
        </w:tc>
        <w:tc>
          <w:tcPr>
            <w:tcW w:w="1559" w:type="dxa"/>
            <w:gridSpan w:val="2"/>
            <w:vAlign w:val="center"/>
          </w:tcPr>
          <w:p w14:paraId="387C43CB">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c>
          <w:tcPr>
            <w:tcW w:w="709" w:type="dxa"/>
            <w:vAlign w:val="center"/>
          </w:tcPr>
          <w:p w14:paraId="2AC55B65">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70DB5D60">
            <w:pPr>
              <w:widowControl/>
              <w:adjustRightInd w:val="0"/>
              <w:snapToGrid w:val="0"/>
              <w:spacing w:line="400" w:lineRule="exact"/>
              <w:jc w:val="lef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0A32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5" w:type="dxa"/>
            <w:vMerge w:val="continue"/>
            <w:vAlign w:val="center"/>
          </w:tcPr>
          <w:p w14:paraId="0F17E112">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466E4439">
            <w:pPr>
              <w:pStyle w:val="299"/>
              <w:adjustRightInd w:val="0"/>
              <w:snapToGrid w:val="0"/>
              <w:spacing w:line="400" w:lineRule="exact"/>
              <w:jc w:val="center"/>
              <w:rPr>
                <w:rFonts w:ascii="宋体" w:hAnsi="宋体" w:cs="宋体"/>
                <w:color w:val="auto"/>
                <w:szCs w:val="21"/>
                <w:highlight w:val="none"/>
              </w:rPr>
            </w:pPr>
          </w:p>
        </w:tc>
        <w:tc>
          <w:tcPr>
            <w:tcW w:w="850" w:type="dxa"/>
            <w:vMerge w:val="restart"/>
            <w:vAlign w:val="center"/>
          </w:tcPr>
          <w:p w14:paraId="6EF85E95">
            <w:pPr>
              <w:pStyle w:val="299"/>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财务能力</w:t>
            </w:r>
            <w:r>
              <w:rPr>
                <w:rStyle w:val="59"/>
                <w:rFonts w:ascii="宋体" w:hAnsi="宋体" w:cs="宋体"/>
                <w:color w:val="auto"/>
                <w:szCs w:val="21"/>
                <w:highlight w:val="none"/>
              </w:rPr>
              <w:footnoteReference w:id="193"/>
            </w:r>
            <w:r>
              <w:rPr>
                <w:rFonts w:ascii="宋体" w:hAnsi="宋体" w:cs="宋体"/>
                <w:color w:val="auto"/>
                <w:szCs w:val="21"/>
                <w:highlight w:val="none"/>
              </w:rPr>
              <w:t>J</w:t>
            </w:r>
          </w:p>
        </w:tc>
        <w:tc>
          <w:tcPr>
            <w:tcW w:w="851" w:type="dxa"/>
            <w:vMerge w:val="restart"/>
            <w:vAlign w:val="center"/>
          </w:tcPr>
          <w:p w14:paraId="31096E3A">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559" w:type="dxa"/>
            <w:gridSpan w:val="2"/>
            <w:vAlign w:val="center"/>
          </w:tcPr>
          <w:p w14:paraId="0FBC110E">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c>
          <w:tcPr>
            <w:tcW w:w="709" w:type="dxa"/>
            <w:vAlign w:val="center"/>
          </w:tcPr>
          <w:p w14:paraId="2FB43F3D">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58CA9181">
            <w:pPr>
              <w:widowControl/>
              <w:adjustRightInd w:val="0"/>
              <w:snapToGrid w:val="0"/>
              <w:spacing w:line="400" w:lineRule="exact"/>
              <w:jc w:val="lef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1E1F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75" w:type="dxa"/>
            <w:vMerge w:val="continue"/>
            <w:vAlign w:val="center"/>
          </w:tcPr>
          <w:p w14:paraId="3080CA42">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4B98BF93">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5BD6F33A">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4A6F852A">
            <w:pPr>
              <w:pStyle w:val="299"/>
              <w:adjustRightInd w:val="0"/>
              <w:snapToGrid w:val="0"/>
              <w:spacing w:line="400" w:lineRule="exact"/>
              <w:rPr>
                <w:rFonts w:ascii="宋体" w:hAnsi="宋体" w:cs="宋体"/>
                <w:color w:val="auto"/>
                <w:szCs w:val="21"/>
                <w:highlight w:val="none"/>
                <w:u w:val="single"/>
              </w:rPr>
            </w:pPr>
          </w:p>
        </w:tc>
        <w:tc>
          <w:tcPr>
            <w:tcW w:w="1559" w:type="dxa"/>
            <w:gridSpan w:val="2"/>
            <w:vAlign w:val="center"/>
          </w:tcPr>
          <w:p w14:paraId="4F5C04D6">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c>
          <w:tcPr>
            <w:tcW w:w="709" w:type="dxa"/>
            <w:vAlign w:val="center"/>
          </w:tcPr>
          <w:p w14:paraId="0125E8BF">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3E1D132F">
            <w:pPr>
              <w:widowControl/>
              <w:adjustRightInd w:val="0"/>
              <w:snapToGrid w:val="0"/>
              <w:spacing w:line="400" w:lineRule="exact"/>
              <w:jc w:val="lef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0D89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5" w:type="dxa"/>
            <w:vMerge w:val="continue"/>
            <w:vAlign w:val="center"/>
          </w:tcPr>
          <w:p w14:paraId="3271A001">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52A390B0">
            <w:pPr>
              <w:pStyle w:val="299"/>
              <w:adjustRightInd w:val="0"/>
              <w:snapToGrid w:val="0"/>
              <w:spacing w:line="400" w:lineRule="exact"/>
              <w:jc w:val="center"/>
              <w:rPr>
                <w:rFonts w:ascii="宋体" w:hAnsi="宋体" w:cs="宋体"/>
                <w:color w:val="auto"/>
                <w:szCs w:val="21"/>
                <w:highlight w:val="none"/>
              </w:rPr>
            </w:pPr>
          </w:p>
        </w:tc>
        <w:tc>
          <w:tcPr>
            <w:tcW w:w="850" w:type="dxa"/>
            <w:vMerge w:val="restart"/>
            <w:vAlign w:val="center"/>
          </w:tcPr>
          <w:p w14:paraId="13BA66A9">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w:t>
            </w:r>
            <w:r>
              <w:rPr>
                <w:rFonts w:ascii="宋体" w:hAnsi="宋体" w:cs="宋体"/>
                <w:color w:val="auto"/>
                <w:szCs w:val="21"/>
                <w:highlight w:val="none"/>
              </w:rPr>
              <w:t>C</w:t>
            </w:r>
          </w:p>
        </w:tc>
        <w:tc>
          <w:tcPr>
            <w:tcW w:w="851" w:type="dxa"/>
            <w:vMerge w:val="restart"/>
            <w:vAlign w:val="center"/>
          </w:tcPr>
          <w:p w14:paraId="2D9B2B68">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Style w:val="59"/>
                <w:rFonts w:ascii="宋体" w:hAnsi="宋体" w:cs="宋体"/>
                <w:color w:val="auto"/>
                <w:szCs w:val="21"/>
                <w:highlight w:val="none"/>
              </w:rPr>
              <w:footnoteReference w:id="194"/>
            </w:r>
          </w:p>
        </w:tc>
        <w:tc>
          <w:tcPr>
            <w:tcW w:w="1559" w:type="dxa"/>
            <w:gridSpan w:val="2"/>
            <w:vAlign w:val="center"/>
          </w:tcPr>
          <w:p w14:paraId="0B564A3D">
            <w:pPr>
              <w:pStyle w:val="299"/>
              <w:adjustRightInd w:val="0"/>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1）业绩基本要求</w:t>
            </w:r>
            <w:r>
              <w:rPr>
                <w:rFonts w:ascii="宋体" w:hAnsi="宋体" w:cs="宋体"/>
                <w:b/>
                <w:color w:val="auto"/>
                <w:szCs w:val="21"/>
                <w:highlight w:val="none"/>
                <w:u w:val="none"/>
              </w:rPr>
              <w:t>C</w:t>
            </w:r>
            <w:r>
              <w:rPr>
                <w:rFonts w:ascii="宋体" w:hAnsi="宋体" w:cs="宋体"/>
                <w:b/>
                <w:color w:val="auto"/>
                <w:szCs w:val="21"/>
                <w:highlight w:val="none"/>
                <w:u w:val="none"/>
                <w:vertAlign w:val="subscript"/>
              </w:rPr>
              <w:t>0</w:t>
            </w:r>
          </w:p>
        </w:tc>
        <w:tc>
          <w:tcPr>
            <w:tcW w:w="709" w:type="dxa"/>
            <w:vAlign w:val="center"/>
          </w:tcPr>
          <w:p w14:paraId="0ACB4C3F">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012E4DD7">
            <w:pPr>
              <w:pStyle w:val="299"/>
              <w:numPr>
                <w:ilvl w:val="0"/>
                <w:numId w:val="2"/>
              </w:numPr>
              <w:spacing w:line="380" w:lineRule="exact"/>
              <w:jc w:val="left"/>
              <w:rPr>
                <w:rFonts w:ascii="宋体" w:hAnsi="宋体" w:cs="宋体"/>
                <w:color w:val="auto"/>
                <w:kern w:val="0"/>
                <w:szCs w:val="21"/>
                <w:highlight w:val="none"/>
              </w:rPr>
            </w:pPr>
            <w:r>
              <w:rPr>
                <w:rFonts w:ascii="宋体" w:hAnsi="宋体" w:cs="宋体"/>
                <w:color w:val="auto"/>
                <w:kern w:val="0"/>
                <w:szCs w:val="21"/>
                <w:highlight w:val="none"/>
              </w:rPr>
              <w:t>满足资格审查条件最低要求得</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735D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75" w:type="dxa"/>
            <w:vMerge w:val="continue"/>
            <w:vAlign w:val="center"/>
          </w:tcPr>
          <w:p w14:paraId="1ED5EEE0">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2E082D79">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0643ED54">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233E6ACD">
            <w:pPr>
              <w:pStyle w:val="299"/>
              <w:adjustRightInd w:val="0"/>
              <w:snapToGrid w:val="0"/>
              <w:spacing w:line="400" w:lineRule="exact"/>
              <w:rPr>
                <w:rFonts w:ascii="宋体" w:hAnsi="宋体" w:cs="宋体"/>
                <w:color w:val="auto"/>
                <w:szCs w:val="21"/>
                <w:highlight w:val="none"/>
                <w:u w:val="single"/>
              </w:rPr>
            </w:pPr>
          </w:p>
        </w:tc>
        <w:tc>
          <w:tcPr>
            <w:tcW w:w="1559" w:type="dxa"/>
            <w:gridSpan w:val="2"/>
            <w:vAlign w:val="center"/>
          </w:tcPr>
          <w:p w14:paraId="254FDBB7">
            <w:pPr>
              <w:pStyle w:val="299"/>
              <w:adjustRightInd w:val="0"/>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2）公路路基土建施工业绩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1</w:t>
            </w:r>
          </w:p>
        </w:tc>
        <w:tc>
          <w:tcPr>
            <w:tcW w:w="709" w:type="dxa"/>
            <w:vAlign w:val="center"/>
          </w:tcPr>
          <w:p w14:paraId="336474C7">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73D351E7">
            <w:pPr>
              <w:pStyle w:val="299"/>
              <w:adjustRightInd w:val="0"/>
              <w:snapToGrid w:val="0"/>
              <w:spacing w:line="400" w:lineRule="exact"/>
              <w:ind w:left="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2）扣除满足资格审查条件完成数量后：</w:t>
            </w:r>
          </w:p>
          <w:p w14:paraId="3B659A25">
            <w:pPr>
              <w:pStyle w:val="299"/>
              <w:adjustRightInd w:val="0"/>
              <w:snapToGrid w:val="0"/>
              <w:spacing w:line="400" w:lineRule="exact"/>
              <w:ind w:left="211" w:leftChars="0"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标段长度</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公里及以上国内</w:t>
            </w:r>
            <w:r>
              <w:rPr>
                <w:rFonts w:hint="eastAsia" w:ascii="宋体" w:hAnsi="宋体" w:cs="宋体"/>
                <w:color w:val="auto"/>
                <w:szCs w:val="21"/>
                <w:highlight w:val="none"/>
              </w:rPr>
              <w:t>（□新建；□改扩建；□新建或改扩建）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公路路基土建工程施工项目加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449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14:paraId="7F786F1D">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2.2.4（4）</w:t>
            </w:r>
          </w:p>
        </w:tc>
        <w:tc>
          <w:tcPr>
            <w:tcW w:w="580" w:type="dxa"/>
            <w:vMerge w:val="restart"/>
            <w:vAlign w:val="center"/>
          </w:tcPr>
          <w:p w14:paraId="2407C729">
            <w:pPr>
              <w:pStyle w:val="299"/>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其他因素</w:t>
            </w:r>
          </w:p>
          <w:p w14:paraId="0187E3A3">
            <w:pPr>
              <w:pStyle w:val="299"/>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D</w:t>
            </w:r>
          </w:p>
        </w:tc>
        <w:tc>
          <w:tcPr>
            <w:tcW w:w="850" w:type="dxa"/>
            <w:vMerge w:val="restart"/>
            <w:vAlign w:val="center"/>
          </w:tcPr>
          <w:p w14:paraId="71DDF964">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w:t>
            </w:r>
            <w:r>
              <w:rPr>
                <w:rFonts w:ascii="宋体" w:hAnsi="宋体" w:cs="宋体"/>
                <w:color w:val="auto"/>
                <w:szCs w:val="21"/>
                <w:highlight w:val="none"/>
              </w:rPr>
              <w:t>C</w:t>
            </w:r>
          </w:p>
        </w:tc>
        <w:tc>
          <w:tcPr>
            <w:tcW w:w="851" w:type="dxa"/>
            <w:vMerge w:val="restart"/>
            <w:vAlign w:val="center"/>
          </w:tcPr>
          <w:p w14:paraId="26474EAA">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559" w:type="dxa"/>
            <w:gridSpan w:val="2"/>
            <w:tcBorders>
              <w:bottom w:val="single" w:color="auto" w:sz="4" w:space="0"/>
            </w:tcBorders>
            <w:vAlign w:val="center"/>
          </w:tcPr>
          <w:p w14:paraId="50D1CFD0">
            <w:pPr>
              <w:pStyle w:val="299"/>
              <w:adjustRightInd w:val="0"/>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3）公路桥梁施工业绩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2</w:t>
            </w:r>
          </w:p>
        </w:tc>
        <w:tc>
          <w:tcPr>
            <w:tcW w:w="709" w:type="dxa"/>
            <w:tcBorders>
              <w:bottom w:val="single" w:color="auto" w:sz="4" w:space="0"/>
            </w:tcBorders>
            <w:vAlign w:val="center"/>
          </w:tcPr>
          <w:p w14:paraId="0971D1B4">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tcBorders>
              <w:bottom w:val="single" w:color="auto" w:sz="4" w:space="0"/>
            </w:tcBorders>
            <w:vAlign w:val="center"/>
          </w:tcPr>
          <w:p w14:paraId="3F124C72">
            <w:pPr>
              <w:pStyle w:val="299"/>
              <w:spacing w:line="400" w:lineRule="exact"/>
              <w:ind w:left="211"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）扣除满足资格审查条件完成数量后：</w:t>
            </w:r>
          </w:p>
          <w:p w14:paraId="4D51A849">
            <w:pPr>
              <w:pStyle w:val="299"/>
              <w:spacing w:line="40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ascii="宋体" w:hAnsi="宋体" w:cs="宋体"/>
                <w:color w:val="auto"/>
                <w:kern w:val="0"/>
                <w:szCs w:val="21"/>
                <w:highlight w:val="none"/>
                <w:u w:val="single"/>
              </w:rPr>
              <w:t xml:space="preserve"> 1 </w:t>
            </w:r>
            <w:r>
              <w:rPr>
                <w:rFonts w:hint="eastAsia" w:ascii="宋体" w:hAnsi="宋体" w:cs="宋体"/>
                <w:color w:val="auto"/>
                <w:kern w:val="0"/>
                <w:szCs w:val="21"/>
                <w:highlight w:val="none"/>
                <w:lang w:val="en-US" w:eastAsia="zh-CN"/>
              </w:rPr>
              <w:t>座</w:t>
            </w:r>
            <w:r>
              <w:rPr>
                <w:rFonts w:hint="eastAsia" w:ascii="宋体" w:hAnsi="宋体" w:cs="宋体"/>
                <w:color w:val="auto"/>
                <w:szCs w:val="21"/>
                <w:highlight w:val="none"/>
              </w:rPr>
              <w:t>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公路（□大桥及以上；□特大桥）施工</w:t>
            </w:r>
            <w:r>
              <w:rPr>
                <w:rFonts w:hint="eastAsia" w:ascii="宋体" w:hAnsi="宋体" w:cs="宋体"/>
                <w:color w:val="auto"/>
                <w:kern w:val="0"/>
                <w:szCs w:val="21"/>
                <w:highlight w:val="none"/>
              </w:rPr>
              <w:t>项目加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lang w:val="en-US" w:eastAsia="zh-CN"/>
              </w:rPr>
              <w:t>完成</w:t>
            </w:r>
            <w:r>
              <w:rPr>
                <w:rFonts w:ascii="宋体" w:hAnsi="宋体" w:cs="宋体"/>
                <w:color w:val="auto"/>
                <w:szCs w:val="21"/>
                <w:highlight w:val="none"/>
                <w:u w:val="single"/>
              </w:rPr>
              <w:t xml:space="preserve"> 1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Style w:val="59"/>
                <w:rFonts w:ascii="宋体" w:hAnsi="宋体" w:cs="宋体"/>
                <w:color w:val="auto"/>
                <w:kern w:val="0"/>
                <w:szCs w:val="21"/>
                <w:highlight w:val="none"/>
              </w:rPr>
              <w:footnoteReference w:id="195"/>
            </w:r>
            <w:r>
              <w:rPr>
                <w:rFonts w:hint="eastAsia" w:ascii="宋体" w:hAnsi="宋体" w:cs="宋体"/>
                <w:color w:val="auto"/>
                <w:kern w:val="0"/>
                <w:szCs w:val="21"/>
                <w:highlight w:val="none"/>
              </w:rPr>
              <w:t>特大桥加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lang w:val="en-US" w:eastAsia="zh-CN"/>
              </w:rPr>
              <w:t>完成</w:t>
            </w:r>
            <w:r>
              <w:rPr>
                <w:rFonts w:ascii="宋体" w:hAnsi="宋体" w:cs="宋体"/>
                <w:color w:val="auto"/>
                <w:kern w:val="0"/>
                <w:szCs w:val="21"/>
                <w:highlight w:val="none"/>
                <w:u w:val="single"/>
              </w:rPr>
              <w:t xml:space="preserve"> 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p>
          <w:p w14:paraId="0FE4DA59">
            <w:pPr>
              <w:pStyle w:val="299"/>
              <w:spacing w:line="400" w:lineRule="exact"/>
              <w:ind w:left="210" w:leftChars="100" w:firstLine="0" w:firstLineChars="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tc>
      </w:tr>
      <w:tr w14:paraId="7A38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975" w:type="dxa"/>
            <w:vMerge w:val="continue"/>
            <w:vAlign w:val="center"/>
          </w:tcPr>
          <w:p w14:paraId="18E15B3D">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7B70527E">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60B716C6">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10ABD95B">
            <w:pPr>
              <w:pStyle w:val="299"/>
              <w:adjustRightInd w:val="0"/>
              <w:snapToGrid w:val="0"/>
              <w:spacing w:line="400" w:lineRule="exact"/>
              <w:rPr>
                <w:rFonts w:ascii="宋体" w:hAnsi="宋体" w:cs="宋体"/>
                <w:color w:val="auto"/>
                <w:szCs w:val="21"/>
                <w:highlight w:val="none"/>
                <w:u w:val="single"/>
              </w:rPr>
            </w:pPr>
          </w:p>
        </w:tc>
        <w:tc>
          <w:tcPr>
            <w:tcW w:w="1559" w:type="dxa"/>
            <w:gridSpan w:val="2"/>
            <w:tcBorders>
              <w:top w:val="single" w:color="auto" w:sz="4" w:space="0"/>
              <w:bottom w:val="single" w:color="auto" w:sz="4" w:space="0"/>
              <w:right w:val="single" w:color="auto" w:sz="4" w:space="0"/>
            </w:tcBorders>
            <w:vAlign w:val="center"/>
          </w:tcPr>
          <w:p w14:paraId="6045138A">
            <w:pPr>
              <w:pStyle w:val="299"/>
              <w:adjustRightInd w:val="0"/>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4）公路隧道施工业绩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3</w:t>
            </w:r>
          </w:p>
        </w:tc>
        <w:tc>
          <w:tcPr>
            <w:tcW w:w="709" w:type="dxa"/>
            <w:tcBorders>
              <w:top w:val="single" w:color="auto" w:sz="4" w:space="0"/>
              <w:left w:val="single" w:color="auto" w:sz="4" w:space="0"/>
              <w:bottom w:val="single" w:color="auto" w:sz="4" w:space="0"/>
              <w:right w:val="single" w:color="auto" w:sz="4" w:space="0"/>
            </w:tcBorders>
            <w:vAlign w:val="center"/>
          </w:tcPr>
          <w:p w14:paraId="5AE4F985">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tcBorders>
              <w:top w:val="single" w:color="auto" w:sz="4" w:space="0"/>
              <w:left w:val="single" w:color="auto" w:sz="4" w:space="0"/>
              <w:bottom w:val="single" w:color="auto" w:sz="4" w:space="0"/>
              <w:right w:val="single" w:color="auto" w:sz="4" w:space="0"/>
            </w:tcBorders>
            <w:vAlign w:val="center"/>
          </w:tcPr>
          <w:p w14:paraId="10FBCED6">
            <w:pPr>
              <w:pStyle w:val="299"/>
              <w:keepNext w:val="0"/>
              <w:keepLines w:val="0"/>
              <w:pageBreakBefore w:val="0"/>
              <w:widowControl w:val="0"/>
              <w:kinsoku/>
              <w:wordWrap/>
              <w:overflowPunct/>
              <w:topLinePunct w:val="0"/>
              <w:autoSpaceDE/>
              <w:autoSpaceDN/>
              <w:bidi w:val="0"/>
              <w:adjustRightInd/>
              <w:snapToGrid/>
              <w:spacing w:line="380" w:lineRule="exact"/>
              <w:ind w:left="211" w:hanging="210" w:hangingChars="1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）扣除满足资格审查条件完成数量后：</w:t>
            </w:r>
          </w:p>
          <w:p w14:paraId="4956F57E">
            <w:pPr>
              <w:pStyle w:val="299"/>
              <w:keepNext w:val="0"/>
              <w:keepLines w:val="0"/>
              <w:pageBreakBefore w:val="0"/>
              <w:widowControl w:val="0"/>
              <w:kinsoku/>
              <w:wordWrap/>
              <w:overflowPunct/>
              <w:topLinePunct w:val="0"/>
              <w:autoSpaceDE/>
              <w:autoSpaceDN/>
              <w:bidi w:val="0"/>
              <w:adjustRightInd/>
              <w:snapToGrid/>
              <w:spacing w:line="380" w:lineRule="exact"/>
              <w:ind w:left="211" w:leftChars="0" w:hanging="211" w:hangingChars="100"/>
              <w:textAlignment w:val="auto"/>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ascii="宋体" w:hAnsi="宋体" w:cs="宋体"/>
                <w:color w:val="auto"/>
                <w:kern w:val="0"/>
                <w:szCs w:val="21"/>
                <w:highlight w:val="none"/>
                <w:u w:val="single"/>
              </w:rPr>
              <w:t xml:space="preserve"> 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w:t>
            </w:r>
            <w:r>
              <w:rPr>
                <w:rFonts w:hint="eastAsia" w:ascii="宋体" w:hAnsi="宋体" w:cs="宋体"/>
                <w:color w:val="auto"/>
                <w:szCs w:val="21"/>
                <w:highlight w:val="none"/>
              </w:rPr>
              <w:t>国内（□新建；□改扩建；□新建或改扩建）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公路（□中隧道及以上；□长隧道及以上；□特长隧道</w:t>
            </w:r>
            <w:r>
              <w:rPr>
                <w:rStyle w:val="59"/>
                <w:rFonts w:ascii="宋体" w:hAnsi="宋体" w:cs="宋体"/>
                <w:color w:val="auto"/>
                <w:szCs w:val="21"/>
                <w:highlight w:val="none"/>
              </w:rPr>
              <w:footnoteReference w:id="196"/>
            </w:r>
            <w:r>
              <w:rPr>
                <w:rFonts w:hint="eastAsia" w:ascii="宋体" w:hAnsi="宋体" w:cs="宋体"/>
                <w:color w:val="auto"/>
                <w:szCs w:val="21"/>
                <w:highlight w:val="none"/>
              </w:rPr>
              <w:t>；□单洞长度</w:t>
            </w:r>
            <w:r>
              <w:rPr>
                <w:rStyle w:val="59"/>
                <w:rFonts w:ascii="宋体" w:hAnsi="宋体" w:cs="宋体"/>
                <w:color w:val="auto"/>
                <w:szCs w:val="21"/>
                <w:highlight w:val="none"/>
              </w:rPr>
              <w:footnoteReference w:id="197"/>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米及以上特长隧道）</w:t>
            </w:r>
            <w:r>
              <w:rPr>
                <w:rStyle w:val="59"/>
                <w:rFonts w:ascii="宋体" w:hAnsi="宋体" w:cs="宋体"/>
                <w:color w:val="auto"/>
                <w:szCs w:val="21"/>
                <w:highlight w:val="none"/>
              </w:rPr>
              <w:footnoteReference w:id="198"/>
            </w:r>
            <w:r>
              <w:rPr>
                <w:rFonts w:hint="eastAsia" w:ascii="宋体" w:hAnsi="宋体" w:cs="宋体"/>
                <w:color w:val="auto"/>
                <w:kern w:val="0"/>
                <w:szCs w:val="21"/>
                <w:highlight w:val="none"/>
              </w:rPr>
              <w:t>施工项目加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3583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975" w:type="dxa"/>
            <w:vMerge w:val="continue"/>
            <w:vAlign w:val="center"/>
          </w:tcPr>
          <w:p w14:paraId="708F5687">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09A1402D">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3FE8D2F0">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004BD165">
            <w:pPr>
              <w:pStyle w:val="299"/>
              <w:adjustRightInd w:val="0"/>
              <w:snapToGrid w:val="0"/>
              <w:spacing w:line="400" w:lineRule="exact"/>
              <w:rPr>
                <w:rFonts w:ascii="宋体" w:hAnsi="宋体" w:cs="宋体"/>
                <w:color w:val="auto"/>
                <w:szCs w:val="21"/>
                <w:highlight w:val="none"/>
                <w:u w:val="singl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8DDA938">
            <w:pPr>
              <w:pStyle w:val="299"/>
              <w:adjustRightInd w:val="0"/>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5）公路路面施工业绩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4</w:t>
            </w:r>
          </w:p>
        </w:tc>
        <w:tc>
          <w:tcPr>
            <w:tcW w:w="709" w:type="dxa"/>
            <w:tcBorders>
              <w:top w:val="single" w:color="auto" w:sz="4" w:space="0"/>
              <w:left w:val="single" w:color="auto" w:sz="4" w:space="0"/>
              <w:bottom w:val="single" w:color="auto" w:sz="4" w:space="0"/>
              <w:right w:val="single" w:color="auto" w:sz="4" w:space="0"/>
            </w:tcBorders>
            <w:vAlign w:val="center"/>
          </w:tcPr>
          <w:p w14:paraId="638DAEA0">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tcBorders>
              <w:top w:val="single" w:color="auto" w:sz="4" w:space="0"/>
            </w:tcBorders>
            <w:vAlign w:val="center"/>
          </w:tcPr>
          <w:p w14:paraId="2FCC5103">
            <w:pPr>
              <w:pStyle w:val="299"/>
              <w:keepNext w:val="0"/>
              <w:keepLines w:val="0"/>
              <w:pageBreakBefore w:val="0"/>
              <w:widowControl w:val="0"/>
              <w:kinsoku/>
              <w:wordWrap/>
              <w:overflowPunct/>
              <w:topLinePunct w:val="0"/>
              <w:autoSpaceDE/>
              <w:autoSpaceDN/>
              <w:bidi w:val="0"/>
              <w:adjustRightInd/>
              <w:snapToGrid/>
              <w:spacing w:line="380" w:lineRule="exact"/>
              <w:ind w:left="211" w:hanging="210" w:hangingChars="1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）扣除满足资格审查条件完成数量后：</w:t>
            </w:r>
          </w:p>
          <w:p w14:paraId="48E06939">
            <w:pPr>
              <w:pStyle w:val="299"/>
              <w:keepNext w:val="0"/>
              <w:keepLines w:val="0"/>
              <w:pageBreakBefore w:val="0"/>
              <w:widowControl w:val="0"/>
              <w:kinsoku/>
              <w:wordWrap/>
              <w:overflowPunct/>
              <w:topLinePunct w:val="0"/>
              <w:autoSpaceDE/>
              <w:autoSpaceDN/>
              <w:bidi w:val="0"/>
              <w:adjustRightInd/>
              <w:snapToGrid/>
              <w:spacing w:line="380" w:lineRule="exact"/>
              <w:ind w:left="211" w:leftChars="0" w:hanging="211" w:hangingChars="100"/>
              <w:textAlignment w:val="auto"/>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ascii="宋体" w:hAnsi="宋体" w:cs="宋体"/>
                <w:color w:val="auto"/>
                <w:kern w:val="0"/>
                <w:szCs w:val="21"/>
                <w:highlight w:val="none"/>
                <w:u w:val="single"/>
              </w:rPr>
              <w:t xml:space="preserve"> 1</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标段长度</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公里及以上国内</w:t>
            </w:r>
            <w:r>
              <w:rPr>
                <w:rFonts w:hint="eastAsia" w:ascii="宋体" w:hAnsi="宋体" w:cs="宋体"/>
                <w:color w:val="auto"/>
                <w:szCs w:val="21"/>
                <w:highlight w:val="none"/>
              </w:rPr>
              <w:t>（□新建；□改扩建；□新建或改扩建）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公路路面工程施工项目加</w:t>
            </w:r>
          </w:p>
          <w:p w14:paraId="78973CB9">
            <w:pPr>
              <w:pStyle w:val="299"/>
              <w:keepNext w:val="0"/>
              <w:keepLines w:val="0"/>
              <w:pageBreakBefore w:val="0"/>
              <w:widowControl w:val="0"/>
              <w:kinsoku/>
              <w:wordWrap/>
              <w:overflowPunct/>
              <w:topLinePunct w:val="0"/>
              <w:autoSpaceDE/>
              <w:autoSpaceDN/>
              <w:bidi w:val="0"/>
              <w:adjustRightInd/>
              <w:snapToGrid/>
              <w:spacing w:line="380" w:lineRule="exact"/>
              <w:ind w:left="210" w:leftChars="100" w:firstLine="0" w:firstLineChars="0"/>
              <w:textAlignment w:val="auto"/>
              <w:rPr>
                <w:rFonts w:ascii="宋体" w:hAnsi="宋体" w:cs="宋体"/>
                <w:color w:val="auto"/>
                <w:kern w:val="0"/>
                <w:szCs w:val="21"/>
                <w:highlight w:val="none"/>
              </w:rPr>
            </w:pP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tc>
      </w:tr>
      <w:tr w14:paraId="730D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5" w:type="dxa"/>
            <w:vMerge w:val="continue"/>
            <w:vAlign w:val="center"/>
          </w:tcPr>
          <w:p w14:paraId="23D1F1E7">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2265A33E">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6D00C1AE">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5E6657CF">
            <w:pPr>
              <w:pStyle w:val="299"/>
              <w:adjustRightInd w:val="0"/>
              <w:snapToGrid w:val="0"/>
              <w:spacing w:line="400" w:lineRule="exact"/>
              <w:rPr>
                <w:rFonts w:ascii="宋体" w:hAnsi="宋体" w:cs="宋体"/>
                <w:color w:val="auto"/>
                <w:szCs w:val="21"/>
                <w:highlight w:val="none"/>
                <w:u w:val="single"/>
              </w:rPr>
            </w:pPr>
          </w:p>
        </w:tc>
        <w:tc>
          <w:tcPr>
            <w:tcW w:w="1559" w:type="dxa"/>
            <w:gridSpan w:val="2"/>
            <w:vAlign w:val="center"/>
          </w:tcPr>
          <w:p w14:paraId="40168A44">
            <w:pPr>
              <w:pStyle w:val="299"/>
              <w:adjustRightInd w:val="0"/>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6）公路交通安全设施工程施工业绩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5</w:t>
            </w:r>
          </w:p>
        </w:tc>
        <w:tc>
          <w:tcPr>
            <w:tcW w:w="709" w:type="dxa"/>
            <w:vAlign w:val="center"/>
          </w:tcPr>
          <w:p w14:paraId="0DCAC311">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69EA166B">
            <w:pPr>
              <w:pStyle w:val="299"/>
              <w:spacing w:line="380" w:lineRule="exact"/>
              <w:ind w:left="21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6）扣除满足资格审查条件完成数量后：</w:t>
            </w:r>
          </w:p>
          <w:p w14:paraId="18CFC567">
            <w:pPr>
              <w:pStyle w:val="299"/>
              <w:spacing w:line="380" w:lineRule="exact"/>
              <w:ind w:left="211" w:leftChars="0"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标段长度</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公里及以上国内</w:t>
            </w:r>
            <w:r>
              <w:rPr>
                <w:rFonts w:hint="eastAsia" w:ascii="宋体" w:hAnsi="宋体" w:cs="宋体"/>
                <w:color w:val="auto"/>
                <w:szCs w:val="21"/>
                <w:highlight w:val="none"/>
              </w:rPr>
              <w:t>（□新建；□改扩建；</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公路交通安全设施工程施工项目加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2612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14:paraId="0DC042CF">
            <w:pPr>
              <w:pStyle w:val="299"/>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2.2.4（4）</w:t>
            </w:r>
          </w:p>
        </w:tc>
        <w:tc>
          <w:tcPr>
            <w:tcW w:w="580" w:type="dxa"/>
            <w:vMerge w:val="restart"/>
            <w:vAlign w:val="center"/>
          </w:tcPr>
          <w:p w14:paraId="2D643216">
            <w:pPr>
              <w:pStyle w:val="299"/>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其他因素</w:t>
            </w:r>
          </w:p>
          <w:p w14:paraId="62E3E954">
            <w:pPr>
              <w:pStyle w:val="299"/>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D</w:t>
            </w:r>
          </w:p>
        </w:tc>
        <w:tc>
          <w:tcPr>
            <w:tcW w:w="850" w:type="dxa"/>
            <w:vMerge w:val="restart"/>
            <w:vAlign w:val="center"/>
          </w:tcPr>
          <w:p w14:paraId="64BA8571">
            <w:pPr>
              <w:pStyle w:val="299"/>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业绩</w:t>
            </w:r>
            <w:r>
              <w:rPr>
                <w:rFonts w:ascii="宋体" w:hAnsi="宋体" w:cs="宋体"/>
                <w:color w:val="auto"/>
                <w:szCs w:val="21"/>
                <w:highlight w:val="none"/>
              </w:rPr>
              <w:t>C</w:t>
            </w:r>
          </w:p>
        </w:tc>
        <w:tc>
          <w:tcPr>
            <w:tcW w:w="851" w:type="dxa"/>
            <w:vMerge w:val="restart"/>
            <w:vAlign w:val="center"/>
          </w:tcPr>
          <w:p w14:paraId="2D213E37">
            <w:pPr>
              <w:pStyle w:val="299"/>
              <w:adjustRightInd w:val="0"/>
              <w:snapToGrid w:val="0"/>
              <w:spacing w:line="400" w:lineRule="exact"/>
              <w:rPr>
                <w:rFonts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559" w:type="dxa"/>
            <w:gridSpan w:val="2"/>
            <w:vAlign w:val="center"/>
          </w:tcPr>
          <w:p w14:paraId="48E776D1">
            <w:pPr>
              <w:pStyle w:val="299"/>
              <w:spacing w:line="400" w:lineRule="exact"/>
              <w:rPr>
                <w:rFonts w:hint="eastAsia" w:ascii="宋体" w:hAnsi="宋体" w:eastAsia="宋体" w:cs="宋体"/>
                <w:color w:val="auto"/>
                <w:szCs w:val="21"/>
                <w:highlight w:val="none"/>
                <w:u w:val="single"/>
                <w:lang w:eastAsia="zh-CN"/>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7）公路</w:t>
            </w:r>
            <w:r>
              <w:rPr>
                <w:rFonts w:hint="eastAsia" w:ascii="宋体" w:hAnsi="宋体" w:cs="宋体"/>
                <w:color w:val="auto"/>
                <w:szCs w:val="21"/>
                <w:highlight w:val="none"/>
                <w:lang w:val="en-US" w:eastAsia="zh-CN"/>
              </w:rPr>
              <w:t>隧道机电</w:t>
            </w:r>
            <w:r>
              <w:rPr>
                <w:rFonts w:ascii="宋体" w:hAnsi="宋体" w:cs="宋体"/>
                <w:color w:val="auto"/>
                <w:szCs w:val="21"/>
                <w:highlight w:val="none"/>
              </w:rPr>
              <w:t>工程施工业绩</w:t>
            </w:r>
            <w:r>
              <w:rPr>
                <w:rFonts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6</w:t>
            </w:r>
          </w:p>
        </w:tc>
        <w:tc>
          <w:tcPr>
            <w:tcW w:w="709" w:type="dxa"/>
            <w:vAlign w:val="center"/>
          </w:tcPr>
          <w:p w14:paraId="6E305093">
            <w:pPr>
              <w:pStyle w:val="299"/>
              <w:adjustRightInd w:val="0"/>
              <w:snapToGrid w:val="0"/>
              <w:spacing w:line="400" w:lineRule="exact"/>
              <w:rPr>
                <w:rFonts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0710CEAC">
            <w:pPr>
              <w:pStyle w:val="299"/>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ascii="宋体" w:hAnsi="宋体" w:cs="宋体"/>
                <w:color w:val="auto"/>
                <w:kern w:val="0"/>
                <w:szCs w:val="21"/>
                <w:highlight w:val="none"/>
              </w:rPr>
              <w:t>）扣除满足资格审查条件完成数量后：</w:t>
            </w:r>
          </w:p>
          <w:p w14:paraId="67E333BE">
            <w:pPr>
              <w:keepNext w:val="0"/>
              <w:keepLines w:val="0"/>
              <w:pageBreakBefore w:val="0"/>
              <w:widowControl w:val="0"/>
              <w:kinsoku/>
              <w:wordWrap/>
              <w:overflowPunct/>
              <w:topLinePunct w:val="0"/>
              <w:autoSpaceDE/>
              <w:autoSpaceDN/>
              <w:bidi w:val="0"/>
              <w:adjustRightInd/>
              <w:snapToGrid/>
              <w:spacing w:line="380" w:lineRule="exact"/>
              <w:ind w:left="211" w:hanging="211" w:hangingChars="100"/>
              <w:textAlignment w:val="auto"/>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1</w:t>
            </w:r>
            <w:r>
              <w:rPr>
                <w:rFonts w:hint="eastAsia" w:ascii="宋体" w:hAnsi="宋体" w:cs="宋体"/>
                <w:color w:val="auto"/>
                <w:kern w:val="0"/>
                <w:szCs w:val="21"/>
                <w:highlight w:val="none"/>
                <w:lang w:val="en-US" w:eastAsia="zh-CN"/>
              </w:rPr>
              <w:t>个</w:t>
            </w:r>
            <w:r>
              <w:rPr>
                <w:rFonts w:hint="eastAsia" w:ascii="宋体" w:hAnsi="宋体"/>
                <w:color w:val="auto"/>
                <w:szCs w:val="21"/>
                <w:highlight w:val="none"/>
              </w:rPr>
              <w:t>国内</w:t>
            </w:r>
            <w:r>
              <w:rPr>
                <w:rFonts w:hint="eastAsia" w:ascii="宋体" w:hAnsi="宋体" w:cs="宋体"/>
                <w:color w:val="auto"/>
                <w:szCs w:val="21"/>
                <w:highlight w:val="none"/>
              </w:rPr>
              <w:t>（□新建；</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改扩建；□新建或改扩建）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549FCE0D">
            <w:pPr>
              <w:pStyle w:val="299"/>
              <w:keepNext w:val="0"/>
              <w:keepLines w:val="0"/>
              <w:pageBreakBefore w:val="0"/>
              <w:widowControl w:val="0"/>
              <w:kinsoku/>
              <w:wordWrap/>
              <w:overflowPunct/>
              <w:topLinePunct w:val="0"/>
              <w:autoSpaceDE/>
              <w:autoSpaceDN/>
              <w:bidi w:val="0"/>
              <w:adjustRightInd/>
              <w:snapToGrid/>
              <w:spacing w:line="380" w:lineRule="exact"/>
              <w:ind w:left="210" w:hanging="210" w:hangingChars="100"/>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级及以上</w:t>
            </w:r>
            <w:r>
              <w:rPr>
                <w:rFonts w:hint="eastAsia" w:ascii="宋体" w:hAnsi="宋体"/>
                <w:color w:val="auto"/>
                <w:szCs w:val="21"/>
                <w:highlight w:val="none"/>
              </w:rPr>
              <w:t>公路</w:t>
            </w:r>
            <w:r>
              <w:rPr>
                <w:rFonts w:hint="eastAsia" w:ascii="宋体" w:hAnsi="宋体" w:cs="宋体"/>
                <w:color w:val="auto"/>
                <w:szCs w:val="21"/>
                <w:highlight w:val="none"/>
              </w:rPr>
              <w:t>隧道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w:t>
            </w:r>
            <w:r>
              <w:rPr>
                <w:rFonts w:hint="eastAsia" w:ascii="宋体" w:hAnsi="宋体"/>
                <w:color w:val="auto"/>
                <w:szCs w:val="21"/>
                <w:highlight w:val="none"/>
                <w:lang w:val="en-US" w:eastAsia="zh-CN"/>
              </w:rPr>
              <w:t>项目</w:t>
            </w:r>
            <w:r>
              <w:rPr>
                <w:rFonts w:hint="eastAsia" w:ascii="宋体" w:hAnsi="宋体" w:cs="宋体"/>
                <w:color w:val="auto"/>
                <w:kern w:val="0"/>
                <w:szCs w:val="21"/>
                <w:highlight w:val="none"/>
              </w:rPr>
              <w:t>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6AA7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44AF5B08">
            <w:pPr>
              <w:pStyle w:val="299"/>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580" w:type="dxa"/>
            <w:vMerge w:val="continue"/>
            <w:vAlign w:val="center"/>
          </w:tcPr>
          <w:p w14:paraId="57C18FF4">
            <w:pPr>
              <w:pStyle w:val="299"/>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850" w:type="dxa"/>
            <w:vMerge w:val="continue"/>
            <w:vAlign w:val="center"/>
          </w:tcPr>
          <w:p w14:paraId="73B5BF6F">
            <w:pPr>
              <w:pStyle w:val="299"/>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851" w:type="dxa"/>
            <w:vMerge w:val="continue"/>
            <w:vAlign w:val="center"/>
          </w:tcPr>
          <w:p w14:paraId="577FB2A5">
            <w:pPr>
              <w:pStyle w:val="299"/>
              <w:adjustRightInd w:val="0"/>
              <w:snapToGrid w:val="0"/>
              <w:spacing w:line="400" w:lineRule="exact"/>
              <w:rPr>
                <w:rFonts w:ascii="宋体" w:hAnsi="宋体" w:eastAsia="宋体" w:cs="宋体"/>
                <w:color w:val="auto"/>
                <w:kern w:val="2"/>
                <w:sz w:val="21"/>
                <w:szCs w:val="21"/>
                <w:highlight w:val="none"/>
                <w:u w:val="single"/>
                <w:lang w:val="en-US" w:eastAsia="zh-CN" w:bidi="ar-SA"/>
              </w:rPr>
            </w:pPr>
          </w:p>
        </w:tc>
        <w:tc>
          <w:tcPr>
            <w:tcW w:w="1559" w:type="dxa"/>
            <w:gridSpan w:val="2"/>
            <w:vAlign w:val="center"/>
          </w:tcPr>
          <w:p w14:paraId="60AF4351">
            <w:pPr>
              <w:pStyle w:val="299"/>
              <w:spacing w:line="40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lang w:val="en-US" w:eastAsia="zh-CN"/>
              </w:rPr>
              <w:t>房建工程</w:t>
            </w:r>
            <w:r>
              <w:rPr>
                <w:rFonts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7</w:t>
            </w:r>
          </w:p>
        </w:tc>
        <w:tc>
          <w:tcPr>
            <w:tcW w:w="709" w:type="dxa"/>
            <w:vAlign w:val="center"/>
          </w:tcPr>
          <w:p w14:paraId="3478D621">
            <w:pPr>
              <w:pStyle w:val="299"/>
              <w:spacing w:line="400" w:lineRule="exact"/>
              <w:ind w:left="105" w:leftChars="0" w:hanging="105" w:hangingChars="50"/>
              <w:rPr>
                <w:rFonts w:ascii="宋体" w:hAnsi="宋体" w:eastAsia="宋体" w:cs="宋体"/>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529AF81F">
            <w:pPr>
              <w:pStyle w:val="299"/>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ascii="宋体" w:hAnsi="宋体" w:cs="宋体"/>
                <w:color w:val="auto"/>
                <w:kern w:val="0"/>
                <w:szCs w:val="21"/>
                <w:highlight w:val="none"/>
              </w:rPr>
              <w:t>）扣除满足资格审查条件完成数量后：</w:t>
            </w:r>
          </w:p>
          <w:p w14:paraId="5C5FC7CC">
            <w:pPr>
              <w:pStyle w:val="299"/>
              <w:spacing w:line="40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olor w:val="auto"/>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en-US" w:eastAsia="zh-CN"/>
              </w:rPr>
              <w:t>个国内</w:t>
            </w:r>
            <w:r>
              <w:rPr>
                <w:rFonts w:hint="eastAsia" w:ascii="宋体" w:hAnsi="宋体"/>
                <w:color w:val="auto"/>
                <w:szCs w:val="21"/>
                <w:highlight w:val="none"/>
              </w:rPr>
              <w:t>房建工程施工项目</w:t>
            </w:r>
            <w:r>
              <w:rPr>
                <w:rFonts w:hint="eastAsia" w:ascii="宋体" w:hAnsi="宋体" w:cs="宋体"/>
                <w:color w:val="auto"/>
                <w:kern w:val="0"/>
                <w:szCs w:val="21"/>
                <w:highlight w:val="none"/>
              </w:rPr>
              <w:t>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p>
          <w:p w14:paraId="4D673928">
            <w:pPr>
              <w:pStyle w:val="299"/>
              <w:spacing w:line="400" w:lineRule="exact"/>
              <w:ind w:left="210" w:leftChars="100" w:firstLine="0" w:firstLineChars="0"/>
              <w:rPr>
                <w:rFonts w:ascii="宋体" w:hAnsi="宋体" w:eastAsia="宋体" w:cs="宋体"/>
                <w:b/>
                <w:color w:val="auto"/>
                <w:kern w:val="2"/>
                <w:sz w:val="21"/>
                <w:szCs w:val="21"/>
                <w:highlight w:val="none"/>
                <w:u w:val="single"/>
                <w:lang w:val="en-US" w:eastAsia="zh-CN" w:bidi="ar-SA"/>
              </w:rPr>
            </w:pP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30AB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75" w:type="dxa"/>
            <w:vMerge w:val="continue"/>
            <w:vAlign w:val="center"/>
          </w:tcPr>
          <w:p w14:paraId="2B5FA4A0">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62329D3B">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05C0C98A">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0EA3A53F">
            <w:pPr>
              <w:pStyle w:val="299"/>
              <w:adjustRightInd w:val="0"/>
              <w:snapToGrid w:val="0"/>
              <w:spacing w:line="400" w:lineRule="exact"/>
              <w:rPr>
                <w:rFonts w:ascii="宋体" w:hAnsi="宋体" w:cs="宋体"/>
                <w:color w:val="auto"/>
                <w:szCs w:val="21"/>
                <w:highlight w:val="none"/>
                <w:u w:val="single"/>
              </w:rPr>
            </w:pPr>
          </w:p>
        </w:tc>
        <w:tc>
          <w:tcPr>
            <w:tcW w:w="1559" w:type="dxa"/>
            <w:gridSpan w:val="2"/>
            <w:vAlign w:val="center"/>
          </w:tcPr>
          <w:p w14:paraId="5C7455AE">
            <w:pPr>
              <w:pStyle w:val="299"/>
              <w:keepNext w:val="0"/>
              <w:keepLines w:val="0"/>
              <w:pageBreakBefore w:val="0"/>
              <w:widowControl w:val="0"/>
              <w:kinsoku/>
              <w:wordWrap/>
              <w:overflowPunct/>
              <w:topLinePunct w:val="0"/>
              <w:autoSpaceDE/>
              <w:autoSpaceDN/>
              <w:bidi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ascii="宋体" w:hAnsi="宋体" w:cs="宋体"/>
                <w:color w:val="auto"/>
                <w:szCs w:val="21"/>
                <w:highlight w:val="none"/>
              </w:rPr>
              <w:t>）其他</w:t>
            </w:r>
            <w:r>
              <w:rPr>
                <w:rFonts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8</w:t>
            </w:r>
            <w:r>
              <w:rPr>
                <w:rFonts w:hint="eastAsia" w:ascii="宋体" w:hAnsi="宋体" w:cs="宋体"/>
                <w:color w:val="auto"/>
                <w:szCs w:val="21"/>
                <w:highlight w:val="none"/>
              </w:rPr>
              <w:t>：</w:t>
            </w:r>
          </w:p>
          <w:p w14:paraId="58DFE72E">
            <w:pPr>
              <w:pStyle w:val="299"/>
              <w:keepNext w:val="0"/>
              <w:keepLines w:val="0"/>
              <w:pageBreakBefore w:val="0"/>
              <w:widowControl w:val="0"/>
              <w:kinsoku/>
              <w:wordWrap/>
              <w:overflowPunct/>
              <w:topLinePunct w:val="0"/>
              <w:autoSpaceDE/>
              <w:autoSpaceDN/>
              <w:bidi w:val="0"/>
              <w:spacing w:line="380" w:lineRule="exact"/>
              <w:textAlignment w:val="auto"/>
              <w:rPr>
                <w:rFonts w:ascii="宋体" w:hAnsi="宋体" w:cs="宋体"/>
                <w:b/>
                <w:color w:val="auto"/>
                <w:szCs w:val="21"/>
                <w:highlight w:val="none"/>
              </w:rPr>
            </w:pPr>
            <w:r>
              <w:rPr>
                <w:rFonts w:ascii="宋体" w:hAnsi="宋体" w:cs="宋体"/>
                <w:color w:val="auto"/>
                <w:szCs w:val="21"/>
                <w:highlight w:val="none"/>
                <w:u w:val="single"/>
              </w:rPr>
              <w:t xml:space="preserve">       </w:t>
            </w:r>
          </w:p>
        </w:tc>
        <w:tc>
          <w:tcPr>
            <w:tcW w:w="709" w:type="dxa"/>
            <w:vAlign w:val="center"/>
          </w:tcPr>
          <w:p w14:paraId="786CF13F">
            <w:pPr>
              <w:pStyle w:val="299"/>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6164E6BC">
            <w:pPr>
              <w:pStyle w:val="299"/>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cs="宋体"/>
                <w:b/>
                <w:color w:val="auto"/>
                <w:szCs w:val="21"/>
                <w:highlight w:val="none"/>
                <w:u w:val="single"/>
              </w:rPr>
            </w:pPr>
            <w:r>
              <w:rPr>
                <w:rFonts w:ascii="宋体" w:hAnsi="宋体" w:cs="宋体"/>
                <w:b/>
                <w:color w:val="auto"/>
                <w:szCs w:val="21"/>
                <w:highlight w:val="none"/>
                <w:u w:val="single"/>
              </w:rPr>
              <w:t xml:space="preserve">       </w:t>
            </w:r>
            <w:r>
              <w:rPr>
                <w:rFonts w:ascii="宋体" w:hAnsi="宋体" w:cs="宋体"/>
                <w:b/>
                <w:color w:val="auto"/>
                <w:szCs w:val="21"/>
                <w:highlight w:val="none"/>
              </w:rPr>
              <w:t xml:space="preserve"> </w:t>
            </w:r>
          </w:p>
        </w:tc>
      </w:tr>
      <w:tr w14:paraId="7E68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75" w:type="dxa"/>
            <w:vMerge w:val="continue"/>
            <w:vAlign w:val="center"/>
          </w:tcPr>
          <w:p w14:paraId="5311EF00">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6C0BD790">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2B542FB7">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0AE4441C">
            <w:pPr>
              <w:pStyle w:val="299"/>
              <w:adjustRightInd w:val="0"/>
              <w:snapToGrid w:val="0"/>
              <w:spacing w:line="400" w:lineRule="exact"/>
              <w:rPr>
                <w:rFonts w:ascii="宋体" w:hAnsi="宋体" w:cs="宋体"/>
                <w:color w:val="auto"/>
                <w:szCs w:val="21"/>
                <w:highlight w:val="none"/>
                <w:u w:val="single"/>
              </w:rPr>
            </w:pPr>
          </w:p>
        </w:tc>
        <w:tc>
          <w:tcPr>
            <w:tcW w:w="5670" w:type="dxa"/>
            <w:gridSpan w:val="4"/>
            <w:vAlign w:val="center"/>
          </w:tcPr>
          <w:p w14:paraId="30F5BE3A">
            <w:pPr>
              <w:pStyle w:val="299"/>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满足资格审查条件</w:t>
            </w:r>
            <w:r>
              <w:rPr>
                <w:rFonts w:cs="宋体" w:asciiTheme="minorEastAsia" w:hAnsiTheme="minorEastAsia" w:eastAsiaTheme="minorEastAsia"/>
                <w:color w:val="auto"/>
                <w:kern w:val="0"/>
                <w:szCs w:val="21"/>
                <w:highlight w:val="none"/>
              </w:rPr>
              <w:t>最低要求得分</w:t>
            </w:r>
            <w:r>
              <w:rPr>
                <w:rFonts w:hint="eastAsia" w:cs="宋体" w:asciiTheme="minorEastAsia" w:hAnsiTheme="minorEastAsia" w:eastAsiaTheme="minorEastAsia"/>
                <w:color w:val="auto"/>
                <w:szCs w:val="21"/>
                <w:highlight w:val="none"/>
              </w:rPr>
              <w:t>与扣除</w:t>
            </w:r>
            <w:r>
              <w:rPr>
                <w:rFonts w:cs="宋体" w:asciiTheme="minorEastAsia" w:hAnsiTheme="minorEastAsia" w:eastAsiaTheme="minorEastAsia"/>
                <w:color w:val="auto"/>
                <w:szCs w:val="21"/>
                <w:highlight w:val="none"/>
              </w:rPr>
              <w:t>满足资格审查条件完成数量后的</w:t>
            </w:r>
            <w:r>
              <w:rPr>
                <w:rFonts w:hint="eastAsia" w:cs="宋体" w:asciiTheme="minorEastAsia" w:hAnsiTheme="minorEastAsia" w:eastAsiaTheme="minorEastAsia"/>
                <w:color w:val="auto"/>
                <w:szCs w:val="21"/>
                <w:highlight w:val="none"/>
              </w:rPr>
              <w:t>所有</w:t>
            </w:r>
            <w:r>
              <w:rPr>
                <w:rFonts w:cs="宋体" w:asciiTheme="minorEastAsia" w:hAnsiTheme="minorEastAsia" w:eastAsiaTheme="minorEastAsia"/>
                <w:color w:val="auto"/>
                <w:szCs w:val="21"/>
                <w:highlight w:val="none"/>
              </w:rPr>
              <w:t>加分项</w:t>
            </w:r>
            <w:r>
              <w:rPr>
                <w:rFonts w:hint="eastAsia" w:cs="宋体" w:asciiTheme="minorEastAsia" w:hAnsiTheme="minorEastAsia" w:eastAsiaTheme="minorEastAsia"/>
                <w:color w:val="auto"/>
                <w:szCs w:val="21"/>
                <w:highlight w:val="none"/>
              </w:rPr>
              <w:t>合计得分最多至满分</w:t>
            </w:r>
            <w:r>
              <w:rPr>
                <w:rFonts w:hint="eastAsia" w:cs="宋体" w:asciiTheme="minorEastAsia" w:hAnsiTheme="minorEastAsia" w:eastAsiaTheme="minorEastAsia"/>
                <w:color w:val="auto"/>
                <w:kern w:val="0"/>
                <w:szCs w:val="21"/>
                <w:highlight w:val="none"/>
              </w:rPr>
              <w:t>为止。</w:t>
            </w:r>
          </w:p>
        </w:tc>
      </w:tr>
      <w:tr w14:paraId="212E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5" w:type="dxa"/>
            <w:vMerge w:val="continue"/>
            <w:vAlign w:val="center"/>
          </w:tcPr>
          <w:p w14:paraId="35D76541">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32DC6121">
            <w:pPr>
              <w:pStyle w:val="299"/>
              <w:adjustRightInd w:val="0"/>
              <w:snapToGrid w:val="0"/>
              <w:spacing w:line="400" w:lineRule="exact"/>
              <w:jc w:val="center"/>
              <w:rPr>
                <w:rFonts w:ascii="宋体" w:hAnsi="宋体" w:cs="宋体"/>
                <w:color w:val="auto"/>
                <w:szCs w:val="21"/>
                <w:highlight w:val="none"/>
              </w:rPr>
            </w:pPr>
          </w:p>
        </w:tc>
        <w:tc>
          <w:tcPr>
            <w:tcW w:w="850" w:type="dxa"/>
            <w:vMerge w:val="restart"/>
            <w:vAlign w:val="center"/>
          </w:tcPr>
          <w:p w14:paraId="7554DFF5">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履约信誉</w:t>
            </w:r>
            <w:r>
              <w:rPr>
                <w:rStyle w:val="59"/>
                <w:rFonts w:ascii="宋体" w:hAnsi="宋体" w:cs="宋体"/>
                <w:color w:val="auto"/>
                <w:szCs w:val="21"/>
                <w:highlight w:val="none"/>
              </w:rPr>
              <w:footnoteReference w:id="199"/>
            </w:r>
            <w:r>
              <w:rPr>
                <w:rFonts w:ascii="宋体" w:hAnsi="宋体" w:cs="宋体"/>
                <w:color w:val="auto"/>
                <w:szCs w:val="21"/>
                <w:highlight w:val="none"/>
                <w:u w:val="none"/>
              </w:rPr>
              <w:t>H</w:t>
            </w:r>
          </w:p>
        </w:tc>
        <w:tc>
          <w:tcPr>
            <w:tcW w:w="851" w:type="dxa"/>
            <w:vMerge w:val="restart"/>
            <w:vAlign w:val="center"/>
          </w:tcPr>
          <w:p w14:paraId="2D7AEE44">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559" w:type="dxa"/>
            <w:gridSpan w:val="2"/>
            <w:vAlign w:val="center"/>
          </w:tcPr>
          <w:p w14:paraId="4448A139">
            <w:pPr>
              <w:pStyle w:val="299"/>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投标人在四川省</w:t>
            </w:r>
            <w:r>
              <w:rPr>
                <w:rFonts w:hint="eastAsia" w:ascii="宋体" w:hAnsi="宋体" w:cs="宋体" w:eastAsiaTheme="minorEastAsia"/>
                <w:bCs/>
                <w:color w:val="auto"/>
                <w:kern w:val="0"/>
                <w:szCs w:val="21"/>
                <w:highlight w:val="none"/>
                <w:lang w:val="en-US" w:eastAsia="zh-CN"/>
              </w:rPr>
              <w:t>交通运输厅公布的</w:t>
            </w:r>
            <w:r>
              <w:rPr>
                <w:rFonts w:hint="eastAsia" w:ascii="宋体" w:hAnsi="宋体" w:cs="宋体"/>
                <w:bCs/>
                <w:color w:val="auto"/>
                <w:kern w:val="0"/>
                <w:szCs w:val="21"/>
                <w:highlight w:val="none"/>
              </w:rPr>
              <w:t>信用评价等级</w:t>
            </w:r>
            <w:r>
              <w:rPr>
                <w:rFonts w:cs="宋体" w:asciiTheme="minorEastAsia" w:hAnsiTheme="minorEastAsia" w:eastAsiaTheme="minorEastAsia"/>
                <w:color w:val="auto"/>
                <w:szCs w:val="21"/>
                <w:highlight w:val="none"/>
                <w:u w:val="none"/>
              </w:rPr>
              <w:t>H</w:t>
            </w:r>
            <w:r>
              <w:rPr>
                <w:rFonts w:cs="宋体" w:asciiTheme="minorEastAsia" w:hAnsiTheme="minorEastAsia" w:eastAsiaTheme="minorEastAsia"/>
                <w:color w:val="auto"/>
                <w:szCs w:val="21"/>
                <w:highlight w:val="none"/>
                <w:u w:val="none"/>
                <w:vertAlign w:val="subscript"/>
              </w:rPr>
              <w:t>1</w:t>
            </w:r>
          </w:p>
        </w:tc>
        <w:tc>
          <w:tcPr>
            <w:tcW w:w="709" w:type="dxa"/>
            <w:vAlign w:val="center"/>
          </w:tcPr>
          <w:p w14:paraId="37826F99">
            <w:pPr>
              <w:pStyle w:val="299"/>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1C191B9B">
            <w:pPr>
              <w:keepNext w:val="0"/>
              <w:keepLines w:val="0"/>
              <w:pageBreakBefore w:val="0"/>
              <w:widowControl/>
              <w:kinsoku/>
              <w:wordWrap/>
              <w:overflowPunct/>
              <w:topLinePunct w:val="0"/>
              <w:autoSpaceDE/>
              <w:autoSpaceDN/>
              <w:bidi w:val="0"/>
              <w:spacing w:line="400" w:lineRule="exact"/>
              <w:ind w:firstLine="0" w:firstLineChars="0"/>
              <w:textAlignment w:val="auto"/>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投标截止</w:t>
            </w:r>
            <w:r>
              <w:rPr>
                <w:rFonts w:hint="eastAsia" w:cs="宋体" w:asciiTheme="minorEastAsia" w:hAnsiTheme="minorEastAsia" w:eastAsiaTheme="minorEastAsia"/>
                <w:bCs/>
                <w:color w:val="auto"/>
                <w:kern w:val="0"/>
                <w:szCs w:val="21"/>
                <w:highlight w:val="none"/>
                <w:lang w:val="en-US" w:eastAsia="zh-CN"/>
              </w:rPr>
              <w:t>时间</w:t>
            </w:r>
            <w:r>
              <w:rPr>
                <w:rFonts w:hint="eastAsia" w:cs="宋体" w:asciiTheme="minorEastAsia" w:hAnsiTheme="minorEastAsia" w:eastAsiaTheme="minorEastAsia"/>
                <w:bCs/>
                <w:color w:val="auto"/>
                <w:kern w:val="0"/>
                <w:szCs w:val="21"/>
                <w:highlight w:val="none"/>
              </w:rPr>
              <w:t>在四川省交通运输厅网站公布的</w:t>
            </w:r>
            <w:r>
              <w:rPr>
                <w:rFonts w:hint="eastAsia" w:cs="宋体" w:asciiTheme="minorEastAsia" w:hAnsiTheme="minorEastAsia" w:eastAsiaTheme="minorEastAsia"/>
                <w:bCs/>
                <w:color w:val="auto"/>
                <w:kern w:val="0"/>
                <w:szCs w:val="21"/>
                <w:highlight w:val="none"/>
                <w:lang w:eastAsia="zh-CN"/>
              </w:rPr>
              <w:t>：</w:t>
            </w:r>
            <w:r>
              <w:rPr>
                <w:rFonts w:hint="eastAsia" w:ascii="宋体" w:hAnsi="宋体" w:eastAsia="宋体" w:cs="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四川省重点公路建设从业单位信用评价等级</w:t>
            </w:r>
            <w:r>
              <w:rPr>
                <w:rFonts w:hint="eastAsia" w:ascii="宋体" w:hAnsi="宋体"/>
                <w:color w:val="auto"/>
                <w:sz w:val="21"/>
                <w:szCs w:val="21"/>
                <w:highlight w:val="none"/>
                <w:u w:val="single"/>
                <w:lang w:eastAsia="zh-CN"/>
              </w:rPr>
              <w:t>；</w:t>
            </w:r>
            <w:r>
              <w:rPr>
                <w:rFonts w:hint="eastAsia" w:ascii="宋体" w:hAnsi="宋体" w:eastAsia="宋体" w:cs="宋体"/>
                <w:b w:val="0"/>
                <w:bCs/>
                <w:color w:val="auto"/>
                <w:sz w:val="21"/>
                <w:szCs w:val="21"/>
                <w:highlight w:val="none"/>
                <w:u w:val="single"/>
              </w:rPr>
              <w:sym w:font="Wingdings 2" w:char="00A3"/>
            </w:r>
            <w:r>
              <w:rPr>
                <w:rFonts w:hint="eastAsia" w:ascii="宋体" w:hAnsi="宋体" w:cs="宋体"/>
                <w:b w:val="0"/>
                <w:bCs/>
                <w:color w:val="auto"/>
                <w:sz w:val="21"/>
                <w:szCs w:val="21"/>
                <w:highlight w:val="none"/>
                <w:u w:val="single"/>
                <w:lang w:val="en-US" w:eastAsia="zh-CN"/>
              </w:rPr>
              <w:t>或</w:t>
            </w:r>
            <w:r>
              <w:rPr>
                <w:rFonts w:hint="eastAsia" w:ascii="宋体" w:hAnsi="宋体"/>
                <w:b w:val="0"/>
                <w:bCs/>
                <w:color w:val="auto"/>
                <w:sz w:val="21"/>
                <w:szCs w:val="21"/>
                <w:highlight w:val="none"/>
                <w:u w:val="single"/>
                <w:lang w:eastAsia="zh-CN"/>
              </w:rPr>
              <w:t>；</w:t>
            </w:r>
            <w:r>
              <w:rPr>
                <w:rFonts w:hint="eastAsia" w:ascii="宋体" w:hAnsi="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w:t>
            </w:r>
            <w:r>
              <w:rPr>
                <w:rFonts w:hint="eastAsia" w:ascii="宋体" w:hAnsi="宋体"/>
                <w:color w:val="auto"/>
                <w:sz w:val="21"/>
                <w:szCs w:val="21"/>
                <w:highlight w:val="none"/>
                <w:u w:val="single"/>
                <w:lang w:val="en-US" w:eastAsia="zh-CN"/>
              </w:rPr>
              <w:t>农村公路建设从业单位信用评价等级</w:t>
            </w:r>
            <w:r>
              <w:rPr>
                <w:rFonts w:hint="eastAsia" w:ascii="宋体" w:hAnsi="宋体"/>
                <w:color w:val="auto"/>
                <w:sz w:val="21"/>
                <w:szCs w:val="21"/>
                <w:highlight w:val="none"/>
                <w:u w:val="none"/>
                <w:lang w:val="en-US" w:eastAsia="zh-CN"/>
              </w:rPr>
              <w:t>。</w:t>
            </w:r>
          </w:p>
          <w:p w14:paraId="053BE68B">
            <w:pPr>
              <w:keepNext w:val="0"/>
              <w:keepLines w:val="0"/>
              <w:pageBreakBefore w:val="0"/>
              <w:widowControl/>
              <w:kinsoku/>
              <w:wordWrap/>
              <w:overflowPunct/>
              <w:topLinePunct w:val="0"/>
              <w:autoSpaceDE/>
              <w:autoSpaceDN/>
              <w:bidi w:val="0"/>
              <w:spacing w:line="400" w:lineRule="exac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AA</w:t>
            </w:r>
            <w:r>
              <w:rPr>
                <w:rFonts w:hint="eastAsia" w:cs="宋体" w:asciiTheme="minorEastAsia" w:hAnsiTheme="minorEastAsia" w:eastAsiaTheme="minorEastAsia"/>
                <w:bCs/>
                <w:color w:val="auto"/>
                <w:kern w:val="0"/>
                <w:szCs w:val="21"/>
                <w:highlight w:val="none"/>
              </w:rPr>
              <w:t>级及以上得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1.0</w:t>
            </w:r>
            <w:r>
              <w:rPr>
                <w:rFonts w:hint="eastAsia" w:cs="宋体" w:asciiTheme="minorEastAsia" w:hAnsiTheme="minorEastAsia" w:eastAsiaTheme="minorEastAsia"/>
                <w:bCs/>
                <w:color w:val="auto"/>
                <w:kern w:val="0"/>
                <w:szCs w:val="21"/>
                <w:highlight w:val="none"/>
                <w:lang w:eastAsia="zh-CN"/>
              </w:rPr>
              <w:t>；</w:t>
            </w:r>
          </w:p>
          <w:p w14:paraId="2AE5C0FD">
            <w:pPr>
              <w:keepNext w:val="0"/>
              <w:keepLines w:val="0"/>
              <w:pageBreakBefore w:val="0"/>
              <w:widowControl/>
              <w:kinsoku/>
              <w:wordWrap/>
              <w:overflowPunct/>
              <w:topLinePunct w:val="0"/>
              <w:autoSpaceDE/>
              <w:autoSpaceDN/>
              <w:bidi w:val="0"/>
              <w:spacing w:line="400" w:lineRule="exac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A</w:t>
            </w:r>
            <w:r>
              <w:rPr>
                <w:rFonts w:hint="eastAsia" w:cs="宋体" w:asciiTheme="minorEastAsia" w:hAnsiTheme="minorEastAsia" w:eastAsiaTheme="minorEastAsia"/>
                <w:bCs/>
                <w:color w:val="auto"/>
                <w:kern w:val="0"/>
                <w:szCs w:val="21"/>
                <w:highlight w:val="none"/>
              </w:rPr>
              <w:t>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cs="宋体" w:asciiTheme="minorEastAsia" w:hAnsiTheme="minorEastAsia" w:eastAsiaTheme="minorEastAsia"/>
                <w:bCs/>
                <w:color w:val="auto"/>
                <w:kern w:val="0"/>
                <w:szCs w:val="21"/>
                <w:highlight w:val="none"/>
                <w:u w:val="single"/>
              </w:rPr>
              <w:t>0.8</w:t>
            </w:r>
            <w:r>
              <w:rPr>
                <w:rFonts w:hint="eastAsia" w:cs="宋体" w:asciiTheme="minorEastAsia" w:hAnsiTheme="minorEastAsia" w:eastAsiaTheme="minorEastAsia"/>
                <w:bCs/>
                <w:color w:val="auto"/>
                <w:kern w:val="0"/>
                <w:szCs w:val="21"/>
                <w:highlight w:val="none"/>
                <w:lang w:eastAsia="zh-CN"/>
              </w:rPr>
              <w:t>；</w:t>
            </w:r>
          </w:p>
          <w:p w14:paraId="7B433883">
            <w:pPr>
              <w:keepNext w:val="0"/>
              <w:keepLines w:val="0"/>
              <w:pageBreakBefore w:val="0"/>
              <w:widowControl/>
              <w:kinsoku/>
              <w:wordWrap/>
              <w:overflowPunct/>
              <w:topLinePunct w:val="0"/>
              <w:autoSpaceDE/>
              <w:autoSpaceDN/>
              <w:bidi w:val="0"/>
              <w:spacing w:line="400" w:lineRule="exac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B级得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cs="宋体" w:asciiTheme="minorEastAsia" w:hAnsiTheme="minorEastAsia" w:eastAsiaTheme="minorEastAsia"/>
                <w:bCs/>
                <w:color w:val="auto"/>
                <w:kern w:val="0"/>
                <w:szCs w:val="21"/>
                <w:highlight w:val="none"/>
                <w:u w:val="single"/>
              </w:rPr>
              <w:t>0.6</w:t>
            </w:r>
            <w:r>
              <w:rPr>
                <w:rFonts w:hint="eastAsia" w:cs="宋体" w:asciiTheme="minorEastAsia" w:hAnsiTheme="minorEastAsia" w:eastAsiaTheme="minorEastAsia"/>
                <w:bCs/>
                <w:color w:val="auto"/>
                <w:kern w:val="0"/>
                <w:szCs w:val="21"/>
                <w:highlight w:val="none"/>
                <w:lang w:eastAsia="zh-CN"/>
              </w:rPr>
              <w:t>；</w:t>
            </w:r>
          </w:p>
          <w:p w14:paraId="4042BB77">
            <w:pPr>
              <w:pStyle w:val="299"/>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cs="宋体"/>
                <w:bCs/>
                <w:color w:val="auto"/>
                <w:kern w:val="0"/>
                <w:szCs w:val="21"/>
                <w:highlight w:val="none"/>
                <w:u w:val="none"/>
              </w:rPr>
            </w:pPr>
            <w:r>
              <w:rPr>
                <w:rFonts w:cs="宋体" w:asciiTheme="minorEastAsia" w:hAnsiTheme="minorEastAsia" w:eastAsiaTheme="minorEastAsia"/>
                <w:bCs/>
                <w:color w:val="auto"/>
                <w:kern w:val="0"/>
                <w:szCs w:val="21"/>
                <w:highlight w:val="none"/>
              </w:rPr>
              <w:t>C级得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 xml:space="preserve"> </w:t>
            </w:r>
            <w:r>
              <w:rPr>
                <w:rFonts w:cs="宋体" w:asciiTheme="minorEastAsia" w:hAnsiTheme="minorEastAsia" w:eastAsiaTheme="minorEastAsia"/>
                <w:bCs/>
                <w:color w:val="auto"/>
                <w:kern w:val="0"/>
                <w:szCs w:val="21"/>
                <w:highlight w:val="none"/>
                <w:u w:val="single"/>
              </w:rPr>
              <w:t>0</w:t>
            </w:r>
            <w:r>
              <w:rPr>
                <w:rFonts w:hint="eastAsia" w:cs="宋体" w:asciiTheme="minorEastAsia" w:hAnsiTheme="minorEastAsia" w:eastAsiaTheme="minorEastAsia"/>
                <w:bCs/>
                <w:color w:val="auto"/>
                <w:kern w:val="0"/>
                <w:szCs w:val="21"/>
                <w:highlight w:val="none"/>
                <w:u w:val="single"/>
                <w:lang w:val="en-US" w:eastAsia="zh-CN"/>
              </w:rPr>
              <w:t xml:space="preserve"> </w:t>
            </w:r>
            <w:r>
              <w:rPr>
                <w:rFonts w:ascii="宋体" w:hAnsi="宋体"/>
                <w:color w:val="auto"/>
                <w:szCs w:val="21"/>
                <w:highlight w:val="none"/>
              </w:rPr>
              <w:t>。</w:t>
            </w:r>
            <w:r>
              <w:rPr>
                <w:rFonts w:hint="eastAsia" w:ascii="宋体" w:hAnsi="宋体"/>
                <w:color w:val="auto"/>
                <w:sz w:val="21"/>
                <w:szCs w:val="21"/>
                <w:highlight w:val="none"/>
                <w:u w:val="none"/>
                <w:lang w:val="en-US" w:eastAsia="zh-CN"/>
              </w:rPr>
              <w:t xml:space="preserve"> </w:t>
            </w:r>
          </w:p>
          <w:p w14:paraId="38E15E6D">
            <w:pPr>
              <w:pStyle w:val="299"/>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rPr>
              <w:t>注：</w:t>
            </w:r>
            <w:r>
              <w:rPr>
                <w:rFonts w:hint="eastAsia" w:ascii="宋体" w:hAnsi="宋体" w:cs="宋体"/>
                <w:color w:val="auto"/>
                <w:szCs w:val="21"/>
                <w:highlight w:val="none"/>
              </w:rPr>
              <w:t>允许联合体投标时，以联合体形式投标的，投标人</w:t>
            </w:r>
            <w:r>
              <w:rPr>
                <w:rFonts w:ascii="宋体" w:hAnsi="宋体" w:cs="宋体"/>
                <w:color w:val="auto"/>
                <w:szCs w:val="21"/>
                <w:highlight w:val="none"/>
              </w:rPr>
              <w:t>在</w:t>
            </w:r>
            <w:r>
              <w:rPr>
                <w:rFonts w:hint="eastAsia" w:ascii="宋体" w:hAnsi="宋体" w:cs="宋体"/>
                <w:color w:val="auto"/>
                <w:szCs w:val="21"/>
                <w:highlight w:val="none"/>
                <w:lang w:val="en-US" w:eastAsia="zh-CN"/>
              </w:rPr>
              <w:t>上述同一信用评价体系的</w:t>
            </w:r>
            <w:r>
              <w:rPr>
                <w:rFonts w:hint="eastAsia" w:ascii="宋体" w:hAnsi="宋体" w:cs="宋体"/>
                <w:color w:val="auto"/>
                <w:szCs w:val="21"/>
                <w:highlight w:val="none"/>
              </w:rPr>
              <w:t>信用</w:t>
            </w:r>
            <w:r>
              <w:rPr>
                <w:rFonts w:ascii="宋体" w:hAnsi="宋体" w:cs="宋体"/>
                <w:color w:val="auto"/>
                <w:szCs w:val="21"/>
                <w:highlight w:val="none"/>
              </w:rPr>
              <w:t>评价等级</w:t>
            </w:r>
            <w:r>
              <w:rPr>
                <w:rFonts w:hint="eastAsia" w:ascii="宋体" w:hAnsi="宋体" w:cs="宋体"/>
                <w:color w:val="auto"/>
                <w:szCs w:val="21"/>
                <w:highlight w:val="none"/>
              </w:rPr>
              <w:t>以联合体中信用评价等级低的为准</w:t>
            </w:r>
            <w:r>
              <w:rPr>
                <w:rFonts w:hint="eastAsia" w:ascii="宋体" w:hAnsi="宋体" w:cs="宋体"/>
                <w:bCs/>
                <w:color w:val="auto"/>
                <w:kern w:val="0"/>
                <w:szCs w:val="21"/>
                <w:highlight w:val="none"/>
              </w:rPr>
              <w:t>。</w:t>
            </w:r>
          </w:p>
        </w:tc>
      </w:tr>
      <w:tr w14:paraId="7F83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75" w:type="dxa"/>
            <w:vMerge w:val="continue"/>
            <w:vAlign w:val="center"/>
          </w:tcPr>
          <w:p w14:paraId="6291677C">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729E679A">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501069BC">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6A371D40">
            <w:pPr>
              <w:pStyle w:val="299"/>
              <w:adjustRightInd w:val="0"/>
              <w:snapToGrid w:val="0"/>
              <w:spacing w:line="400" w:lineRule="exact"/>
              <w:rPr>
                <w:rFonts w:ascii="宋体" w:hAnsi="宋体" w:cs="宋体"/>
                <w:color w:val="auto"/>
                <w:szCs w:val="21"/>
                <w:highlight w:val="none"/>
                <w:u w:val="single"/>
              </w:rPr>
            </w:pPr>
          </w:p>
        </w:tc>
        <w:tc>
          <w:tcPr>
            <w:tcW w:w="1559" w:type="dxa"/>
            <w:gridSpan w:val="2"/>
            <w:vAlign w:val="center"/>
          </w:tcPr>
          <w:p w14:paraId="3FB08D5D">
            <w:pPr>
              <w:pStyle w:val="299"/>
              <w:adjustRightInd w:val="0"/>
              <w:snapToGrid w:val="0"/>
              <w:spacing w:line="400" w:lineRule="exact"/>
              <w:rPr>
                <w:rFonts w:ascii="宋体" w:hAnsi="宋体" w:cs="宋体"/>
                <w:color w:val="auto"/>
                <w:szCs w:val="21"/>
                <w:highlight w:val="none"/>
              </w:rPr>
            </w:pPr>
            <w:r>
              <w:rPr>
                <w:rFonts w:hint="eastAsia" w:ascii="宋体" w:hAnsi="宋体" w:cs="宋体"/>
                <w:b/>
                <w:bCs/>
                <w:color w:val="auto"/>
                <w:szCs w:val="21"/>
                <w:highlight w:val="none"/>
              </w:rPr>
              <w:sym w:font="Wingdings 2" w:char="00A3"/>
            </w:r>
            <w:r>
              <w:rPr>
                <w:rFonts w:ascii="宋体" w:hAnsi="宋体" w:cs="宋体"/>
                <w:color w:val="auto"/>
                <w:szCs w:val="21"/>
                <w:highlight w:val="none"/>
                <w:u w:val="single"/>
              </w:rPr>
              <w:t xml:space="preserve">         </w:t>
            </w:r>
          </w:p>
        </w:tc>
        <w:tc>
          <w:tcPr>
            <w:tcW w:w="709" w:type="dxa"/>
            <w:vAlign w:val="center"/>
          </w:tcPr>
          <w:p w14:paraId="40CEAE90">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4B90E571">
            <w:pPr>
              <w:widowControl/>
              <w:adjustRightInd w:val="0"/>
              <w:snapToGrid w:val="0"/>
              <w:spacing w:line="400" w:lineRule="exact"/>
              <w:jc w:val="lef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492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75" w:type="dxa"/>
            <w:vMerge w:val="continue"/>
            <w:vAlign w:val="center"/>
          </w:tcPr>
          <w:p w14:paraId="4036BE2E">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37C51768">
            <w:pPr>
              <w:pStyle w:val="299"/>
              <w:adjustRightInd w:val="0"/>
              <w:snapToGrid w:val="0"/>
              <w:spacing w:line="400" w:lineRule="exact"/>
              <w:jc w:val="center"/>
              <w:rPr>
                <w:rFonts w:ascii="宋体" w:hAnsi="宋体" w:cs="宋体"/>
                <w:color w:val="auto"/>
                <w:szCs w:val="21"/>
                <w:highlight w:val="none"/>
              </w:rPr>
            </w:pPr>
          </w:p>
        </w:tc>
        <w:tc>
          <w:tcPr>
            <w:tcW w:w="850" w:type="dxa"/>
            <w:vMerge w:val="restart"/>
            <w:vAlign w:val="center"/>
          </w:tcPr>
          <w:p w14:paraId="003B98F7">
            <w:pPr>
              <w:pStyle w:val="299"/>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851" w:type="dxa"/>
            <w:vMerge w:val="restart"/>
            <w:vAlign w:val="center"/>
          </w:tcPr>
          <w:p w14:paraId="26F8D2CD">
            <w:pPr>
              <w:pStyle w:val="299"/>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559" w:type="dxa"/>
            <w:gridSpan w:val="2"/>
            <w:vAlign w:val="center"/>
          </w:tcPr>
          <w:p w14:paraId="6867E204">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709" w:type="dxa"/>
            <w:vAlign w:val="center"/>
          </w:tcPr>
          <w:p w14:paraId="05362BE5">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36839CDF">
            <w:pPr>
              <w:widowControl/>
              <w:adjustRightInd w:val="0"/>
              <w:snapToGrid w:val="0"/>
              <w:spacing w:line="400" w:lineRule="exact"/>
              <w:jc w:val="lef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7051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75" w:type="dxa"/>
            <w:vMerge w:val="continue"/>
            <w:vAlign w:val="center"/>
          </w:tcPr>
          <w:p w14:paraId="39E5696F">
            <w:pPr>
              <w:pStyle w:val="299"/>
              <w:adjustRightInd w:val="0"/>
              <w:snapToGrid w:val="0"/>
              <w:spacing w:line="400" w:lineRule="exact"/>
              <w:jc w:val="center"/>
              <w:rPr>
                <w:rFonts w:ascii="宋体" w:hAnsi="宋体" w:cs="宋体"/>
                <w:color w:val="auto"/>
                <w:szCs w:val="21"/>
                <w:highlight w:val="none"/>
              </w:rPr>
            </w:pPr>
          </w:p>
        </w:tc>
        <w:tc>
          <w:tcPr>
            <w:tcW w:w="580" w:type="dxa"/>
            <w:vMerge w:val="continue"/>
            <w:vAlign w:val="center"/>
          </w:tcPr>
          <w:p w14:paraId="5BD7A2C6">
            <w:pPr>
              <w:pStyle w:val="299"/>
              <w:adjustRightInd w:val="0"/>
              <w:snapToGrid w:val="0"/>
              <w:spacing w:line="400" w:lineRule="exact"/>
              <w:jc w:val="center"/>
              <w:rPr>
                <w:rFonts w:ascii="宋体" w:hAnsi="宋体" w:cs="宋体"/>
                <w:color w:val="auto"/>
                <w:szCs w:val="21"/>
                <w:highlight w:val="none"/>
              </w:rPr>
            </w:pPr>
          </w:p>
        </w:tc>
        <w:tc>
          <w:tcPr>
            <w:tcW w:w="850" w:type="dxa"/>
            <w:vMerge w:val="continue"/>
            <w:vAlign w:val="center"/>
          </w:tcPr>
          <w:p w14:paraId="58D36A4E">
            <w:pPr>
              <w:pStyle w:val="299"/>
              <w:adjustRightInd w:val="0"/>
              <w:snapToGrid w:val="0"/>
              <w:spacing w:line="400" w:lineRule="exact"/>
              <w:jc w:val="center"/>
              <w:rPr>
                <w:rFonts w:ascii="宋体" w:hAnsi="宋体" w:cs="宋体"/>
                <w:color w:val="auto"/>
                <w:szCs w:val="21"/>
                <w:highlight w:val="none"/>
              </w:rPr>
            </w:pPr>
          </w:p>
        </w:tc>
        <w:tc>
          <w:tcPr>
            <w:tcW w:w="851" w:type="dxa"/>
            <w:vMerge w:val="continue"/>
            <w:vAlign w:val="center"/>
          </w:tcPr>
          <w:p w14:paraId="5FC0256D">
            <w:pPr>
              <w:pStyle w:val="299"/>
              <w:adjustRightInd w:val="0"/>
              <w:snapToGrid w:val="0"/>
              <w:spacing w:line="400" w:lineRule="exact"/>
              <w:rPr>
                <w:rFonts w:ascii="宋体" w:hAnsi="宋体" w:cs="宋体"/>
                <w:color w:val="auto"/>
                <w:szCs w:val="21"/>
                <w:highlight w:val="none"/>
                <w:u w:val="single"/>
              </w:rPr>
            </w:pPr>
          </w:p>
        </w:tc>
        <w:tc>
          <w:tcPr>
            <w:tcW w:w="1559" w:type="dxa"/>
            <w:gridSpan w:val="2"/>
            <w:vAlign w:val="center"/>
          </w:tcPr>
          <w:p w14:paraId="3A755D45">
            <w:pPr>
              <w:pStyle w:val="299"/>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709" w:type="dxa"/>
            <w:vAlign w:val="center"/>
          </w:tcPr>
          <w:p w14:paraId="691371D9">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402" w:type="dxa"/>
            <w:vAlign w:val="center"/>
          </w:tcPr>
          <w:p w14:paraId="5C75287F">
            <w:pPr>
              <w:widowControl/>
              <w:adjustRightInd w:val="0"/>
              <w:snapToGrid w:val="0"/>
              <w:spacing w:line="400" w:lineRule="exact"/>
              <w:jc w:val="lef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365A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926" w:type="dxa"/>
            <w:gridSpan w:val="8"/>
            <w:vAlign w:val="center"/>
          </w:tcPr>
          <w:p w14:paraId="6A6609C4">
            <w:pPr>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38C3665D">
            <w:pPr>
              <w:keepNext w:val="0"/>
              <w:keepLines w:val="0"/>
              <w:pageBreakBefore w:val="0"/>
              <w:widowControl/>
              <w:kinsoku/>
              <w:wordWrap/>
              <w:overflowPunct/>
              <w:topLinePunct w:val="0"/>
              <w:autoSpaceDE/>
              <w:autoSpaceDN/>
              <w:bidi w:val="0"/>
              <w:adjustRightInd w:val="0"/>
              <w:snapToGrid w:val="0"/>
              <w:spacing w:line="380" w:lineRule="exact"/>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w:t>
            </w:r>
          </w:p>
        </w:tc>
      </w:tr>
    </w:tbl>
    <w:p w14:paraId="2FFDEBB8">
      <w:pPr>
        <w:pStyle w:val="5"/>
        <w:adjustRightInd w:val="0"/>
        <w:snapToGrid w:val="0"/>
        <w:spacing w:before="0" w:beforeLines="0" w:after="0" w:afterLines="0" w:line="360" w:lineRule="auto"/>
        <w:jc w:val="left"/>
        <w:rPr>
          <w:rStyle w:val="128"/>
          <w:rFonts w:ascii="黑体" w:hAnsi="黑体" w:cs="黑体"/>
          <w:b/>
          <w:bCs/>
          <w:color w:val="auto"/>
          <w:kern w:val="2"/>
          <w:sz w:val="30"/>
          <w:szCs w:val="30"/>
          <w:highlight w:val="none"/>
        </w:rPr>
      </w:pPr>
      <w:r>
        <w:rPr>
          <w:rStyle w:val="128"/>
          <w:rFonts w:ascii="黑体" w:hAnsi="黑体" w:cs="黑体"/>
          <w:b w:val="0"/>
          <w:bCs w:val="0"/>
          <w:color w:val="auto"/>
          <w:sz w:val="30"/>
          <w:szCs w:val="30"/>
          <w:highlight w:val="none"/>
        </w:rPr>
        <w:br w:type="page"/>
      </w:r>
      <w:bookmarkStart w:id="701" w:name="_Toc53685683"/>
      <w:r>
        <w:rPr>
          <w:rStyle w:val="128"/>
          <w:rFonts w:ascii="黑体" w:hAnsi="黑体" w:cs="黑体"/>
          <w:b/>
          <w:bCs w:val="0"/>
          <w:color w:val="auto"/>
          <w:sz w:val="30"/>
          <w:szCs w:val="30"/>
          <w:highlight w:val="none"/>
        </w:rPr>
        <w:t>评标办法（</w:t>
      </w:r>
      <w:r>
        <w:rPr>
          <w:rFonts w:hint="eastAsia" w:ascii="黑体" w:hAnsi="黑体" w:cs="黑体"/>
          <w:color w:val="auto"/>
          <w:szCs w:val="28"/>
          <w:highlight w:val="none"/>
        </w:rPr>
        <w:t>综合评分法</w:t>
      </w:r>
      <w:r>
        <w:rPr>
          <w:rStyle w:val="128"/>
          <w:rFonts w:hint="eastAsia" w:ascii="黑体" w:hAnsi="黑体" w:cs="黑体"/>
          <w:b/>
          <w:bCs w:val="0"/>
          <w:color w:val="auto"/>
          <w:sz w:val="30"/>
          <w:szCs w:val="30"/>
          <w:highlight w:val="none"/>
        </w:rPr>
        <w:t>正文）</w:t>
      </w:r>
      <w:bookmarkEnd w:id="701"/>
    </w:p>
    <w:p w14:paraId="71977EA8">
      <w:pPr>
        <w:pStyle w:val="5"/>
        <w:numPr>
          <w:ilvl w:val="-1"/>
          <w:numId w:val="0"/>
        </w:numPr>
        <w:rPr>
          <w:color w:val="auto"/>
          <w:highlight w:val="none"/>
        </w:rPr>
      </w:pPr>
      <w:bookmarkStart w:id="702" w:name="_Toc53685684"/>
      <w:r>
        <w:rPr>
          <w:rFonts w:hint="eastAsia"/>
          <w:color w:val="auto"/>
          <w:highlight w:val="none"/>
          <w:lang w:val="en-US" w:eastAsia="zh-CN"/>
        </w:rPr>
        <w:t xml:space="preserve">1. </w:t>
      </w:r>
      <w:r>
        <w:rPr>
          <w:rFonts w:hint="eastAsia"/>
          <w:color w:val="auto"/>
          <w:highlight w:val="none"/>
        </w:rPr>
        <w:t>评标方法</w:t>
      </w:r>
      <w:bookmarkEnd w:id="702"/>
      <w:r>
        <w:rPr>
          <w:color w:val="auto"/>
          <w:highlight w:val="none"/>
        </w:rPr>
        <w:t xml:space="preserve"> </w:t>
      </w:r>
    </w:p>
    <w:p w14:paraId="17B0A780">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本次评标采用综合评分法。评标委员会对满足招标文件实质性要求的投标文件，根据本章第</w:t>
      </w:r>
      <w:r>
        <w:rPr>
          <w:rFonts w:ascii="宋体" w:hAnsi="宋体"/>
          <w:color w:val="auto"/>
          <w:kern w:val="0"/>
          <w:sz w:val="24"/>
          <w:highlight w:val="none"/>
        </w:rPr>
        <w:t>2.2</w:t>
      </w:r>
      <w:r>
        <w:rPr>
          <w:rFonts w:hint="eastAsia" w:ascii="宋体" w:hAnsi="宋体"/>
          <w:color w:val="auto"/>
          <w:kern w:val="0"/>
          <w:sz w:val="24"/>
          <w:highlight w:val="none"/>
        </w:rPr>
        <w:t>款规定的评分标准进行打分，按照得分由高到低顺序推荐中标候选人，或根据招标人授权直接确定中标人，但投标报价低于其成本的除外。综合评分相等时，评标委员会应按照评标办法前附表规定的优先次序推荐中标候选人或确定中标人。</w:t>
      </w:r>
      <w:r>
        <w:rPr>
          <w:rFonts w:ascii="宋体" w:hAnsi="宋体"/>
          <w:color w:val="auto"/>
          <w:kern w:val="0"/>
          <w:sz w:val="24"/>
          <w:highlight w:val="none"/>
        </w:rPr>
        <w:t xml:space="preserve"> </w:t>
      </w:r>
    </w:p>
    <w:p w14:paraId="6529B2B9">
      <w:pPr>
        <w:pStyle w:val="5"/>
        <w:numPr>
          <w:ilvl w:val="-1"/>
          <w:numId w:val="0"/>
        </w:numPr>
        <w:rPr>
          <w:color w:val="auto"/>
          <w:highlight w:val="none"/>
        </w:rPr>
      </w:pPr>
      <w:bookmarkStart w:id="703" w:name="_Toc53685685"/>
      <w:r>
        <w:rPr>
          <w:rFonts w:hint="eastAsia"/>
          <w:color w:val="auto"/>
          <w:highlight w:val="none"/>
          <w:lang w:val="en-US" w:eastAsia="zh-CN"/>
        </w:rPr>
        <w:t xml:space="preserve">2. </w:t>
      </w:r>
      <w:r>
        <w:rPr>
          <w:rFonts w:hint="eastAsia"/>
          <w:color w:val="auto"/>
          <w:highlight w:val="none"/>
        </w:rPr>
        <w:t>评审标准</w:t>
      </w:r>
      <w:bookmarkEnd w:id="703"/>
      <w:r>
        <w:rPr>
          <w:color w:val="auto"/>
          <w:highlight w:val="none"/>
        </w:rPr>
        <w:t xml:space="preserve"> </w:t>
      </w:r>
    </w:p>
    <w:p w14:paraId="1235D53E">
      <w:pPr>
        <w:pStyle w:val="6"/>
        <w:jc w:val="left"/>
        <w:rPr>
          <w:rFonts w:hint="eastAsia" w:ascii="黑体" w:hAnsi="黑体" w:cs="黑体"/>
          <w:b w:val="0"/>
          <w:bCs w:val="0"/>
          <w:color w:val="auto"/>
          <w:highlight w:val="none"/>
        </w:rPr>
      </w:pPr>
      <w:bookmarkStart w:id="704" w:name="_Toc53685686"/>
      <w:r>
        <w:rPr>
          <w:rFonts w:hint="eastAsia" w:ascii="黑体" w:hAnsi="黑体" w:cs="黑体"/>
          <w:b w:val="0"/>
          <w:bCs w:val="0"/>
          <w:color w:val="auto"/>
          <w:highlight w:val="none"/>
        </w:rPr>
        <w:t>2.1 初步评审标准</w:t>
      </w:r>
      <w:bookmarkEnd w:id="704"/>
      <w:r>
        <w:rPr>
          <w:rFonts w:hint="eastAsia" w:ascii="黑体" w:hAnsi="黑体" w:cs="黑体"/>
          <w:b w:val="0"/>
          <w:bCs w:val="0"/>
          <w:color w:val="auto"/>
          <w:highlight w:val="none"/>
        </w:rPr>
        <w:t xml:space="preserve"> </w:t>
      </w:r>
    </w:p>
    <w:p w14:paraId="593EF544">
      <w:pPr>
        <w:widowControl/>
        <w:adjustRightInd w:val="0"/>
        <w:snapToGrid w:val="0"/>
        <w:spacing w:line="360" w:lineRule="auto"/>
        <w:ind w:firstLine="480" w:firstLineChars="200"/>
        <w:rPr>
          <w:rFonts w:ascii="宋体" w:hAnsi="宋体" w:cs="宋体"/>
          <w:color w:val="auto"/>
          <w:kern w:val="0"/>
          <w:sz w:val="24"/>
          <w:highlight w:val="none"/>
        </w:rPr>
      </w:pPr>
      <w:r>
        <w:rPr>
          <w:rFonts w:ascii="宋体" w:hAnsi="宋体" w:cs="宋体"/>
          <w:bCs/>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14:paraId="58FB1EEC">
      <w:pPr>
        <w:widowControl/>
        <w:adjustRightInd w:val="0"/>
        <w:snapToGrid w:val="0"/>
        <w:spacing w:line="360" w:lineRule="auto"/>
        <w:ind w:firstLine="480" w:firstLineChars="200"/>
        <w:rPr>
          <w:rFonts w:ascii="宋体" w:hAnsi="宋体" w:cs="宋体"/>
          <w:color w:val="auto"/>
          <w:kern w:val="0"/>
          <w:sz w:val="24"/>
          <w:highlight w:val="none"/>
        </w:rPr>
      </w:pPr>
      <w:r>
        <w:rPr>
          <w:rFonts w:ascii="宋体" w:hAnsi="宋体" w:cs="宋体"/>
          <w:bCs/>
          <w:color w:val="auto"/>
          <w:kern w:val="0"/>
          <w:sz w:val="24"/>
          <w:highlight w:val="none"/>
        </w:rPr>
        <w:t>2.1.2</w:t>
      </w:r>
      <w:r>
        <w:rPr>
          <w:rFonts w:ascii="宋体" w:hAnsi="宋体" w:cs="宋体"/>
          <w:color w:val="auto"/>
          <w:kern w:val="0"/>
          <w:sz w:val="24"/>
          <w:highlight w:val="none"/>
        </w:rPr>
        <w:t xml:space="preserve"> 资格评审标准：见评标办法前附表。</w:t>
      </w:r>
    </w:p>
    <w:p w14:paraId="7798E92C">
      <w:pPr>
        <w:widowControl/>
        <w:adjustRightInd w:val="0"/>
        <w:snapToGrid w:val="0"/>
        <w:spacing w:line="360" w:lineRule="auto"/>
        <w:ind w:firstLine="480" w:firstLineChars="200"/>
        <w:rPr>
          <w:rFonts w:ascii="宋体" w:hAnsi="宋体"/>
          <w:color w:val="auto"/>
          <w:kern w:val="0"/>
          <w:sz w:val="24"/>
          <w:highlight w:val="none"/>
        </w:rPr>
      </w:pPr>
      <w:r>
        <w:rPr>
          <w:rFonts w:ascii="宋体" w:hAnsi="宋体"/>
          <w:bCs/>
          <w:color w:val="auto"/>
          <w:kern w:val="0"/>
          <w:sz w:val="24"/>
          <w:highlight w:val="none"/>
        </w:rPr>
        <w:t>2.1.3</w:t>
      </w:r>
      <w:r>
        <w:rPr>
          <w:rFonts w:ascii="宋体" w:hAnsi="宋体"/>
          <w:color w:val="auto"/>
          <w:kern w:val="0"/>
          <w:sz w:val="24"/>
          <w:highlight w:val="none"/>
        </w:rPr>
        <w:t xml:space="preserve"> 响应性评审标准：见评标办法前附表。</w:t>
      </w:r>
    </w:p>
    <w:p w14:paraId="1BA559CC">
      <w:pPr>
        <w:pStyle w:val="6"/>
        <w:jc w:val="left"/>
        <w:rPr>
          <w:rFonts w:hint="eastAsia" w:ascii="黑体" w:hAnsi="黑体" w:cs="黑体"/>
          <w:b w:val="0"/>
          <w:bCs w:val="0"/>
          <w:color w:val="auto"/>
          <w:sz w:val="28"/>
          <w:szCs w:val="32"/>
          <w:highlight w:val="none"/>
        </w:rPr>
      </w:pPr>
      <w:bookmarkStart w:id="705" w:name="_Toc53685687"/>
      <w:r>
        <w:rPr>
          <w:rFonts w:hint="eastAsia" w:ascii="黑体" w:hAnsi="黑体" w:cs="黑体"/>
          <w:b w:val="0"/>
          <w:bCs w:val="0"/>
          <w:color w:val="auto"/>
          <w:sz w:val="28"/>
          <w:szCs w:val="32"/>
          <w:highlight w:val="none"/>
        </w:rPr>
        <w:t>2.2</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分值构成与评分标准</w:t>
      </w:r>
      <w:bookmarkEnd w:id="705"/>
    </w:p>
    <w:p w14:paraId="4C081D67">
      <w:pPr>
        <w:widowControl/>
        <w:adjustRightInd w:val="0"/>
        <w:snapToGrid w:val="0"/>
        <w:spacing w:line="360" w:lineRule="auto"/>
        <w:ind w:firstLine="480" w:firstLineChars="200"/>
        <w:rPr>
          <w:rFonts w:ascii="宋体" w:hAnsi="宋体"/>
          <w:color w:val="auto"/>
          <w:kern w:val="0"/>
          <w:sz w:val="24"/>
          <w:highlight w:val="none"/>
        </w:rPr>
      </w:pPr>
      <w:r>
        <w:rPr>
          <w:rFonts w:ascii="宋体" w:hAnsi="宋体" w:cs="宋体"/>
          <w:color w:val="auto"/>
          <w:kern w:val="0"/>
          <w:sz w:val="24"/>
          <w:highlight w:val="none"/>
        </w:rPr>
        <w:t>2.2.1分值构成</w:t>
      </w:r>
    </w:p>
    <w:p w14:paraId="0A01E731">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1）施工组织设计：见评标办法前附表。</w:t>
      </w:r>
    </w:p>
    <w:p w14:paraId="565F0C99">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2）主要人员：见评标办法前附表。</w:t>
      </w:r>
    </w:p>
    <w:p w14:paraId="0A88514C">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3）评标价：见评标办法前附表。</w:t>
      </w:r>
    </w:p>
    <w:p w14:paraId="4EE28B99">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4）其他评分因素</w:t>
      </w:r>
      <w:r>
        <w:rPr>
          <w:rFonts w:hint="eastAsia" w:ascii="宋体" w:hAnsi="宋体"/>
          <w:color w:val="auto"/>
          <w:kern w:val="0"/>
          <w:sz w:val="24"/>
          <w:highlight w:val="none"/>
        </w:rPr>
        <w:t>：见评标办法前附表。</w:t>
      </w:r>
    </w:p>
    <w:p w14:paraId="59D154BB">
      <w:pPr>
        <w:widowControl/>
        <w:adjustRightInd w:val="0"/>
        <w:snapToGrid w:val="0"/>
        <w:spacing w:line="360" w:lineRule="auto"/>
        <w:ind w:firstLine="480" w:firstLineChars="200"/>
        <w:rPr>
          <w:rFonts w:ascii="宋体" w:hAnsi="宋体"/>
          <w:color w:val="auto"/>
          <w:kern w:val="0"/>
          <w:sz w:val="24"/>
          <w:highlight w:val="none"/>
        </w:rPr>
      </w:pPr>
      <w:r>
        <w:rPr>
          <w:rFonts w:ascii="宋体" w:hAnsi="宋体"/>
          <w:color w:val="auto"/>
          <w:sz w:val="24"/>
          <w:highlight w:val="none"/>
        </w:rPr>
        <w:t>2.2.2</w:t>
      </w:r>
      <w:r>
        <w:rPr>
          <w:rFonts w:hint="eastAsia" w:ascii="宋体" w:hAnsi="宋体"/>
          <w:color w:val="auto"/>
          <w:sz w:val="24"/>
          <w:highlight w:val="none"/>
        </w:rPr>
        <w:t>评标基准价计算</w:t>
      </w:r>
    </w:p>
    <w:p w14:paraId="0D8756B8">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评标基准价计算方法：见评标办法前附表。</w:t>
      </w:r>
    </w:p>
    <w:p w14:paraId="5FFBA95D">
      <w:pPr>
        <w:widowControl/>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2.2.3</w:t>
      </w:r>
      <w:r>
        <w:rPr>
          <w:rFonts w:hint="eastAsia" w:ascii="宋体" w:hAnsi="宋体"/>
          <w:color w:val="auto"/>
          <w:sz w:val="24"/>
          <w:highlight w:val="none"/>
        </w:rPr>
        <w:t>评标价的偏差率计算</w:t>
      </w:r>
    </w:p>
    <w:p w14:paraId="348CD360">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评标价的偏差率计算公式：</w:t>
      </w:r>
      <w:r>
        <w:rPr>
          <w:rFonts w:hint="eastAsia" w:ascii="宋体" w:hAnsi="宋体"/>
          <w:color w:val="auto"/>
          <w:kern w:val="0"/>
          <w:sz w:val="24"/>
          <w:highlight w:val="none"/>
        </w:rPr>
        <w:t>见评标办法前附表。</w:t>
      </w:r>
    </w:p>
    <w:p w14:paraId="0434232B">
      <w:pPr>
        <w:widowControl/>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2.2.4</w:t>
      </w:r>
      <w:r>
        <w:rPr>
          <w:rFonts w:hint="eastAsia" w:ascii="宋体" w:hAnsi="宋体"/>
          <w:color w:val="auto"/>
          <w:sz w:val="24"/>
          <w:highlight w:val="none"/>
        </w:rPr>
        <w:t>评分标准</w:t>
      </w:r>
    </w:p>
    <w:p w14:paraId="6994F48A">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1）施工组织设计评分标准：见评标办法前附表。</w:t>
      </w:r>
    </w:p>
    <w:p w14:paraId="674DE966">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2）主要人员评分标准：见评标办法前附表。</w:t>
      </w:r>
    </w:p>
    <w:p w14:paraId="1AC9DF20">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3）评标价评分标准：见评标办法前附表。</w:t>
      </w:r>
    </w:p>
    <w:p w14:paraId="697DBE79">
      <w:pPr>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4）其他因素</w:t>
      </w:r>
      <w:r>
        <w:rPr>
          <w:rFonts w:hint="eastAsia" w:ascii="宋体" w:hAnsi="宋体"/>
          <w:color w:val="auto"/>
          <w:kern w:val="0"/>
          <w:sz w:val="24"/>
          <w:highlight w:val="none"/>
        </w:rPr>
        <w:t>评分标准：见评标办法前附表。</w:t>
      </w:r>
    </w:p>
    <w:p w14:paraId="1165EFA9">
      <w:pPr>
        <w:pStyle w:val="5"/>
        <w:rPr>
          <w:rFonts w:ascii="Arial" w:hAnsi="Arial"/>
          <w:b/>
          <w:color w:val="auto"/>
          <w:sz w:val="28"/>
          <w:szCs w:val="32"/>
          <w:highlight w:val="none"/>
        </w:rPr>
      </w:pPr>
      <w:bookmarkStart w:id="706" w:name="_Toc53685688"/>
      <w:r>
        <w:rPr>
          <w:rFonts w:hint="default" w:ascii="Arial" w:hAnsi="Arial"/>
          <w:b/>
          <w:color w:val="auto"/>
          <w:sz w:val="28"/>
          <w:szCs w:val="32"/>
          <w:highlight w:val="none"/>
        </w:rPr>
        <w:t>3.</w:t>
      </w:r>
      <w:r>
        <w:rPr>
          <w:rFonts w:hint="eastAsia" w:ascii="Arial" w:hAnsi="Arial"/>
          <w:b/>
          <w:color w:val="auto"/>
          <w:sz w:val="28"/>
          <w:szCs w:val="32"/>
          <w:highlight w:val="none"/>
          <w:lang w:val="en-US" w:eastAsia="zh-CN"/>
        </w:rPr>
        <w:t xml:space="preserve"> </w:t>
      </w:r>
      <w:r>
        <w:rPr>
          <w:rFonts w:hint="default" w:ascii="Arial" w:hAnsi="Arial"/>
          <w:b/>
          <w:color w:val="auto"/>
          <w:sz w:val="28"/>
          <w:szCs w:val="32"/>
          <w:highlight w:val="none"/>
        </w:rPr>
        <w:t>评标程序</w:t>
      </w:r>
      <w:bookmarkEnd w:id="706"/>
      <w:r>
        <w:rPr>
          <w:rFonts w:ascii="Arial" w:hAnsi="Arial"/>
          <w:b/>
          <w:color w:val="auto"/>
          <w:sz w:val="28"/>
          <w:szCs w:val="32"/>
          <w:highlight w:val="none"/>
        </w:rPr>
        <w:t xml:space="preserve"> </w:t>
      </w:r>
    </w:p>
    <w:p w14:paraId="541D5B0A">
      <w:pPr>
        <w:pStyle w:val="6"/>
        <w:jc w:val="left"/>
        <w:rPr>
          <w:rFonts w:hint="eastAsia" w:ascii="黑体" w:hAnsi="黑体" w:cs="黑体"/>
          <w:b w:val="0"/>
          <w:bCs w:val="0"/>
          <w:color w:val="auto"/>
          <w:sz w:val="28"/>
          <w:szCs w:val="32"/>
          <w:highlight w:val="none"/>
        </w:rPr>
      </w:pPr>
      <w:bookmarkStart w:id="707" w:name="_Toc53685689"/>
      <w:r>
        <w:rPr>
          <w:rFonts w:hint="eastAsia" w:ascii="黑体" w:hAnsi="黑体" w:cs="黑体"/>
          <w:b w:val="0"/>
          <w:bCs w:val="0"/>
          <w:color w:val="auto"/>
          <w:sz w:val="28"/>
          <w:szCs w:val="32"/>
          <w:highlight w:val="none"/>
        </w:rPr>
        <w:t>3.1 第一个信封初步评审</w:t>
      </w:r>
      <w:bookmarkEnd w:id="707"/>
      <w:r>
        <w:rPr>
          <w:rFonts w:hint="eastAsia" w:ascii="黑体" w:hAnsi="黑体" w:cs="黑体"/>
          <w:b w:val="0"/>
          <w:bCs w:val="0"/>
          <w:color w:val="auto"/>
          <w:sz w:val="28"/>
          <w:szCs w:val="32"/>
          <w:highlight w:val="none"/>
        </w:rPr>
        <w:t xml:space="preserve"> </w:t>
      </w:r>
    </w:p>
    <w:p w14:paraId="010792BB">
      <w:pPr>
        <w:widowControl/>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3.1.1</w:t>
      </w:r>
      <w:r>
        <w:rPr>
          <w:rFonts w:hint="eastAsia" w:ascii="宋体" w:hAnsi="宋体"/>
          <w:color w:val="auto"/>
          <w:kern w:val="0"/>
          <w:sz w:val="24"/>
          <w:highlight w:val="none"/>
        </w:rPr>
        <w:t>评标委员会依据本章第</w:t>
      </w:r>
      <w:r>
        <w:rPr>
          <w:rFonts w:ascii="宋体" w:hAnsi="宋体"/>
          <w:color w:val="auto"/>
          <w:kern w:val="0"/>
          <w:sz w:val="24"/>
          <w:highlight w:val="none"/>
        </w:rPr>
        <w:t>2.1</w:t>
      </w:r>
      <w:r>
        <w:rPr>
          <w:rFonts w:hint="eastAsia" w:ascii="宋体" w:hAnsi="宋体"/>
          <w:color w:val="auto"/>
          <w:kern w:val="0"/>
          <w:sz w:val="24"/>
          <w:highlight w:val="none"/>
        </w:rPr>
        <w:t>款规定的标准对投标文件第一个信封（商务及技术文件）进行初步评审。有一项不符合评审标准的，评标委员会应否决其投标。</w:t>
      </w:r>
      <w:r>
        <w:rPr>
          <w:rFonts w:ascii="宋体" w:hAnsi="宋体"/>
          <w:color w:val="auto"/>
          <w:kern w:val="0"/>
          <w:sz w:val="24"/>
          <w:highlight w:val="none"/>
        </w:rPr>
        <w:t xml:space="preserve"> </w:t>
      </w:r>
    </w:p>
    <w:p w14:paraId="1DA53A85">
      <w:pPr>
        <w:pStyle w:val="6"/>
        <w:jc w:val="left"/>
        <w:rPr>
          <w:rFonts w:hint="eastAsia" w:ascii="黑体" w:hAnsi="黑体" w:cs="黑体"/>
          <w:b w:val="0"/>
          <w:bCs w:val="0"/>
          <w:color w:val="auto"/>
          <w:sz w:val="28"/>
          <w:szCs w:val="32"/>
          <w:highlight w:val="none"/>
        </w:rPr>
      </w:pPr>
      <w:bookmarkStart w:id="708" w:name="_Toc53685690"/>
      <w:r>
        <w:rPr>
          <w:rFonts w:hint="eastAsia" w:ascii="黑体" w:hAnsi="黑体" w:cs="黑体"/>
          <w:b w:val="0"/>
          <w:bCs w:val="0"/>
          <w:color w:val="auto"/>
          <w:sz w:val="28"/>
          <w:szCs w:val="32"/>
          <w:highlight w:val="none"/>
        </w:rPr>
        <w:t>3.2</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第一个信封详细评审</w:t>
      </w:r>
      <w:bookmarkEnd w:id="708"/>
    </w:p>
    <w:p w14:paraId="6BF3140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3.2.1 </w:t>
      </w:r>
      <w:r>
        <w:rPr>
          <w:rFonts w:hint="eastAsia" w:ascii="宋体" w:hAnsi="宋体" w:cs="宋体"/>
          <w:color w:val="auto"/>
          <w:sz w:val="24"/>
          <w:highlight w:val="none"/>
        </w:rPr>
        <w:t>评标委员会按本章第</w:t>
      </w:r>
      <w:r>
        <w:rPr>
          <w:rFonts w:ascii="宋体" w:hAnsi="宋体" w:cs="宋体"/>
          <w:color w:val="auto"/>
          <w:sz w:val="24"/>
          <w:highlight w:val="none"/>
        </w:rPr>
        <w:t>2.2款规定的量化因素和分值进行打分，并计算出各投标人的商务和技术得分。</w:t>
      </w:r>
    </w:p>
    <w:p w14:paraId="38880A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1）按本章第2.2.4项（1）目规定的评审因素和分值对施工组织设计</w:t>
      </w:r>
      <w:r>
        <w:rPr>
          <w:rFonts w:hint="eastAsia" w:ascii="宋体" w:hAnsi="宋体" w:cs="宋体"/>
          <w:color w:val="auto"/>
          <w:sz w:val="24"/>
          <w:highlight w:val="none"/>
          <w:lang w:val="en-US" w:eastAsia="zh-CN"/>
        </w:rPr>
        <w:t>部分</w:t>
      </w:r>
      <w:r>
        <w:rPr>
          <w:rFonts w:ascii="宋体" w:hAnsi="宋体" w:cs="宋体"/>
          <w:color w:val="auto"/>
          <w:sz w:val="24"/>
          <w:highlight w:val="none"/>
        </w:rPr>
        <w:t>计算出得分A；</w:t>
      </w:r>
    </w:p>
    <w:p w14:paraId="553CE8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2）按本章第2.2.4项（2）目规定的评审因素和分值对主要人员部分计算出得分B；</w:t>
      </w:r>
    </w:p>
    <w:p w14:paraId="1B7E644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ascii="宋体" w:hAnsi="宋体" w:cs="宋体"/>
          <w:color w:val="auto"/>
          <w:sz w:val="24"/>
          <w:highlight w:val="none"/>
        </w:rPr>
        <w:t>3）按本章第2.2.4项（4）目规定的评审因素和分值对其他部分计算出得分D</w:t>
      </w:r>
      <w:r>
        <w:rPr>
          <w:rFonts w:hint="eastAsia" w:ascii="宋体" w:hAnsi="宋体" w:cs="宋体"/>
          <w:color w:val="auto"/>
          <w:sz w:val="24"/>
          <w:highlight w:val="none"/>
          <w:lang w:eastAsia="zh-CN"/>
        </w:rPr>
        <w:t>。</w:t>
      </w:r>
    </w:p>
    <w:p w14:paraId="7A2701B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3.2.2 </w:t>
      </w:r>
      <w:r>
        <w:rPr>
          <w:rFonts w:hint="eastAsia" w:ascii="宋体" w:hAnsi="宋体" w:cs="宋体"/>
          <w:color w:val="auto"/>
          <w:sz w:val="24"/>
          <w:highlight w:val="none"/>
        </w:rPr>
        <w:t>投标人的商务和技术得分分值计算保留小数点后位数：见评标办法前附表。</w:t>
      </w:r>
    </w:p>
    <w:p w14:paraId="1DC2B17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3.2.3 </w:t>
      </w:r>
      <w:r>
        <w:rPr>
          <w:rFonts w:hint="eastAsia" w:ascii="宋体" w:hAnsi="宋体" w:cs="宋体"/>
          <w:color w:val="auto"/>
          <w:sz w:val="24"/>
          <w:highlight w:val="none"/>
        </w:rPr>
        <w:t>投标人的商务和技术得分＝</w:t>
      </w:r>
      <w:r>
        <w:rPr>
          <w:rFonts w:ascii="宋体" w:hAnsi="宋体" w:cs="宋体"/>
          <w:color w:val="auto"/>
          <w:sz w:val="24"/>
          <w:highlight w:val="none"/>
        </w:rPr>
        <w:t>A＋B＋D。</w:t>
      </w:r>
    </w:p>
    <w:p w14:paraId="602E2EF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3.2.4投标人投标文件第一个信封（商务及技术文件）通过初步评审、详细评审的均进入第二个信封（报价文件）评审。</w:t>
      </w:r>
    </w:p>
    <w:p w14:paraId="564A9DB7">
      <w:pPr>
        <w:pStyle w:val="6"/>
        <w:jc w:val="left"/>
        <w:rPr>
          <w:rFonts w:hint="eastAsia" w:ascii="黑体" w:hAnsi="黑体" w:cs="黑体"/>
          <w:b w:val="0"/>
          <w:bCs w:val="0"/>
          <w:color w:val="auto"/>
          <w:sz w:val="28"/>
          <w:szCs w:val="32"/>
          <w:highlight w:val="none"/>
        </w:rPr>
      </w:pPr>
      <w:bookmarkStart w:id="709" w:name="_Toc53685691"/>
      <w:r>
        <w:rPr>
          <w:rFonts w:hint="eastAsia" w:ascii="黑体" w:hAnsi="黑体" w:cs="黑体"/>
          <w:b w:val="0"/>
          <w:bCs w:val="0"/>
          <w:color w:val="auto"/>
          <w:sz w:val="28"/>
          <w:szCs w:val="32"/>
          <w:highlight w:val="none"/>
        </w:rPr>
        <w:t>3.3</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第二个信封开标</w:t>
      </w:r>
      <w:bookmarkEnd w:id="709"/>
      <w:r>
        <w:rPr>
          <w:rFonts w:hint="eastAsia" w:ascii="黑体" w:hAnsi="黑体" w:cs="黑体"/>
          <w:b w:val="0"/>
          <w:bCs w:val="0"/>
          <w:color w:val="auto"/>
          <w:sz w:val="28"/>
          <w:szCs w:val="32"/>
          <w:highlight w:val="none"/>
        </w:rPr>
        <w:t xml:space="preserve"> </w:t>
      </w:r>
    </w:p>
    <w:p w14:paraId="6E08E787">
      <w:pPr>
        <w:widowControl/>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第一个信封（商务及技术文件）评审结束后，招标人将按照第二章“投标人须知”</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第</w:t>
      </w:r>
      <w:r>
        <w:rPr>
          <w:rFonts w:ascii="宋体" w:hAnsi="宋体"/>
          <w:color w:val="auto"/>
          <w:kern w:val="0"/>
          <w:sz w:val="24"/>
          <w:highlight w:val="none"/>
        </w:rPr>
        <w:t>5.1</w:t>
      </w:r>
      <w:r>
        <w:rPr>
          <w:rFonts w:hint="eastAsia" w:ascii="宋体" w:hAnsi="宋体" w:cs="宋体"/>
          <w:color w:val="auto"/>
          <w:kern w:val="0"/>
          <w:sz w:val="24"/>
          <w:highlight w:val="none"/>
        </w:rPr>
        <w:t>款规定的时间和地点对通过投标文件第一个信封（商务及技术文件）评审的投标文件第二个信封（报价文件）进行开标。</w:t>
      </w:r>
      <w:r>
        <w:rPr>
          <w:rFonts w:ascii="宋体" w:hAnsi="宋体" w:cs="宋体"/>
          <w:color w:val="auto"/>
          <w:kern w:val="0"/>
          <w:sz w:val="24"/>
          <w:highlight w:val="none"/>
        </w:rPr>
        <w:t xml:space="preserve"> </w:t>
      </w:r>
    </w:p>
    <w:p w14:paraId="09244893">
      <w:pPr>
        <w:pStyle w:val="6"/>
        <w:jc w:val="left"/>
        <w:rPr>
          <w:rFonts w:hint="eastAsia" w:ascii="黑体" w:hAnsi="黑体" w:cs="黑体"/>
          <w:b w:val="0"/>
          <w:bCs w:val="0"/>
          <w:color w:val="auto"/>
          <w:sz w:val="28"/>
          <w:szCs w:val="32"/>
          <w:highlight w:val="none"/>
        </w:rPr>
      </w:pPr>
      <w:bookmarkStart w:id="710" w:name="_Toc53685692"/>
      <w:r>
        <w:rPr>
          <w:rFonts w:hint="eastAsia" w:ascii="黑体" w:hAnsi="黑体" w:cs="黑体"/>
          <w:b w:val="0"/>
          <w:bCs w:val="0"/>
          <w:color w:val="auto"/>
          <w:sz w:val="28"/>
          <w:szCs w:val="32"/>
          <w:highlight w:val="none"/>
        </w:rPr>
        <w:t>3.4 第二个信封初步评审</w:t>
      </w:r>
      <w:bookmarkEnd w:id="710"/>
      <w:r>
        <w:rPr>
          <w:rFonts w:hint="eastAsia" w:ascii="黑体" w:hAnsi="黑体" w:cs="黑体"/>
          <w:b w:val="0"/>
          <w:bCs w:val="0"/>
          <w:color w:val="auto"/>
          <w:sz w:val="28"/>
          <w:szCs w:val="32"/>
          <w:highlight w:val="none"/>
        </w:rPr>
        <w:t xml:space="preserve"> </w:t>
      </w:r>
    </w:p>
    <w:p w14:paraId="452DACA0">
      <w:pPr>
        <w:widowControl/>
        <w:snapToGrid w:val="0"/>
        <w:spacing w:line="360" w:lineRule="auto"/>
        <w:ind w:firstLine="420"/>
        <w:rPr>
          <w:rFonts w:ascii="宋体" w:hAnsi="宋体" w:cs="宋体"/>
          <w:color w:val="auto"/>
          <w:kern w:val="0"/>
          <w:sz w:val="24"/>
          <w:highlight w:val="none"/>
        </w:rPr>
      </w:pPr>
      <w:r>
        <w:rPr>
          <w:rFonts w:ascii="宋体" w:hAnsi="宋体"/>
          <w:color w:val="auto"/>
          <w:kern w:val="0"/>
          <w:sz w:val="24"/>
          <w:highlight w:val="none"/>
        </w:rPr>
        <w:t xml:space="preserve">3.4.1 </w:t>
      </w:r>
      <w:r>
        <w:rPr>
          <w:rFonts w:hint="eastAsia" w:ascii="宋体" w:hAnsi="宋体" w:cs="宋体"/>
          <w:color w:val="auto"/>
          <w:kern w:val="0"/>
          <w:sz w:val="24"/>
          <w:highlight w:val="none"/>
        </w:rPr>
        <w:t>评标委员会依据本章第</w:t>
      </w:r>
      <w:r>
        <w:rPr>
          <w:rFonts w:ascii="宋体" w:hAnsi="宋体"/>
          <w:color w:val="auto"/>
          <w:kern w:val="0"/>
          <w:sz w:val="24"/>
          <w:highlight w:val="none"/>
        </w:rPr>
        <w:t>2.1.1</w:t>
      </w:r>
      <w:r>
        <w:rPr>
          <w:rFonts w:hint="eastAsia" w:ascii="宋体" w:hAnsi="宋体" w:cs="宋体"/>
          <w:color w:val="auto"/>
          <w:kern w:val="0"/>
          <w:sz w:val="24"/>
          <w:highlight w:val="none"/>
        </w:rPr>
        <w:t>项、第</w:t>
      </w:r>
      <w:r>
        <w:rPr>
          <w:rFonts w:ascii="宋体" w:hAnsi="宋体"/>
          <w:color w:val="auto"/>
          <w:kern w:val="0"/>
          <w:sz w:val="24"/>
          <w:highlight w:val="none"/>
        </w:rPr>
        <w:t>2.1.3</w:t>
      </w:r>
      <w:r>
        <w:rPr>
          <w:rFonts w:hint="eastAsia" w:ascii="宋体" w:hAnsi="宋体" w:cs="宋体"/>
          <w:color w:val="auto"/>
          <w:kern w:val="0"/>
          <w:sz w:val="24"/>
          <w:highlight w:val="none"/>
        </w:rPr>
        <w:t>项规定的评审标准对投标文件第二个信封（报价文件）进行初步评审。有一项不符合评审标准的，评标委员会应否决其投标。</w:t>
      </w:r>
      <w:r>
        <w:rPr>
          <w:rFonts w:ascii="宋体" w:hAnsi="宋体" w:cs="宋体"/>
          <w:color w:val="auto"/>
          <w:kern w:val="0"/>
          <w:sz w:val="24"/>
          <w:highlight w:val="none"/>
        </w:rPr>
        <w:t xml:space="preserve"> </w:t>
      </w:r>
    </w:p>
    <w:p w14:paraId="60A19E60">
      <w:pPr>
        <w:widowControl/>
        <w:snapToGrid w:val="0"/>
        <w:spacing w:line="360" w:lineRule="auto"/>
        <w:ind w:firstLine="420"/>
        <w:rPr>
          <w:rFonts w:ascii="宋体" w:hAnsi="宋体" w:cs="宋体"/>
          <w:color w:val="auto"/>
          <w:kern w:val="0"/>
          <w:sz w:val="24"/>
          <w:highlight w:val="none"/>
        </w:rPr>
      </w:pPr>
      <w:r>
        <w:rPr>
          <w:rFonts w:ascii="宋体" w:hAnsi="宋体"/>
          <w:color w:val="auto"/>
          <w:kern w:val="0"/>
          <w:sz w:val="24"/>
          <w:highlight w:val="none"/>
        </w:rPr>
        <w:t xml:space="preserve">3.4.2 </w:t>
      </w:r>
      <w:r>
        <w:rPr>
          <w:rFonts w:hint="eastAsia" w:ascii="宋体" w:hAnsi="宋体" w:cs="宋体"/>
          <w:color w:val="auto"/>
          <w:kern w:val="0"/>
          <w:sz w:val="24"/>
          <w:highlight w:val="none"/>
        </w:rPr>
        <w:t>投标报价有算术错误的，评标委员会按</w:t>
      </w:r>
      <w:r>
        <w:rPr>
          <w:rFonts w:hint="eastAsia" w:ascii="宋体" w:hAnsi="宋体"/>
          <w:color w:val="auto"/>
          <w:sz w:val="24"/>
          <w:highlight w:val="none"/>
        </w:rPr>
        <w:t>评标办法前附表</w:t>
      </w:r>
      <w:r>
        <w:rPr>
          <w:rFonts w:hint="eastAsia" w:ascii="宋体" w:hAnsi="宋体" w:cs="宋体"/>
          <w:color w:val="auto"/>
          <w:kern w:val="0"/>
          <w:sz w:val="24"/>
          <w:highlight w:val="none"/>
        </w:rPr>
        <w:t>原则对投标报价进行修正，修正的价格经投标人书面确认后具有约束力。投标人不接受修正价格的，评标委员会应否决其投标。</w:t>
      </w:r>
      <w:r>
        <w:rPr>
          <w:rFonts w:ascii="宋体" w:hAnsi="宋体" w:cs="宋体"/>
          <w:color w:val="auto"/>
          <w:kern w:val="0"/>
          <w:sz w:val="24"/>
          <w:highlight w:val="none"/>
        </w:rPr>
        <w:t xml:space="preserve"> </w:t>
      </w:r>
    </w:p>
    <w:p w14:paraId="75E79365">
      <w:pPr>
        <w:widowControl/>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3.4.3 </w:t>
      </w:r>
      <w:r>
        <w:rPr>
          <w:rFonts w:hint="eastAsia" w:ascii="宋体" w:hAnsi="宋体" w:cs="宋体"/>
          <w:color w:val="auto"/>
          <w:kern w:val="0"/>
          <w:sz w:val="24"/>
          <w:highlight w:val="none"/>
        </w:rPr>
        <w:t>工程量清单中的投标报价有其他错误的，评标委员会按</w:t>
      </w:r>
      <w:r>
        <w:rPr>
          <w:rFonts w:hint="eastAsia" w:ascii="宋体" w:hAnsi="宋体"/>
          <w:color w:val="auto"/>
          <w:sz w:val="24"/>
          <w:highlight w:val="none"/>
        </w:rPr>
        <w:t>评标办法前附表</w:t>
      </w:r>
      <w:r>
        <w:rPr>
          <w:rFonts w:hint="eastAsia" w:ascii="宋体" w:hAnsi="宋体" w:cs="宋体"/>
          <w:color w:val="auto"/>
          <w:kern w:val="0"/>
          <w:sz w:val="24"/>
          <w:highlight w:val="none"/>
        </w:rPr>
        <w:t>原则对投标报价进行修正，修正的价格经投标人书面确认后具有约束力。投标人不接受修正价格的，评标委员会应否决其投标。</w:t>
      </w:r>
      <w:r>
        <w:rPr>
          <w:rFonts w:ascii="宋体" w:hAnsi="宋体" w:cs="宋体"/>
          <w:color w:val="auto"/>
          <w:kern w:val="0"/>
          <w:sz w:val="24"/>
          <w:highlight w:val="none"/>
        </w:rPr>
        <w:t xml:space="preserve"> </w:t>
      </w:r>
    </w:p>
    <w:p w14:paraId="7FBD2E18">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3.4.4 </w:t>
      </w:r>
      <w:r>
        <w:rPr>
          <w:rFonts w:hint="eastAsia" w:ascii="宋体" w:hAnsi="宋体"/>
          <w:color w:val="auto"/>
          <w:kern w:val="0"/>
          <w:sz w:val="24"/>
          <w:highlight w:val="none"/>
        </w:rPr>
        <w:t>修正后的最终投标报价若超过最高投标限价（如有），评标委员会应否决其投标。</w:t>
      </w:r>
      <w:r>
        <w:rPr>
          <w:rFonts w:ascii="宋体" w:hAnsi="宋体"/>
          <w:color w:val="auto"/>
          <w:kern w:val="0"/>
          <w:sz w:val="24"/>
          <w:highlight w:val="none"/>
        </w:rPr>
        <w:t xml:space="preserve"> </w:t>
      </w:r>
    </w:p>
    <w:p w14:paraId="31F1E639">
      <w:pPr>
        <w:pStyle w:val="6"/>
        <w:jc w:val="left"/>
        <w:rPr>
          <w:rFonts w:hint="eastAsia" w:ascii="黑体" w:hAnsi="黑体" w:cs="黑体"/>
          <w:b w:val="0"/>
          <w:bCs w:val="0"/>
          <w:color w:val="auto"/>
          <w:sz w:val="28"/>
          <w:szCs w:val="32"/>
          <w:highlight w:val="none"/>
        </w:rPr>
      </w:pPr>
      <w:bookmarkStart w:id="711" w:name="_Toc53685693"/>
      <w:r>
        <w:rPr>
          <w:rFonts w:hint="eastAsia" w:ascii="黑体" w:hAnsi="黑体" w:cs="黑体"/>
          <w:b w:val="0"/>
          <w:bCs w:val="0"/>
          <w:color w:val="auto"/>
          <w:sz w:val="28"/>
          <w:szCs w:val="32"/>
          <w:highlight w:val="none"/>
        </w:rPr>
        <w:t>3.5 第二个信封详细评审</w:t>
      </w:r>
      <w:bookmarkEnd w:id="711"/>
      <w:r>
        <w:rPr>
          <w:rFonts w:hint="eastAsia" w:ascii="黑体" w:hAnsi="黑体" w:cs="黑体"/>
          <w:b w:val="0"/>
          <w:bCs w:val="0"/>
          <w:color w:val="auto"/>
          <w:sz w:val="28"/>
          <w:szCs w:val="32"/>
          <w:highlight w:val="none"/>
        </w:rPr>
        <w:t xml:space="preserve"> </w:t>
      </w:r>
    </w:p>
    <w:p w14:paraId="2C1091A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3.5.1 </w:t>
      </w:r>
      <w:r>
        <w:rPr>
          <w:rFonts w:hint="eastAsia" w:ascii="宋体" w:hAnsi="宋体" w:cs="宋体"/>
          <w:color w:val="auto"/>
          <w:sz w:val="24"/>
          <w:highlight w:val="none"/>
        </w:rPr>
        <w:t>评标委员会按本章</w:t>
      </w:r>
      <w:r>
        <w:rPr>
          <w:rFonts w:hint="eastAsia" w:ascii="宋体" w:hAnsi="宋体" w:cs="宋体"/>
          <w:color w:val="auto"/>
          <w:sz w:val="24"/>
          <w:highlight w:val="none"/>
          <w:lang w:val="en-US" w:eastAsia="zh-CN"/>
        </w:rPr>
        <w:t>第</w:t>
      </w:r>
      <w:r>
        <w:rPr>
          <w:rFonts w:ascii="宋体" w:hAnsi="宋体" w:cs="宋体"/>
          <w:color w:val="auto"/>
          <w:sz w:val="24"/>
          <w:highlight w:val="none"/>
        </w:rPr>
        <w:t>2.2.4项（3）目规定的评审因素和分值对评标价计算出得分F，评标价得分分值计算保留</w:t>
      </w:r>
      <w:r>
        <w:rPr>
          <w:rFonts w:hint="eastAsia" w:ascii="宋体" w:hAnsi="宋体" w:cs="宋体"/>
          <w:color w:val="auto"/>
          <w:sz w:val="24"/>
          <w:highlight w:val="none"/>
        </w:rPr>
        <w:t>小数点后位数：见评标办法前附表。</w:t>
      </w:r>
      <w:r>
        <w:rPr>
          <w:rFonts w:ascii="宋体" w:hAnsi="宋体" w:cs="宋体"/>
          <w:color w:val="auto"/>
          <w:sz w:val="24"/>
          <w:highlight w:val="none"/>
        </w:rPr>
        <w:t xml:space="preserve"> </w:t>
      </w:r>
    </w:p>
    <w:p w14:paraId="2B6E26A5">
      <w:pPr>
        <w:widowControl/>
        <w:snapToGrid w:val="0"/>
        <w:spacing w:line="360" w:lineRule="auto"/>
        <w:ind w:firstLine="480"/>
        <w:rPr>
          <w:rFonts w:ascii="宋体" w:hAnsi="宋体"/>
          <w:color w:val="auto"/>
          <w:kern w:val="0"/>
          <w:sz w:val="24"/>
          <w:highlight w:val="none"/>
        </w:rPr>
      </w:pPr>
      <w:r>
        <w:rPr>
          <w:rFonts w:ascii="宋体" w:hAnsi="宋体" w:cs="宋体"/>
          <w:color w:val="auto"/>
          <w:sz w:val="24"/>
          <w:highlight w:val="none"/>
        </w:rPr>
        <w:t xml:space="preserve">3.5.2 </w:t>
      </w:r>
      <w:r>
        <w:rPr>
          <w:rFonts w:hint="eastAsia" w:ascii="宋体" w:hAnsi="宋体" w:cs="宋体"/>
          <w:color w:val="auto"/>
          <w:sz w:val="24"/>
          <w:highlight w:val="none"/>
        </w:rPr>
        <w:t>投标人综合得分＝投标人的商务和技术得分</w:t>
      </w:r>
      <w:r>
        <w:rPr>
          <w:rFonts w:hint="eastAsia" w:ascii="微软雅黑" w:hAnsi="微软雅黑" w:eastAsia="微软雅黑" w:cs="微软雅黑"/>
          <w:color w:val="auto"/>
          <w:sz w:val="24"/>
          <w:highlight w:val="none"/>
        </w:rPr>
        <w:t>+</w:t>
      </w:r>
      <w:r>
        <w:rPr>
          <w:rFonts w:ascii="宋体" w:hAnsi="宋体" w:cs="宋体"/>
          <w:color w:val="auto"/>
          <w:sz w:val="24"/>
          <w:highlight w:val="none"/>
        </w:rPr>
        <w:t>F。</w:t>
      </w:r>
      <w:r>
        <w:rPr>
          <w:rFonts w:ascii="宋体" w:hAnsi="宋体"/>
          <w:color w:val="auto"/>
          <w:kern w:val="0"/>
          <w:sz w:val="24"/>
          <w:highlight w:val="none"/>
        </w:rPr>
        <w:t xml:space="preserve"> </w:t>
      </w:r>
    </w:p>
    <w:p w14:paraId="7331AD70">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3.5.3 </w:t>
      </w:r>
      <w:r>
        <w:rPr>
          <w:rFonts w:hint="eastAsia" w:ascii="宋体" w:hAnsi="宋体"/>
          <w:color w:val="auto"/>
          <w:kern w:val="0"/>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color w:val="auto"/>
          <w:kern w:val="0"/>
          <w:sz w:val="24"/>
          <w:highlight w:val="none"/>
        </w:rPr>
        <w:t xml:space="preserve"> </w:t>
      </w:r>
    </w:p>
    <w:p w14:paraId="1B8DA187">
      <w:pPr>
        <w:pStyle w:val="6"/>
        <w:jc w:val="left"/>
        <w:rPr>
          <w:rFonts w:hint="eastAsia" w:ascii="黑体" w:hAnsi="黑体" w:cs="黑体"/>
          <w:b w:val="0"/>
          <w:bCs w:val="0"/>
          <w:color w:val="auto"/>
          <w:sz w:val="28"/>
          <w:szCs w:val="32"/>
          <w:highlight w:val="none"/>
        </w:rPr>
      </w:pPr>
      <w:bookmarkStart w:id="712" w:name="_Toc53685694"/>
      <w:r>
        <w:rPr>
          <w:rFonts w:hint="eastAsia" w:ascii="黑体" w:hAnsi="黑体" w:cs="黑体"/>
          <w:b w:val="0"/>
          <w:bCs w:val="0"/>
          <w:color w:val="auto"/>
          <w:sz w:val="28"/>
          <w:szCs w:val="32"/>
          <w:highlight w:val="none"/>
        </w:rPr>
        <w:t>3.6 投标文件相关信息的核查</w:t>
      </w:r>
      <w:bookmarkEnd w:id="712"/>
      <w:r>
        <w:rPr>
          <w:rFonts w:hint="eastAsia" w:ascii="黑体" w:hAnsi="黑体" w:cs="黑体"/>
          <w:b w:val="0"/>
          <w:bCs w:val="0"/>
          <w:color w:val="auto"/>
          <w:sz w:val="28"/>
          <w:szCs w:val="32"/>
          <w:highlight w:val="none"/>
        </w:rPr>
        <w:t xml:space="preserve"> </w:t>
      </w:r>
    </w:p>
    <w:p w14:paraId="19C2A4C4">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3.6.1 </w:t>
      </w:r>
      <w:bookmarkStart w:id="713" w:name="_Hlk94016359"/>
      <w:r>
        <w:rPr>
          <w:rFonts w:hint="eastAsia" w:ascii="宋体" w:hAnsi="宋体"/>
          <w:color w:val="auto"/>
          <w:kern w:val="0"/>
          <w:sz w:val="24"/>
          <w:highlight w:val="none"/>
        </w:rPr>
        <w:t>在评标过程中，评标委员会应查询交通运输主管部门“</w:t>
      </w:r>
      <w:r>
        <w:rPr>
          <w:rFonts w:hint="eastAsia" w:ascii="宋体" w:hAnsi="宋体" w:cs="Times New Roman"/>
          <w:color w:val="auto"/>
          <w:kern w:val="0"/>
          <w:sz w:val="24"/>
          <w:szCs w:val="24"/>
          <w:highlight w:val="none"/>
        </w:rPr>
        <w:t>全国公路建设市场监督管理系统</w:t>
      </w:r>
      <w:r>
        <w:rPr>
          <w:rFonts w:hint="eastAsia" w:ascii="宋体" w:hAnsi="宋体"/>
          <w:color w:val="auto"/>
          <w:kern w:val="0"/>
          <w:sz w:val="24"/>
          <w:highlight w:val="none"/>
        </w:rPr>
        <w:t>”，对投标人的资质、业绩、主要人员资历</w:t>
      </w:r>
      <w:bookmarkStart w:id="714" w:name="_Hlk98666143"/>
      <w:r>
        <w:rPr>
          <w:rFonts w:hint="eastAsia" w:ascii="宋体" w:hAnsi="宋体"/>
          <w:color w:val="auto"/>
          <w:kern w:val="0"/>
          <w:sz w:val="24"/>
          <w:highlight w:val="none"/>
          <w:lang w:val="en-US" w:eastAsia="zh-CN"/>
        </w:rPr>
        <w:t>等</w:t>
      </w:r>
      <w:r>
        <w:rPr>
          <w:rFonts w:hint="eastAsia" w:ascii="宋体" w:hAnsi="宋体"/>
          <w:color w:val="auto"/>
          <w:kern w:val="0"/>
          <w:sz w:val="24"/>
          <w:highlight w:val="none"/>
        </w:rPr>
        <w:t>信息进行核实，信用等级</w:t>
      </w:r>
      <w:r>
        <w:rPr>
          <w:rFonts w:hint="eastAsia" w:ascii="宋体" w:hAnsi="宋体"/>
          <w:color w:val="auto"/>
          <w:sz w:val="24"/>
          <w:highlight w:val="none"/>
        </w:rPr>
        <w:t>信息应以“信用交通·四川”上查询结果为准</w:t>
      </w:r>
      <w:bookmarkEnd w:id="714"/>
      <w:r>
        <w:rPr>
          <w:rFonts w:hint="eastAsia" w:ascii="宋体" w:hAnsi="宋体"/>
          <w:color w:val="auto"/>
          <w:sz w:val="24"/>
          <w:highlight w:val="none"/>
        </w:rPr>
        <w:t>。</w:t>
      </w:r>
      <w:bookmarkStart w:id="715" w:name="_Hlk98666161"/>
      <w:r>
        <w:rPr>
          <w:rFonts w:hint="eastAsia" w:ascii="宋体" w:hAnsi="宋体"/>
          <w:color w:val="auto"/>
          <w:kern w:val="0"/>
          <w:sz w:val="24"/>
          <w:highlight w:val="none"/>
        </w:rPr>
        <w:t>若投标文件</w:t>
      </w:r>
      <w:r>
        <w:rPr>
          <w:rFonts w:hint="eastAsia" w:ascii="宋体" w:hAnsi="宋体"/>
          <w:color w:val="auto"/>
          <w:kern w:val="0"/>
          <w:sz w:val="24"/>
          <w:highlight w:val="none"/>
          <w:lang w:val="en-US" w:eastAsia="zh-CN"/>
        </w:rPr>
        <w:t>提供</w:t>
      </w:r>
      <w:r>
        <w:rPr>
          <w:rFonts w:hint="eastAsia" w:ascii="宋体" w:hAnsi="宋体"/>
          <w:color w:val="auto"/>
          <w:kern w:val="0"/>
          <w:sz w:val="24"/>
          <w:highlight w:val="none"/>
        </w:rPr>
        <w:t>的信息与</w:t>
      </w:r>
      <w:bookmarkStart w:id="716" w:name="_Hlk93776991"/>
      <w:r>
        <w:rPr>
          <w:rFonts w:hint="eastAsia" w:ascii="宋体" w:hAnsi="宋体"/>
          <w:color w:val="auto"/>
          <w:kern w:val="0"/>
          <w:sz w:val="24"/>
          <w:highlight w:val="none"/>
        </w:rPr>
        <w:t>上述</w:t>
      </w:r>
      <w:r>
        <w:rPr>
          <w:rFonts w:ascii="宋体" w:hAnsi="宋体"/>
          <w:color w:val="auto"/>
          <w:kern w:val="0"/>
          <w:sz w:val="24"/>
          <w:highlight w:val="none"/>
        </w:rPr>
        <w:t>信息发布平台</w:t>
      </w:r>
      <w:bookmarkEnd w:id="715"/>
      <w:bookmarkEnd w:id="716"/>
      <w:r>
        <w:rPr>
          <w:rFonts w:hint="eastAsia" w:ascii="宋体" w:hAnsi="宋体"/>
          <w:color w:val="auto"/>
          <w:kern w:val="0"/>
          <w:sz w:val="24"/>
          <w:highlight w:val="none"/>
        </w:rPr>
        <w:t>发布的信息不符，使得投标人的资格条件不符合招标文件规定的，评标委员会应否决其投标</w:t>
      </w:r>
      <w:bookmarkEnd w:id="713"/>
      <w:r>
        <w:rPr>
          <w:rFonts w:hint="eastAsia" w:ascii="宋体" w:hAnsi="宋体"/>
          <w:color w:val="auto"/>
          <w:kern w:val="0"/>
          <w:sz w:val="24"/>
          <w:highlight w:val="none"/>
        </w:rPr>
        <w:t>。</w:t>
      </w:r>
      <w:r>
        <w:rPr>
          <w:rFonts w:ascii="宋体" w:hAnsi="宋体"/>
          <w:color w:val="auto"/>
          <w:kern w:val="0"/>
          <w:sz w:val="24"/>
          <w:highlight w:val="none"/>
        </w:rPr>
        <w:t xml:space="preserve"> </w:t>
      </w:r>
    </w:p>
    <w:p w14:paraId="6672E70C">
      <w:pPr>
        <w:widowControl/>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3.6.2 </w:t>
      </w:r>
      <w:r>
        <w:rPr>
          <w:rFonts w:hint="eastAsia" w:ascii="宋体" w:hAnsi="宋体"/>
          <w:color w:val="auto"/>
          <w:kern w:val="0"/>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color w:val="auto"/>
          <w:kern w:val="0"/>
          <w:sz w:val="24"/>
          <w:highlight w:val="none"/>
        </w:rPr>
        <w:t xml:space="preserve"> </w:t>
      </w:r>
    </w:p>
    <w:p w14:paraId="4645E906">
      <w:pPr>
        <w:widowControl/>
        <w:snapToGrid w:val="0"/>
        <w:spacing w:line="360" w:lineRule="auto"/>
        <w:ind w:left="42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）有下列情形之一的，属于投标人相互串通投标：</w:t>
      </w:r>
      <w:r>
        <w:rPr>
          <w:rFonts w:ascii="宋体" w:hAnsi="宋体"/>
          <w:color w:val="auto"/>
          <w:kern w:val="0"/>
          <w:sz w:val="24"/>
          <w:highlight w:val="none"/>
        </w:rPr>
        <w:t xml:space="preserve"> </w:t>
      </w:r>
    </w:p>
    <w:p w14:paraId="43F823B9">
      <w:pPr>
        <w:widowControl/>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投标人之间协商投标报价等投标文件的实质性内容；</w:t>
      </w:r>
      <w:r>
        <w:rPr>
          <w:rFonts w:ascii="宋体" w:hAnsi="宋体"/>
          <w:color w:val="auto"/>
          <w:kern w:val="0"/>
          <w:sz w:val="24"/>
          <w:highlight w:val="none"/>
        </w:rPr>
        <w:t xml:space="preserve"> </w:t>
      </w:r>
    </w:p>
    <w:p w14:paraId="01BF6B75">
      <w:pPr>
        <w:widowControl/>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投标人之间约定中标人；</w:t>
      </w:r>
      <w:r>
        <w:rPr>
          <w:rFonts w:ascii="宋体" w:hAnsi="宋体"/>
          <w:color w:val="auto"/>
          <w:kern w:val="0"/>
          <w:sz w:val="24"/>
          <w:highlight w:val="none"/>
        </w:rPr>
        <w:t xml:space="preserve"> </w:t>
      </w:r>
    </w:p>
    <w:p w14:paraId="3AAF03D3">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投标人之间约定部分投标人放弃投标或中标；</w:t>
      </w:r>
      <w:r>
        <w:rPr>
          <w:rFonts w:ascii="宋体" w:hAnsi="宋体"/>
          <w:color w:val="auto"/>
          <w:kern w:val="0"/>
          <w:sz w:val="24"/>
          <w:highlight w:val="none"/>
        </w:rPr>
        <w:t xml:space="preserve"> </w:t>
      </w:r>
    </w:p>
    <w:p w14:paraId="4AE765B1">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属于同一集团、协会、商会等组织成员的投标人按照该组织要求协同投标；</w:t>
      </w:r>
      <w:r>
        <w:rPr>
          <w:rFonts w:ascii="宋体" w:hAnsi="宋体"/>
          <w:color w:val="auto"/>
          <w:kern w:val="0"/>
          <w:sz w:val="24"/>
          <w:highlight w:val="none"/>
        </w:rPr>
        <w:t xml:space="preserve"> </w:t>
      </w:r>
    </w:p>
    <w:p w14:paraId="4BC04A69">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投标人之间为谋取中标或排斥特定投标人而采取的其他联合行动。</w:t>
      </w:r>
      <w:r>
        <w:rPr>
          <w:rFonts w:ascii="宋体" w:hAnsi="宋体"/>
          <w:color w:val="auto"/>
          <w:kern w:val="0"/>
          <w:sz w:val="24"/>
          <w:highlight w:val="none"/>
        </w:rPr>
        <w:t xml:space="preserve"> </w:t>
      </w:r>
    </w:p>
    <w:p w14:paraId="50BCF9B4">
      <w:pPr>
        <w:widowControl/>
        <w:snapToGrid w:val="0"/>
        <w:spacing w:line="360" w:lineRule="auto"/>
        <w:ind w:left="42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）有下列情形之一的，视为投标人相互串通投标：</w:t>
      </w:r>
      <w:r>
        <w:rPr>
          <w:rFonts w:ascii="宋体" w:hAnsi="宋体"/>
          <w:color w:val="auto"/>
          <w:kern w:val="0"/>
          <w:sz w:val="24"/>
          <w:highlight w:val="none"/>
        </w:rPr>
        <w:t xml:space="preserve"> </w:t>
      </w:r>
    </w:p>
    <w:p w14:paraId="03B4F73D">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不同投标人的投标文件由同一单位或个人编制；</w:t>
      </w:r>
      <w:r>
        <w:rPr>
          <w:rFonts w:ascii="宋体" w:hAnsi="宋体"/>
          <w:color w:val="auto"/>
          <w:kern w:val="0"/>
          <w:sz w:val="24"/>
          <w:highlight w:val="none"/>
        </w:rPr>
        <w:t xml:space="preserve"> </w:t>
      </w:r>
    </w:p>
    <w:p w14:paraId="248F3E14">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不同投标人委托同一单位或个人办理投标事宜；</w:t>
      </w:r>
      <w:r>
        <w:rPr>
          <w:rFonts w:ascii="宋体" w:hAnsi="宋体"/>
          <w:color w:val="auto"/>
          <w:kern w:val="0"/>
          <w:sz w:val="24"/>
          <w:highlight w:val="none"/>
        </w:rPr>
        <w:t xml:space="preserve"> </w:t>
      </w:r>
    </w:p>
    <w:p w14:paraId="439629DB">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不同投标人的投标文件载明的项目管理成员为同一人；</w:t>
      </w:r>
      <w:r>
        <w:rPr>
          <w:rFonts w:ascii="宋体" w:hAnsi="宋体"/>
          <w:color w:val="auto"/>
          <w:kern w:val="0"/>
          <w:sz w:val="24"/>
          <w:highlight w:val="none"/>
        </w:rPr>
        <w:t xml:space="preserve"> </w:t>
      </w:r>
    </w:p>
    <w:p w14:paraId="5BF3314A">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不同投标人的投标文件异常一致或投标报价呈规律性差异；</w:t>
      </w:r>
      <w:r>
        <w:rPr>
          <w:rFonts w:ascii="宋体" w:hAnsi="宋体"/>
          <w:color w:val="auto"/>
          <w:kern w:val="0"/>
          <w:sz w:val="24"/>
          <w:highlight w:val="none"/>
        </w:rPr>
        <w:t xml:space="preserve"> </w:t>
      </w:r>
    </w:p>
    <w:p w14:paraId="32F40A4B">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不同投标人的投标文件相互混装；</w:t>
      </w:r>
      <w:r>
        <w:rPr>
          <w:rFonts w:ascii="宋体" w:hAnsi="宋体"/>
          <w:color w:val="auto"/>
          <w:kern w:val="0"/>
          <w:sz w:val="24"/>
          <w:highlight w:val="none"/>
        </w:rPr>
        <w:t xml:space="preserve"> </w:t>
      </w:r>
    </w:p>
    <w:p w14:paraId="3A9262F2">
      <w:pPr>
        <w:widowControl/>
        <w:snapToGrid w:val="0"/>
        <w:spacing w:line="360" w:lineRule="auto"/>
        <w:ind w:left="420"/>
        <w:jc w:val="left"/>
        <w:rPr>
          <w:rFonts w:hint="default" w:ascii="宋体" w:hAnsi="宋体"/>
          <w:color w:val="auto"/>
          <w:kern w:val="0"/>
          <w:sz w:val="24"/>
          <w:highlight w:val="none"/>
          <w:lang w:eastAsia="zh-CN"/>
        </w:rPr>
      </w:pPr>
      <w:r>
        <w:rPr>
          <w:rFonts w:ascii="宋体" w:hAnsi="宋体"/>
          <w:color w:val="auto"/>
          <w:kern w:val="0"/>
          <w:sz w:val="24"/>
          <w:highlight w:val="none"/>
        </w:rPr>
        <w:t>f.</w:t>
      </w:r>
      <w:r>
        <w:rPr>
          <w:rFonts w:hint="eastAsia" w:ascii="宋体" w:hAnsi="宋体"/>
          <w:color w:val="auto"/>
          <w:kern w:val="0"/>
          <w:sz w:val="24"/>
          <w:highlight w:val="none"/>
        </w:rPr>
        <w:t>不同投标人的投标保证金从同一单位或个人的账户转出</w:t>
      </w:r>
      <w:r>
        <w:rPr>
          <w:rFonts w:hint="default" w:ascii="宋体" w:hAnsi="宋体"/>
          <w:color w:val="auto"/>
          <w:kern w:val="0"/>
          <w:sz w:val="24"/>
          <w:highlight w:val="none"/>
          <w:lang w:eastAsia="zh-CN"/>
        </w:rPr>
        <w:t>；</w:t>
      </w:r>
    </w:p>
    <w:p w14:paraId="23A8275E">
      <w:pPr>
        <w:widowControl/>
        <w:snapToGrid w:val="0"/>
        <w:spacing w:line="360" w:lineRule="auto"/>
        <w:ind w:left="420" w:firstLine="0" w:firstLineChars="0"/>
        <w:jc w:val="left"/>
        <w:rPr>
          <w:rFonts w:ascii="宋体" w:hAnsi="宋体"/>
          <w:color w:val="auto"/>
          <w:kern w:val="0"/>
          <w:sz w:val="24"/>
          <w:highlight w:val="none"/>
        </w:rPr>
      </w:pPr>
      <w:r>
        <w:rPr>
          <w:rFonts w:ascii="宋体" w:hAnsi="宋体"/>
          <w:color w:val="auto"/>
          <w:kern w:val="0"/>
          <w:sz w:val="24"/>
          <w:highlight w:val="none"/>
        </w:rPr>
        <w:t>g.对同一标段不同投标人电子投标文件的文件制作机器码或文件创建标识码相</w:t>
      </w:r>
    </w:p>
    <w:p w14:paraId="3B1705AA">
      <w:pPr>
        <w:widowControl/>
        <w:snapToGrid w:val="0"/>
        <w:spacing w:line="360" w:lineRule="auto"/>
        <w:ind w:left="0" w:firstLine="0" w:firstLineChars="0"/>
        <w:jc w:val="left"/>
        <w:rPr>
          <w:rFonts w:ascii="宋体" w:hAnsi="宋体"/>
          <w:color w:val="auto"/>
          <w:kern w:val="0"/>
          <w:sz w:val="24"/>
          <w:highlight w:val="none"/>
        </w:rPr>
      </w:pPr>
      <w:r>
        <w:rPr>
          <w:rFonts w:ascii="宋体" w:hAnsi="宋体"/>
          <w:color w:val="auto"/>
          <w:kern w:val="0"/>
          <w:sz w:val="24"/>
          <w:highlight w:val="none"/>
        </w:rPr>
        <w:t>同；</w:t>
      </w:r>
    </w:p>
    <w:p w14:paraId="0E415471">
      <w:pPr>
        <w:widowControl/>
        <w:snapToGrid w:val="0"/>
        <w:spacing w:line="360" w:lineRule="auto"/>
        <w:ind w:left="420" w:firstLine="0"/>
        <w:jc w:val="left"/>
        <w:rPr>
          <w:rFonts w:ascii="宋体" w:hAnsi="宋体"/>
          <w:color w:val="auto"/>
          <w:kern w:val="0"/>
          <w:sz w:val="24"/>
          <w:highlight w:val="none"/>
        </w:rPr>
      </w:pPr>
      <w:r>
        <w:rPr>
          <w:rFonts w:ascii="宋体" w:hAnsi="宋体"/>
          <w:color w:val="auto"/>
          <w:kern w:val="0"/>
          <w:sz w:val="24"/>
          <w:highlight w:val="none"/>
        </w:rPr>
        <w:t>h.不同投标人从同一投标单位或同一自然人的互联网协议地址上传投标文件、购</w:t>
      </w:r>
    </w:p>
    <w:p w14:paraId="5B49612F">
      <w:pPr>
        <w:widowControl/>
        <w:snapToGrid w:val="0"/>
        <w:spacing w:line="360" w:lineRule="auto"/>
        <w:ind w:left="0" w:firstLine="0"/>
        <w:jc w:val="left"/>
        <w:rPr>
          <w:rFonts w:ascii="宋体" w:hAnsi="宋体"/>
          <w:color w:val="auto"/>
          <w:kern w:val="0"/>
          <w:sz w:val="24"/>
          <w:highlight w:val="none"/>
        </w:rPr>
      </w:pPr>
      <w:r>
        <w:rPr>
          <w:rFonts w:ascii="宋体" w:hAnsi="宋体"/>
          <w:color w:val="auto"/>
          <w:kern w:val="0"/>
          <w:sz w:val="24"/>
          <w:highlight w:val="none"/>
        </w:rPr>
        <w:t>买电子保函或参加投标活动的人员为同一标段其他投标人的在职人员</w:t>
      </w:r>
      <w:r>
        <w:rPr>
          <w:rFonts w:hint="default" w:ascii="宋体" w:hAnsi="宋体"/>
          <w:color w:val="auto"/>
          <w:kern w:val="0"/>
          <w:sz w:val="24"/>
          <w:highlight w:val="none"/>
        </w:rPr>
        <w:t>；</w:t>
      </w:r>
    </w:p>
    <w:p w14:paraId="02EC78C5">
      <w:pPr>
        <w:widowControl/>
        <w:snapToGrid w:val="0"/>
        <w:spacing w:line="360" w:lineRule="auto"/>
        <w:ind w:left="420"/>
        <w:jc w:val="left"/>
        <w:rPr>
          <w:rFonts w:ascii="宋体" w:hAnsi="宋体"/>
          <w:color w:val="auto"/>
          <w:kern w:val="0"/>
          <w:sz w:val="24"/>
          <w:highlight w:val="none"/>
        </w:rPr>
      </w:pPr>
      <w:r>
        <w:rPr>
          <w:rFonts w:hint="default" w:ascii="宋体" w:hAnsi="宋体"/>
          <w:color w:val="auto"/>
          <w:kern w:val="0"/>
          <w:sz w:val="24"/>
          <w:highlight w:val="none"/>
        </w:rPr>
        <w:t>j.</w:t>
      </w:r>
      <w:r>
        <w:rPr>
          <w:rFonts w:ascii="宋体" w:hAnsi="宋体"/>
          <w:color w:val="auto"/>
          <w:kern w:val="0"/>
          <w:sz w:val="24"/>
          <w:highlight w:val="none"/>
        </w:rPr>
        <w:t xml:space="preserve">不同投标人通过同一单位或者个人账户购买电子保函的。 </w:t>
      </w:r>
    </w:p>
    <w:p w14:paraId="6724CA38">
      <w:pPr>
        <w:widowControl/>
        <w:spacing w:line="360" w:lineRule="auto"/>
        <w:ind w:left="42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w:t>
      </w:r>
      <w:r>
        <w:rPr>
          <w:rFonts w:hint="eastAsia" w:ascii="宋体" w:hAnsi="宋体"/>
          <w:color w:val="auto"/>
          <w:kern w:val="0"/>
          <w:sz w:val="24"/>
          <w:highlight w:val="none"/>
        </w:rPr>
        <w:t>）有下列情形之一的，属于招标人与投标人串通投标：</w:t>
      </w:r>
    </w:p>
    <w:p w14:paraId="00B58768">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招标人在开标前开启投标文件并将有关信息泄露给其他投标人；</w:t>
      </w:r>
      <w:r>
        <w:rPr>
          <w:rFonts w:ascii="宋体" w:hAnsi="宋体"/>
          <w:color w:val="auto"/>
          <w:kern w:val="0"/>
          <w:sz w:val="24"/>
          <w:highlight w:val="none"/>
        </w:rPr>
        <w:t xml:space="preserve"> </w:t>
      </w:r>
    </w:p>
    <w:p w14:paraId="2999993B">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招标人直接或间接向投标人泄露标底、评标委员会成员等信息；</w:t>
      </w:r>
      <w:r>
        <w:rPr>
          <w:rFonts w:ascii="宋体" w:hAnsi="宋体"/>
          <w:color w:val="auto"/>
          <w:kern w:val="0"/>
          <w:sz w:val="24"/>
          <w:highlight w:val="none"/>
        </w:rPr>
        <w:t xml:space="preserve"> </w:t>
      </w:r>
    </w:p>
    <w:p w14:paraId="0915BF7F">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招标人明示或暗示投标人压低或抬高投标报价；</w:t>
      </w:r>
      <w:r>
        <w:rPr>
          <w:rFonts w:ascii="宋体" w:hAnsi="宋体"/>
          <w:color w:val="auto"/>
          <w:kern w:val="0"/>
          <w:sz w:val="24"/>
          <w:highlight w:val="none"/>
        </w:rPr>
        <w:t xml:space="preserve"> </w:t>
      </w:r>
    </w:p>
    <w:p w14:paraId="0D328113">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招标人授意投标人撤换、修改投标文件；</w:t>
      </w:r>
      <w:r>
        <w:rPr>
          <w:rFonts w:ascii="宋体" w:hAnsi="宋体"/>
          <w:color w:val="auto"/>
          <w:kern w:val="0"/>
          <w:sz w:val="24"/>
          <w:highlight w:val="none"/>
        </w:rPr>
        <w:t xml:space="preserve"> </w:t>
      </w:r>
    </w:p>
    <w:p w14:paraId="39C9A46A">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招标人明示或暗示投标人为特定投标人中标提供方便；</w:t>
      </w:r>
      <w:r>
        <w:rPr>
          <w:rFonts w:ascii="宋体" w:hAnsi="宋体"/>
          <w:color w:val="auto"/>
          <w:kern w:val="0"/>
          <w:sz w:val="24"/>
          <w:highlight w:val="none"/>
        </w:rPr>
        <w:t xml:space="preserve"> </w:t>
      </w:r>
    </w:p>
    <w:p w14:paraId="3309B0E5">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招标人与投标人为谋求特定投标人中标而采取的其他串通行为。</w:t>
      </w:r>
    </w:p>
    <w:p w14:paraId="215024CC">
      <w:pPr>
        <w:widowControl/>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w:t>
      </w:r>
      <w:r>
        <w:rPr>
          <w:rFonts w:hint="eastAsia" w:ascii="宋体" w:hAnsi="宋体"/>
          <w:color w:val="auto"/>
          <w:kern w:val="0"/>
          <w:sz w:val="24"/>
          <w:highlight w:val="none"/>
        </w:rPr>
        <w:t>有下列情形之一的，属于电子招标投标交易平台运营机构或其人员与投标人串通投标：</w:t>
      </w:r>
    </w:p>
    <w:p w14:paraId="7C50C65F">
      <w:pPr>
        <w:widowControl/>
        <w:spacing w:line="360" w:lineRule="auto"/>
        <w:ind w:firstLine="480"/>
        <w:rPr>
          <w:rFonts w:hint="eastAsia" w:ascii="宋体" w:hAnsi="宋体" w:eastAsia="宋体"/>
          <w:color w:val="auto"/>
          <w:kern w:val="0"/>
          <w:sz w:val="24"/>
          <w:highlight w:val="none"/>
          <w:lang w:eastAsia="zh-CN"/>
        </w:rPr>
      </w:pPr>
      <w:r>
        <w:rPr>
          <w:rFonts w:ascii="宋体" w:hAnsi="宋体"/>
          <w:color w:val="auto"/>
          <w:kern w:val="0"/>
          <w:sz w:val="24"/>
          <w:highlight w:val="none"/>
        </w:rPr>
        <w:t>a.电子招标投标交易平台运营机构或其人员在开标前开启投标文件并将有关信息泄露给其他投标人</w:t>
      </w:r>
      <w:r>
        <w:rPr>
          <w:rFonts w:hint="eastAsia" w:ascii="宋体" w:hAnsi="宋体"/>
          <w:color w:val="auto"/>
          <w:kern w:val="0"/>
          <w:sz w:val="24"/>
          <w:highlight w:val="none"/>
          <w:lang w:eastAsia="zh-CN"/>
        </w:rPr>
        <w:t>；</w:t>
      </w:r>
    </w:p>
    <w:p w14:paraId="1C62B2FF">
      <w:pPr>
        <w:widowControl/>
        <w:spacing w:line="360" w:lineRule="auto"/>
        <w:ind w:firstLine="480"/>
        <w:rPr>
          <w:rFonts w:ascii="宋体" w:hAnsi="宋体"/>
          <w:color w:val="auto"/>
          <w:kern w:val="0"/>
          <w:sz w:val="24"/>
          <w:highlight w:val="none"/>
        </w:rPr>
      </w:pPr>
      <w:r>
        <w:rPr>
          <w:rFonts w:ascii="宋体" w:hAnsi="宋体"/>
          <w:color w:val="auto"/>
          <w:kern w:val="0"/>
          <w:sz w:val="24"/>
          <w:highlight w:val="none"/>
        </w:rPr>
        <w:t>b.电子招标投标交易平台运营机构或其人员直接或者间接向投标人泄露标底、评标委员会成员等信息；</w:t>
      </w:r>
    </w:p>
    <w:p w14:paraId="14E661D9">
      <w:pPr>
        <w:widowControl/>
        <w:spacing w:line="360" w:lineRule="auto"/>
        <w:ind w:firstLine="480"/>
        <w:rPr>
          <w:rFonts w:ascii="宋体" w:hAnsi="宋体"/>
          <w:color w:val="auto"/>
          <w:kern w:val="0"/>
          <w:sz w:val="24"/>
          <w:highlight w:val="none"/>
        </w:rPr>
      </w:pPr>
      <w:r>
        <w:rPr>
          <w:rFonts w:ascii="宋体" w:hAnsi="宋体"/>
          <w:color w:val="auto"/>
          <w:kern w:val="0"/>
          <w:sz w:val="24"/>
          <w:highlight w:val="none"/>
        </w:rPr>
        <w:t>c.电子招标投标交易平台运营机构或其人员明示或者暗示投标人压低或者抬高投标报价；</w:t>
      </w:r>
    </w:p>
    <w:p w14:paraId="4A69E358">
      <w:pPr>
        <w:widowControl/>
        <w:spacing w:line="360" w:lineRule="auto"/>
        <w:ind w:firstLine="480"/>
        <w:rPr>
          <w:rFonts w:ascii="宋体" w:hAnsi="宋体"/>
          <w:color w:val="auto"/>
          <w:kern w:val="0"/>
          <w:sz w:val="24"/>
          <w:highlight w:val="none"/>
        </w:rPr>
      </w:pPr>
      <w:r>
        <w:rPr>
          <w:rFonts w:ascii="宋体" w:hAnsi="宋体"/>
          <w:color w:val="auto"/>
          <w:kern w:val="0"/>
          <w:sz w:val="24"/>
          <w:highlight w:val="none"/>
        </w:rPr>
        <w:t>d.电子招标投标交易平台运营机构或其人员授意投标人撤换、修改投标文件；</w:t>
      </w:r>
    </w:p>
    <w:p w14:paraId="649102B5">
      <w:pPr>
        <w:widowControl/>
        <w:spacing w:line="360" w:lineRule="auto"/>
        <w:ind w:firstLine="480"/>
        <w:rPr>
          <w:rFonts w:ascii="宋体" w:hAnsi="宋体"/>
          <w:color w:val="auto"/>
          <w:kern w:val="0"/>
          <w:sz w:val="24"/>
          <w:highlight w:val="none"/>
        </w:rPr>
      </w:pPr>
      <w:r>
        <w:rPr>
          <w:rFonts w:ascii="宋体" w:hAnsi="宋体"/>
          <w:color w:val="auto"/>
          <w:kern w:val="0"/>
          <w:sz w:val="24"/>
          <w:highlight w:val="none"/>
        </w:rPr>
        <w:t>e.电子招标投标交易平台运营机构或其人员明示或者暗示投标人为特定投标人中标提供方便；</w:t>
      </w:r>
    </w:p>
    <w:p w14:paraId="1DE663AC">
      <w:pPr>
        <w:widowControl/>
        <w:snapToGrid w:val="0"/>
        <w:spacing w:line="360" w:lineRule="auto"/>
        <w:ind w:left="0" w:firstLine="480" w:firstLineChars="200"/>
        <w:rPr>
          <w:rFonts w:ascii="宋体" w:hAnsi="宋体"/>
          <w:color w:val="auto"/>
          <w:kern w:val="0"/>
          <w:sz w:val="24"/>
          <w:highlight w:val="none"/>
        </w:rPr>
      </w:pPr>
      <w:r>
        <w:rPr>
          <w:rFonts w:ascii="宋体" w:hAnsi="宋体"/>
          <w:color w:val="auto"/>
          <w:kern w:val="0"/>
          <w:sz w:val="24"/>
          <w:highlight w:val="none"/>
        </w:rPr>
        <w:t>f.电子招标投标交易平台运营机构或其人员与投标人为谋求特定投标人中标而采取的其他串通行为。</w:t>
      </w:r>
    </w:p>
    <w:p w14:paraId="30EE54BD">
      <w:pPr>
        <w:widowControl/>
        <w:snapToGrid w:val="0"/>
        <w:spacing w:line="360" w:lineRule="auto"/>
        <w:ind w:left="42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5）</w:t>
      </w:r>
      <w:r>
        <w:rPr>
          <w:rFonts w:hint="eastAsia" w:ascii="宋体" w:hAnsi="宋体"/>
          <w:color w:val="auto"/>
          <w:kern w:val="0"/>
          <w:sz w:val="24"/>
          <w:highlight w:val="none"/>
        </w:rPr>
        <w:t>投标人有下列情形之一的，属于弄虚作假的行为：</w:t>
      </w:r>
      <w:r>
        <w:rPr>
          <w:rFonts w:ascii="宋体" w:hAnsi="宋体"/>
          <w:color w:val="auto"/>
          <w:kern w:val="0"/>
          <w:sz w:val="24"/>
          <w:highlight w:val="none"/>
        </w:rPr>
        <w:t xml:space="preserve"> </w:t>
      </w:r>
    </w:p>
    <w:p w14:paraId="6FEEE3C1">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使用通过受让或租借等方式获取的资格、资质证书投标；</w:t>
      </w:r>
      <w:r>
        <w:rPr>
          <w:rFonts w:ascii="宋体" w:hAnsi="宋体"/>
          <w:color w:val="auto"/>
          <w:kern w:val="0"/>
          <w:sz w:val="24"/>
          <w:highlight w:val="none"/>
        </w:rPr>
        <w:t xml:space="preserve"> </w:t>
      </w:r>
    </w:p>
    <w:p w14:paraId="71920E29">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使用伪造、变造的许可证件；</w:t>
      </w:r>
      <w:r>
        <w:rPr>
          <w:rFonts w:ascii="宋体" w:hAnsi="宋体"/>
          <w:color w:val="auto"/>
          <w:kern w:val="0"/>
          <w:sz w:val="24"/>
          <w:highlight w:val="none"/>
        </w:rPr>
        <w:t xml:space="preserve"> </w:t>
      </w:r>
    </w:p>
    <w:p w14:paraId="726B0512">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提供虚假的财务状况或业绩；</w:t>
      </w:r>
      <w:r>
        <w:rPr>
          <w:rFonts w:ascii="宋体" w:hAnsi="宋体"/>
          <w:color w:val="auto"/>
          <w:kern w:val="0"/>
          <w:sz w:val="24"/>
          <w:highlight w:val="none"/>
        </w:rPr>
        <w:t xml:space="preserve"> </w:t>
      </w:r>
    </w:p>
    <w:p w14:paraId="350297DA">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提供虚假的项目负责人或主要技术人员简历、劳动关系证明；</w:t>
      </w:r>
      <w:r>
        <w:rPr>
          <w:rFonts w:ascii="宋体" w:hAnsi="宋体"/>
          <w:color w:val="auto"/>
          <w:kern w:val="0"/>
          <w:sz w:val="24"/>
          <w:highlight w:val="none"/>
        </w:rPr>
        <w:t xml:space="preserve"> </w:t>
      </w:r>
    </w:p>
    <w:p w14:paraId="40B37F98">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提供虚假的信用状况；</w:t>
      </w:r>
      <w:r>
        <w:rPr>
          <w:rFonts w:ascii="宋体" w:hAnsi="宋体"/>
          <w:color w:val="auto"/>
          <w:kern w:val="0"/>
          <w:sz w:val="24"/>
          <w:highlight w:val="none"/>
        </w:rPr>
        <w:t xml:space="preserve"> </w:t>
      </w:r>
    </w:p>
    <w:p w14:paraId="783C1D34">
      <w:pPr>
        <w:widowControl/>
        <w:snapToGrid w:val="0"/>
        <w:spacing w:line="360" w:lineRule="auto"/>
        <w:ind w:left="420"/>
        <w:jc w:val="left"/>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其他弄虚作假的行为。</w:t>
      </w:r>
    </w:p>
    <w:p w14:paraId="38CFF1B7">
      <w:pPr>
        <w:pStyle w:val="6"/>
        <w:jc w:val="left"/>
        <w:rPr>
          <w:rFonts w:hint="eastAsia" w:ascii="黑体" w:hAnsi="黑体" w:cs="黑体"/>
          <w:b w:val="0"/>
          <w:bCs w:val="0"/>
          <w:color w:val="auto"/>
          <w:sz w:val="28"/>
          <w:szCs w:val="32"/>
          <w:highlight w:val="none"/>
        </w:rPr>
      </w:pPr>
      <w:bookmarkStart w:id="717" w:name="_Toc53685695"/>
      <w:r>
        <w:rPr>
          <w:rFonts w:hint="eastAsia" w:ascii="黑体" w:hAnsi="黑体" w:cs="黑体"/>
          <w:b w:val="0"/>
          <w:bCs w:val="0"/>
          <w:color w:val="auto"/>
          <w:sz w:val="28"/>
          <w:szCs w:val="32"/>
          <w:highlight w:val="none"/>
        </w:rPr>
        <w:t>3.7 投标文件的澄清和说明</w:t>
      </w:r>
      <w:bookmarkEnd w:id="717"/>
      <w:r>
        <w:rPr>
          <w:rFonts w:hint="eastAsia" w:ascii="黑体" w:hAnsi="黑体" w:cs="黑体"/>
          <w:b w:val="0"/>
          <w:bCs w:val="0"/>
          <w:color w:val="auto"/>
          <w:sz w:val="28"/>
          <w:szCs w:val="32"/>
          <w:highlight w:val="none"/>
        </w:rPr>
        <w:t xml:space="preserve"> </w:t>
      </w:r>
    </w:p>
    <w:p w14:paraId="1C9277BB">
      <w:pPr>
        <w:widowControl/>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3.7.1 </w:t>
      </w:r>
      <w:r>
        <w:rPr>
          <w:rFonts w:hint="eastAsia" w:ascii="宋体" w:hAnsi="宋体"/>
          <w:color w:val="auto"/>
          <w:kern w:val="0"/>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color w:val="auto"/>
          <w:kern w:val="0"/>
          <w:sz w:val="24"/>
          <w:highlight w:val="none"/>
        </w:rPr>
        <w:t xml:space="preserve"> </w:t>
      </w:r>
    </w:p>
    <w:p w14:paraId="6430C775">
      <w:pPr>
        <w:widowControl/>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3.7.2 </w:t>
      </w:r>
      <w:r>
        <w:rPr>
          <w:rFonts w:hint="eastAsia" w:ascii="宋体" w:hAnsi="宋体"/>
          <w:color w:val="auto"/>
          <w:kern w:val="0"/>
          <w:sz w:val="24"/>
          <w:highlight w:val="none"/>
        </w:rPr>
        <w:t>澄清和说明不得超出投标文件的范围或改变投标文件的实质性内容（算术性错误的修正除外）。投标人的书面澄清、说明属于投标文件的组成部分。</w:t>
      </w:r>
      <w:r>
        <w:rPr>
          <w:rFonts w:ascii="宋体" w:hAnsi="宋体"/>
          <w:color w:val="auto"/>
          <w:kern w:val="0"/>
          <w:sz w:val="24"/>
          <w:highlight w:val="none"/>
        </w:rPr>
        <w:t xml:space="preserve"> </w:t>
      </w:r>
    </w:p>
    <w:p w14:paraId="3B0486D7">
      <w:pPr>
        <w:widowControl/>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3.7.3 </w:t>
      </w:r>
      <w:r>
        <w:rPr>
          <w:rFonts w:hint="eastAsia" w:ascii="宋体" w:hAnsi="宋体"/>
          <w:color w:val="auto"/>
          <w:kern w:val="0"/>
          <w:sz w:val="24"/>
          <w:highlight w:val="none"/>
        </w:rPr>
        <w:t>评标委员会不得暗示或诱导投标人作出澄清、说明，对投标人提交的澄清、说明有疑问的，可以要求投标人进一步澄清或说明，直至满足评标委员会的要求。</w:t>
      </w:r>
      <w:r>
        <w:rPr>
          <w:rFonts w:ascii="宋体" w:hAnsi="宋体"/>
          <w:color w:val="auto"/>
          <w:kern w:val="0"/>
          <w:sz w:val="24"/>
          <w:highlight w:val="none"/>
        </w:rPr>
        <w:t xml:space="preserve"> </w:t>
      </w:r>
    </w:p>
    <w:p w14:paraId="1419753E">
      <w:pPr>
        <w:widowControl/>
        <w:snapToGrid w:val="0"/>
        <w:spacing w:line="360" w:lineRule="auto"/>
        <w:ind w:firstLine="480"/>
        <w:jc w:val="left"/>
        <w:rPr>
          <w:rFonts w:ascii="宋体" w:hAnsi="宋体"/>
          <w:color w:val="auto"/>
          <w:kern w:val="0"/>
          <w:sz w:val="24"/>
          <w:highlight w:val="none"/>
        </w:rPr>
      </w:pPr>
      <w:r>
        <w:rPr>
          <w:rFonts w:ascii="宋体" w:hAnsi="宋体"/>
          <w:color w:val="auto"/>
          <w:kern w:val="0"/>
          <w:sz w:val="24"/>
          <w:highlight w:val="none"/>
        </w:rPr>
        <w:t xml:space="preserve">3.6.4 </w:t>
      </w:r>
      <w:r>
        <w:rPr>
          <w:rFonts w:hint="eastAsia" w:ascii="宋体" w:hAnsi="宋体"/>
          <w:color w:val="auto"/>
          <w:kern w:val="0"/>
          <w:sz w:val="24"/>
          <w:highlight w:val="none"/>
        </w:rPr>
        <w:t>凡超出招标文件规定的或给发包人带来未曾要求的利益的变化、偏差或其他因素在评标时不予考虑。</w:t>
      </w:r>
      <w:r>
        <w:rPr>
          <w:rFonts w:ascii="宋体" w:hAnsi="宋体"/>
          <w:color w:val="auto"/>
          <w:kern w:val="0"/>
          <w:sz w:val="24"/>
          <w:highlight w:val="none"/>
        </w:rPr>
        <w:t xml:space="preserve"> </w:t>
      </w:r>
    </w:p>
    <w:p w14:paraId="12A923FF">
      <w:pPr>
        <w:pStyle w:val="6"/>
        <w:jc w:val="left"/>
        <w:rPr>
          <w:rFonts w:hint="eastAsia" w:ascii="黑体" w:hAnsi="黑体" w:cs="黑体"/>
          <w:b w:val="0"/>
          <w:bCs w:val="0"/>
          <w:color w:val="auto"/>
          <w:sz w:val="28"/>
          <w:szCs w:val="32"/>
          <w:highlight w:val="none"/>
        </w:rPr>
      </w:pPr>
      <w:bookmarkStart w:id="718" w:name="_Toc53685696"/>
      <w:r>
        <w:rPr>
          <w:rFonts w:hint="eastAsia" w:ascii="黑体" w:hAnsi="黑体" w:cs="黑体"/>
          <w:b w:val="0"/>
          <w:bCs w:val="0"/>
          <w:color w:val="auto"/>
          <w:sz w:val="28"/>
          <w:szCs w:val="32"/>
          <w:highlight w:val="none"/>
        </w:rPr>
        <w:t>3.8 不得否决投标的情形</w:t>
      </w:r>
      <w:bookmarkEnd w:id="718"/>
      <w:r>
        <w:rPr>
          <w:rFonts w:hint="eastAsia" w:ascii="黑体" w:hAnsi="黑体" w:cs="黑体"/>
          <w:b w:val="0"/>
          <w:bCs w:val="0"/>
          <w:color w:val="auto"/>
          <w:sz w:val="28"/>
          <w:szCs w:val="32"/>
          <w:highlight w:val="none"/>
        </w:rPr>
        <w:t xml:space="preserve"> </w:t>
      </w:r>
    </w:p>
    <w:p w14:paraId="7644FA8C">
      <w:pPr>
        <w:widowControl/>
        <w:snapToGrid w:val="0"/>
        <w:spacing w:line="360" w:lineRule="auto"/>
        <w:ind w:firstLine="480"/>
        <w:rPr>
          <w:rFonts w:ascii="宋体" w:hAnsi="宋体"/>
          <w:color w:val="auto"/>
          <w:kern w:val="0"/>
          <w:sz w:val="24"/>
          <w:highlight w:val="none"/>
        </w:rPr>
      </w:pPr>
      <w:bookmarkStart w:id="719" w:name="_Hlk98666187"/>
      <w:r>
        <w:rPr>
          <w:rFonts w:hint="eastAsia" w:ascii="宋体" w:hAnsi="宋体" w:cs="宋体"/>
          <w:color w:val="auto"/>
          <w:sz w:val="24"/>
          <w:highlight w:val="none"/>
        </w:rPr>
        <w:t>投标文件存在第三章“评标办法”前附表中所列任一否决投标情形以外的情况均视为细微偏差，评标委员会不得否决投标人的投标，细微偏差的处理可以按照澄清规定处理</w:t>
      </w:r>
      <w:bookmarkEnd w:id="719"/>
      <w:r>
        <w:rPr>
          <w:rFonts w:hint="eastAsia" w:ascii="宋体" w:hAnsi="宋体"/>
          <w:color w:val="auto"/>
          <w:kern w:val="0"/>
          <w:sz w:val="24"/>
          <w:highlight w:val="none"/>
        </w:rPr>
        <w:t>。</w:t>
      </w:r>
      <w:r>
        <w:rPr>
          <w:rFonts w:ascii="宋体" w:hAnsi="宋体"/>
          <w:color w:val="auto"/>
          <w:kern w:val="0"/>
          <w:sz w:val="24"/>
          <w:highlight w:val="none"/>
        </w:rPr>
        <w:t xml:space="preserve"> </w:t>
      </w:r>
    </w:p>
    <w:p w14:paraId="6151EFF8">
      <w:pPr>
        <w:pStyle w:val="6"/>
        <w:jc w:val="left"/>
        <w:rPr>
          <w:rFonts w:hint="eastAsia" w:ascii="黑体" w:hAnsi="黑体" w:cs="黑体"/>
          <w:b w:val="0"/>
          <w:bCs w:val="0"/>
          <w:color w:val="auto"/>
          <w:sz w:val="28"/>
          <w:szCs w:val="32"/>
          <w:highlight w:val="none"/>
        </w:rPr>
      </w:pPr>
      <w:bookmarkStart w:id="720" w:name="_Toc53685697"/>
      <w:r>
        <w:rPr>
          <w:rFonts w:hint="eastAsia" w:ascii="黑体" w:hAnsi="黑体" w:cs="黑体"/>
          <w:b w:val="0"/>
          <w:bCs w:val="0"/>
          <w:color w:val="auto"/>
          <w:sz w:val="28"/>
          <w:szCs w:val="32"/>
          <w:highlight w:val="none"/>
        </w:rPr>
        <w:t>3.9 评标结果</w:t>
      </w:r>
      <w:bookmarkEnd w:id="720"/>
      <w:r>
        <w:rPr>
          <w:rFonts w:hint="eastAsia" w:ascii="黑体" w:hAnsi="黑体" w:cs="黑体"/>
          <w:b w:val="0"/>
          <w:bCs w:val="0"/>
          <w:color w:val="auto"/>
          <w:sz w:val="28"/>
          <w:szCs w:val="32"/>
          <w:highlight w:val="none"/>
        </w:rPr>
        <w:t xml:space="preserve"> </w:t>
      </w:r>
    </w:p>
    <w:p w14:paraId="2837D1A0">
      <w:pPr>
        <w:spacing w:line="360" w:lineRule="auto"/>
        <w:ind w:firstLine="420" w:firstLineChars="200"/>
        <w:rPr>
          <w:rFonts w:hint="eastAsia" w:ascii="宋体" w:hAnsi="宋体"/>
          <w:color w:val="auto"/>
          <w:kern w:val="0"/>
          <w:highlight w:val="none"/>
        </w:rPr>
      </w:pPr>
      <w:r>
        <w:rPr>
          <w:rFonts w:ascii="宋体" w:hAnsi="宋体"/>
          <w:color w:val="auto"/>
          <w:kern w:val="0"/>
          <w:highlight w:val="none"/>
        </w:rPr>
        <w:t xml:space="preserve">3.9.1 </w:t>
      </w:r>
      <w:r>
        <w:rPr>
          <w:rFonts w:hint="eastAsia" w:ascii="宋体" w:hAnsi="宋体"/>
          <w:color w:val="auto"/>
          <w:kern w:val="0"/>
          <w:highlight w:val="none"/>
        </w:rPr>
        <w:t>除第二章</w:t>
      </w:r>
      <w:r>
        <w:rPr>
          <w:rFonts w:ascii="宋体" w:hAnsi="宋体"/>
          <w:color w:val="auto"/>
          <w:kern w:val="0"/>
          <w:highlight w:val="none"/>
        </w:rPr>
        <w:t>“</w:t>
      </w:r>
      <w:r>
        <w:rPr>
          <w:rFonts w:hint="eastAsia" w:ascii="宋体" w:hAnsi="宋体"/>
          <w:color w:val="auto"/>
          <w:kern w:val="0"/>
          <w:highlight w:val="none"/>
        </w:rPr>
        <w:t>投标人须知</w:t>
      </w:r>
      <w:r>
        <w:rPr>
          <w:rFonts w:ascii="宋体" w:hAnsi="宋体"/>
          <w:color w:val="auto"/>
          <w:kern w:val="0"/>
          <w:highlight w:val="none"/>
        </w:rPr>
        <w:t>”</w:t>
      </w:r>
      <w:r>
        <w:rPr>
          <w:rFonts w:hint="eastAsia" w:ascii="宋体" w:hAnsi="宋体"/>
          <w:color w:val="auto"/>
          <w:kern w:val="0"/>
          <w:highlight w:val="none"/>
        </w:rPr>
        <w:t>前附表授权直接确定中标人外，评标委员会按照综合得分由高到低的顺序推荐中标候选人，并标明排序。</w:t>
      </w:r>
    </w:p>
    <w:p w14:paraId="4EFF08DA">
      <w:pPr>
        <w:spacing w:line="360" w:lineRule="auto"/>
        <w:ind w:firstLine="210" w:firstLineChars="100"/>
        <w:jc w:val="left"/>
        <w:rPr>
          <w:rStyle w:val="175"/>
          <w:rFonts w:hint="default"/>
          <w:b/>
          <w:bCs/>
          <w:color w:val="auto"/>
          <w:szCs w:val="36"/>
          <w:highlight w:val="none"/>
        </w:rPr>
        <w:sectPr>
          <w:footnotePr>
            <w:numFmt w:val="decimalEnclosedCircleChinese"/>
            <w:numRestart w:val="eachPage"/>
          </w:footnotePr>
          <w:pgSz w:w="11900" w:h="16838"/>
          <w:pgMar w:top="1417" w:right="1417" w:bottom="1417" w:left="1701" w:header="850" w:footer="624" w:gutter="0"/>
          <w:cols w:space="0" w:num="1"/>
          <w:rtlGutter w:val="0"/>
          <w:docGrid w:linePitch="312" w:charSpace="0"/>
        </w:sectPr>
      </w:pPr>
      <w:r>
        <w:rPr>
          <w:rFonts w:ascii="宋体" w:hAnsi="宋体"/>
          <w:color w:val="auto"/>
          <w:kern w:val="0"/>
          <w:highlight w:val="none"/>
        </w:rPr>
        <w:t>3.9.2评标委员会完成评标后，应向招标人提交评标报告。</w:t>
      </w:r>
    </w:p>
    <w:p w14:paraId="7462DBE3">
      <w:pPr>
        <w:pStyle w:val="4"/>
        <w:rPr>
          <w:rStyle w:val="175"/>
          <w:b/>
          <w:bCs/>
          <w:color w:val="auto"/>
          <w:sz w:val="36"/>
          <w:szCs w:val="36"/>
          <w:highlight w:val="none"/>
        </w:rPr>
      </w:pPr>
      <w:r>
        <w:rPr>
          <w:rFonts w:hint="default"/>
          <w:b/>
          <w:bCs/>
          <w:color w:val="auto"/>
          <w:sz w:val="36"/>
          <w:szCs w:val="24"/>
          <w:highlight w:val="none"/>
        </w:rPr>
        <w:t>第三章</w:t>
      </w:r>
      <w:r>
        <w:rPr>
          <w:rFonts w:hint="eastAsia"/>
          <w:b/>
          <w:bCs/>
          <w:color w:val="auto"/>
          <w:sz w:val="36"/>
          <w:szCs w:val="24"/>
          <w:highlight w:val="none"/>
        </w:rPr>
        <w:t xml:space="preserve">  </w:t>
      </w:r>
      <w:r>
        <w:rPr>
          <w:rFonts w:hint="default"/>
          <w:b/>
          <w:bCs/>
          <w:color w:val="auto"/>
          <w:sz w:val="36"/>
          <w:szCs w:val="24"/>
          <w:highlight w:val="none"/>
        </w:rPr>
        <w:t>评标办法（经评审的最低投标价法）</w:t>
      </w:r>
    </w:p>
    <w:p w14:paraId="72D7FE64">
      <w:pPr>
        <w:spacing w:line="360" w:lineRule="auto"/>
        <w:outlineLvl w:val="1"/>
        <w:rPr>
          <w:rFonts w:ascii="黑体" w:hAnsi="黑体" w:eastAsia="黑体" w:cs="宋体"/>
          <w:bCs/>
          <w:color w:val="auto"/>
          <w:kern w:val="0"/>
          <w:sz w:val="28"/>
          <w:szCs w:val="28"/>
          <w:highlight w:val="none"/>
        </w:rPr>
      </w:pPr>
      <w:r>
        <w:rPr>
          <w:rFonts w:ascii="黑体" w:hAnsi="黑体" w:eastAsia="黑体" w:cs="宋体"/>
          <w:b/>
          <w:bCs/>
          <w:color w:val="auto"/>
          <w:kern w:val="0"/>
          <w:sz w:val="28"/>
          <w:szCs w:val="28"/>
          <w:highlight w:val="none"/>
        </w:rPr>
        <w:t>评标办法前附表</w:t>
      </w:r>
    </w:p>
    <w:p w14:paraId="65162947">
      <w:pPr>
        <w:widowControl/>
        <w:spacing w:line="360" w:lineRule="auto"/>
        <w:ind w:firstLine="360"/>
        <w:rPr>
          <w:rFonts w:ascii="宋体" w:hAnsi="宋体"/>
          <w:color w:val="auto"/>
          <w:kern w:val="0"/>
          <w:sz w:val="24"/>
          <w:highlight w:val="none"/>
        </w:rPr>
      </w:pPr>
      <w:r>
        <w:rPr>
          <w:rFonts w:hint="eastAsia"/>
          <w:color w:val="auto"/>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931" w:type="dxa"/>
        <w:tblInd w:w="-27" w:type="dxa"/>
        <w:tblLayout w:type="fixed"/>
        <w:tblCellMar>
          <w:top w:w="0" w:type="dxa"/>
          <w:left w:w="108" w:type="dxa"/>
          <w:bottom w:w="0" w:type="dxa"/>
          <w:right w:w="108" w:type="dxa"/>
        </w:tblCellMar>
      </w:tblPr>
      <w:tblGrid>
        <w:gridCol w:w="745"/>
        <w:gridCol w:w="820"/>
        <w:gridCol w:w="2470"/>
        <w:gridCol w:w="4896"/>
      </w:tblGrid>
      <w:tr w14:paraId="34EFEC98">
        <w:tblPrEx>
          <w:tblCellMar>
            <w:top w:w="0" w:type="dxa"/>
            <w:left w:w="108" w:type="dxa"/>
            <w:bottom w:w="0" w:type="dxa"/>
            <w:right w:w="108" w:type="dxa"/>
          </w:tblCellMar>
        </w:tblPrEx>
        <w:trPr>
          <w:trHeight w:val="90" w:hRule="atLeast"/>
          <w:tblHeader/>
        </w:trPr>
        <w:tc>
          <w:tcPr>
            <w:tcW w:w="1565" w:type="dxa"/>
            <w:gridSpan w:val="2"/>
            <w:tcBorders>
              <w:top w:val="single" w:color="000000" w:sz="4" w:space="0"/>
              <w:left w:val="single" w:color="000000" w:sz="4" w:space="0"/>
              <w:bottom w:val="single" w:color="000000" w:sz="4" w:space="0"/>
              <w:right w:val="single" w:color="000000" w:sz="4" w:space="0"/>
            </w:tcBorders>
            <w:vAlign w:val="center"/>
          </w:tcPr>
          <w:p w14:paraId="6AFFE8ED">
            <w:pPr>
              <w:widowControl/>
              <w:adjustRightInd w:val="0"/>
              <w:snapToGrid w:val="0"/>
              <w:spacing w:line="400" w:lineRule="exact"/>
              <w:jc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条款号</w:t>
            </w:r>
          </w:p>
        </w:tc>
        <w:tc>
          <w:tcPr>
            <w:tcW w:w="7366" w:type="dxa"/>
            <w:gridSpan w:val="2"/>
            <w:tcBorders>
              <w:top w:val="single" w:color="000000" w:sz="4" w:space="0"/>
              <w:left w:val="nil"/>
              <w:bottom w:val="single" w:color="000000" w:sz="4" w:space="0"/>
              <w:right w:val="single" w:color="000000" w:sz="4" w:space="0"/>
            </w:tcBorders>
            <w:vAlign w:val="center"/>
          </w:tcPr>
          <w:p w14:paraId="5C141DFD">
            <w:pPr>
              <w:widowControl/>
              <w:adjustRightInd w:val="0"/>
              <w:snapToGrid w:val="0"/>
              <w:spacing w:line="400" w:lineRule="exact"/>
              <w:jc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评审因素与评审标准</w:t>
            </w:r>
          </w:p>
        </w:tc>
      </w:tr>
      <w:tr w14:paraId="06231BF2">
        <w:tblPrEx>
          <w:tblCellMar>
            <w:top w:w="0" w:type="dxa"/>
            <w:left w:w="108" w:type="dxa"/>
            <w:bottom w:w="0" w:type="dxa"/>
            <w:right w:w="108" w:type="dxa"/>
          </w:tblCellMar>
        </w:tblPrEx>
        <w:trPr>
          <w:trHeight w:val="90" w:hRule="atLeast"/>
        </w:trPr>
        <w:tc>
          <w:tcPr>
            <w:tcW w:w="745" w:type="dxa"/>
            <w:tcBorders>
              <w:top w:val="nil"/>
              <w:left w:val="single" w:color="000000" w:sz="4" w:space="0"/>
              <w:bottom w:val="single" w:color="000000" w:sz="4" w:space="0"/>
              <w:right w:val="single" w:color="000000" w:sz="4" w:space="0"/>
            </w:tcBorders>
            <w:vAlign w:val="center"/>
          </w:tcPr>
          <w:p w14:paraId="465E9A1B">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p>
        </w:tc>
        <w:tc>
          <w:tcPr>
            <w:tcW w:w="820" w:type="dxa"/>
            <w:tcBorders>
              <w:top w:val="single" w:color="000000" w:sz="4" w:space="0"/>
              <w:left w:val="nil"/>
              <w:bottom w:val="single" w:color="000000" w:sz="4" w:space="0"/>
              <w:right w:val="single" w:color="000000" w:sz="4" w:space="0"/>
            </w:tcBorders>
            <w:vAlign w:val="center"/>
          </w:tcPr>
          <w:p w14:paraId="505EF150">
            <w:pPr>
              <w:widowControl/>
              <w:adjustRightInd w:val="0"/>
              <w:snapToGrid w:val="0"/>
              <w:spacing w:line="400" w:lineRule="exact"/>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评标</w:t>
            </w:r>
          </w:p>
          <w:p w14:paraId="33A0DB4E">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方法</w:t>
            </w:r>
          </w:p>
        </w:tc>
        <w:tc>
          <w:tcPr>
            <w:tcW w:w="7366" w:type="dxa"/>
            <w:gridSpan w:val="2"/>
            <w:tcBorders>
              <w:top w:val="single" w:color="000000" w:sz="4" w:space="0"/>
              <w:left w:val="nil"/>
              <w:bottom w:val="single" w:color="000000" w:sz="4" w:space="0"/>
              <w:right w:val="single" w:color="000000" w:sz="4" w:space="0"/>
            </w:tcBorders>
            <w:vAlign w:val="center"/>
          </w:tcPr>
          <w:p w14:paraId="0DF24ED5">
            <w:pPr>
              <w:pStyle w:val="299"/>
              <w:widowControl w:val="0"/>
              <w:adjustRightInd w:val="0"/>
              <w:snapToGrid w:val="0"/>
              <w:spacing w:line="400" w:lineRule="exact"/>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1</w:t>
            </w:r>
            <w:r>
              <w:rPr>
                <w:rFonts w:asciiTheme="minorEastAsia" w:hAnsiTheme="minorEastAsia" w:eastAsiaTheme="minorEastAsia"/>
                <w:b/>
                <w:color w:val="auto"/>
                <w:kern w:val="0"/>
                <w:szCs w:val="21"/>
                <w:highlight w:val="none"/>
              </w:rPr>
              <w:t>.</w:t>
            </w:r>
            <w:r>
              <w:rPr>
                <w:rFonts w:hint="eastAsia" w:asciiTheme="minorEastAsia" w:hAnsiTheme="minorEastAsia" w:eastAsiaTheme="minorEastAsia"/>
                <w:b/>
                <w:color w:val="auto"/>
                <w:kern w:val="0"/>
                <w:szCs w:val="21"/>
                <w:highlight w:val="none"/>
              </w:rPr>
              <w:t>本次评标采用经评审的最低投标价法，推荐中标候选人具体原则为：</w:t>
            </w:r>
          </w:p>
          <w:p w14:paraId="7B5136AB">
            <w:pPr>
              <w:pStyle w:val="299"/>
              <w:widowControl w:val="0"/>
              <w:adjustRightInd w:val="0"/>
              <w:snapToGrid w:val="0"/>
              <w:spacing w:line="400" w:lineRule="exact"/>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w:t>
            </w:r>
            <w:r>
              <w:rPr>
                <w:rFonts w:cs="宋体" w:asciiTheme="minorEastAsia" w:hAnsiTheme="minorEastAsia" w:eastAsiaTheme="minorEastAsia"/>
                <w:b/>
                <w:color w:val="auto"/>
                <w:kern w:val="0"/>
                <w:szCs w:val="21"/>
                <w:highlight w:val="none"/>
              </w:rPr>
              <w:t xml:space="preserve"> </w:t>
            </w:r>
            <w:r>
              <w:rPr>
                <w:rFonts w:hint="eastAsia" w:cs="宋体" w:asciiTheme="minorEastAsia" w:hAnsiTheme="minorEastAsia" w:eastAsiaTheme="minorEastAsia"/>
                <w:b/>
                <w:color w:val="auto"/>
                <w:kern w:val="0"/>
                <w:szCs w:val="21"/>
                <w:highlight w:val="none"/>
              </w:rPr>
              <w:t>允许中</w:t>
            </w:r>
            <w:r>
              <w:rPr>
                <w:rFonts w:cs="宋体" w:asciiTheme="minorEastAsia" w:hAnsiTheme="minorEastAsia" w:eastAsiaTheme="minorEastAsia"/>
                <w:b/>
                <w:color w:val="auto"/>
                <w:kern w:val="0"/>
                <w:szCs w:val="21"/>
                <w:highlight w:val="none"/>
              </w:rPr>
              <w:t>1个标段时适用</w:t>
            </w:r>
          </w:p>
          <w:p w14:paraId="5AADB5B2">
            <w:pPr>
              <w:pStyle w:val="299"/>
              <w:widowControl w:val="0"/>
              <w:adjustRightInd w:val="0"/>
              <w:snapToGrid w:val="0"/>
              <w:spacing w:line="400" w:lineRule="exact"/>
              <w:ind w:firstLine="210" w:firstLineChars="1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1）评标委员会对通过第一个信封（商务及技术文件）和第二个信封（报价文件）评审的所有投标人，按照评标价由低到高进行排序。若多个投标人评标价相同时，评标委员会依次按照以下原则排序：</w:t>
            </w:r>
          </w:p>
          <w:p w14:paraId="1CE0CEE1">
            <w:pPr>
              <w:pStyle w:val="29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auto"/>
                <w:sz w:val="21"/>
                <w:szCs w:val="21"/>
                <w:highlight w:val="none"/>
                <w:u w:val="none"/>
                <w:lang w:val="en-US" w:eastAsia="zh-CN"/>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①</w:t>
            </w:r>
            <w:r>
              <w:rPr>
                <w:rFonts w:ascii="宋体" w:hAnsi="宋体"/>
                <w:color w:val="auto"/>
                <w:kern w:val="0"/>
                <w:szCs w:val="21"/>
                <w:highlight w:val="none"/>
              </w:rPr>
              <w:fldChar w:fldCharType="end"/>
            </w:r>
            <w:r>
              <w:rPr>
                <w:rFonts w:hint="eastAsia" w:ascii="宋体" w:hAnsi="宋体" w:eastAsia="宋体" w:cs="宋体"/>
                <w:b w:val="0"/>
                <w:bCs/>
                <w:color w:val="auto"/>
                <w:sz w:val="21"/>
                <w:szCs w:val="21"/>
                <w:highlight w:val="none"/>
                <w:u w:val="none"/>
              </w:rPr>
              <w:sym w:font="Wingdings 2" w:char="00A3"/>
            </w:r>
            <w:r>
              <w:rPr>
                <w:rFonts w:hint="eastAsia" w:ascii="宋体" w:hAnsi="宋体"/>
                <w:b w:val="0"/>
                <w:bCs/>
                <w:color w:val="auto"/>
                <w:sz w:val="21"/>
                <w:szCs w:val="21"/>
                <w:highlight w:val="none"/>
                <w:u w:val="none"/>
                <w:lang w:val="en-US" w:eastAsia="zh-CN"/>
              </w:rPr>
              <w:t xml:space="preserve"> </w:t>
            </w:r>
            <w:r>
              <w:rPr>
                <w:rFonts w:hint="eastAsia" w:ascii="宋体" w:hAnsi="宋体"/>
                <w:color w:val="auto"/>
                <w:sz w:val="21"/>
                <w:szCs w:val="21"/>
                <w:highlight w:val="none"/>
                <w:u w:val="none"/>
              </w:rPr>
              <w:t>四川省重点公路建设从业单位信用评价等级</w:t>
            </w:r>
            <w:r>
              <w:rPr>
                <w:rFonts w:hint="eastAsia" w:ascii="宋体" w:hAnsi="宋体"/>
                <w:color w:val="auto"/>
                <w:sz w:val="21"/>
                <w:szCs w:val="21"/>
                <w:highlight w:val="none"/>
                <w:u w:val="none"/>
                <w:lang w:eastAsia="zh-CN"/>
              </w:rPr>
              <w:t>；</w:t>
            </w:r>
            <w:r>
              <w:rPr>
                <w:rFonts w:hint="eastAsia" w:ascii="宋体" w:hAnsi="宋体"/>
                <w:b w:val="0"/>
                <w:bCs/>
                <w:color w:val="auto"/>
                <w:sz w:val="21"/>
                <w:szCs w:val="21"/>
                <w:highlight w:val="none"/>
                <w:u w:val="none"/>
                <w:lang w:val="en-US" w:eastAsia="zh-CN"/>
              </w:rPr>
              <w:t xml:space="preserve"> </w:t>
            </w:r>
          </w:p>
          <w:p w14:paraId="0B63EAC2">
            <w:pPr>
              <w:pStyle w:val="299"/>
              <w:widowControl w:val="0"/>
              <w:adjustRightInd w:val="0"/>
              <w:snapToGrid w:val="0"/>
              <w:spacing w:line="400" w:lineRule="exact"/>
              <w:ind w:firstLine="630" w:firstLineChars="300"/>
              <w:rPr>
                <w:rFonts w:ascii="宋体" w:hAnsi="宋体"/>
                <w:color w:val="auto"/>
                <w:szCs w:val="21"/>
                <w:highlight w:val="none"/>
              </w:rPr>
            </w:pPr>
            <w:r>
              <w:rPr>
                <w:rFonts w:hint="eastAsia" w:ascii="宋体" w:hAnsi="宋体"/>
                <w:b w:val="0"/>
                <w:bCs/>
                <w:color w:val="auto"/>
                <w:sz w:val="21"/>
                <w:szCs w:val="21"/>
                <w:highlight w:val="none"/>
                <w:u w:val="none"/>
              </w:rPr>
              <w:sym w:font="Wingdings 2" w:char="00A3"/>
            </w:r>
            <w:r>
              <w:rPr>
                <w:rFonts w:hint="eastAsia" w:ascii="宋体" w:hAnsi="宋体"/>
                <w:b w:val="0"/>
                <w:bCs/>
                <w:color w:val="auto"/>
                <w:sz w:val="21"/>
                <w:szCs w:val="21"/>
                <w:highlight w:val="none"/>
                <w:u w:val="none"/>
                <w:lang w:val="en-US" w:eastAsia="zh-CN"/>
              </w:rPr>
              <w:t xml:space="preserve"> </w:t>
            </w:r>
            <w:r>
              <w:rPr>
                <w:rFonts w:hint="eastAsia" w:ascii="宋体" w:hAnsi="宋体"/>
                <w:color w:val="auto"/>
                <w:sz w:val="21"/>
                <w:szCs w:val="21"/>
                <w:highlight w:val="none"/>
                <w:u w:val="none"/>
              </w:rPr>
              <w:t>四川省</w:t>
            </w:r>
            <w:r>
              <w:rPr>
                <w:rFonts w:hint="eastAsia" w:ascii="宋体" w:hAnsi="宋体"/>
                <w:color w:val="auto"/>
                <w:sz w:val="21"/>
                <w:szCs w:val="21"/>
                <w:highlight w:val="none"/>
                <w:u w:val="none"/>
                <w:lang w:val="en-US" w:eastAsia="zh-CN"/>
              </w:rPr>
              <w:t>农村公路建设从业单位信用评价等级</w:t>
            </w:r>
            <w:r>
              <w:rPr>
                <w:rFonts w:hint="eastAsia" w:ascii="宋体" w:hAnsi="宋体"/>
                <w:color w:val="auto"/>
                <w:kern w:val="0"/>
                <w:szCs w:val="21"/>
                <w:highlight w:val="none"/>
              </w:rPr>
              <w:t>；</w:t>
            </w:r>
            <w:r>
              <w:rPr>
                <w:rFonts w:ascii="宋体" w:hAnsi="宋体"/>
                <w:color w:val="auto"/>
                <w:szCs w:val="21"/>
                <w:highlight w:val="none"/>
              </w:rPr>
              <w:t xml:space="preserve"> </w:t>
            </w:r>
          </w:p>
          <w:p w14:paraId="505FDBD6">
            <w:pPr>
              <w:pStyle w:val="299"/>
              <w:widowControl w:val="0"/>
              <w:adjustRightInd w:val="0"/>
              <w:snapToGrid w:val="0"/>
              <w:spacing w:line="400" w:lineRule="exact"/>
              <w:ind w:left="210" w:leftChars="100" w:firstLine="210" w:firstLineChars="10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2 \* GB3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kern w:val="0"/>
                <w:szCs w:val="21"/>
                <w:highlight w:val="none"/>
              </w:rPr>
              <w:t>投标人财务评审中近一年度净资产高的优先</w:t>
            </w:r>
            <w:r>
              <w:rPr>
                <w:rFonts w:hint="eastAsia" w:ascii="宋体" w:hAnsi="宋体"/>
                <w:color w:val="auto"/>
                <w:szCs w:val="21"/>
                <w:highlight w:val="none"/>
              </w:rPr>
              <w:t>；</w:t>
            </w:r>
          </w:p>
          <w:p w14:paraId="2418BF6D">
            <w:pPr>
              <w:pStyle w:val="299"/>
              <w:widowControl w:val="0"/>
              <w:adjustRightInd w:val="0"/>
              <w:snapToGrid w:val="0"/>
              <w:spacing w:line="400" w:lineRule="exact"/>
              <w:ind w:left="210" w:leftChars="100" w:firstLine="210" w:firstLineChars="100"/>
              <w:rPr>
                <w:rFonts w:asciiTheme="minorEastAsia" w:hAnsiTheme="minorEastAsia" w:eastAsiaTheme="minorEastAsia"/>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3 \* GB3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③</w:t>
            </w:r>
            <w:r>
              <w:rPr>
                <w:rFonts w:ascii="宋体" w:hAnsi="宋体"/>
                <w:color w:val="auto"/>
                <w:kern w:val="0"/>
                <w:szCs w:val="21"/>
                <w:highlight w:val="none"/>
              </w:rPr>
              <w:fldChar w:fldCharType="end"/>
            </w:r>
            <w:r>
              <w:rPr>
                <w:rFonts w:hint="eastAsia" w:ascii="宋体" w:hAnsi="宋体"/>
                <w:color w:val="auto"/>
                <w:szCs w:val="21"/>
                <w:highlight w:val="none"/>
              </w:rPr>
              <w:t>若上述情况都相同时，</w:t>
            </w:r>
            <w:r>
              <w:rPr>
                <w:rFonts w:hint="eastAsia" w:ascii="宋体" w:hAnsi="宋体"/>
                <w:color w:val="auto"/>
                <w:kern w:val="0"/>
                <w:szCs w:val="21"/>
                <w:highlight w:val="none"/>
              </w:rPr>
              <w:t>则排序按照：</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B19B1B3">
            <w:pPr>
              <w:pStyle w:val="299"/>
              <w:widowControl w:val="0"/>
              <w:adjustRightInd w:val="0"/>
              <w:snapToGrid w:val="0"/>
              <w:spacing w:line="400" w:lineRule="exact"/>
              <w:ind w:firstLine="210" w:firstLineChars="100"/>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sym w:font="Wingdings 2" w:char="00A3"/>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2）</w:t>
            </w:r>
            <w:r>
              <w:rPr>
                <w:color w:val="auto"/>
                <w:highlight w:val="none"/>
              </w:rPr>
              <w:t>若同一投标人在</w:t>
            </w:r>
            <w:r>
              <w:rPr>
                <w:rFonts w:hint="eastAsia"/>
                <w:color w:val="auto"/>
                <w:highlight w:val="none"/>
                <w:lang w:val="en-US" w:eastAsia="zh-CN"/>
              </w:rPr>
              <w:t>2</w:t>
            </w:r>
            <w:r>
              <w:rPr>
                <w:color w:val="auto"/>
                <w:highlight w:val="none"/>
              </w:rPr>
              <w:t>个</w:t>
            </w:r>
            <w:r>
              <w:rPr>
                <w:rFonts w:hint="eastAsia"/>
                <w:color w:val="auto"/>
                <w:highlight w:val="none"/>
                <w:lang w:val="en-US" w:eastAsia="zh-CN"/>
              </w:rPr>
              <w:t>及以上</w:t>
            </w:r>
            <w:r>
              <w:rPr>
                <w:color w:val="auto"/>
                <w:highlight w:val="none"/>
              </w:rPr>
              <w:t>标段排序均</w:t>
            </w:r>
            <w:r>
              <w:rPr>
                <w:rFonts w:hint="eastAsia"/>
                <w:color w:val="auto"/>
                <w:highlight w:val="none"/>
                <w:lang w:val="en-US" w:eastAsia="zh-CN"/>
              </w:rPr>
              <w:t>为</w:t>
            </w:r>
            <w:r>
              <w:rPr>
                <w:color w:val="auto"/>
                <w:highlight w:val="none"/>
              </w:rPr>
              <w:t>第一</w:t>
            </w:r>
            <w:r>
              <w:rPr>
                <w:rFonts w:hint="eastAsia"/>
                <w:color w:val="auto"/>
                <w:highlight w:val="none"/>
              </w:rPr>
              <w:t>，</w:t>
            </w:r>
            <w:r>
              <w:rPr>
                <w:color w:val="auto"/>
                <w:highlight w:val="none"/>
              </w:rPr>
              <w:t>按以下原则依次排序</w:t>
            </w:r>
            <w:r>
              <w:rPr>
                <w:rFonts w:asciiTheme="minorEastAsia" w:hAnsiTheme="minorEastAsia" w:eastAsiaTheme="minorEastAsia"/>
                <w:color w:val="auto"/>
                <w:kern w:val="0"/>
                <w:szCs w:val="21"/>
                <w:highlight w:val="none"/>
              </w:rPr>
              <w:t>：</w:t>
            </w:r>
          </w:p>
          <w:p w14:paraId="2027A101">
            <w:pPr>
              <w:pStyle w:val="299"/>
              <w:adjustRightInd w:val="0"/>
              <w:snapToGrid w:val="0"/>
              <w:spacing w:line="400" w:lineRule="exact"/>
              <w:ind w:left="399" w:leftChars="190" w:firstLine="0" w:firstLineChars="0"/>
              <w:rPr>
                <w:rFonts w:hint="eastAsia" w:ascii="宋体" w:hAnsi="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olor w:val="auto"/>
                <w:kern w:val="0"/>
                <w:szCs w:val="21"/>
                <w:highlight w:val="none"/>
                <w:lang w:val="en-US" w:eastAsia="zh-CN"/>
              </w:rPr>
              <w:t xml:space="preserve"> </w:t>
            </w:r>
            <w:r>
              <w:rPr>
                <w:rFonts w:hint="eastAsia" w:ascii="宋体" w:hAnsi="宋体" w:cs="宋体"/>
                <w:color w:val="auto"/>
                <w:szCs w:val="21"/>
                <w:highlight w:val="none"/>
              </w:rPr>
              <w:t>保留该投标人</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评标价高的标段的第一排名，取消其在评标价低的标段的排名，其余投标人按评标价由低到高重新排序。</w:t>
            </w:r>
            <w:r>
              <w:rPr>
                <w:rFonts w:hint="eastAsia" w:ascii="宋体" w:hAnsi="宋体"/>
                <w:color w:val="auto"/>
                <w:kern w:val="0"/>
                <w:szCs w:val="21"/>
                <w:highlight w:val="none"/>
              </w:rPr>
              <w:t>评标价也相同时，则排序按照：</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3B13DE4">
            <w:pPr>
              <w:pStyle w:val="299"/>
              <w:adjustRightInd w:val="0"/>
              <w:snapToGrid w:val="0"/>
              <w:spacing w:line="400" w:lineRule="exact"/>
              <w:ind w:left="0" w:leftChars="0" w:firstLine="420" w:firstLineChars="200"/>
              <w:rPr>
                <w:rFonts w:hint="eastAsia" w:ascii="宋体" w:hAnsi="宋体"/>
                <w:color w:val="auto"/>
                <w:kern w:val="0"/>
                <w:szCs w:val="21"/>
                <w:highlight w:val="none"/>
              </w:rPr>
            </w:pPr>
            <w:r>
              <w:rPr>
                <w:rFonts w:hint="eastAsia" w:ascii="宋体" w:hAnsi="宋体" w:cs="宋体"/>
                <w:bCs/>
                <w:color w:val="auto"/>
                <w:kern w:val="0"/>
                <w:szCs w:val="21"/>
                <w:highlight w:val="none"/>
              </w:rPr>
              <w:sym w:font="Wingdings 2" w:char="00A3"/>
            </w:r>
            <w:r>
              <w:rPr>
                <w:rFonts w:hint="eastAsia" w:ascii="宋体" w:hAnsi="宋体" w:cs="宋体"/>
                <w:bCs/>
                <w:color w:val="auto"/>
                <w:kern w:val="0"/>
                <w:szCs w:val="21"/>
                <w:highlight w:val="none"/>
              </w:rPr>
              <w:t xml:space="preserve"> 排序方式为：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9B9717F">
            <w:pPr>
              <w:pStyle w:val="299"/>
              <w:adjustRightInd w:val="0"/>
              <w:snapToGrid w:val="0"/>
              <w:spacing w:line="400" w:lineRule="exact"/>
              <w:ind w:firstLine="210" w:firstLineChars="100"/>
              <w:rPr>
                <w:rFonts w:ascii="宋体" w:hAnsi="宋体" w:cs="宋体"/>
                <w:color w:val="auto"/>
                <w:szCs w:val="21"/>
                <w:highlight w:val="none"/>
              </w:rPr>
            </w:pPr>
            <w:r>
              <w:rPr>
                <w:rFonts w:hint="eastAsia" w:cs="宋体" w:asciiTheme="minorEastAsia" w:hAnsiTheme="minorEastAsia" w:eastAsiaTheme="minorEastAsia"/>
                <w:color w:val="auto"/>
                <w:kern w:val="0"/>
                <w:szCs w:val="21"/>
                <w:highlight w:val="none"/>
              </w:rPr>
              <w:sym w:font="Wingdings 2" w:char="00A3"/>
            </w:r>
            <w:r>
              <w:rPr>
                <w:rFonts w:hint="eastAsia" w:ascii="宋体" w:hAnsi="宋体" w:cs="宋体"/>
                <w:color w:val="auto"/>
                <w:szCs w:val="21"/>
                <w:highlight w:val="none"/>
              </w:rPr>
              <w:t>（</w:t>
            </w:r>
            <w:r>
              <w:rPr>
                <w:rFonts w:ascii="宋体" w:hAnsi="宋体" w:cs="宋体"/>
                <w:color w:val="auto"/>
                <w:szCs w:val="21"/>
                <w:highlight w:val="none"/>
              </w:rPr>
              <w:t>3）</w:t>
            </w:r>
            <w:r>
              <w:rPr>
                <w:color w:val="auto"/>
                <w:highlight w:val="none"/>
              </w:rPr>
              <w:t>若同一投标人</w:t>
            </w:r>
            <w:r>
              <w:rPr>
                <w:rFonts w:hint="eastAsia"/>
                <w:color w:val="auto"/>
                <w:highlight w:val="none"/>
              </w:rPr>
              <w:t>参与2</w:t>
            </w:r>
            <w:r>
              <w:rPr>
                <w:color w:val="auto"/>
                <w:highlight w:val="none"/>
              </w:rPr>
              <w:t>个</w:t>
            </w:r>
            <w:r>
              <w:rPr>
                <w:rFonts w:hint="eastAsia"/>
                <w:color w:val="auto"/>
                <w:highlight w:val="none"/>
              </w:rPr>
              <w:t>及以上</w:t>
            </w:r>
            <w:r>
              <w:rPr>
                <w:color w:val="auto"/>
                <w:highlight w:val="none"/>
              </w:rPr>
              <w:t>标段</w:t>
            </w:r>
            <w:r>
              <w:rPr>
                <w:rFonts w:hint="eastAsia"/>
                <w:color w:val="auto"/>
                <w:highlight w:val="none"/>
              </w:rPr>
              <w:t>的投标，</w:t>
            </w:r>
            <w:r>
              <w:rPr>
                <w:rFonts w:ascii="宋体" w:hAnsi="宋体" w:cs="宋体"/>
                <w:color w:val="auto"/>
                <w:szCs w:val="21"/>
                <w:highlight w:val="none"/>
              </w:rPr>
              <w:t>在其中一个标段已经推荐为第一中标候选人，则在其他标段不再作为中标候选人推荐，其余投标人按</w:t>
            </w:r>
            <w:r>
              <w:rPr>
                <w:rFonts w:hint="eastAsia" w:ascii="宋体" w:hAnsi="宋体" w:cs="宋体"/>
                <w:color w:val="auto"/>
                <w:szCs w:val="21"/>
                <w:highlight w:val="none"/>
              </w:rPr>
              <w:t>评标价由低到高重新排序。</w:t>
            </w:r>
          </w:p>
          <w:p w14:paraId="02084B6C">
            <w:pPr>
              <w:pStyle w:val="299"/>
              <w:widowControl w:val="0"/>
              <w:adjustRightInd w:val="0"/>
              <w:snapToGrid w:val="0"/>
              <w:spacing w:line="400" w:lineRule="exact"/>
              <w:ind w:firstLine="210" w:firstLineChars="100"/>
              <w:rPr>
                <w:rFonts w:asciiTheme="minorEastAsia" w:hAnsiTheme="minorEastAsia" w:eastAsiaTheme="minorEastAsia"/>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4）评标委员会按最终排序推荐前3名中标候选人（若不足3名，则按相应数量推荐）。</w:t>
            </w:r>
          </w:p>
          <w:p w14:paraId="09304599">
            <w:pPr>
              <w:pStyle w:val="299"/>
              <w:widowControl w:val="0"/>
              <w:adjustRightInd w:val="0"/>
              <w:snapToGrid w:val="0"/>
              <w:spacing w:line="400" w:lineRule="exact"/>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w:t>
            </w:r>
            <w:r>
              <w:rPr>
                <w:rFonts w:cs="宋体" w:asciiTheme="minorEastAsia" w:hAnsiTheme="minorEastAsia" w:eastAsiaTheme="minorEastAsia"/>
                <w:b/>
                <w:color w:val="auto"/>
                <w:kern w:val="0"/>
                <w:szCs w:val="21"/>
                <w:highlight w:val="none"/>
              </w:rPr>
              <w:t xml:space="preserve"> </w:t>
            </w:r>
            <w:r>
              <w:rPr>
                <w:rFonts w:hint="eastAsia" w:cs="宋体" w:asciiTheme="minorEastAsia" w:hAnsiTheme="minorEastAsia" w:eastAsiaTheme="minorEastAsia"/>
                <w:b/>
                <w:color w:val="auto"/>
                <w:kern w:val="0"/>
                <w:szCs w:val="21"/>
                <w:highlight w:val="none"/>
              </w:rPr>
              <w:t>允许中</w:t>
            </w:r>
            <w:r>
              <w:rPr>
                <w:rFonts w:cs="宋体" w:asciiTheme="minorEastAsia" w:hAnsiTheme="minorEastAsia" w:eastAsiaTheme="minorEastAsia"/>
                <w:b/>
                <w:color w:val="auto"/>
                <w:kern w:val="0"/>
                <w:szCs w:val="21"/>
                <w:highlight w:val="none"/>
              </w:rPr>
              <w:t>2个及以上标段适用</w:t>
            </w:r>
          </w:p>
          <w:p w14:paraId="7BB9A933">
            <w:pPr>
              <w:pStyle w:val="299"/>
              <w:widowControl w:val="0"/>
              <w:adjustRightInd w:val="0"/>
              <w:snapToGrid w:val="0"/>
              <w:spacing w:line="400" w:lineRule="exact"/>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u w:val="single"/>
                <w:lang w:val="en-US" w:eastAsia="zh-CN"/>
              </w:rPr>
              <w:t xml:space="preserve">                        </w:t>
            </w:r>
            <w:r>
              <w:rPr>
                <w:rFonts w:hint="eastAsia" w:asciiTheme="minorEastAsia" w:hAnsiTheme="minorEastAsia" w:eastAsiaTheme="minorEastAsia"/>
                <w:color w:val="auto"/>
                <w:kern w:val="0"/>
                <w:szCs w:val="21"/>
                <w:highlight w:val="none"/>
                <w:lang w:val="en-US" w:eastAsia="zh-CN"/>
              </w:rPr>
              <w:t xml:space="preserve"> </w:t>
            </w:r>
            <w:r>
              <w:rPr>
                <w:rFonts w:asciiTheme="minorEastAsia" w:hAnsiTheme="minorEastAsia" w:eastAsiaTheme="minorEastAsia"/>
                <w:color w:val="auto"/>
                <w:kern w:val="0"/>
                <w:szCs w:val="21"/>
                <w:highlight w:val="none"/>
              </w:rPr>
              <w:t xml:space="preserve">      </w:t>
            </w:r>
          </w:p>
          <w:p w14:paraId="2B2067EC">
            <w:pPr>
              <w:pStyle w:val="299"/>
              <w:widowControl w:val="0"/>
              <w:adjustRightInd w:val="0"/>
              <w:snapToGrid w:val="0"/>
              <w:spacing w:line="400" w:lineRule="exact"/>
              <w:rPr>
                <w:rFonts w:asciiTheme="minorEastAsia" w:hAnsiTheme="minorEastAsia" w:eastAsiaTheme="minorEastAsia"/>
                <w:color w:val="auto"/>
                <w:kern w:val="0"/>
                <w:szCs w:val="21"/>
                <w:highlight w:val="none"/>
                <w:u w:val="single"/>
              </w:rPr>
            </w:pPr>
            <w:r>
              <w:rPr>
                <w:rFonts w:ascii="宋体" w:hAnsi="宋体"/>
                <w:b/>
                <w:color w:val="auto"/>
                <w:szCs w:val="21"/>
                <w:highlight w:val="none"/>
              </w:rPr>
              <w:t xml:space="preserve">2. </w:t>
            </w:r>
            <w:r>
              <w:rPr>
                <w:rFonts w:hint="eastAsia"/>
                <w:color w:val="auto"/>
                <w:szCs w:val="21"/>
                <w:highlight w:val="none"/>
              </w:rPr>
              <w:t>在评标过程中，如有效投标不足</w:t>
            </w:r>
            <w:r>
              <w:rPr>
                <w:color w:val="auto"/>
                <w:szCs w:val="21"/>
                <w:highlight w:val="none"/>
              </w:rPr>
              <w:t>3</w:t>
            </w:r>
            <w:r>
              <w:rPr>
                <w:rFonts w:hint="eastAsia"/>
                <w:color w:val="auto"/>
                <w:szCs w:val="21"/>
                <w:highlight w:val="none"/>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w:t>
            </w:r>
            <w:r>
              <w:rPr>
                <w:rFonts w:hint="eastAsia"/>
                <w:color w:val="auto"/>
                <w:szCs w:val="21"/>
                <w:highlight w:val="none"/>
                <w:lang w:eastAsia="zh-CN"/>
              </w:rPr>
              <w:t>否决</w:t>
            </w:r>
            <w:r>
              <w:rPr>
                <w:rFonts w:hint="eastAsia"/>
                <w:color w:val="auto"/>
                <w:szCs w:val="21"/>
                <w:highlight w:val="none"/>
              </w:rPr>
              <w:t>全部投标，并在评标报告中</w:t>
            </w:r>
            <w:r>
              <w:rPr>
                <w:rFonts w:hint="eastAsia"/>
                <w:color w:val="auto"/>
                <w:szCs w:val="21"/>
                <w:highlight w:val="none"/>
                <w:lang w:val="en-US" w:eastAsia="zh-CN"/>
              </w:rPr>
              <w:t>作</w:t>
            </w:r>
            <w:r>
              <w:rPr>
                <w:rFonts w:hint="eastAsia"/>
                <w:color w:val="auto"/>
                <w:szCs w:val="21"/>
                <w:highlight w:val="none"/>
              </w:rPr>
              <w:t>出说明。</w:t>
            </w:r>
          </w:p>
        </w:tc>
      </w:tr>
      <w:tr w14:paraId="03ED9B93">
        <w:tblPrEx>
          <w:tblCellMar>
            <w:top w:w="0" w:type="dxa"/>
            <w:left w:w="108" w:type="dxa"/>
            <w:bottom w:w="0" w:type="dxa"/>
            <w:right w:w="108" w:type="dxa"/>
          </w:tblCellMar>
        </w:tblPrEx>
        <w:trPr>
          <w:trHeight w:val="1269" w:hRule="atLeast"/>
        </w:trPr>
        <w:tc>
          <w:tcPr>
            <w:tcW w:w="745" w:type="dxa"/>
            <w:tcBorders>
              <w:top w:val="nil"/>
              <w:left w:val="single" w:color="000000" w:sz="4" w:space="0"/>
              <w:bottom w:val="single" w:color="auto" w:sz="4" w:space="0"/>
              <w:right w:val="single" w:color="000000" w:sz="4" w:space="0"/>
            </w:tcBorders>
            <w:vAlign w:val="center"/>
          </w:tcPr>
          <w:p w14:paraId="67DE88EC">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p>
        </w:tc>
        <w:tc>
          <w:tcPr>
            <w:tcW w:w="820" w:type="dxa"/>
            <w:tcBorders>
              <w:top w:val="single" w:color="000000" w:sz="4" w:space="0"/>
              <w:left w:val="nil"/>
              <w:bottom w:val="single" w:color="auto" w:sz="4" w:space="0"/>
              <w:right w:val="single" w:color="000000" w:sz="4" w:space="0"/>
            </w:tcBorders>
            <w:vAlign w:val="center"/>
          </w:tcPr>
          <w:p w14:paraId="62D6FF6A">
            <w:pPr>
              <w:pStyle w:val="299"/>
              <w:adjustRightInd w:val="0"/>
              <w:snapToGrid w:val="0"/>
              <w:spacing w:line="40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w:t>
            </w:r>
          </w:p>
          <w:p w14:paraId="2E6EE5FF">
            <w:pPr>
              <w:pStyle w:val="299"/>
              <w:adjustRightInd w:val="0"/>
              <w:snapToGrid w:val="0"/>
              <w:spacing w:line="40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方法</w:t>
            </w:r>
          </w:p>
        </w:tc>
        <w:tc>
          <w:tcPr>
            <w:tcW w:w="7366" w:type="dxa"/>
            <w:gridSpan w:val="2"/>
            <w:tcBorders>
              <w:top w:val="single" w:color="000000" w:sz="4" w:space="0"/>
              <w:left w:val="nil"/>
              <w:bottom w:val="single" w:color="auto" w:sz="4" w:space="0"/>
              <w:right w:val="single" w:color="000000" w:sz="4" w:space="0"/>
            </w:tcBorders>
            <w:vAlign w:val="center"/>
          </w:tcPr>
          <w:p w14:paraId="14428AC9">
            <w:pPr>
              <w:pStyle w:val="299"/>
              <w:adjustRightInd w:val="0"/>
              <w:snapToGrid w:val="0"/>
              <w:spacing w:line="400" w:lineRule="exact"/>
              <w:ind w:firstLine="0" w:firstLineChars="0"/>
              <w:rPr>
                <w:rFonts w:hint="eastAsia" w:cs="宋体" w:asciiTheme="minorEastAsia" w:hAnsiTheme="minorEastAsia" w:eastAsiaTheme="minorEastAsia"/>
                <w:color w:val="auto"/>
                <w:szCs w:val="21"/>
                <w:highlight w:val="none"/>
              </w:rPr>
            </w:pPr>
            <w:r>
              <w:rPr>
                <w:rFonts w:hint="eastAsia" w:ascii="宋体" w:hAnsi="宋体" w:cs="宋体"/>
                <w:b/>
                <w:bCs/>
                <w:color w:val="auto"/>
                <w:szCs w:val="21"/>
                <w:highlight w:val="none"/>
              </w:rPr>
              <w:t>□ 3.协助评标</w:t>
            </w:r>
          </w:p>
          <w:p w14:paraId="6B960913">
            <w:pPr>
              <w:pStyle w:val="299"/>
              <w:adjustRightInd w:val="0"/>
              <w:snapToGrid w:val="0"/>
              <w:spacing w:line="400" w:lineRule="exact"/>
              <w:ind w:firstLine="210" w:firstLineChars="1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招标人按照</w:t>
            </w:r>
            <w:r>
              <w:rPr>
                <w:rFonts w:hint="eastAsia" w:cs="宋体" w:asciiTheme="minorEastAsia" w:hAnsiTheme="minorEastAsia" w:eastAsiaTheme="minorEastAsia"/>
                <w:color w:val="auto"/>
                <w:szCs w:val="21"/>
                <w:highlight w:val="none"/>
                <w:u w:val="single"/>
              </w:rPr>
              <w:t>《公路工程建设项目招标投标管理办法》（交通运输部令</w:t>
            </w:r>
            <w:r>
              <w:rPr>
                <w:rFonts w:cs="宋体" w:asciiTheme="minorEastAsia" w:hAnsiTheme="minorEastAsia" w:eastAsiaTheme="minorEastAsia"/>
                <w:color w:val="auto"/>
                <w:szCs w:val="21"/>
                <w:highlight w:val="none"/>
                <w:u w:val="single"/>
              </w:rPr>
              <w:t>2015年第24号）、《公路工程建设项目评标工作细则》（</w:t>
            </w:r>
            <w:r>
              <w:rPr>
                <w:rFonts w:hint="eastAsia" w:cs="宋体" w:asciiTheme="minorEastAsia" w:hAnsiTheme="minorEastAsia" w:eastAsiaTheme="minorEastAsia"/>
                <w:color w:val="auto"/>
                <w:szCs w:val="21"/>
                <w:highlight w:val="none"/>
                <w:u w:val="single"/>
              </w:rPr>
              <w:t>交公路规〔2022〕8号</w:t>
            </w:r>
            <w:r>
              <w:rPr>
                <w:rFonts w:cs="宋体" w:asciiTheme="minorEastAsia" w:hAnsiTheme="minorEastAsia" w:eastAsiaTheme="minorEastAsia"/>
                <w:color w:val="auto"/>
                <w:szCs w:val="21"/>
                <w:highlight w:val="none"/>
                <w:u w:val="single"/>
              </w:rPr>
              <w:t>）、《四川省公路工程建设项目招标投标管理实施细则》（川交发</w:t>
            </w:r>
            <w:r>
              <w:rPr>
                <w:rFonts w:hint="eastAsia" w:cs="宋体" w:asciiTheme="minorEastAsia" w:hAnsiTheme="minorEastAsia" w:eastAsiaTheme="minorEastAsia"/>
                <w:color w:val="auto"/>
                <w:szCs w:val="21"/>
                <w:highlight w:val="none"/>
                <w:u w:val="single"/>
                <w:lang w:eastAsia="zh-CN"/>
              </w:rPr>
              <w:t>〔</w:t>
            </w:r>
            <w:r>
              <w:rPr>
                <w:rFonts w:cs="宋体" w:asciiTheme="minorEastAsia" w:hAnsiTheme="minorEastAsia" w:eastAsiaTheme="minorEastAsia"/>
                <w:color w:val="auto"/>
                <w:szCs w:val="21"/>
                <w:highlight w:val="none"/>
                <w:u w:val="single"/>
              </w:rPr>
              <w:t>2019</w:t>
            </w:r>
            <w:r>
              <w:rPr>
                <w:rFonts w:hint="eastAsia" w:cs="宋体" w:asciiTheme="minorEastAsia" w:hAnsiTheme="minorEastAsia" w:eastAsiaTheme="minorEastAsia"/>
                <w:color w:val="auto"/>
                <w:szCs w:val="21"/>
                <w:highlight w:val="none"/>
                <w:u w:val="single"/>
                <w:lang w:eastAsia="zh-CN"/>
              </w:rPr>
              <w:t>〕</w:t>
            </w:r>
            <w:r>
              <w:rPr>
                <w:rFonts w:cs="宋体" w:asciiTheme="minorEastAsia" w:hAnsiTheme="minorEastAsia" w:eastAsiaTheme="minorEastAsia"/>
                <w:color w:val="auto"/>
                <w:szCs w:val="21"/>
                <w:highlight w:val="none"/>
                <w:u w:val="single"/>
              </w:rPr>
              <w:t>32号）</w:t>
            </w:r>
            <w:r>
              <w:rPr>
                <w:rFonts w:hint="eastAsia" w:cs="宋体" w:asciiTheme="minorEastAsia" w:hAnsiTheme="minorEastAsia" w:eastAsiaTheme="minorEastAsia"/>
                <w:color w:val="auto"/>
                <w:szCs w:val="21"/>
                <w:highlight w:val="none"/>
              </w:rPr>
              <w:t>规定，协助评标委员会工作并提供相关信息：</w:t>
            </w:r>
            <w:r>
              <w:rPr>
                <w:rFonts w:cs="宋体" w:asciiTheme="minorEastAsia" w:hAnsiTheme="minorEastAsia" w:eastAsiaTheme="minorEastAsia"/>
                <w:color w:val="auto"/>
                <w:szCs w:val="21"/>
                <w:highlight w:val="none"/>
              </w:rPr>
              <w:t xml:space="preserve"> </w:t>
            </w:r>
          </w:p>
          <w:p w14:paraId="7FF61108">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1）根据招标文件，编制评标使用的相应表格； </w:t>
            </w:r>
          </w:p>
          <w:p w14:paraId="7A382826">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w:t>
            </w:r>
            <w:r>
              <w:rPr>
                <w:rFonts w:hint="eastAsia" w:ascii="宋体" w:hAnsi="宋体" w:cs="宋体"/>
                <w:color w:val="auto"/>
                <w:szCs w:val="21"/>
                <w:highlight w:val="none"/>
              </w:rPr>
              <w:t>对投标人的</w:t>
            </w:r>
            <w:r>
              <w:rPr>
                <w:rFonts w:hint="eastAsia" w:ascii="宋体" w:hAnsi="宋体" w:cs="宋体"/>
                <w:color w:val="auto"/>
                <w:szCs w:val="21"/>
                <w:highlight w:val="none"/>
                <w:u w:val="single"/>
              </w:rPr>
              <w:t>资质、业绩、信誉和从业人员各类注册资格证书</w:t>
            </w:r>
            <w:r>
              <w:rPr>
                <w:rFonts w:hint="eastAsia" w:ascii="宋体" w:hAnsi="宋体" w:cs="宋体"/>
                <w:color w:val="auto"/>
                <w:szCs w:val="21"/>
                <w:highlight w:val="none"/>
              </w:rPr>
              <w:t>等信息按招标文件中约定的网站进行核实</w:t>
            </w:r>
            <w:r>
              <w:rPr>
                <w:rFonts w:hint="eastAsia" w:cs="宋体" w:asciiTheme="minorEastAsia" w:hAnsiTheme="minorEastAsia" w:eastAsiaTheme="minorEastAsia"/>
                <w:color w:val="auto"/>
                <w:szCs w:val="21"/>
                <w:highlight w:val="none"/>
              </w:rPr>
              <w:t>；</w:t>
            </w:r>
          </w:p>
          <w:p w14:paraId="6FA797D2">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3）对投标报价进行算术性校核；</w:t>
            </w:r>
          </w:p>
          <w:p w14:paraId="427B8D81">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4）以评标标准和方法为依据，列出投标文件相对于招标文件的所有偏差，并进行匿名归类汇总；</w:t>
            </w:r>
          </w:p>
          <w:p w14:paraId="5D4B6558">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5）在评标过程中，对评标委员会各成员的评分表进行复核，统计汇总；对评标过程资料进行整理。</w:t>
            </w:r>
          </w:p>
          <w:p w14:paraId="39ACC20F">
            <w:pPr>
              <w:pStyle w:val="299"/>
              <w:adjustRightInd w:val="0"/>
              <w:snapToGrid w:val="0"/>
              <w:spacing w:line="400" w:lineRule="exact"/>
              <w:ind w:firstLine="210" w:firstLineChars="1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招标人不得对投标文件作出任何评价，不得故意遗漏或者片面摘录，不得在评标委员会对所有偏差定性之前透露存有偏差的投标人名称。</w:t>
            </w:r>
          </w:p>
        </w:tc>
      </w:tr>
      <w:tr w14:paraId="53CA839D">
        <w:tblPrEx>
          <w:tblCellMar>
            <w:top w:w="0" w:type="dxa"/>
            <w:left w:w="108" w:type="dxa"/>
            <w:bottom w:w="0" w:type="dxa"/>
            <w:right w:w="108" w:type="dxa"/>
          </w:tblCellMar>
        </w:tblPrEx>
        <w:trPr>
          <w:trHeight w:val="1269" w:hRule="atLeast"/>
        </w:trPr>
        <w:tc>
          <w:tcPr>
            <w:tcW w:w="745" w:type="dxa"/>
            <w:vMerge w:val="restart"/>
            <w:tcBorders>
              <w:top w:val="single" w:color="auto" w:sz="4" w:space="0"/>
              <w:left w:val="single" w:color="auto" w:sz="4" w:space="0"/>
              <w:right w:val="single" w:color="auto" w:sz="4" w:space="0"/>
            </w:tcBorders>
            <w:vAlign w:val="center"/>
          </w:tcPr>
          <w:p w14:paraId="5A49D8FE">
            <w:pPr>
              <w:pStyle w:val="27"/>
              <w:adjustRightInd w:val="0"/>
              <w:snapToGrid w:val="0"/>
              <w:spacing w:line="400" w:lineRule="exact"/>
              <w:jc w:val="center"/>
              <w:rPr>
                <w:rFonts w:cs="Courier New" w:asciiTheme="minorEastAsia" w:hAnsiTheme="minorEastAsia" w:eastAsiaTheme="minorEastAsia"/>
                <w:color w:val="auto"/>
                <w:highlight w:val="none"/>
              </w:rPr>
            </w:pPr>
            <w:r>
              <w:rPr>
                <w:rFonts w:cs="Courier New" w:asciiTheme="minorEastAsia" w:hAnsiTheme="minorEastAsia" w:eastAsiaTheme="minorEastAsia"/>
                <w:color w:val="auto"/>
                <w:highlight w:val="none"/>
              </w:rPr>
              <w:t>2.1</w:t>
            </w:r>
          </w:p>
          <w:p w14:paraId="3FCBB54B">
            <w:pPr>
              <w:pStyle w:val="27"/>
              <w:adjustRightInd w:val="0"/>
              <w:snapToGrid w:val="0"/>
              <w:spacing w:line="400" w:lineRule="exact"/>
              <w:jc w:val="center"/>
              <w:rPr>
                <w:rFonts w:cs="Courier New" w:asciiTheme="minorEastAsia" w:hAnsiTheme="minorEastAsia" w:eastAsiaTheme="minorEastAsia"/>
                <w:color w:val="auto"/>
                <w:highlight w:val="none"/>
              </w:rPr>
            </w:pPr>
            <w:r>
              <w:rPr>
                <w:rFonts w:hint="eastAsia" w:cs="Courier New" w:asciiTheme="minorEastAsia" w:hAnsiTheme="minorEastAsia" w:eastAsiaTheme="minorEastAsia"/>
                <w:color w:val="auto"/>
                <w:highlight w:val="none"/>
              </w:rPr>
              <w:t>初步评审标准</w:t>
            </w:r>
            <w:r>
              <w:rPr>
                <w:rFonts w:cs="Courier New" w:asciiTheme="minorEastAsia" w:hAnsiTheme="minorEastAsia" w:eastAsiaTheme="minorEastAsia"/>
                <w:color w:val="auto"/>
                <w:highlight w:val="none"/>
              </w:rPr>
              <w:t xml:space="preserve">      </w:t>
            </w:r>
            <w:r>
              <w:rPr>
                <w:rFonts w:hint="eastAsia" w:cs="Courier New" w:asciiTheme="minorEastAsia" w:hAnsiTheme="minorEastAsia" w:eastAsiaTheme="minorEastAsia"/>
                <w:color w:val="auto"/>
                <w:highlight w:val="none"/>
              </w:rPr>
              <w:t>（第一个信封）</w:t>
            </w:r>
          </w:p>
        </w:tc>
        <w:tc>
          <w:tcPr>
            <w:tcW w:w="820" w:type="dxa"/>
            <w:vMerge w:val="restart"/>
            <w:tcBorders>
              <w:top w:val="single" w:color="auto" w:sz="4" w:space="0"/>
              <w:left w:val="single" w:color="auto" w:sz="4" w:space="0"/>
              <w:right w:val="single" w:color="auto" w:sz="4" w:space="0"/>
            </w:tcBorders>
            <w:vAlign w:val="center"/>
          </w:tcPr>
          <w:p w14:paraId="53954A10">
            <w:pPr>
              <w:pStyle w:val="27"/>
              <w:adjustRightInd w:val="0"/>
              <w:snapToGrid w:val="0"/>
              <w:spacing w:line="400" w:lineRule="exact"/>
              <w:jc w:val="center"/>
              <w:rPr>
                <w:rFonts w:cs="Courier New" w:asciiTheme="minorEastAsia" w:hAnsiTheme="minorEastAsia" w:eastAsiaTheme="minorEastAsia"/>
                <w:color w:val="auto"/>
                <w:highlight w:val="none"/>
              </w:rPr>
            </w:pPr>
            <w:r>
              <w:rPr>
                <w:rFonts w:cs="Courier New" w:asciiTheme="minorEastAsia" w:hAnsiTheme="minorEastAsia" w:eastAsiaTheme="minorEastAsia"/>
                <w:color w:val="auto"/>
                <w:highlight w:val="none"/>
              </w:rPr>
              <w:t>2.1.1</w:t>
            </w:r>
          </w:p>
          <w:p w14:paraId="34D70DC8">
            <w:pPr>
              <w:pStyle w:val="27"/>
              <w:adjustRightInd w:val="0"/>
              <w:snapToGrid w:val="0"/>
              <w:spacing w:line="400" w:lineRule="exact"/>
              <w:jc w:val="center"/>
              <w:rPr>
                <w:rFonts w:cs="Courier New" w:asciiTheme="minorEastAsia" w:hAnsiTheme="minorEastAsia" w:eastAsiaTheme="minorEastAsia"/>
                <w:color w:val="auto"/>
                <w:highlight w:val="none"/>
              </w:rPr>
            </w:pPr>
            <w:r>
              <w:rPr>
                <w:rFonts w:hint="eastAsia" w:cs="Courier New" w:asciiTheme="minorEastAsia" w:hAnsiTheme="minorEastAsia" w:eastAsiaTheme="minorEastAsia"/>
                <w:color w:val="auto"/>
                <w:highlight w:val="none"/>
              </w:rPr>
              <w:t>形式评审标准</w:t>
            </w:r>
          </w:p>
        </w:tc>
        <w:tc>
          <w:tcPr>
            <w:tcW w:w="2470" w:type="dxa"/>
            <w:tcBorders>
              <w:top w:val="single" w:color="auto" w:sz="4" w:space="0"/>
              <w:bottom w:val="single" w:color="auto" w:sz="4" w:space="0"/>
              <w:right w:val="single" w:color="auto" w:sz="4" w:space="0"/>
            </w:tcBorders>
            <w:vAlign w:val="center"/>
          </w:tcPr>
          <w:p w14:paraId="322A0D06">
            <w:pPr>
              <w:adjustRightInd w:val="0"/>
              <w:snapToGrid w:val="0"/>
              <w:spacing w:line="400" w:lineRule="exac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1.投标文件格式按照招标文件规定</w:t>
            </w:r>
            <w:r>
              <w:rPr>
                <w:rFonts w:hint="eastAsia" w:cs="宋体" w:asciiTheme="minorEastAsia" w:hAnsiTheme="minorEastAsia" w:eastAsiaTheme="minorEastAsia"/>
                <w:color w:val="auto"/>
                <w:szCs w:val="21"/>
                <w:highlight w:val="none"/>
              </w:rPr>
              <w:t>的格式</w:t>
            </w:r>
            <w:r>
              <w:rPr>
                <w:rFonts w:cs="宋体" w:asciiTheme="minorEastAsia" w:hAnsiTheme="minorEastAsia" w:eastAsiaTheme="minorEastAsia"/>
                <w:color w:val="auto"/>
                <w:szCs w:val="21"/>
                <w:highlight w:val="none"/>
              </w:rPr>
              <w:t>、内容填写</w:t>
            </w:r>
          </w:p>
        </w:tc>
        <w:tc>
          <w:tcPr>
            <w:tcW w:w="4896" w:type="dxa"/>
            <w:tcBorders>
              <w:top w:val="single" w:color="auto" w:sz="4" w:space="0"/>
              <w:left w:val="single" w:color="auto" w:sz="4" w:space="0"/>
              <w:bottom w:val="single" w:color="auto" w:sz="4" w:space="0"/>
              <w:right w:val="single" w:color="auto" w:sz="4" w:space="0"/>
            </w:tcBorders>
            <w:vAlign w:val="center"/>
          </w:tcPr>
          <w:p w14:paraId="722B1917">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1）投标函按照招标文件的规定</w:t>
            </w:r>
            <w:r>
              <w:rPr>
                <w:rFonts w:hint="eastAsia" w:cs="宋体" w:asciiTheme="minorEastAsia" w:hAnsiTheme="minorEastAsia" w:eastAsiaTheme="minorEastAsia"/>
                <w:color w:val="auto"/>
                <w:szCs w:val="21"/>
                <w:highlight w:val="none"/>
              </w:rPr>
              <w:t>填报</w:t>
            </w:r>
            <w:r>
              <w:rPr>
                <w:rFonts w:cs="宋体" w:asciiTheme="minorEastAsia" w:hAnsiTheme="minorEastAsia" w:eastAsiaTheme="minorEastAsia"/>
                <w:color w:val="auto"/>
                <w:szCs w:val="21"/>
                <w:highlight w:val="none"/>
              </w:rPr>
              <w:t>了</w:t>
            </w:r>
            <w:r>
              <w:rPr>
                <w:rFonts w:hint="eastAsia" w:cs="宋体" w:asciiTheme="minorEastAsia" w:hAnsiTheme="minorEastAsia" w:eastAsiaTheme="minorEastAsia"/>
                <w:color w:val="auto"/>
                <w:szCs w:val="21"/>
                <w:highlight w:val="none"/>
              </w:rPr>
              <w:t>招标</w:t>
            </w:r>
            <w:r>
              <w:rPr>
                <w:rFonts w:cs="宋体" w:asciiTheme="minorEastAsia" w:hAnsiTheme="minorEastAsia" w:eastAsiaTheme="minorEastAsia"/>
                <w:color w:val="auto"/>
                <w:szCs w:val="21"/>
                <w:highlight w:val="none"/>
              </w:rPr>
              <w:t>项目名称、标段号、</w:t>
            </w:r>
            <w:r>
              <w:rPr>
                <w:rFonts w:hint="eastAsia" w:cs="宋体" w:asciiTheme="minorEastAsia" w:hAnsiTheme="minorEastAsia" w:eastAsiaTheme="minorEastAsia"/>
                <w:color w:val="auto"/>
                <w:szCs w:val="21"/>
                <w:highlight w:val="none"/>
              </w:rPr>
              <w:t>工期</w:t>
            </w:r>
            <w:r>
              <w:rPr>
                <w:rFonts w:hint="eastAsia" w:cs="宋体" w:asciiTheme="minorEastAsia" w:hAnsiTheme="minorEastAsia" w:eastAsiaTheme="minorEastAsia"/>
                <w:color w:val="auto"/>
                <w:szCs w:val="21"/>
                <w:highlight w:val="none"/>
                <w:lang w:eastAsia="zh-CN"/>
              </w:rPr>
              <w:t>。</w:t>
            </w:r>
          </w:p>
          <w:p w14:paraId="4F3ED716">
            <w:pPr>
              <w:pStyle w:val="299"/>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2）投标函附录的所有数据</w:t>
            </w:r>
            <w:r>
              <w:rPr>
                <w:rFonts w:hint="eastAsia" w:cs="宋体" w:asciiTheme="minorEastAsia" w:hAnsiTheme="minorEastAsia" w:eastAsiaTheme="minorEastAsia"/>
                <w:color w:val="auto"/>
                <w:szCs w:val="21"/>
                <w:highlight w:val="none"/>
              </w:rPr>
              <w:t>均</w:t>
            </w:r>
            <w:r>
              <w:rPr>
                <w:rFonts w:cs="宋体" w:asciiTheme="minorEastAsia" w:hAnsiTheme="minorEastAsia" w:eastAsiaTheme="minorEastAsia"/>
                <w:color w:val="auto"/>
                <w:szCs w:val="21"/>
                <w:highlight w:val="none"/>
              </w:rPr>
              <w:t>符合招标文件的规定</w:t>
            </w:r>
            <w:r>
              <w:rPr>
                <w:rFonts w:hint="eastAsia" w:cs="宋体" w:asciiTheme="minorEastAsia" w:hAnsiTheme="minorEastAsia" w:eastAsiaTheme="minorEastAsia"/>
                <w:color w:val="auto"/>
                <w:szCs w:val="21"/>
                <w:highlight w:val="none"/>
                <w:lang w:eastAsia="zh-CN"/>
              </w:rPr>
              <w:t>。</w:t>
            </w:r>
          </w:p>
          <w:p w14:paraId="1014CCB8">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）投标文件组成</w:t>
            </w:r>
            <w:r>
              <w:rPr>
                <w:rFonts w:cs="宋体" w:asciiTheme="minorEastAsia" w:hAnsiTheme="minorEastAsia" w:eastAsiaTheme="minorEastAsia"/>
                <w:color w:val="auto"/>
                <w:szCs w:val="21"/>
                <w:highlight w:val="none"/>
              </w:rPr>
              <w:t>齐全完整、内容均按规定填写。</w:t>
            </w:r>
          </w:p>
        </w:tc>
      </w:tr>
      <w:tr w14:paraId="18ED5F94">
        <w:tblPrEx>
          <w:tblCellMar>
            <w:top w:w="0" w:type="dxa"/>
            <w:left w:w="108" w:type="dxa"/>
            <w:bottom w:w="0" w:type="dxa"/>
            <w:right w:w="108" w:type="dxa"/>
          </w:tblCellMar>
        </w:tblPrEx>
        <w:trPr>
          <w:trHeight w:val="1269" w:hRule="atLeast"/>
        </w:trPr>
        <w:tc>
          <w:tcPr>
            <w:tcW w:w="745" w:type="dxa"/>
            <w:vMerge w:val="continue"/>
            <w:tcBorders>
              <w:left w:val="single" w:color="auto" w:sz="4" w:space="0"/>
              <w:right w:val="single" w:color="auto" w:sz="4" w:space="0"/>
            </w:tcBorders>
            <w:vAlign w:val="center"/>
          </w:tcPr>
          <w:p w14:paraId="05EDAB33">
            <w:pPr>
              <w:pStyle w:val="27"/>
              <w:adjustRightInd w:val="0"/>
              <w:snapToGrid w:val="0"/>
              <w:spacing w:line="400" w:lineRule="exact"/>
              <w:jc w:val="center"/>
              <w:rPr>
                <w:rFonts w:cs="Courier New" w:asciiTheme="minorEastAsia" w:hAnsiTheme="minorEastAsia" w:eastAsiaTheme="minorEastAsia"/>
                <w:color w:val="auto"/>
                <w:highlight w:val="none"/>
              </w:rPr>
            </w:pPr>
          </w:p>
        </w:tc>
        <w:tc>
          <w:tcPr>
            <w:tcW w:w="820" w:type="dxa"/>
            <w:vMerge w:val="continue"/>
            <w:tcBorders>
              <w:left w:val="single" w:color="auto" w:sz="4" w:space="0"/>
              <w:right w:val="single" w:color="auto" w:sz="4" w:space="0"/>
            </w:tcBorders>
            <w:vAlign w:val="center"/>
          </w:tcPr>
          <w:p w14:paraId="0141C931">
            <w:pPr>
              <w:pStyle w:val="27"/>
              <w:adjustRightInd w:val="0"/>
              <w:snapToGrid w:val="0"/>
              <w:spacing w:line="400" w:lineRule="exact"/>
              <w:jc w:val="center"/>
              <w:rPr>
                <w:rFonts w:cs="Courier New" w:asciiTheme="minorEastAsia" w:hAnsiTheme="minorEastAsia" w:eastAsiaTheme="minorEastAsia"/>
                <w:color w:val="auto"/>
                <w:highlight w:val="none"/>
              </w:rPr>
            </w:pPr>
          </w:p>
        </w:tc>
        <w:tc>
          <w:tcPr>
            <w:tcW w:w="2470" w:type="dxa"/>
            <w:vAlign w:val="center"/>
          </w:tcPr>
          <w:p w14:paraId="0A6DF8C5">
            <w:pPr>
              <w:adjustRightInd w:val="0"/>
              <w:snapToGrid w:val="0"/>
              <w:spacing w:line="400" w:lineRule="exact"/>
              <w:rPr>
                <w:rFonts w:asciiTheme="minorEastAsia" w:hAnsiTheme="minorEastAsia" w:eastAsiaTheme="minorEastAsia"/>
                <w:color w:val="auto"/>
                <w:kern w:val="0"/>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4896" w:type="dxa"/>
            <w:tcBorders>
              <w:top w:val="single" w:color="auto" w:sz="4" w:space="0"/>
              <w:left w:val="single" w:color="auto" w:sz="4" w:space="0"/>
              <w:bottom w:val="single" w:color="auto" w:sz="4" w:space="0"/>
              <w:right w:val="single" w:color="auto" w:sz="4" w:space="0"/>
            </w:tcBorders>
            <w:vAlign w:val="center"/>
          </w:tcPr>
          <w:p w14:paraId="361DE7F4">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1）投标函</w:t>
            </w:r>
            <w:r>
              <w:rPr>
                <w:rFonts w:hint="eastAsia" w:ascii="宋体" w:hAnsi="宋体"/>
                <w:color w:val="auto"/>
                <w:szCs w:val="21"/>
                <w:highlight w:val="none"/>
              </w:rPr>
              <w:t>及投标文件格式</w:t>
            </w:r>
            <w:r>
              <w:rPr>
                <w:rFonts w:cs="宋体" w:asciiTheme="minorEastAsia" w:hAnsiTheme="minorEastAsia" w:eastAsiaTheme="minorEastAsia"/>
                <w:color w:val="auto"/>
                <w:szCs w:val="21"/>
                <w:highlight w:val="none"/>
              </w:rPr>
              <w:t>中要求盖单位电子印章</w:t>
            </w:r>
            <w:r>
              <w:rPr>
                <w:rFonts w:hint="eastAsia" w:cs="宋体" w:asciiTheme="minorEastAsia" w:hAnsiTheme="minorEastAsia" w:eastAsiaTheme="minorEastAsia"/>
                <w:color w:val="auto"/>
                <w:szCs w:val="21"/>
                <w:highlight w:val="none"/>
                <w:lang w:eastAsia="zh-CN"/>
              </w:rPr>
              <w:t>之处</w:t>
            </w:r>
            <w:r>
              <w:rPr>
                <w:rFonts w:cs="宋体" w:asciiTheme="minorEastAsia" w:hAnsiTheme="minorEastAsia" w:eastAsiaTheme="minorEastAsia"/>
                <w:color w:val="auto"/>
                <w:szCs w:val="21"/>
                <w:highlight w:val="none"/>
              </w:rPr>
              <w:t>，投标人均应使用单位CA数字证书加盖投标人的单位电子印章；投标函</w:t>
            </w:r>
            <w:r>
              <w:rPr>
                <w:rFonts w:hint="eastAsia" w:ascii="宋体" w:hAnsi="宋体"/>
                <w:color w:val="auto"/>
                <w:szCs w:val="21"/>
                <w:highlight w:val="none"/>
              </w:rPr>
              <w:t>及投标文件格式</w:t>
            </w:r>
            <w:r>
              <w:rPr>
                <w:rFonts w:cs="宋体" w:asciiTheme="minorEastAsia" w:hAnsiTheme="minorEastAsia" w:eastAsiaTheme="minorEastAsia"/>
                <w:color w:val="auto"/>
                <w:szCs w:val="21"/>
                <w:highlight w:val="none"/>
              </w:rPr>
              <w:t>中要求签字</w:t>
            </w:r>
            <w:r>
              <w:rPr>
                <w:rFonts w:hint="eastAsia" w:cs="宋体" w:asciiTheme="minorEastAsia" w:hAnsiTheme="minorEastAsia" w:eastAsiaTheme="minorEastAsia"/>
                <w:color w:val="auto"/>
                <w:szCs w:val="21"/>
                <w:highlight w:val="none"/>
                <w:lang w:eastAsia="zh-CN"/>
              </w:rPr>
              <w:t>之处</w:t>
            </w:r>
            <w:r>
              <w:rPr>
                <w:rFonts w:cs="宋体" w:asciiTheme="minorEastAsia" w:hAnsiTheme="minorEastAsia" w:eastAsiaTheme="minorEastAsia"/>
                <w:color w:val="auto"/>
                <w:szCs w:val="21"/>
                <w:highlight w:val="none"/>
              </w:rPr>
              <w:t>，投标人均应使用个人CA数字证书加盖法定代表人或其委托代理人的个人电子签名章或个人电子印章。</w:t>
            </w:r>
          </w:p>
          <w:p w14:paraId="30E59C19">
            <w:pPr>
              <w:adjustRightInd w:val="0"/>
              <w:snapToGrid w:val="0"/>
              <w:spacing w:line="400" w:lineRule="exac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val="en-US" w:eastAsia="zh-CN"/>
              </w:rPr>
              <w:t>以</w:t>
            </w:r>
            <w:r>
              <w:rPr>
                <w:rFonts w:cs="宋体" w:asciiTheme="minorEastAsia" w:hAnsiTheme="minorEastAsia" w:eastAsiaTheme="minorEastAsia"/>
                <w:color w:val="auto"/>
                <w:szCs w:val="21"/>
                <w:highlight w:val="none"/>
              </w:rPr>
              <w:t>联合体</w:t>
            </w:r>
            <w:r>
              <w:rPr>
                <w:rFonts w:hint="eastAsia" w:cs="宋体" w:asciiTheme="minorEastAsia" w:hAnsiTheme="minorEastAsia" w:eastAsiaTheme="minorEastAsia"/>
                <w:color w:val="auto"/>
                <w:szCs w:val="21"/>
                <w:highlight w:val="none"/>
                <w:lang w:val="en-US" w:eastAsia="zh-CN"/>
              </w:rPr>
              <w:t>形式</w:t>
            </w:r>
            <w:r>
              <w:rPr>
                <w:rFonts w:cs="宋体" w:asciiTheme="minorEastAsia" w:hAnsiTheme="minorEastAsia" w:eastAsiaTheme="minorEastAsia"/>
                <w:color w:val="auto"/>
                <w:szCs w:val="21"/>
                <w:highlight w:val="none"/>
              </w:rPr>
              <w:t>投标的，投标函由联合体牵头人按</w:t>
            </w:r>
            <w:r>
              <w:rPr>
                <w:rFonts w:hint="eastAsia" w:cs="宋体" w:asciiTheme="minorEastAsia" w:hAnsiTheme="minorEastAsia" w:eastAsiaTheme="minorEastAsia"/>
                <w:color w:val="auto"/>
                <w:szCs w:val="21"/>
                <w:highlight w:val="none"/>
              </w:rPr>
              <w:t>上述</w:t>
            </w:r>
            <w:r>
              <w:rPr>
                <w:rFonts w:hint="eastAsia" w:cs="宋体" w:asciiTheme="minorEastAsia" w:hAnsiTheme="minorEastAsia" w:eastAsiaTheme="minorEastAsia"/>
                <w:color w:val="auto"/>
                <w:szCs w:val="21"/>
                <w:highlight w:val="none"/>
                <w:lang w:val="en-US" w:eastAsia="zh-CN"/>
              </w:rPr>
              <w:t>规定</w:t>
            </w:r>
            <w:r>
              <w:rPr>
                <w:rFonts w:cs="宋体" w:asciiTheme="minorEastAsia" w:hAnsiTheme="minorEastAsia" w:eastAsiaTheme="minorEastAsia"/>
                <w:color w:val="auto"/>
                <w:szCs w:val="21"/>
                <w:highlight w:val="none"/>
              </w:rPr>
              <w:t>完成签字、</w:t>
            </w:r>
            <w:r>
              <w:rPr>
                <w:rFonts w:hint="eastAsia" w:cs="宋体" w:asciiTheme="minorEastAsia" w:hAnsiTheme="minorEastAsia" w:eastAsiaTheme="minorEastAsia"/>
                <w:color w:val="auto"/>
                <w:szCs w:val="21"/>
                <w:highlight w:val="none"/>
              </w:rPr>
              <w:t>盖章。</w:t>
            </w:r>
          </w:p>
        </w:tc>
      </w:tr>
      <w:tr w14:paraId="79A141F9">
        <w:tblPrEx>
          <w:tblCellMar>
            <w:top w:w="0" w:type="dxa"/>
            <w:left w:w="108" w:type="dxa"/>
            <w:bottom w:w="0" w:type="dxa"/>
            <w:right w:w="108" w:type="dxa"/>
          </w:tblCellMar>
        </w:tblPrEx>
        <w:trPr>
          <w:trHeight w:val="785" w:hRule="atLeast"/>
        </w:trPr>
        <w:tc>
          <w:tcPr>
            <w:tcW w:w="745" w:type="dxa"/>
            <w:vMerge w:val="continue"/>
            <w:tcBorders>
              <w:left w:val="single" w:color="auto" w:sz="4" w:space="0"/>
              <w:bottom w:val="single" w:color="auto" w:sz="4" w:space="0"/>
              <w:right w:val="single" w:color="auto" w:sz="4" w:space="0"/>
            </w:tcBorders>
            <w:vAlign w:val="center"/>
          </w:tcPr>
          <w:p w14:paraId="6C015F4C">
            <w:pPr>
              <w:pStyle w:val="27"/>
              <w:adjustRightInd w:val="0"/>
              <w:snapToGrid w:val="0"/>
              <w:spacing w:line="400" w:lineRule="exact"/>
              <w:jc w:val="center"/>
              <w:rPr>
                <w:rFonts w:cs="Courier New" w:asciiTheme="minorEastAsia" w:hAnsiTheme="minorEastAsia" w:eastAsiaTheme="minorEastAsia"/>
                <w:color w:val="auto"/>
                <w:highlight w:val="none"/>
              </w:rPr>
            </w:pPr>
          </w:p>
        </w:tc>
        <w:tc>
          <w:tcPr>
            <w:tcW w:w="820" w:type="dxa"/>
            <w:vMerge w:val="continue"/>
            <w:tcBorders>
              <w:left w:val="single" w:color="auto" w:sz="4" w:space="0"/>
              <w:bottom w:val="single" w:color="auto" w:sz="4" w:space="0"/>
              <w:right w:val="single" w:color="auto" w:sz="4" w:space="0"/>
            </w:tcBorders>
            <w:vAlign w:val="center"/>
          </w:tcPr>
          <w:p w14:paraId="2375406B">
            <w:pPr>
              <w:pStyle w:val="27"/>
              <w:adjustRightInd w:val="0"/>
              <w:snapToGrid w:val="0"/>
              <w:spacing w:line="400" w:lineRule="exact"/>
              <w:jc w:val="center"/>
              <w:rPr>
                <w:rFonts w:cs="Courier New" w:asciiTheme="minorEastAsia" w:hAnsiTheme="minorEastAsia" w:eastAsiaTheme="minorEastAsia"/>
                <w:color w:val="auto"/>
                <w:highlight w:val="none"/>
              </w:rPr>
            </w:pPr>
          </w:p>
        </w:tc>
        <w:tc>
          <w:tcPr>
            <w:tcW w:w="2470" w:type="dxa"/>
            <w:tcBorders>
              <w:top w:val="single" w:color="auto" w:sz="4" w:space="0"/>
              <w:left w:val="nil"/>
              <w:bottom w:val="single" w:color="auto" w:sz="4" w:space="0"/>
              <w:right w:val="single" w:color="auto" w:sz="4" w:space="0"/>
            </w:tcBorders>
            <w:vAlign w:val="center"/>
          </w:tcPr>
          <w:p w14:paraId="2AFF563F">
            <w:pPr>
              <w:adjustRightInd w:val="0"/>
              <w:snapToGrid w:val="0"/>
              <w:spacing w:line="400" w:lineRule="exac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3</w:t>
            </w:r>
            <w:r>
              <w:rPr>
                <w:rFonts w:hint="eastAsia" w:asciiTheme="minorEastAsia" w:hAnsiTheme="minorEastAsia" w:eastAsiaTheme="minorEastAsia"/>
                <w:color w:val="auto"/>
                <w:kern w:val="0"/>
                <w:szCs w:val="21"/>
                <w:highlight w:val="none"/>
              </w:rPr>
              <w:t>．投标人按照招标文件规定的金额、形式、时效、内容提供了投标保证金</w:t>
            </w:r>
          </w:p>
        </w:tc>
        <w:tc>
          <w:tcPr>
            <w:tcW w:w="4896" w:type="dxa"/>
            <w:tcBorders>
              <w:top w:val="single" w:color="auto" w:sz="4" w:space="0"/>
              <w:left w:val="single" w:color="auto" w:sz="4" w:space="0"/>
              <w:bottom w:val="single" w:color="auto" w:sz="4" w:space="0"/>
              <w:right w:val="single" w:color="auto" w:sz="4" w:space="0"/>
            </w:tcBorders>
            <w:vAlign w:val="center"/>
          </w:tcPr>
          <w:p w14:paraId="3DCFAF8E">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1）投标保证金金额符合第二章</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投标人须知</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第3.4.1</w:t>
            </w:r>
            <w:r>
              <w:rPr>
                <w:rFonts w:hint="eastAsia" w:asciiTheme="minorEastAsia" w:hAnsiTheme="minorEastAsia" w:eastAsiaTheme="minorEastAsia"/>
                <w:color w:val="auto"/>
                <w:kern w:val="0"/>
                <w:szCs w:val="21"/>
                <w:highlight w:val="none"/>
              </w:rPr>
              <w:t>项</w:t>
            </w:r>
            <w:r>
              <w:rPr>
                <w:rFonts w:asciiTheme="minorEastAsia" w:hAnsiTheme="minorEastAsia" w:eastAsiaTheme="minorEastAsia"/>
                <w:color w:val="auto"/>
                <w:kern w:val="0"/>
                <w:szCs w:val="21"/>
                <w:highlight w:val="none"/>
              </w:rPr>
              <w:t>要求</w:t>
            </w:r>
            <w:r>
              <w:rPr>
                <w:rFonts w:hint="eastAsia" w:asciiTheme="minorEastAsia" w:hAnsiTheme="minorEastAsia" w:eastAsiaTheme="minorEastAsia"/>
                <w:color w:val="auto"/>
                <w:szCs w:val="21"/>
                <w:highlight w:val="none"/>
              </w:rPr>
              <w:t>，且投标保证金有效期不少于投标有效期</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rPr>
              <w:t> </w:t>
            </w:r>
          </w:p>
          <w:p w14:paraId="265C9470">
            <w:pPr>
              <w:pStyle w:val="299"/>
              <w:adjustRightInd w:val="0"/>
              <w:snapToGrid w:val="0"/>
              <w:spacing w:line="400" w:lineRule="exact"/>
              <w:rPr>
                <w:rFonts w:hint="eastAsia" w:asciiTheme="minorEastAsia" w:hAnsiTheme="minorEastAsia" w:eastAsiaTheme="minorEastAsia"/>
                <w:color w:val="auto"/>
                <w:kern w:val="0"/>
                <w:szCs w:val="21"/>
                <w:highlight w:val="none"/>
                <w:lang w:eastAsia="zh-CN"/>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2）采用现金或支票形式担保，投标保证金由投标人基本账户</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lang w:val="en-US" w:eastAsia="zh-CN"/>
              </w:rPr>
              <w:t>或基本存款账户</w:t>
            </w:r>
            <w:r>
              <w:rPr>
                <w:rFonts w:hint="eastAsia" w:asciiTheme="minorEastAsia" w:hAnsiTheme="minorEastAsia" w:eastAsiaTheme="minorEastAsia"/>
                <w:color w:val="auto"/>
                <w:kern w:val="0"/>
                <w:szCs w:val="21"/>
                <w:highlight w:val="none"/>
                <w:lang w:eastAsia="zh-CN"/>
              </w:rPr>
              <w:t>）</w:t>
            </w:r>
            <w:r>
              <w:rPr>
                <w:rFonts w:asciiTheme="minorEastAsia" w:hAnsiTheme="minorEastAsia" w:eastAsiaTheme="minorEastAsia"/>
                <w:color w:val="auto"/>
                <w:kern w:val="0"/>
                <w:szCs w:val="21"/>
                <w:highlight w:val="none"/>
              </w:rPr>
              <w:t>汇出，并在规定时间到达招标人指定账</w:t>
            </w:r>
            <w:r>
              <w:rPr>
                <w:rFonts w:hint="eastAsia" w:asciiTheme="minorEastAsia" w:hAnsiTheme="minorEastAsia" w:eastAsiaTheme="minorEastAsia"/>
                <w:color w:val="auto"/>
                <w:kern w:val="0"/>
                <w:szCs w:val="21"/>
                <w:highlight w:val="none"/>
              </w:rPr>
              <w:t>户</w:t>
            </w:r>
            <w:r>
              <w:rPr>
                <w:rFonts w:hint="eastAsia" w:asciiTheme="minorEastAsia" w:hAnsiTheme="minorEastAsia" w:eastAsiaTheme="minorEastAsia"/>
                <w:color w:val="auto"/>
                <w:kern w:val="0"/>
                <w:szCs w:val="21"/>
                <w:highlight w:val="none"/>
                <w:lang w:eastAsia="zh-CN"/>
              </w:rPr>
              <w:t>。</w:t>
            </w:r>
          </w:p>
          <w:p w14:paraId="1945B3E7">
            <w:pPr>
              <w:pStyle w:val="299"/>
              <w:adjustRightInd w:val="0"/>
              <w:snapToGrid w:val="0"/>
              <w:spacing w:line="400" w:lineRule="exact"/>
              <w:rPr>
                <w:rFonts w:hint="eastAsia" w:asciiTheme="minorEastAsia" w:hAnsiTheme="minorEastAsia" w:eastAsiaTheme="minorEastAsia"/>
                <w:color w:val="auto"/>
                <w:kern w:val="0"/>
                <w:szCs w:val="21"/>
                <w:highlight w:val="none"/>
                <w:lang w:eastAsia="zh-CN"/>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3）采用银行保函，银行保函的格式、开具保函的银行级别、银行保函有效期及银行保函提交均满足第二章</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投标人须知</w:t>
            </w:r>
            <w:r>
              <w:rPr>
                <w:rFonts w:hint="eastAsia" w:asciiTheme="minorEastAsia" w:hAnsiTheme="minorEastAsia" w:eastAsiaTheme="minorEastAsia"/>
                <w:color w:val="auto"/>
                <w:kern w:val="0"/>
                <w:szCs w:val="21"/>
                <w:highlight w:val="none"/>
              </w:rPr>
              <w:t>”</w:t>
            </w:r>
            <w:r>
              <w:rPr>
                <w:rFonts w:hint="eastAsia" w:asciiTheme="minorEastAsia" w:hAnsiTheme="minorEastAsia" w:eastAsiaTheme="minorEastAsia"/>
                <w:color w:val="auto"/>
                <w:kern w:val="0"/>
                <w:szCs w:val="21"/>
                <w:highlight w:val="none"/>
                <w:lang w:val="en-US" w:eastAsia="zh-CN"/>
              </w:rPr>
              <w:t>前附表</w:t>
            </w:r>
            <w:r>
              <w:rPr>
                <w:rFonts w:asciiTheme="minorEastAsia" w:hAnsiTheme="minorEastAsia" w:eastAsiaTheme="minorEastAsia"/>
                <w:color w:val="auto"/>
                <w:kern w:val="0"/>
                <w:szCs w:val="21"/>
                <w:highlight w:val="none"/>
              </w:rPr>
              <w:t>第3.4.1</w:t>
            </w:r>
            <w:r>
              <w:rPr>
                <w:rFonts w:hint="eastAsia" w:asciiTheme="minorEastAsia" w:hAnsiTheme="minorEastAsia" w:eastAsiaTheme="minorEastAsia"/>
                <w:color w:val="auto"/>
                <w:kern w:val="0"/>
                <w:szCs w:val="21"/>
                <w:highlight w:val="none"/>
              </w:rPr>
              <w:t>项</w:t>
            </w:r>
            <w:r>
              <w:rPr>
                <w:rFonts w:asciiTheme="minorEastAsia" w:hAnsiTheme="minorEastAsia" w:eastAsiaTheme="minorEastAsia"/>
                <w:color w:val="auto"/>
                <w:kern w:val="0"/>
                <w:szCs w:val="21"/>
                <w:highlight w:val="none"/>
              </w:rPr>
              <w:t>要求，</w:t>
            </w:r>
            <w:r>
              <w:rPr>
                <w:rFonts w:hint="eastAsia" w:asciiTheme="minorEastAsia" w:hAnsiTheme="minorEastAsia" w:eastAsiaTheme="minorEastAsia"/>
                <w:color w:val="auto"/>
                <w:szCs w:val="21"/>
                <w:highlight w:val="none"/>
              </w:rPr>
              <w:t>且</w:t>
            </w:r>
            <w:r>
              <w:rPr>
                <w:rFonts w:asciiTheme="minorEastAsia" w:hAnsiTheme="minorEastAsia" w:eastAsiaTheme="minorEastAsia"/>
                <w:color w:val="auto"/>
                <w:szCs w:val="21"/>
                <w:highlight w:val="none"/>
              </w:rPr>
              <w:t>其提交的银行保函内容</w:t>
            </w:r>
            <w:r>
              <w:rPr>
                <w:rFonts w:hint="eastAsia" w:asciiTheme="minorEastAsia" w:hAnsiTheme="minorEastAsia" w:eastAsiaTheme="minorEastAsia"/>
                <w:color w:val="auto"/>
                <w:szCs w:val="21"/>
                <w:highlight w:val="none"/>
              </w:rPr>
              <w:t>不得作出降低担保效力的实质性修改</w:t>
            </w:r>
            <w:r>
              <w:rPr>
                <w:rFonts w:hint="eastAsia" w:asciiTheme="minorEastAsia" w:hAnsiTheme="minorEastAsia" w:eastAsiaTheme="minorEastAsia"/>
                <w:color w:val="auto"/>
                <w:kern w:val="0"/>
                <w:szCs w:val="21"/>
                <w:highlight w:val="none"/>
                <w:lang w:eastAsia="zh-CN"/>
              </w:rPr>
              <w:t>。</w:t>
            </w:r>
          </w:p>
          <w:p w14:paraId="5F03CB50">
            <w:pPr>
              <w:pStyle w:val="299"/>
              <w:adjustRightInd w:val="0"/>
              <w:snapToGrid w:val="0"/>
              <w:spacing w:line="40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4）若采用上述情形以外的形式提交投标保证金的，应符合的要求：</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p>
          <w:p w14:paraId="7E2BC9AC">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lang w:val="en-US" w:eastAsia="zh-CN"/>
              </w:rPr>
              <w:t>以</w:t>
            </w:r>
            <w:r>
              <w:rPr>
                <w:rFonts w:hint="eastAsia" w:asciiTheme="minorEastAsia" w:hAnsiTheme="minorEastAsia" w:eastAsiaTheme="minorEastAsia"/>
                <w:color w:val="auto"/>
                <w:kern w:val="0"/>
                <w:szCs w:val="21"/>
                <w:highlight w:val="none"/>
              </w:rPr>
              <w:t>联合体形式投标的，投标保证金应由联合体牵头人提交。</w:t>
            </w:r>
          </w:p>
        </w:tc>
      </w:tr>
      <w:tr w14:paraId="73365F18">
        <w:tblPrEx>
          <w:tblCellMar>
            <w:top w:w="0" w:type="dxa"/>
            <w:left w:w="108" w:type="dxa"/>
            <w:bottom w:w="0" w:type="dxa"/>
            <w:right w:w="108" w:type="dxa"/>
          </w:tblCellMar>
        </w:tblPrEx>
        <w:trPr>
          <w:trHeight w:val="502"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4BFED9DA">
            <w:pPr>
              <w:pStyle w:val="27"/>
              <w:adjustRightInd w:val="0"/>
              <w:snapToGrid w:val="0"/>
              <w:spacing w:line="400" w:lineRule="exact"/>
              <w:jc w:val="center"/>
              <w:rPr>
                <w:rFonts w:cs="Courier New" w:asciiTheme="minorEastAsia" w:hAnsiTheme="minorEastAsia" w:eastAsiaTheme="minorEastAsia"/>
                <w:color w:val="auto"/>
                <w:highlight w:val="none"/>
              </w:rPr>
            </w:pPr>
            <w:r>
              <w:rPr>
                <w:rFonts w:cs="Courier New" w:asciiTheme="minorEastAsia" w:hAnsiTheme="minorEastAsia" w:eastAsiaTheme="minorEastAsia"/>
                <w:color w:val="auto"/>
                <w:highlight w:val="none"/>
              </w:rPr>
              <w:t>2.1</w:t>
            </w:r>
          </w:p>
          <w:p w14:paraId="54ED57B2">
            <w:pPr>
              <w:pStyle w:val="27"/>
              <w:adjustRightInd w:val="0"/>
              <w:snapToGrid w:val="0"/>
              <w:spacing w:line="400" w:lineRule="exact"/>
              <w:jc w:val="center"/>
              <w:rPr>
                <w:rFonts w:cs="Courier New" w:asciiTheme="minorEastAsia" w:hAnsiTheme="minorEastAsia" w:eastAsiaTheme="minorEastAsia"/>
                <w:color w:val="auto"/>
                <w:highlight w:val="none"/>
              </w:rPr>
            </w:pPr>
            <w:r>
              <w:rPr>
                <w:rFonts w:hint="eastAsia" w:cs="Courier New" w:asciiTheme="minorEastAsia" w:hAnsiTheme="minorEastAsia" w:eastAsiaTheme="minorEastAsia"/>
                <w:color w:val="auto"/>
                <w:highlight w:val="none"/>
              </w:rPr>
              <w:t>初步评审标准</w:t>
            </w:r>
            <w:r>
              <w:rPr>
                <w:rFonts w:cs="Courier New" w:asciiTheme="minorEastAsia" w:hAnsiTheme="minorEastAsia" w:eastAsiaTheme="minorEastAsia"/>
                <w:color w:val="auto"/>
                <w:highlight w:val="none"/>
              </w:rPr>
              <w:t xml:space="preserve">      </w:t>
            </w:r>
            <w:r>
              <w:rPr>
                <w:rFonts w:hint="eastAsia" w:cs="Courier New" w:asciiTheme="minorEastAsia" w:hAnsiTheme="minorEastAsia" w:eastAsiaTheme="minorEastAsia"/>
                <w:color w:val="auto"/>
                <w:highlight w:val="none"/>
              </w:rPr>
              <w:t>（第一个信封）</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2CDFAA29">
            <w:pPr>
              <w:pStyle w:val="27"/>
              <w:adjustRightInd w:val="0"/>
              <w:snapToGrid w:val="0"/>
              <w:spacing w:line="400" w:lineRule="exact"/>
              <w:jc w:val="center"/>
              <w:rPr>
                <w:rFonts w:cs="Courier New" w:asciiTheme="minorEastAsia" w:hAnsiTheme="minorEastAsia" w:eastAsiaTheme="minorEastAsia"/>
                <w:color w:val="auto"/>
                <w:highlight w:val="none"/>
              </w:rPr>
            </w:pPr>
            <w:r>
              <w:rPr>
                <w:rFonts w:cs="Courier New" w:asciiTheme="minorEastAsia" w:hAnsiTheme="minorEastAsia" w:eastAsiaTheme="minorEastAsia"/>
                <w:color w:val="auto"/>
                <w:highlight w:val="none"/>
              </w:rPr>
              <w:t>2.1.1</w:t>
            </w:r>
          </w:p>
          <w:p w14:paraId="4DBDC81A">
            <w:pPr>
              <w:pStyle w:val="27"/>
              <w:adjustRightInd w:val="0"/>
              <w:snapToGrid w:val="0"/>
              <w:spacing w:line="400" w:lineRule="exact"/>
              <w:jc w:val="center"/>
              <w:rPr>
                <w:rFonts w:cs="Courier New" w:asciiTheme="minorEastAsia" w:hAnsiTheme="minorEastAsia" w:eastAsiaTheme="minorEastAsia"/>
                <w:color w:val="auto"/>
                <w:highlight w:val="none"/>
              </w:rPr>
            </w:pPr>
            <w:r>
              <w:rPr>
                <w:rFonts w:hint="eastAsia" w:cs="Courier New" w:asciiTheme="minorEastAsia" w:hAnsiTheme="minorEastAsia" w:eastAsiaTheme="minorEastAsia"/>
                <w:color w:val="auto"/>
                <w:highlight w:val="none"/>
              </w:rPr>
              <w:t>形式评审标准</w:t>
            </w:r>
          </w:p>
        </w:tc>
        <w:tc>
          <w:tcPr>
            <w:tcW w:w="2470" w:type="dxa"/>
            <w:tcBorders>
              <w:top w:val="single" w:color="auto" w:sz="4" w:space="0"/>
              <w:left w:val="nil"/>
              <w:bottom w:val="single" w:color="auto" w:sz="4" w:space="0"/>
              <w:right w:val="single" w:color="auto" w:sz="4" w:space="0"/>
            </w:tcBorders>
            <w:vAlign w:val="center"/>
          </w:tcPr>
          <w:p w14:paraId="535FD482">
            <w:pPr>
              <w:adjustRightInd w:val="0"/>
              <w:snapToGrid w:val="0"/>
              <w:spacing w:line="400" w:lineRule="exact"/>
              <w:rPr>
                <w:rFonts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．如由投标人法定代表人的委托代理人签署投标文件的，提供的相关证明材料符合招标文件要求</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本</w:t>
            </w:r>
            <w:r>
              <w:rPr>
                <w:rFonts w:hint="eastAsia" w:asciiTheme="minorEastAsia" w:hAnsiTheme="minorEastAsia" w:eastAsiaTheme="minorEastAsia"/>
                <w:color w:val="auto"/>
                <w:szCs w:val="21"/>
                <w:highlight w:val="none"/>
                <w:lang w:val="en-US" w:eastAsia="zh-CN"/>
              </w:rPr>
              <w:t>目</w:t>
            </w:r>
            <w:r>
              <w:rPr>
                <w:rFonts w:hint="eastAsia" w:asciiTheme="minorEastAsia" w:hAnsiTheme="minorEastAsia" w:eastAsiaTheme="minorEastAsia"/>
                <w:color w:val="auto"/>
                <w:szCs w:val="21"/>
                <w:highlight w:val="none"/>
              </w:rPr>
              <w:t>适用于如果</w:t>
            </w:r>
            <w:r>
              <w:rPr>
                <w:rFonts w:asciiTheme="minorEastAsia" w:hAnsiTheme="minorEastAsia" w:eastAsiaTheme="minorEastAsia"/>
                <w:color w:val="auto"/>
                <w:szCs w:val="21"/>
                <w:highlight w:val="none"/>
              </w:rPr>
              <w:t>投标文件</w:t>
            </w:r>
            <w:r>
              <w:rPr>
                <w:rFonts w:hint="eastAsia" w:asciiTheme="minorEastAsia" w:hAnsiTheme="minorEastAsia" w:eastAsiaTheme="minorEastAsia"/>
                <w:color w:val="auto"/>
                <w:szCs w:val="21"/>
                <w:highlight w:val="none"/>
              </w:rPr>
              <w:t>由</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法定代表人的</w:t>
            </w:r>
            <w:r>
              <w:rPr>
                <w:rFonts w:asciiTheme="minorEastAsia" w:hAnsiTheme="minorEastAsia" w:eastAsiaTheme="minorEastAsia"/>
                <w:color w:val="auto"/>
                <w:szCs w:val="21"/>
                <w:highlight w:val="none"/>
              </w:rPr>
              <w:t>委托</w:t>
            </w:r>
            <w:r>
              <w:rPr>
                <w:rFonts w:hint="eastAsia" w:asciiTheme="minorEastAsia" w:hAnsiTheme="minorEastAsia" w:eastAsiaTheme="minorEastAsia"/>
                <w:color w:val="auto"/>
                <w:szCs w:val="21"/>
                <w:highlight w:val="none"/>
              </w:rPr>
              <w:t>代理人</w:t>
            </w:r>
            <w:r>
              <w:rPr>
                <w:rFonts w:asciiTheme="minorEastAsia" w:hAnsiTheme="minorEastAsia" w:eastAsiaTheme="minorEastAsia"/>
                <w:color w:val="auto"/>
                <w:szCs w:val="21"/>
                <w:highlight w:val="none"/>
              </w:rPr>
              <w:t>签署的</w:t>
            </w:r>
            <w:r>
              <w:rPr>
                <w:rFonts w:hint="eastAsia" w:asciiTheme="minorEastAsia" w:hAnsiTheme="minorEastAsia" w:eastAsiaTheme="minorEastAsia"/>
                <w:color w:val="auto"/>
                <w:szCs w:val="21"/>
                <w:highlight w:val="none"/>
              </w:rPr>
              <w:t>情形</w:t>
            </w:r>
            <w:r>
              <w:rPr>
                <w:rFonts w:hint="eastAsia" w:cs="宋体" w:asciiTheme="minorEastAsia" w:hAnsiTheme="minorEastAsia" w:eastAsiaTheme="minorEastAsia"/>
                <w:color w:val="auto"/>
                <w:szCs w:val="21"/>
                <w:highlight w:val="none"/>
              </w:rPr>
              <w:t>）</w:t>
            </w:r>
          </w:p>
        </w:tc>
        <w:tc>
          <w:tcPr>
            <w:tcW w:w="4896" w:type="dxa"/>
            <w:tcBorders>
              <w:top w:val="single" w:color="auto" w:sz="4" w:space="0"/>
              <w:left w:val="single" w:color="auto" w:sz="4" w:space="0"/>
              <w:bottom w:val="single" w:color="auto" w:sz="4" w:space="0"/>
              <w:right w:val="single" w:color="auto" w:sz="4" w:space="0"/>
            </w:tcBorders>
            <w:vAlign w:val="center"/>
          </w:tcPr>
          <w:p w14:paraId="18ECEF47">
            <w:pPr>
              <w:adjustRightInd w:val="0"/>
              <w:snapToGrid w:val="0"/>
              <w:spacing w:line="40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1）提交了授权委托书</w:t>
            </w:r>
            <w:r>
              <w:rPr>
                <w:rFonts w:hint="eastAsia" w:asciiTheme="minorEastAsia" w:hAnsiTheme="minorEastAsia" w:eastAsiaTheme="minorEastAsia"/>
                <w:color w:val="auto"/>
                <w:szCs w:val="21"/>
                <w:highlight w:val="none"/>
                <w:lang w:eastAsia="zh-CN"/>
              </w:rPr>
              <w:t>。</w:t>
            </w:r>
          </w:p>
          <w:p w14:paraId="35E7FDA5">
            <w:pPr>
              <w:adjustRightInd w:val="0"/>
              <w:snapToGrid w:val="0"/>
              <w:spacing w:line="40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2）授权委托书上要求盖单位电子印章</w:t>
            </w:r>
            <w:r>
              <w:rPr>
                <w:rFonts w:hint="eastAsia" w:asciiTheme="minorEastAsia" w:hAnsiTheme="minorEastAsia" w:eastAsiaTheme="minorEastAsia"/>
                <w:color w:val="auto"/>
                <w:szCs w:val="21"/>
                <w:highlight w:val="none"/>
                <w:lang w:eastAsia="zh-CN"/>
              </w:rPr>
              <w:t>之处</w:t>
            </w:r>
            <w:r>
              <w:rPr>
                <w:rFonts w:asciiTheme="minorEastAsia" w:hAnsiTheme="minorEastAsia" w:eastAsiaTheme="minorEastAsia"/>
                <w:color w:val="auto"/>
                <w:szCs w:val="21"/>
                <w:highlight w:val="none"/>
              </w:rPr>
              <w:t>，投标人均应使用单位CA数字证书加盖投标人的单位电子印章；要求法定代表人签字</w:t>
            </w:r>
            <w:r>
              <w:rPr>
                <w:rFonts w:hint="eastAsia" w:asciiTheme="minorEastAsia" w:hAnsiTheme="minorEastAsia" w:eastAsiaTheme="minorEastAsia"/>
                <w:color w:val="auto"/>
                <w:szCs w:val="21"/>
                <w:highlight w:val="none"/>
                <w:lang w:eastAsia="zh-CN"/>
              </w:rPr>
              <w:t>之处</w:t>
            </w:r>
            <w:r>
              <w:rPr>
                <w:rFonts w:asciiTheme="minorEastAsia" w:hAnsiTheme="minorEastAsia" w:eastAsiaTheme="minorEastAsia"/>
                <w:color w:val="auto"/>
                <w:szCs w:val="21"/>
                <w:highlight w:val="none"/>
              </w:rPr>
              <w:t>，投标人均应使用个人CA数字证书加盖投标人法定代表人的个人电子签名章或个人电子印章；要求委托代理人签字</w:t>
            </w:r>
            <w:r>
              <w:rPr>
                <w:rFonts w:hint="eastAsia" w:asciiTheme="minorEastAsia" w:hAnsiTheme="minorEastAsia" w:eastAsiaTheme="minorEastAsia"/>
                <w:color w:val="auto"/>
                <w:szCs w:val="21"/>
                <w:highlight w:val="none"/>
                <w:lang w:eastAsia="zh-CN"/>
              </w:rPr>
              <w:t>之处</w:t>
            </w:r>
            <w:r>
              <w:rPr>
                <w:rFonts w:asciiTheme="minorEastAsia" w:hAnsiTheme="minorEastAsia" w:eastAsiaTheme="minorEastAsia"/>
                <w:color w:val="auto"/>
                <w:szCs w:val="21"/>
                <w:highlight w:val="none"/>
              </w:rPr>
              <w:t>，投标人均应使用单位CA</w:t>
            </w:r>
            <w:r>
              <w:rPr>
                <w:rFonts w:hint="eastAsia" w:asciiTheme="minorEastAsia" w:hAnsiTheme="minorEastAsia" w:eastAsiaTheme="minorEastAsia"/>
                <w:color w:val="auto"/>
                <w:szCs w:val="21"/>
                <w:highlight w:val="none"/>
              </w:rPr>
              <w:t>数字证书加盖委托代理人个人电子签名章或个人电子印章</w:t>
            </w:r>
            <w:r>
              <w:rPr>
                <w:rFonts w:hint="eastAsia" w:asciiTheme="minorEastAsia" w:hAnsiTheme="minorEastAsia" w:eastAsiaTheme="minorEastAsia"/>
                <w:color w:val="auto"/>
                <w:szCs w:val="21"/>
                <w:highlight w:val="none"/>
                <w:lang w:eastAsia="zh-CN"/>
              </w:rPr>
              <w:t>。</w:t>
            </w:r>
          </w:p>
          <w:p w14:paraId="19BDD6F8">
            <w:pPr>
              <w:widowControl/>
              <w:adjustRightInd w:val="0"/>
              <w:snapToGrid w:val="0"/>
              <w:spacing w:line="40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3）授权委托书中委托代理人只能是一个人，且不能再授予他人</w:t>
            </w:r>
            <w:r>
              <w:rPr>
                <w:rFonts w:hint="eastAsia" w:asciiTheme="minorEastAsia" w:hAnsiTheme="minorEastAsia" w:eastAsiaTheme="minorEastAsia"/>
                <w:color w:val="auto"/>
                <w:szCs w:val="21"/>
                <w:highlight w:val="none"/>
                <w:lang w:eastAsia="zh-CN"/>
              </w:rPr>
              <w:t>。</w:t>
            </w:r>
          </w:p>
          <w:p w14:paraId="74D452CC">
            <w:pPr>
              <w:adjustRightInd w:val="0"/>
              <w:snapToGrid w:val="0"/>
              <w:spacing w:line="40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4）授权委托书后应附法定代表人和委托代理人身份证</w:t>
            </w:r>
            <w:r>
              <w:rPr>
                <w:rFonts w:hint="eastAsia" w:cs="宋体" w:asciiTheme="minorEastAsia" w:hAnsiTheme="minorEastAsia" w:eastAsiaTheme="minorEastAsia"/>
                <w:color w:val="auto"/>
                <w:szCs w:val="21"/>
                <w:highlight w:val="none"/>
              </w:rPr>
              <w:t>原件原色扫描件</w:t>
            </w:r>
            <w:r>
              <w:rPr>
                <w:rFonts w:hint="eastAsia" w:asciiTheme="minorEastAsia" w:hAnsiTheme="minorEastAsia" w:eastAsiaTheme="minorEastAsia"/>
                <w:color w:val="auto"/>
                <w:szCs w:val="21"/>
                <w:highlight w:val="none"/>
              </w:rPr>
              <w:t>，且身份证原件原色扫描件应清晰、有效</w:t>
            </w:r>
            <w:r>
              <w:rPr>
                <w:rFonts w:hint="eastAsia" w:asciiTheme="minorEastAsia" w:hAnsiTheme="minorEastAsia" w:eastAsiaTheme="minorEastAsia"/>
                <w:color w:val="auto"/>
                <w:szCs w:val="21"/>
                <w:highlight w:val="none"/>
                <w:lang w:eastAsia="zh-CN"/>
              </w:rPr>
              <w:t>。</w:t>
            </w:r>
          </w:p>
          <w:p w14:paraId="1148A966">
            <w:pPr>
              <w:adjustRightInd w:val="0"/>
              <w:snapToGrid w:val="0"/>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以</w:t>
            </w:r>
            <w:r>
              <w:rPr>
                <w:rFonts w:hint="eastAsia" w:asciiTheme="minorEastAsia" w:hAnsiTheme="minorEastAsia" w:eastAsiaTheme="minorEastAsia"/>
                <w:color w:val="auto"/>
                <w:szCs w:val="21"/>
                <w:highlight w:val="none"/>
              </w:rPr>
              <w:t>联合体</w:t>
            </w:r>
            <w:r>
              <w:rPr>
                <w:rFonts w:hint="eastAsia" w:asciiTheme="minorEastAsia" w:hAnsiTheme="minorEastAsia" w:eastAsiaTheme="minorEastAsia"/>
                <w:color w:val="auto"/>
                <w:szCs w:val="21"/>
                <w:highlight w:val="none"/>
                <w:lang w:val="en-US" w:eastAsia="zh-CN"/>
              </w:rPr>
              <w:t>形式</w:t>
            </w:r>
            <w:r>
              <w:rPr>
                <w:rFonts w:hint="eastAsia" w:asciiTheme="minorEastAsia" w:hAnsiTheme="minorEastAsia" w:eastAsiaTheme="minorEastAsia"/>
                <w:color w:val="auto"/>
                <w:szCs w:val="21"/>
                <w:highlight w:val="none"/>
              </w:rPr>
              <w:t>投标的，其授权委托书应由联合体牵头人按上述规定出具。</w:t>
            </w:r>
          </w:p>
        </w:tc>
      </w:tr>
      <w:tr w14:paraId="1F555FB8">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14:paraId="442C101F">
            <w:pPr>
              <w:pStyle w:val="27"/>
              <w:adjustRightInd w:val="0"/>
              <w:snapToGrid w:val="0"/>
              <w:spacing w:line="400" w:lineRule="exact"/>
              <w:jc w:val="center"/>
              <w:rPr>
                <w:rFonts w:cs="Courier New" w:asciiTheme="minorEastAsia" w:hAnsiTheme="minorEastAsia" w:eastAsiaTheme="minorEastAsia"/>
                <w:color w:val="auto"/>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53496BDC">
            <w:pPr>
              <w:pStyle w:val="27"/>
              <w:adjustRightInd w:val="0"/>
              <w:snapToGrid w:val="0"/>
              <w:spacing w:line="400" w:lineRule="exact"/>
              <w:jc w:val="center"/>
              <w:rPr>
                <w:rFonts w:cs="Courier New" w:asciiTheme="minorEastAsia" w:hAnsiTheme="minorEastAsia" w:eastAsiaTheme="minorEastAsia"/>
                <w:color w:val="auto"/>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14:paraId="0B072F22">
            <w:pPr>
              <w:widowControl/>
              <w:adjustRightInd w:val="0"/>
              <w:snapToGrid w:val="0"/>
              <w:spacing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kern w:val="0"/>
                <w:szCs w:val="21"/>
                <w:highlight w:val="none"/>
              </w:rPr>
              <w:t>．投标人法定代表人若亲自签署投标文件的，提供</w:t>
            </w:r>
            <w:r>
              <w:rPr>
                <w:rFonts w:hint="eastAsia" w:asciiTheme="minorEastAsia" w:hAnsiTheme="minorEastAsia" w:eastAsiaTheme="minorEastAsia"/>
                <w:color w:val="auto"/>
                <w:kern w:val="0"/>
                <w:szCs w:val="21"/>
                <w:highlight w:val="none"/>
                <w:lang w:val="en-US" w:eastAsia="zh-CN"/>
              </w:rPr>
              <w:t>的相关</w:t>
            </w:r>
            <w:r>
              <w:rPr>
                <w:rFonts w:hint="eastAsia" w:asciiTheme="minorEastAsia" w:hAnsiTheme="minorEastAsia" w:eastAsiaTheme="minorEastAsia"/>
                <w:color w:val="auto"/>
                <w:kern w:val="0"/>
                <w:szCs w:val="21"/>
                <w:highlight w:val="none"/>
              </w:rPr>
              <w:t>证明</w:t>
            </w:r>
            <w:r>
              <w:rPr>
                <w:rFonts w:hint="eastAsia" w:asciiTheme="minorEastAsia" w:hAnsiTheme="minorEastAsia" w:eastAsiaTheme="minorEastAsia"/>
                <w:color w:val="auto"/>
                <w:kern w:val="0"/>
                <w:szCs w:val="21"/>
                <w:highlight w:val="none"/>
                <w:lang w:val="en-US" w:eastAsia="zh-CN"/>
              </w:rPr>
              <w:t>材料</w:t>
            </w:r>
            <w:r>
              <w:rPr>
                <w:rFonts w:hint="eastAsia" w:asciiTheme="minorEastAsia" w:hAnsiTheme="minorEastAsia" w:eastAsiaTheme="minorEastAsia"/>
                <w:color w:val="auto"/>
                <w:kern w:val="0"/>
                <w:szCs w:val="21"/>
                <w:highlight w:val="none"/>
              </w:rPr>
              <w:t>符合招标文件要求</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本</w:t>
            </w:r>
            <w:r>
              <w:rPr>
                <w:rFonts w:hint="eastAsia" w:asciiTheme="minorEastAsia" w:hAnsiTheme="minorEastAsia" w:eastAsiaTheme="minorEastAsia"/>
                <w:color w:val="auto"/>
                <w:szCs w:val="21"/>
                <w:highlight w:val="none"/>
                <w:lang w:val="en-US" w:eastAsia="zh-CN"/>
              </w:rPr>
              <w:t>目</w:t>
            </w:r>
            <w:r>
              <w:rPr>
                <w:rFonts w:hint="eastAsia" w:asciiTheme="minorEastAsia" w:hAnsiTheme="minorEastAsia" w:eastAsiaTheme="minorEastAsia"/>
                <w:color w:val="auto"/>
                <w:szCs w:val="21"/>
                <w:highlight w:val="none"/>
              </w:rPr>
              <w:t>适用于如果</w:t>
            </w:r>
            <w:r>
              <w:rPr>
                <w:rFonts w:asciiTheme="minorEastAsia" w:hAnsiTheme="minorEastAsia" w:eastAsiaTheme="minorEastAsia"/>
                <w:color w:val="auto"/>
                <w:szCs w:val="21"/>
                <w:highlight w:val="none"/>
              </w:rPr>
              <w:t>投标文件</w:t>
            </w:r>
            <w:r>
              <w:rPr>
                <w:rFonts w:hint="eastAsia" w:asciiTheme="minorEastAsia" w:hAnsiTheme="minorEastAsia" w:eastAsiaTheme="minorEastAsia"/>
                <w:color w:val="auto"/>
                <w:szCs w:val="21"/>
                <w:highlight w:val="none"/>
              </w:rPr>
              <w:t>由</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法定代表人</w:t>
            </w:r>
            <w:r>
              <w:rPr>
                <w:rFonts w:asciiTheme="minorEastAsia" w:hAnsiTheme="minorEastAsia" w:eastAsiaTheme="minorEastAsia"/>
                <w:color w:val="auto"/>
                <w:szCs w:val="21"/>
                <w:highlight w:val="none"/>
              </w:rPr>
              <w:t>签署的</w:t>
            </w:r>
            <w:r>
              <w:rPr>
                <w:rFonts w:hint="eastAsia" w:asciiTheme="minorEastAsia" w:hAnsiTheme="minorEastAsia" w:eastAsiaTheme="minorEastAsia"/>
                <w:color w:val="auto"/>
                <w:szCs w:val="21"/>
                <w:highlight w:val="none"/>
              </w:rPr>
              <w:t>情形</w:t>
            </w:r>
            <w:r>
              <w:rPr>
                <w:rFonts w:hint="eastAsia" w:cs="宋体" w:asciiTheme="minorEastAsia" w:hAnsiTheme="minorEastAsia" w:eastAsiaTheme="minorEastAsia"/>
                <w:color w:val="auto"/>
                <w:szCs w:val="21"/>
                <w:highlight w:val="none"/>
              </w:rPr>
              <w:t>）</w:t>
            </w:r>
          </w:p>
        </w:tc>
        <w:tc>
          <w:tcPr>
            <w:tcW w:w="4896" w:type="dxa"/>
            <w:tcBorders>
              <w:top w:val="single" w:color="auto" w:sz="4" w:space="0"/>
              <w:left w:val="single" w:color="auto" w:sz="4" w:space="0"/>
              <w:bottom w:val="single" w:color="auto" w:sz="4" w:space="0"/>
              <w:right w:val="single" w:color="auto" w:sz="4" w:space="0"/>
            </w:tcBorders>
            <w:vAlign w:val="center"/>
          </w:tcPr>
          <w:p w14:paraId="305BC28F">
            <w:pPr>
              <w:adjustRightInd w:val="0"/>
              <w:snapToGrid w:val="0"/>
              <w:spacing w:line="400" w:lineRule="exac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1）提供</w:t>
            </w:r>
            <w:r>
              <w:rPr>
                <w:rFonts w:hint="eastAsia" w:asciiTheme="minorEastAsia" w:hAnsiTheme="minorEastAsia" w:eastAsiaTheme="minorEastAsia"/>
                <w:bCs/>
                <w:color w:val="auto"/>
                <w:szCs w:val="21"/>
                <w:highlight w:val="none"/>
                <w:lang w:val="en-US" w:eastAsia="zh-CN"/>
              </w:rPr>
              <w:t>了</w:t>
            </w:r>
            <w:r>
              <w:rPr>
                <w:rFonts w:asciiTheme="minorEastAsia" w:hAnsiTheme="minorEastAsia" w:eastAsiaTheme="minorEastAsia"/>
                <w:bCs/>
                <w:color w:val="auto"/>
                <w:szCs w:val="21"/>
                <w:highlight w:val="none"/>
              </w:rPr>
              <w:t>法定代表人身份证明</w:t>
            </w:r>
            <w:r>
              <w:rPr>
                <w:rFonts w:hint="eastAsia" w:asciiTheme="minorEastAsia" w:hAnsiTheme="minorEastAsia" w:eastAsiaTheme="minorEastAsia"/>
                <w:bCs/>
                <w:color w:val="auto"/>
                <w:szCs w:val="21"/>
                <w:highlight w:val="none"/>
                <w:lang w:eastAsia="zh-CN"/>
              </w:rPr>
              <w:t>。</w:t>
            </w:r>
            <w:r>
              <w:rPr>
                <w:rFonts w:asciiTheme="minorEastAsia" w:hAnsiTheme="minorEastAsia" w:eastAsiaTheme="minorEastAsia"/>
                <w:bCs/>
                <w:color w:val="auto"/>
                <w:szCs w:val="21"/>
                <w:highlight w:val="none"/>
              </w:rPr>
              <w:t xml:space="preserve"> </w:t>
            </w:r>
          </w:p>
          <w:p w14:paraId="3701BC2F">
            <w:pPr>
              <w:adjustRightInd w:val="0"/>
              <w:snapToGrid w:val="0"/>
              <w:spacing w:line="400" w:lineRule="exac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2）</w:t>
            </w:r>
            <w:r>
              <w:rPr>
                <w:rFonts w:hint="eastAsia" w:asciiTheme="minorEastAsia" w:hAnsiTheme="minorEastAsia" w:eastAsiaTheme="minorEastAsia"/>
                <w:color w:val="auto"/>
                <w:szCs w:val="21"/>
                <w:highlight w:val="none"/>
              </w:rPr>
              <w:t>法定代表人身份证明上要求盖单位电子印章</w:t>
            </w:r>
            <w:r>
              <w:rPr>
                <w:rFonts w:hint="eastAsia" w:asciiTheme="minorEastAsia" w:hAnsiTheme="minorEastAsia" w:eastAsiaTheme="minorEastAsia"/>
                <w:color w:val="auto"/>
                <w:szCs w:val="21"/>
                <w:highlight w:val="none"/>
                <w:lang w:eastAsia="zh-CN"/>
              </w:rPr>
              <w:t>之处</w:t>
            </w:r>
            <w:r>
              <w:rPr>
                <w:rFonts w:hint="eastAsia" w:asciiTheme="minorEastAsia" w:hAnsiTheme="minorEastAsia" w:eastAsiaTheme="minorEastAsia"/>
                <w:color w:val="auto"/>
                <w:szCs w:val="21"/>
                <w:highlight w:val="none"/>
              </w:rPr>
              <w:t>，投标人均应使用单位</w:t>
            </w:r>
            <w:r>
              <w:rPr>
                <w:rFonts w:asciiTheme="minorEastAsia" w:hAnsiTheme="minorEastAsia" w:eastAsiaTheme="minorEastAsia"/>
                <w:color w:val="auto"/>
                <w:szCs w:val="21"/>
                <w:highlight w:val="none"/>
              </w:rPr>
              <w:t>CA数字证书加盖投标人的单位电子印章；要求法定代表人签字</w:t>
            </w:r>
            <w:r>
              <w:rPr>
                <w:rFonts w:hint="eastAsia" w:asciiTheme="minorEastAsia" w:hAnsiTheme="minorEastAsia" w:eastAsiaTheme="minorEastAsia"/>
                <w:color w:val="auto"/>
                <w:szCs w:val="21"/>
                <w:highlight w:val="none"/>
                <w:lang w:eastAsia="zh-CN"/>
              </w:rPr>
              <w:t>之处</w:t>
            </w:r>
            <w:r>
              <w:rPr>
                <w:rFonts w:asciiTheme="minorEastAsia" w:hAnsiTheme="minorEastAsia" w:eastAsiaTheme="minorEastAsia"/>
                <w:color w:val="auto"/>
                <w:szCs w:val="21"/>
                <w:highlight w:val="none"/>
              </w:rPr>
              <w:t>，投标人均应使用个人CA数字证书加盖投标人法定代表人的个人电子签名章或个人电子印章</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bCs/>
                <w:color w:val="auto"/>
                <w:szCs w:val="21"/>
                <w:highlight w:val="none"/>
              </w:rPr>
              <w:t xml:space="preserve"> </w:t>
            </w:r>
          </w:p>
          <w:p w14:paraId="17392F2A">
            <w:pPr>
              <w:pStyle w:val="299"/>
              <w:adjustRightInd w:val="0"/>
              <w:snapToGrid w:val="0"/>
              <w:spacing w:line="400" w:lineRule="exact"/>
              <w:rPr>
                <w:rFonts w:hint="eastAsia" w:asciiTheme="minorEastAsia" w:hAnsiTheme="minorEastAsia" w:eastAsiaTheme="minorEastAsia"/>
                <w:bCs/>
                <w:color w:val="auto"/>
                <w:szCs w:val="21"/>
                <w:highlight w:val="none"/>
                <w:lang w:eastAsia="zh-CN"/>
              </w:rPr>
            </w:pP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3）法定代表人身份证明后应附法定代表人身份证</w:t>
            </w:r>
            <w:r>
              <w:rPr>
                <w:rFonts w:hint="eastAsia" w:cs="宋体" w:asciiTheme="minorEastAsia" w:hAnsiTheme="minorEastAsia" w:eastAsiaTheme="minorEastAsia"/>
                <w:color w:val="auto"/>
                <w:szCs w:val="21"/>
                <w:highlight w:val="none"/>
              </w:rPr>
              <w:t>原件原色扫描件</w:t>
            </w:r>
            <w:r>
              <w:rPr>
                <w:rFonts w:hint="eastAsia" w:asciiTheme="minorEastAsia" w:hAnsiTheme="minorEastAsia" w:eastAsiaTheme="minorEastAsia"/>
                <w:bCs/>
                <w:color w:val="auto"/>
                <w:szCs w:val="21"/>
                <w:highlight w:val="none"/>
              </w:rPr>
              <w:t>，且身份证原件原色扫描件应清晰</w:t>
            </w:r>
            <w:r>
              <w:rPr>
                <w:rFonts w:hint="eastAsia" w:asciiTheme="minorEastAsia" w:hAnsiTheme="minorEastAsia" w:eastAsiaTheme="minorEastAsia"/>
                <w:bCs/>
                <w:color w:val="auto"/>
                <w:szCs w:val="21"/>
                <w:highlight w:val="none"/>
                <w:lang w:eastAsia="zh-CN"/>
              </w:rPr>
              <w:t>、</w:t>
            </w:r>
            <w:r>
              <w:rPr>
                <w:rFonts w:hint="eastAsia" w:asciiTheme="minorEastAsia" w:hAnsiTheme="minorEastAsia" w:eastAsiaTheme="minorEastAsia"/>
                <w:bCs/>
                <w:color w:val="auto"/>
                <w:szCs w:val="21"/>
                <w:highlight w:val="none"/>
              </w:rPr>
              <w:t>有效</w:t>
            </w:r>
            <w:r>
              <w:rPr>
                <w:rFonts w:hint="eastAsia" w:asciiTheme="minorEastAsia" w:hAnsiTheme="minorEastAsia" w:eastAsiaTheme="minorEastAsia"/>
                <w:bCs/>
                <w:color w:val="auto"/>
                <w:szCs w:val="21"/>
                <w:highlight w:val="none"/>
                <w:lang w:eastAsia="zh-CN"/>
              </w:rPr>
              <w:t>。</w:t>
            </w:r>
          </w:p>
          <w:p w14:paraId="7792C356">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以</w:t>
            </w:r>
            <w:r>
              <w:rPr>
                <w:rFonts w:hint="eastAsia" w:asciiTheme="minorEastAsia" w:hAnsiTheme="minorEastAsia" w:eastAsiaTheme="minorEastAsia"/>
                <w:bCs/>
                <w:color w:val="auto"/>
                <w:szCs w:val="21"/>
                <w:highlight w:val="none"/>
              </w:rPr>
              <w:t>联合体</w:t>
            </w:r>
            <w:r>
              <w:rPr>
                <w:rFonts w:hint="eastAsia" w:asciiTheme="minorEastAsia" w:hAnsiTheme="minorEastAsia" w:eastAsiaTheme="minorEastAsia"/>
                <w:bCs/>
                <w:color w:val="auto"/>
                <w:szCs w:val="21"/>
                <w:highlight w:val="none"/>
                <w:lang w:val="en-US" w:eastAsia="zh-CN"/>
              </w:rPr>
              <w:t>形式</w:t>
            </w:r>
            <w:r>
              <w:rPr>
                <w:rFonts w:hint="eastAsia" w:asciiTheme="minorEastAsia" w:hAnsiTheme="minorEastAsia" w:eastAsiaTheme="minorEastAsia"/>
                <w:bCs/>
                <w:color w:val="auto"/>
                <w:szCs w:val="21"/>
                <w:highlight w:val="none"/>
              </w:rPr>
              <w:t>投标的，应由联合体牵头人按上述规定出具。</w:t>
            </w:r>
          </w:p>
        </w:tc>
      </w:tr>
      <w:tr w14:paraId="33CE7E7B">
        <w:tblPrEx>
          <w:tblCellMar>
            <w:top w:w="0" w:type="dxa"/>
            <w:left w:w="108" w:type="dxa"/>
            <w:bottom w:w="0" w:type="dxa"/>
            <w:right w:w="108" w:type="dxa"/>
          </w:tblCellMar>
        </w:tblPrEx>
        <w:tc>
          <w:tcPr>
            <w:tcW w:w="745" w:type="dxa"/>
            <w:vMerge w:val="restart"/>
            <w:tcBorders>
              <w:top w:val="single" w:color="auto" w:sz="4" w:space="0"/>
              <w:left w:val="single" w:color="auto" w:sz="4" w:space="0"/>
              <w:bottom w:val="single" w:color="auto" w:sz="4" w:space="0"/>
              <w:right w:val="single" w:color="auto" w:sz="4" w:space="0"/>
            </w:tcBorders>
            <w:vAlign w:val="center"/>
          </w:tcPr>
          <w:p w14:paraId="469FC93C">
            <w:pPr>
              <w:pStyle w:val="27"/>
              <w:adjustRightInd w:val="0"/>
              <w:snapToGrid w:val="0"/>
              <w:spacing w:line="400" w:lineRule="exact"/>
              <w:jc w:val="center"/>
              <w:rPr>
                <w:rFonts w:cs="Courier New" w:asciiTheme="minorEastAsia" w:hAnsiTheme="minorEastAsia" w:eastAsiaTheme="minorEastAsia"/>
                <w:color w:val="auto"/>
                <w:highlight w:val="none"/>
              </w:rPr>
            </w:pPr>
            <w:r>
              <w:rPr>
                <w:rFonts w:cs="Courier New" w:asciiTheme="minorEastAsia" w:hAnsiTheme="minorEastAsia" w:eastAsiaTheme="minorEastAsia"/>
                <w:color w:val="auto"/>
                <w:highlight w:val="none"/>
              </w:rPr>
              <w:t>2.1</w:t>
            </w:r>
          </w:p>
          <w:p w14:paraId="372CAA6C">
            <w:pPr>
              <w:pStyle w:val="27"/>
              <w:spacing w:line="400" w:lineRule="exact"/>
              <w:jc w:val="cente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highlight w:val="none"/>
              </w:rPr>
              <w:t>初步评</w:t>
            </w:r>
            <w:r>
              <w:rPr>
                <w:rFonts w:hint="default" w:cs="Courier New" w:asciiTheme="minorEastAsia" w:hAnsiTheme="minorEastAsia" w:eastAsiaTheme="minorEastAsia"/>
                <w:color w:val="auto"/>
                <w:szCs w:val="21"/>
                <w:highlight w:val="none"/>
              </w:rPr>
              <w:t>审标准</w:t>
            </w:r>
            <w:r>
              <w:rPr>
                <w:rFonts w:cs="Courier New" w:asciiTheme="minorEastAsia" w:hAnsiTheme="minorEastAsia" w:eastAsiaTheme="minorEastAsia"/>
                <w:color w:val="auto"/>
                <w:szCs w:val="21"/>
                <w:highlight w:val="none"/>
              </w:rPr>
              <w:t xml:space="preserve">      </w:t>
            </w:r>
            <w:r>
              <w:rPr>
                <w:rFonts w:hint="default" w:cs="Courier New" w:asciiTheme="minorEastAsia" w:hAnsiTheme="minorEastAsia" w:eastAsiaTheme="minorEastAsia"/>
                <w:color w:val="auto"/>
                <w:szCs w:val="21"/>
                <w:highlight w:val="none"/>
              </w:rPr>
              <w:t>（第一个信封）</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260206C0">
            <w:pPr>
              <w:pStyle w:val="27"/>
              <w:adjustRightInd w:val="0"/>
              <w:snapToGrid w:val="0"/>
              <w:spacing w:line="400" w:lineRule="exact"/>
              <w:jc w:val="center"/>
              <w:rPr>
                <w:rFonts w:cs="Courier New" w:asciiTheme="minorEastAsia" w:hAnsiTheme="minorEastAsia" w:eastAsiaTheme="minorEastAsia"/>
                <w:color w:val="auto"/>
                <w:highlight w:val="none"/>
              </w:rPr>
            </w:pPr>
            <w:r>
              <w:rPr>
                <w:rFonts w:cs="Courier New" w:asciiTheme="minorEastAsia" w:hAnsiTheme="minorEastAsia" w:eastAsiaTheme="minorEastAsia"/>
                <w:color w:val="auto"/>
                <w:highlight w:val="none"/>
              </w:rPr>
              <w:t>2.1.1</w:t>
            </w:r>
          </w:p>
          <w:p w14:paraId="31169DD6">
            <w:pPr>
              <w:pStyle w:val="27"/>
              <w:adjustRightInd w:val="0"/>
              <w:snapToGrid w:val="0"/>
              <w:spacing w:line="400" w:lineRule="exact"/>
              <w:jc w:val="center"/>
              <w:rPr>
                <w:rFonts w:cs="Courier New" w:asciiTheme="minorEastAsia" w:hAnsiTheme="minorEastAsia" w:eastAsiaTheme="minorEastAsia"/>
                <w:color w:val="auto"/>
                <w:highlight w:val="none"/>
              </w:rPr>
            </w:pPr>
            <w:r>
              <w:rPr>
                <w:rFonts w:hint="eastAsia" w:cs="Courier New" w:asciiTheme="minorEastAsia" w:hAnsiTheme="minorEastAsia" w:eastAsiaTheme="minorEastAsia"/>
                <w:color w:val="auto"/>
                <w:highlight w:val="none"/>
              </w:rPr>
              <w:t>形式评审标准</w:t>
            </w:r>
          </w:p>
        </w:tc>
        <w:tc>
          <w:tcPr>
            <w:tcW w:w="2470" w:type="dxa"/>
            <w:tcBorders>
              <w:top w:val="single" w:color="auto" w:sz="4" w:space="0"/>
              <w:left w:val="single" w:color="auto" w:sz="4" w:space="0"/>
              <w:bottom w:val="single" w:color="auto" w:sz="4" w:space="0"/>
              <w:right w:val="single" w:color="auto" w:sz="4" w:space="0"/>
            </w:tcBorders>
            <w:vAlign w:val="center"/>
          </w:tcPr>
          <w:p w14:paraId="2BB8EDAA">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w:t>
            </w:r>
            <w:r>
              <w:rPr>
                <w:rFonts w:asciiTheme="minorEastAsia" w:hAnsiTheme="minorEastAsia" w:eastAsiaTheme="minorEastAsia"/>
                <w:color w:val="auto"/>
                <w:kern w:val="0"/>
                <w:szCs w:val="21"/>
                <w:highlight w:val="none"/>
              </w:rPr>
              <w:t>6</w:t>
            </w:r>
            <w:r>
              <w:rPr>
                <w:rFonts w:hint="eastAsia" w:asciiTheme="minorEastAsia" w:hAnsiTheme="minorEastAsia" w:eastAsiaTheme="minorEastAsia"/>
                <w:color w:val="auto"/>
                <w:kern w:val="0"/>
                <w:szCs w:val="21"/>
                <w:highlight w:val="none"/>
              </w:rPr>
              <w:t>．投标人以联合体形式投标时，联合体协议书满足招标文件的要求</w:t>
            </w:r>
          </w:p>
        </w:tc>
        <w:tc>
          <w:tcPr>
            <w:tcW w:w="4896" w:type="dxa"/>
            <w:tcBorders>
              <w:top w:val="single" w:color="auto" w:sz="4" w:space="0"/>
              <w:left w:val="single" w:color="auto" w:sz="4" w:space="0"/>
              <w:bottom w:val="single" w:color="auto" w:sz="4" w:space="0"/>
              <w:right w:val="single" w:color="auto" w:sz="4" w:space="0"/>
            </w:tcBorders>
            <w:vAlign w:val="center"/>
          </w:tcPr>
          <w:p w14:paraId="05461AD6">
            <w:pPr>
              <w:adjustRightInd w:val="0"/>
              <w:snapToGrid w:val="0"/>
              <w:spacing w:line="400" w:lineRule="exact"/>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按招标文件提供的格式和要求签订联合体协议书，且</w:t>
            </w:r>
            <w:r>
              <w:rPr>
                <w:rFonts w:hint="eastAsia" w:ascii="宋体" w:hAnsi="宋体" w:cs="宋体"/>
                <w:color w:val="auto"/>
                <w:szCs w:val="21"/>
                <w:highlight w:val="none"/>
              </w:rPr>
              <w:t>联合体协议书中的</w:t>
            </w:r>
            <w:r>
              <w:rPr>
                <w:rFonts w:hint="eastAsia" w:cs="宋体" w:asciiTheme="minorEastAsia" w:hAnsiTheme="minorEastAsia" w:eastAsiaTheme="minorEastAsia"/>
                <w:color w:val="auto"/>
                <w:szCs w:val="21"/>
                <w:highlight w:val="none"/>
              </w:rPr>
              <w:t>签字、盖章符合第九章“投标文件格式”要求。</w:t>
            </w:r>
          </w:p>
        </w:tc>
      </w:tr>
      <w:tr w14:paraId="421AB492">
        <w:tblPrEx>
          <w:tblCellMar>
            <w:top w:w="0" w:type="dxa"/>
            <w:left w:w="108" w:type="dxa"/>
            <w:bottom w:w="0" w:type="dxa"/>
            <w:right w:w="108" w:type="dxa"/>
          </w:tblCellMar>
        </w:tblPrEx>
        <w:trPr>
          <w:trHeight w:val="2969"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7DFD815D">
            <w:pPr>
              <w:adjustRightInd w:val="0"/>
              <w:snapToGrid w:val="0"/>
              <w:spacing w:line="400" w:lineRule="exact"/>
              <w:ind w:left="105" w:right="-105"/>
              <w:jc w:val="center"/>
              <w:rPr>
                <w:rFonts w:cs="Courier New" w:asciiTheme="minorEastAsia" w:hAnsiTheme="minorEastAsia" w:eastAsiaTheme="minorEastAsia"/>
                <w:color w:val="auto"/>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7CBD151F">
            <w:pPr>
              <w:pStyle w:val="27"/>
              <w:adjustRightInd w:val="0"/>
              <w:snapToGrid w:val="0"/>
              <w:spacing w:line="400" w:lineRule="exact"/>
              <w:jc w:val="center"/>
              <w:rPr>
                <w:rFonts w:cs="Courier New" w:asciiTheme="minorEastAsia" w:hAnsiTheme="minorEastAsia" w:eastAsiaTheme="minorEastAsia"/>
                <w:color w:val="auto"/>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14:paraId="6A9D3A0C">
            <w:pPr>
              <w:widowControl/>
              <w:adjustRightInd w:val="0"/>
              <w:snapToGrid w:val="0"/>
              <w:spacing w:line="400" w:lineRule="exac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7.投标文件应符合的其他规定</w:t>
            </w:r>
          </w:p>
        </w:tc>
        <w:tc>
          <w:tcPr>
            <w:tcW w:w="4896" w:type="dxa"/>
            <w:tcBorders>
              <w:top w:val="single" w:color="auto" w:sz="4" w:space="0"/>
              <w:left w:val="single" w:color="auto" w:sz="4" w:space="0"/>
              <w:bottom w:val="single" w:color="auto" w:sz="4" w:space="0"/>
              <w:right w:val="single" w:color="auto" w:sz="4" w:space="0"/>
            </w:tcBorders>
            <w:vAlign w:val="center"/>
          </w:tcPr>
          <w:p w14:paraId="66EB586A">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1）投标人如有分包计划，应按第九章“投标文件格式”的要求填写“拟分包项目情况表”</w:t>
            </w:r>
            <w:r>
              <w:rPr>
                <w:rFonts w:hint="eastAsia" w:asciiTheme="minorEastAsia" w:hAnsiTheme="minorEastAsia" w:eastAsiaTheme="minorEastAsia"/>
                <w:color w:val="auto"/>
                <w:kern w:val="0"/>
                <w:szCs w:val="21"/>
                <w:highlight w:val="none"/>
              </w:rPr>
              <w:t>。</w:t>
            </w:r>
          </w:p>
          <w:p w14:paraId="3C9CF257">
            <w:pPr>
              <w:adjustRightInd w:val="0"/>
              <w:snapToGrid w:val="0"/>
              <w:spacing w:line="400" w:lineRule="exact"/>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2）</w:t>
            </w:r>
            <w:r>
              <w:rPr>
                <w:rFonts w:hint="eastAsia" w:ascii="宋体" w:hAnsi="宋体"/>
                <w:color w:val="auto"/>
                <w:kern w:val="0"/>
                <w:szCs w:val="21"/>
                <w:highlight w:val="none"/>
              </w:rPr>
              <w:t>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投标文件中未出现有关投标报价的内容。</w:t>
            </w:r>
          </w:p>
          <w:p w14:paraId="6D8E036B">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3）同一投标人对同一标段未提交两个以上不同的投标文件</w:t>
            </w:r>
            <w:r>
              <w:rPr>
                <w:rFonts w:hint="eastAsia"/>
                <w:color w:val="auto"/>
                <w:highlight w:val="none"/>
              </w:rPr>
              <w:t>，但招标文件要求提交</w:t>
            </w:r>
            <w:r>
              <w:rPr>
                <w:rFonts w:hint="eastAsia"/>
                <w:color w:val="auto"/>
                <w:highlight w:val="none"/>
                <w:lang w:eastAsia="zh-CN"/>
              </w:rPr>
              <w:t>备选投标方案</w:t>
            </w:r>
            <w:r>
              <w:rPr>
                <w:rFonts w:hint="eastAsia"/>
                <w:color w:val="auto"/>
                <w:highlight w:val="none"/>
              </w:rPr>
              <w:t>的除外</w:t>
            </w:r>
            <w:r>
              <w:rPr>
                <w:rFonts w:ascii="宋体" w:hAnsi="宋体"/>
                <w:color w:val="auto"/>
                <w:kern w:val="0"/>
                <w:szCs w:val="21"/>
                <w:highlight w:val="none"/>
              </w:rPr>
              <w:t>。</w:t>
            </w:r>
          </w:p>
          <w:p w14:paraId="29701476">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w:t>
            </w:r>
            <w:r>
              <w:rPr>
                <w:rFonts w:hint="eastAsia" w:ascii="宋体" w:hAnsi="宋体" w:cs="宋体"/>
                <w:color w:val="auto"/>
                <w:szCs w:val="21"/>
                <w:highlight w:val="none"/>
              </w:rPr>
              <w:t>投标人投标标段数量超过允许投标人投标标段数量时，相关投标均无效。</w:t>
            </w:r>
          </w:p>
          <w:p w14:paraId="46AC8B1B">
            <w:pPr>
              <w:adjustRightInd w:val="0"/>
              <w:snapToGrid w:val="0"/>
              <w:spacing w:line="400" w:lineRule="exact"/>
              <w:rPr>
                <w:rFonts w:hint="eastAsia" w:asciiTheme="minorEastAsia" w:hAnsiTheme="minorEastAsia" w:eastAsiaTheme="minorEastAsia"/>
                <w:bCs/>
                <w:color w:val="auto"/>
                <w:szCs w:val="21"/>
                <w:highlight w:val="none"/>
                <w:lang w:eastAsia="zh-CN"/>
              </w:rPr>
            </w:pPr>
            <w:r>
              <w:rPr>
                <w:rFonts w:asciiTheme="minorEastAsia" w:hAnsiTheme="minorEastAsia" w:eastAsiaTheme="minorEastAsia"/>
                <w:color w:val="auto"/>
                <w:kern w:val="0"/>
                <w:szCs w:val="21"/>
                <w:highlight w:val="none"/>
                <w:u w:val="none"/>
              </w:rPr>
              <w:t xml:space="preserve">…… </w:t>
            </w:r>
          </w:p>
        </w:tc>
      </w:tr>
      <w:tr w14:paraId="037F2C6A">
        <w:tblPrEx>
          <w:tblCellMar>
            <w:top w:w="0" w:type="dxa"/>
            <w:left w:w="108" w:type="dxa"/>
            <w:bottom w:w="0" w:type="dxa"/>
            <w:right w:w="108" w:type="dxa"/>
          </w:tblCellMar>
        </w:tblPrEx>
        <w:trPr>
          <w:trHeight w:val="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30ACF1CE">
            <w:pPr>
              <w:adjustRightInd w:val="0"/>
              <w:snapToGrid w:val="0"/>
              <w:spacing w:line="400" w:lineRule="exact"/>
              <w:ind w:left="105" w:right="-105"/>
              <w:jc w:val="center"/>
              <w:rPr>
                <w:rFonts w:cs="宋体" w:asciiTheme="minorEastAsia" w:hAnsiTheme="minorEastAsia" w:eastAsiaTheme="minorEastAsia"/>
                <w:color w:val="auto"/>
                <w:kern w:val="0"/>
                <w:szCs w:val="21"/>
                <w:highlight w:val="none"/>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011EC019">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2.1.2</w:t>
            </w:r>
          </w:p>
          <w:p w14:paraId="04BA8390">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资格评审标准</w:t>
            </w:r>
          </w:p>
        </w:tc>
        <w:tc>
          <w:tcPr>
            <w:tcW w:w="2470" w:type="dxa"/>
            <w:tcBorders>
              <w:top w:val="single" w:color="auto" w:sz="4" w:space="0"/>
              <w:left w:val="single" w:color="auto" w:sz="4" w:space="0"/>
              <w:bottom w:val="single" w:color="auto" w:sz="4" w:space="0"/>
              <w:right w:val="single" w:color="auto" w:sz="4" w:space="0"/>
            </w:tcBorders>
            <w:vAlign w:val="center"/>
          </w:tcPr>
          <w:p w14:paraId="41EAF717">
            <w:pPr>
              <w:widowControl/>
              <w:adjustRightInd w:val="0"/>
              <w:snapToGrid w:val="0"/>
              <w:spacing w:line="400" w:lineRule="exac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1．</w:t>
            </w:r>
            <w:r>
              <w:rPr>
                <w:rFonts w:hint="eastAsia" w:asciiTheme="minorEastAsia" w:hAnsiTheme="minorEastAsia" w:eastAsiaTheme="minorEastAsia"/>
                <w:color w:val="auto"/>
                <w:kern w:val="0"/>
                <w:szCs w:val="21"/>
                <w:highlight w:val="none"/>
                <w:lang w:val="en-US" w:eastAsia="zh-CN"/>
              </w:rPr>
              <w:t>投标人</w:t>
            </w:r>
            <w:r>
              <w:rPr>
                <w:rFonts w:asciiTheme="minorEastAsia" w:hAnsiTheme="minorEastAsia" w:eastAsiaTheme="minorEastAsia"/>
                <w:color w:val="auto"/>
                <w:kern w:val="0"/>
                <w:szCs w:val="21"/>
                <w:highlight w:val="none"/>
              </w:rPr>
              <w:t>具备有效的营业执照、资质证书、安全生产许可证、开户许可证</w:t>
            </w:r>
            <w:r>
              <w:rPr>
                <w:rFonts w:hint="eastAsia" w:asciiTheme="minorEastAsia" w:hAnsiTheme="minorEastAsia" w:eastAsiaTheme="minorEastAsia"/>
                <w:color w:val="auto"/>
                <w:kern w:val="0"/>
                <w:szCs w:val="21"/>
                <w:highlight w:val="none"/>
                <w:lang w:eastAsia="zh-CN"/>
              </w:rPr>
              <w:t>（</w:t>
            </w:r>
            <w:r>
              <w:rPr>
                <w:rFonts w:asciiTheme="minorEastAsia" w:hAnsiTheme="minorEastAsia" w:eastAsiaTheme="minorEastAsia"/>
                <w:color w:val="auto"/>
                <w:kern w:val="0"/>
                <w:szCs w:val="21"/>
                <w:highlight w:val="none"/>
              </w:rPr>
              <w:t>基本账户</w:t>
            </w:r>
            <w:r>
              <w:rPr>
                <w:rFonts w:hint="eastAsia" w:asciiTheme="minorEastAsia" w:hAnsiTheme="minorEastAsia" w:eastAsiaTheme="minorEastAsia"/>
                <w:color w:val="auto"/>
                <w:kern w:val="0"/>
                <w:szCs w:val="21"/>
                <w:highlight w:val="none"/>
                <w:lang w:val="en-US" w:eastAsia="zh-CN"/>
              </w:rPr>
              <w:t>或基本存款账户</w:t>
            </w:r>
            <w:r>
              <w:rPr>
                <w:rFonts w:hint="eastAsia"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szCs w:val="21"/>
                <w:highlight w:val="none"/>
              </w:rPr>
              <w:t>或基本存款账户信息表</w:t>
            </w:r>
          </w:p>
        </w:tc>
        <w:tc>
          <w:tcPr>
            <w:tcW w:w="4896" w:type="dxa"/>
            <w:tcBorders>
              <w:top w:val="single" w:color="auto" w:sz="4" w:space="0"/>
              <w:left w:val="single" w:color="auto" w:sz="4" w:space="0"/>
              <w:bottom w:val="single" w:color="auto" w:sz="4" w:space="0"/>
              <w:right w:val="single" w:color="auto" w:sz="4" w:space="0"/>
            </w:tcBorders>
            <w:vAlign w:val="center"/>
          </w:tcPr>
          <w:p w14:paraId="43FF2031">
            <w:pPr>
              <w:widowControl/>
              <w:adjustRightInd w:val="0"/>
              <w:snapToGrid w:val="0"/>
              <w:spacing w:line="400" w:lineRule="exact"/>
              <w:rPr>
                <w:rFonts w:hint="eastAsia" w:asciiTheme="minorEastAsia" w:hAnsiTheme="minorEastAsia" w:eastAsiaTheme="minorEastAsia"/>
                <w:color w:val="auto"/>
                <w:kern w:val="0"/>
                <w:szCs w:val="21"/>
                <w:highlight w:val="none"/>
                <w:lang w:eastAsia="zh-CN"/>
              </w:rPr>
            </w:pP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1）</w:t>
            </w:r>
            <w:r>
              <w:rPr>
                <w:rFonts w:hint="eastAsia" w:asciiTheme="minorEastAsia" w:hAnsiTheme="minorEastAsia" w:eastAsiaTheme="minorEastAsia"/>
                <w:color w:val="auto"/>
                <w:kern w:val="0"/>
                <w:szCs w:val="21"/>
                <w:highlight w:val="none"/>
                <w:lang w:val="en-US" w:eastAsia="zh-CN"/>
              </w:rPr>
              <w:t>投标人</w:t>
            </w:r>
            <w:r>
              <w:rPr>
                <w:rFonts w:asciiTheme="minorEastAsia" w:hAnsiTheme="minorEastAsia" w:eastAsiaTheme="minorEastAsia"/>
                <w:color w:val="auto"/>
                <w:kern w:val="0"/>
                <w:szCs w:val="21"/>
                <w:highlight w:val="none"/>
              </w:rPr>
              <w:t>的营业执照、资质证书、安全生产许可证、开户许可证</w:t>
            </w:r>
            <w:r>
              <w:rPr>
                <w:rFonts w:hint="eastAsia" w:asciiTheme="minorEastAsia" w:hAnsiTheme="minorEastAsia" w:eastAsiaTheme="minorEastAsia"/>
                <w:color w:val="auto"/>
                <w:kern w:val="0"/>
                <w:szCs w:val="21"/>
                <w:highlight w:val="none"/>
                <w:lang w:eastAsia="zh-CN"/>
              </w:rPr>
              <w:t>（</w:t>
            </w:r>
            <w:r>
              <w:rPr>
                <w:rFonts w:asciiTheme="minorEastAsia" w:hAnsiTheme="minorEastAsia" w:eastAsiaTheme="minorEastAsia"/>
                <w:color w:val="auto"/>
                <w:kern w:val="0"/>
                <w:szCs w:val="21"/>
                <w:highlight w:val="none"/>
              </w:rPr>
              <w:t>基本账户</w:t>
            </w:r>
            <w:r>
              <w:rPr>
                <w:rFonts w:hint="eastAsia" w:asciiTheme="minorEastAsia" w:hAnsiTheme="minorEastAsia" w:eastAsiaTheme="minorEastAsia"/>
                <w:color w:val="auto"/>
                <w:kern w:val="0"/>
                <w:szCs w:val="21"/>
                <w:highlight w:val="none"/>
                <w:lang w:val="en-US" w:eastAsia="zh-CN"/>
              </w:rPr>
              <w:t>或基本存款账户</w:t>
            </w:r>
            <w:r>
              <w:rPr>
                <w:rFonts w:hint="eastAsia"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szCs w:val="21"/>
                <w:highlight w:val="none"/>
              </w:rPr>
              <w:t>或基本存款账户信息表</w:t>
            </w:r>
            <w:r>
              <w:rPr>
                <w:rFonts w:asciiTheme="minorEastAsia" w:hAnsiTheme="minorEastAsia" w:eastAsiaTheme="minorEastAsia"/>
                <w:color w:val="auto"/>
                <w:kern w:val="0"/>
                <w:szCs w:val="21"/>
                <w:highlight w:val="none"/>
              </w:rPr>
              <w:t>有效</w:t>
            </w:r>
            <w:r>
              <w:rPr>
                <w:rFonts w:hint="eastAsia" w:asciiTheme="minorEastAsia" w:hAnsiTheme="minorEastAsia" w:eastAsiaTheme="minorEastAsia"/>
                <w:color w:val="auto"/>
                <w:kern w:val="0"/>
                <w:szCs w:val="21"/>
                <w:highlight w:val="none"/>
                <w:lang w:eastAsia="zh-CN"/>
              </w:rPr>
              <w:t>。</w:t>
            </w:r>
          </w:p>
          <w:p w14:paraId="1652226F">
            <w:pPr>
              <w:widowControl/>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lang w:val="en-US" w:eastAsia="zh-CN"/>
              </w:rPr>
              <w:t>2</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rPr>
              <w:t>提供</w:t>
            </w:r>
            <w:r>
              <w:rPr>
                <w:rFonts w:hint="eastAsia" w:asciiTheme="minorEastAsia" w:hAnsiTheme="minorEastAsia" w:eastAsiaTheme="minorEastAsia"/>
                <w:color w:val="auto"/>
                <w:kern w:val="0"/>
                <w:szCs w:val="21"/>
                <w:highlight w:val="none"/>
                <w:lang w:val="en-US" w:eastAsia="zh-CN"/>
              </w:rPr>
              <w:t>的</w:t>
            </w:r>
            <w:r>
              <w:rPr>
                <w:rFonts w:hint="eastAsia" w:asciiTheme="minorEastAsia" w:hAnsiTheme="minorEastAsia" w:eastAsiaTheme="minorEastAsia"/>
                <w:color w:val="auto"/>
                <w:kern w:val="0"/>
                <w:szCs w:val="21"/>
                <w:highlight w:val="none"/>
              </w:rPr>
              <w:t>证明材料</w:t>
            </w:r>
            <w:r>
              <w:rPr>
                <w:rFonts w:hint="eastAsia" w:asciiTheme="minorEastAsia" w:hAnsiTheme="minorEastAsia" w:eastAsiaTheme="minorEastAsia"/>
                <w:color w:val="auto"/>
                <w:kern w:val="0"/>
                <w:szCs w:val="21"/>
                <w:highlight w:val="none"/>
                <w:lang w:val="en-US" w:eastAsia="zh-CN"/>
              </w:rPr>
              <w:t>符合</w:t>
            </w:r>
            <w:r>
              <w:rPr>
                <w:rFonts w:hint="eastAsia" w:asciiTheme="minorEastAsia" w:hAnsiTheme="minorEastAsia" w:eastAsiaTheme="minorEastAsia"/>
                <w:color w:val="auto"/>
                <w:kern w:val="0"/>
                <w:szCs w:val="21"/>
                <w:highlight w:val="none"/>
              </w:rPr>
              <w:t>第九章“</w:t>
            </w:r>
            <w:r>
              <w:rPr>
                <w:rFonts w:asciiTheme="minorEastAsia" w:hAnsiTheme="minorEastAsia" w:eastAsiaTheme="minorEastAsia"/>
                <w:color w:val="auto"/>
                <w:kern w:val="0"/>
                <w:szCs w:val="21"/>
                <w:highlight w:val="none"/>
              </w:rPr>
              <w:t>投标文件格式</w:t>
            </w:r>
            <w:r>
              <w:rPr>
                <w:rFonts w:hint="eastAsia" w:asciiTheme="minorEastAsia" w:hAnsiTheme="minorEastAsia" w:eastAsiaTheme="minorEastAsia"/>
                <w:color w:val="auto"/>
                <w:kern w:val="0"/>
                <w:szCs w:val="21"/>
                <w:highlight w:val="none"/>
              </w:rPr>
              <w:t>”资格审查资料“（一）投标人</w:t>
            </w:r>
            <w:r>
              <w:rPr>
                <w:rFonts w:asciiTheme="minorEastAsia" w:hAnsiTheme="minorEastAsia" w:eastAsiaTheme="minorEastAsia"/>
                <w:color w:val="auto"/>
                <w:kern w:val="0"/>
                <w:szCs w:val="21"/>
                <w:highlight w:val="none"/>
              </w:rPr>
              <w:t>基本情况表</w:t>
            </w:r>
            <w:r>
              <w:rPr>
                <w:rFonts w:hint="eastAsia" w:asciiTheme="minorEastAsia" w:hAnsiTheme="minorEastAsia" w:eastAsiaTheme="minorEastAsia"/>
                <w:color w:val="auto"/>
                <w:kern w:val="0"/>
                <w:szCs w:val="21"/>
                <w:highlight w:val="none"/>
              </w:rPr>
              <w:t>”的附件要求</w:t>
            </w:r>
            <w:r>
              <w:rPr>
                <w:rFonts w:hint="eastAsia" w:cs="宋体" w:asciiTheme="minorEastAsia" w:hAnsiTheme="minorEastAsia" w:eastAsiaTheme="minorEastAsia"/>
                <w:color w:val="auto"/>
                <w:szCs w:val="21"/>
                <w:highlight w:val="none"/>
              </w:rPr>
              <w:t>。</w:t>
            </w:r>
          </w:p>
        </w:tc>
      </w:tr>
      <w:tr w14:paraId="66D56B46">
        <w:tblPrEx>
          <w:tblCellMar>
            <w:top w:w="0" w:type="dxa"/>
            <w:left w:w="108" w:type="dxa"/>
            <w:bottom w:w="0" w:type="dxa"/>
            <w:right w:w="108" w:type="dxa"/>
          </w:tblCellMar>
        </w:tblPrEx>
        <w:trPr>
          <w:trHeight w:val="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44A70981">
            <w:pPr>
              <w:adjustRightInd w:val="0"/>
              <w:snapToGrid w:val="0"/>
              <w:spacing w:line="400" w:lineRule="exact"/>
              <w:ind w:left="-210" w:leftChars="-100" w:right="-210" w:rightChars="-100"/>
              <w:jc w:val="center"/>
              <w:rPr>
                <w:rFonts w:cs="宋体" w:asciiTheme="minorEastAsia" w:hAnsiTheme="minorEastAsia" w:eastAsiaTheme="minorEastAsia"/>
                <w:color w:val="auto"/>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6A545872">
            <w:pPr>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14:paraId="1FDB94D3">
            <w:pPr>
              <w:widowControl/>
              <w:adjustRightInd w:val="0"/>
              <w:snapToGrid w:val="0"/>
              <w:spacing w:line="400" w:lineRule="exac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2．投标人的资质等级符合第二章“投标人须知”前附表第1.4.1项规定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13E52044">
            <w:pPr>
              <w:widowControl/>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投标人的资质等级符合第二章“投标人须知”前附表第</w:t>
            </w:r>
            <w:r>
              <w:rPr>
                <w:rFonts w:asciiTheme="minorEastAsia" w:hAnsiTheme="minorEastAsia" w:eastAsiaTheme="minorEastAsia"/>
                <w:color w:val="auto"/>
                <w:szCs w:val="21"/>
                <w:highlight w:val="none"/>
              </w:rPr>
              <w:t>1.4.1项规定。</w:t>
            </w:r>
          </w:p>
          <w:p w14:paraId="34010952">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2）提供的证明材料符合第</w:t>
            </w:r>
            <w:r>
              <w:rPr>
                <w:rFonts w:hint="eastAsia" w:ascii="宋体" w:hAnsi="宋体" w:cs="宋体"/>
                <w:color w:val="auto"/>
                <w:szCs w:val="21"/>
                <w:highlight w:val="none"/>
              </w:rPr>
              <w:t>九</w:t>
            </w:r>
            <w:r>
              <w:rPr>
                <w:rFonts w:ascii="宋体" w:hAnsi="宋体" w:cs="宋体"/>
                <w:color w:val="auto"/>
                <w:szCs w:val="21"/>
                <w:highlight w:val="none"/>
              </w:rPr>
              <w:t>章“投标文件格式”要求。</w:t>
            </w:r>
          </w:p>
        </w:tc>
      </w:tr>
      <w:tr w14:paraId="39859E68">
        <w:tblPrEx>
          <w:tblCellMar>
            <w:top w:w="0" w:type="dxa"/>
            <w:left w:w="108" w:type="dxa"/>
            <w:bottom w:w="0" w:type="dxa"/>
            <w:right w:w="108" w:type="dxa"/>
          </w:tblCellMar>
        </w:tblPrEx>
        <w:trPr>
          <w:trHeight w:val="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12329C1F">
            <w:pPr>
              <w:adjustRightInd w:val="0"/>
              <w:snapToGrid w:val="0"/>
              <w:spacing w:line="400" w:lineRule="exact"/>
              <w:ind w:left="-210" w:leftChars="-100" w:right="-210" w:rightChars="-100"/>
              <w:jc w:val="center"/>
              <w:rPr>
                <w:rFonts w:cs="宋体" w:asciiTheme="minorEastAsia" w:hAnsiTheme="minorEastAsia" w:eastAsiaTheme="minorEastAsia"/>
                <w:color w:val="auto"/>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346D1201">
            <w:pPr>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14:paraId="62D41A30">
            <w:pPr>
              <w:widowControl/>
              <w:adjustRightInd w:val="0"/>
              <w:snapToGrid w:val="0"/>
              <w:spacing w:line="400" w:lineRule="exac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3.投标人的财务状况符合第二章“投标人须知”前附表第1.4.1项规定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741E6F55">
            <w:pPr>
              <w:widowControl/>
              <w:adjustRightInd w:val="0"/>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1）投标人</w:t>
            </w:r>
            <w:r>
              <w:rPr>
                <w:rFonts w:hint="eastAsia" w:cs="宋体" w:asciiTheme="minorEastAsia" w:hAnsiTheme="minorEastAsia" w:eastAsiaTheme="minorEastAsia"/>
                <w:color w:val="auto"/>
                <w:kern w:val="0"/>
                <w:szCs w:val="21"/>
                <w:highlight w:val="none"/>
              </w:rPr>
              <w:t>的财务状况符合第二章“投标人须知”前附表第</w:t>
            </w:r>
            <w:r>
              <w:rPr>
                <w:rFonts w:cs="宋体" w:asciiTheme="minorEastAsia" w:hAnsiTheme="minorEastAsia" w:eastAsiaTheme="minorEastAsia"/>
                <w:color w:val="auto"/>
                <w:kern w:val="0"/>
                <w:szCs w:val="21"/>
                <w:highlight w:val="none"/>
              </w:rPr>
              <w:t>1.4.1项规定。</w:t>
            </w:r>
          </w:p>
          <w:p w14:paraId="0E0E03EF">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提供的证明材料符合第九章“投标文件格式”要求。</w:t>
            </w:r>
          </w:p>
        </w:tc>
      </w:tr>
      <w:tr w14:paraId="3EF58C26">
        <w:tblPrEx>
          <w:tblCellMar>
            <w:top w:w="0" w:type="dxa"/>
            <w:left w:w="108" w:type="dxa"/>
            <w:bottom w:w="0" w:type="dxa"/>
            <w:right w:w="108" w:type="dxa"/>
          </w:tblCellMar>
        </w:tblPrEx>
        <w:trPr>
          <w:trHeight w:val="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3B2A9BB1">
            <w:pPr>
              <w:adjustRightInd w:val="0"/>
              <w:snapToGrid w:val="0"/>
              <w:spacing w:line="400" w:lineRule="exact"/>
              <w:ind w:left="-210" w:leftChars="-100" w:right="-210" w:rightChars="-100"/>
              <w:jc w:val="center"/>
              <w:rPr>
                <w:rFonts w:cs="宋体" w:asciiTheme="minorEastAsia" w:hAnsiTheme="minorEastAsia" w:eastAsiaTheme="minorEastAsia"/>
                <w:color w:val="auto"/>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CDC0015">
            <w:pPr>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14:paraId="1E674D53">
            <w:pPr>
              <w:widowControl/>
              <w:adjustRightInd w:val="0"/>
              <w:snapToGrid w:val="0"/>
              <w:spacing w:line="400" w:lineRule="exac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4．投标人的类似项目业绩符合第二章“投标人须知”前附表第1.4.1项规定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0A8D5BAE">
            <w:pPr>
              <w:widowControl/>
              <w:adjustRightInd w:val="0"/>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1）投标人</w:t>
            </w:r>
            <w:r>
              <w:rPr>
                <w:rFonts w:hint="eastAsia" w:cs="宋体" w:asciiTheme="minorEastAsia" w:hAnsiTheme="minorEastAsia" w:eastAsiaTheme="minorEastAsia"/>
                <w:color w:val="auto"/>
                <w:kern w:val="0"/>
                <w:szCs w:val="21"/>
                <w:highlight w:val="none"/>
              </w:rPr>
              <w:t>的类似项目业绩符合第二章“投标人须知”前附表第</w:t>
            </w:r>
            <w:r>
              <w:rPr>
                <w:rFonts w:cs="宋体" w:asciiTheme="minorEastAsia" w:hAnsiTheme="minorEastAsia" w:eastAsiaTheme="minorEastAsia"/>
                <w:color w:val="auto"/>
                <w:kern w:val="0"/>
                <w:szCs w:val="21"/>
                <w:highlight w:val="none"/>
              </w:rPr>
              <w:t>1.4.1项规定。</w:t>
            </w:r>
          </w:p>
          <w:p w14:paraId="0ADAB161">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提供的证明材料符合第九章“投标文件格式”要求。</w:t>
            </w:r>
          </w:p>
        </w:tc>
      </w:tr>
      <w:tr w14:paraId="747CB5A3">
        <w:tblPrEx>
          <w:tblCellMar>
            <w:top w:w="0" w:type="dxa"/>
            <w:left w:w="108" w:type="dxa"/>
            <w:bottom w:w="0" w:type="dxa"/>
            <w:right w:w="108" w:type="dxa"/>
          </w:tblCellMar>
        </w:tblPrEx>
        <w:trPr>
          <w:trHeight w:val="1778" w:hRule="atLeast"/>
        </w:trPr>
        <w:tc>
          <w:tcPr>
            <w:tcW w:w="745" w:type="dxa"/>
            <w:vMerge w:val="restart"/>
            <w:tcBorders>
              <w:top w:val="single" w:color="auto" w:sz="4" w:space="0"/>
              <w:left w:val="single" w:color="auto" w:sz="4" w:space="0"/>
              <w:right w:val="single" w:color="auto" w:sz="4" w:space="0"/>
            </w:tcBorders>
            <w:vAlign w:val="center"/>
          </w:tcPr>
          <w:p w14:paraId="74B624AC">
            <w:pPr>
              <w:adjustRightInd/>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2.1</w:t>
            </w:r>
          </w:p>
          <w:p w14:paraId="37E0E18B">
            <w:pPr>
              <w:adjustRightInd/>
              <w:snapToGrid/>
              <w:spacing w:line="400" w:lineRule="exact"/>
              <w:jc w:val="center"/>
              <w:rPr>
                <w:rFonts w:hint="eastAsia" w:ascii="宋体" w:hAnsi="宋体" w:eastAsia="宋体" w:cs="宋体"/>
                <w:color w:val="auto"/>
                <w:szCs w:val="24"/>
                <w:highlight w:val="none"/>
              </w:rPr>
            </w:pPr>
            <w:r>
              <w:rPr>
                <w:rFonts w:hint="eastAsia" w:ascii="宋体" w:hAnsi="宋体" w:eastAsia="宋体" w:cs="宋体"/>
                <w:color w:val="auto"/>
                <w:highlight w:val="none"/>
              </w:rPr>
              <w:t>初步评</w:t>
            </w:r>
            <w:r>
              <w:rPr>
                <w:rFonts w:hint="eastAsia" w:ascii="宋体" w:hAnsi="宋体" w:eastAsia="宋体" w:cs="宋体"/>
                <w:color w:val="auto"/>
                <w:szCs w:val="24"/>
                <w:highlight w:val="none"/>
              </w:rPr>
              <w:t>审标准      （第一个</w:t>
            </w:r>
          </w:p>
          <w:p w14:paraId="56849C48">
            <w:pPr>
              <w:adjustRightInd/>
              <w:snapToGrid/>
              <w:spacing w:line="400" w:lineRule="exact"/>
              <w:ind w:left="0" w:leftChars="0" w:right="0" w:rightChars="0"/>
              <w:jc w:val="center"/>
              <w:rPr>
                <w:rFonts w:cs="宋体" w:asciiTheme="minorEastAsia" w:hAnsiTheme="minorEastAsia" w:eastAsiaTheme="minorEastAsia"/>
                <w:color w:val="auto"/>
                <w:kern w:val="0"/>
                <w:szCs w:val="21"/>
                <w:highlight w:val="none"/>
              </w:rPr>
            </w:pPr>
            <w:r>
              <w:rPr>
                <w:rFonts w:hint="eastAsia" w:ascii="宋体" w:hAnsi="宋体" w:eastAsia="宋体" w:cs="宋体"/>
                <w:color w:val="auto"/>
                <w:szCs w:val="24"/>
                <w:highlight w:val="none"/>
              </w:rPr>
              <w:t>信封）</w:t>
            </w:r>
          </w:p>
        </w:tc>
        <w:tc>
          <w:tcPr>
            <w:tcW w:w="820" w:type="dxa"/>
            <w:vMerge w:val="restart"/>
            <w:tcBorders>
              <w:top w:val="single" w:color="auto" w:sz="4" w:space="0"/>
              <w:left w:val="single" w:color="auto" w:sz="4" w:space="0"/>
              <w:right w:val="single" w:color="auto" w:sz="4" w:space="0"/>
            </w:tcBorders>
            <w:vAlign w:val="center"/>
          </w:tcPr>
          <w:p w14:paraId="2470C300">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2.1.2</w:t>
            </w:r>
          </w:p>
          <w:p w14:paraId="5A573B18">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资格评审标准</w:t>
            </w:r>
          </w:p>
        </w:tc>
        <w:tc>
          <w:tcPr>
            <w:tcW w:w="2470" w:type="dxa"/>
            <w:tcBorders>
              <w:top w:val="single" w:color="auto" w:sz="4" w:space="0"/>
              <w:left w:val="single" w:color="auto" w:sz="4" w:space="0"/>
              <w:bottom w:val="single" w:color="auto" w:sz="4" w:space="0"/>
              <w:right w:val="single" w:color="auto" w:sz="4" w:space="0"/>
            </w:tcBorders>
            <w:vAlign w:val="center"/>
          </w:tcPr>
          <w:p w14:paraId="4E7C998B">
            <w:pPr>
              <w:widowControl/>
              <w:adjustRightInd w:val="0"/>
              <w:snapToGrid w:val="0"/>
              <w:spacing w:line="400" w:lineRule="exac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5．投标人的信誉符合第二章“投标人须知”前附表第1.4.1项规定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23B694FE">
            <w:pPr>
              <w:widowControl/>
              <w:adjustRightInd w:val="0"/>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1）投标人</w:t>
            </w:r>
            <w:r>
              <w:rPr>
                <w:rFonts w:hint="eastAsia" w:cs="宋体" w:asciiTheme="minorEastAsia" w:hAnsiTheme="minorEastAsia" w:eastAsiaTheme="minorEastAsia"/>
                <w:color w:val="auto"/>
                <w:kern w:val="0"/>
                <w:szCs w:val="21"/>
                <w:highlight w:val="none"/>
              </w:rPr>
              <w:t>的信誉符合第二章“投标人须知”前附表第</w:t>
            </w:r>
            <w:r>
              <w:rPr>
                <w:rFonts w:cs="宋体" w:asciiTheme="minorEastAsia" w:hAnsiTheme="minorEastAsia" w:eastAsiaTheme="minorEastAsia"/>
                <w:color w:val="auto"/>
                <w:kern w:val="0"/>
                <w:szCs w:val="21"/>
                <w:highlight w:val="none"/>
              </w:rPr>
              <w:t>1.4.1项规定。</w:t>
            </w:r>
          </w:p>
          <w:p w14:paraId="71821DD3">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提供的证明材料符合第九章“投标文件格式”要求。</w:t>
            </w:r>
          </w:p>
        </w:tc>
      </w:tr>
      <w:tr w14:paraId="437A9C7E">
        <w:tblPrEx>
          <w:tblCellMar>
            <w:top w:w="0" w:type="dxa"/>
            <w:left w:w="108" w:type="dxa"/>
            <w:bottom w:w="0" w:type="dxa"/>
            <w:right w:w="108" w:type="dxa"/>
          </w:tblCellMar>
        </w:tblPrEx>
        <w:trPr>
          <w:trHeight w:val="1748" w:hRule="atLeast"/>
        </w:trPr>
        <w:tc>
          <w:tcPr>
            <w:tcW w:w="745" w:type="dxa"/>
            <w:vMerge w:val="continue"/>
            <w:tcBorders>
              <w:left w:val="single" w:color="auto" w:sz="4" w:space="0"/>
              <w:right w:val="single" w:color="auto" w:sz="4" w:space="0"/>
            </w:tcBorders>
            <w:vAlign w:val="center"/>
          </w:tcPr>
          <w:p w14:paraId="3C737B33">
            <w:pPr>
              <w:adjustRightInd w:val="0"/>
              <w:snapToGrid w:val="0"/>
              <w:spacing w:line="400" w:lineRule="exact"/>
              <w:ind w:left="-210" w:leftChars="-100" w:right="-210" w:rightChars="-100"/>
              <w:jc w:val="center"/>
              <w:rPr>
                <w:rFonts w:cs="宋体" w:asciiTheme="minorEastAsia" w:hAnsiTheme="minorEastAsia" w:eastAsiaTheme="minorEastAsia"/>
                <w:color w:val="auto"/>
                <w:kern w:val="0"/>
                <w:szCs w:val="21"/>
                <w:highlight w:val="none"/>
              </w:rPr>
            </w:pPr>
          </w:p>
        </w:tc>
        <w:tc>
          <w:tcPr>
            <w:tcW w:w="820" w:type="dxa"/>
            <w:vMerge w:val="continue"/>
            <w:tcBorders>
              <w:left w:val="single" w:color="auto" w:sz="4" w:space="0"/>
              <w:right w:val="single" w:color="auto" w:sz="4" w:space="0"/>
            </w:tcBorders>
            <w:vAlign w:val="center"/>
          </w:tcPr>
          <w:p w14:paraId="5DC61373">
            <w:pPr>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14:paraId="321A9348">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b/>
                <w:color w:val="auto"/>
                <w:szCs w:val="21"/>
                <w:highlight w:val="none"/>
              </w:rPr>
              <w:t>□</w:t>
            </w:r>
            <w:r>
              <w:rPr>
                <w:rFonts w:asciiTheme="minorEastAsia" w:hAnsiTheme="minorEastAsia" w:eastAsiaTheme="minorEastAsia"/>
                <w:color w:val="auto"/>
                <w:szCs w:val="21"/>
                <w:highlight w:val="none"/>
              </w:rPr>
              <w:t xml:space="preserve"> 6．</w:t>
            </w:r>
            <w:r>
              <w:rPr>
                <w:rFonts w:hint="eastAsia" w:cs="宋体" w:asciiTheme="minorEastAsia" w:hAnsiTheme="minorEastAsia" w:eastAsiaTheme="minorEastAsia"/>
                <w:color w:val="auto"/>
                <w:kern w:val="0"/>
                <w:szCs w:val="21"/>
                <w:highlight w:val="none"/>
              </w:rPr>
              <w:t>投标人的主要人员符合第二章“投标人须知”前附表第</w:t>
            </w:r>
            <w:r>
              <w:rPr>
                <w:rFonts w:cs="宋体" w:asciiTheme="minorEastAsia" w:hAnsiTheme="minorEastAsia" w:eastAsiaTheme="minorEastAsia"/>
                <w:color w:val="auto"/>
                <w:kern w:val="0"/>
                <w:szCs w:val="21"/>
                <w:highlight w:val="none"/>
              </w:rPr>
              <w:t>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054003E0">
            <w:pPr>
              <w:widowControl/>
              <w:adjustRightInd w:val="0"/>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1）投标人</w:t>
            </w:r>
            <w:r>
              <w:rPr>
                <w:rFonts w:hint="eastAsia" w:cs="宋体" w:asciiTheme="minorEastAsia" w:hAnsiTheme="minorEastAsia" w:eastAsiaTheme="minorEastAsia"/>
                <w:color w:val="auto"/>
                <w:kern w:val="0"/>
                <w:szCs w:val="21"/>
                <w:highlight w:val="none"/>
              </w:rPr>
              <w:t>的主要人员符合第二章“投标人须知”前附表第</w:t>
            </w:r>
            <w:r>
              <w:rPr>
                <w:rFonts w:cs="宋体" w:asciiTheme="minorEastAsia" w:hAnsiTheme="minorEastAsia" w:eastAsiaTheme="minorEastAsia"/>
                <w:color w:val="auto"/>
                <w:kern w:val="0"/>
                <w:szCs w:val="21"/>
                <w:highlight w:val="none"/>
              </w:rPr>
              <w:t>1.4.1项规定。</w:t>
            </w:r>
          </w:p>
          <w:p w14:paraId="55939F64">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提供的证明材料符合第九章“投标文件格式”要求。</w:t>
            </w:r>
          </w:p>
        </w:tc>
      </w:tr>
      <w:tr w14:paraId="592D2912">
        <w:tblPrEx>
          <w:tblCellMar>
            <w:top w:w="0" w:type="dxa"/>
            <w:left w:w="108" w:type="dxa"/>
            <w:bottom w:w="0" w:type="dxa"/>
            <w:right w:w="108" w:type="dxa"/>
          </w:tblCellMar>
        </w:tblPrEx>
        <w:trPr>
          <w:trHeight w:val="549" w:hRule="atLeast"/>
        </w:trPr>
        <w:tc>
          <w:tcPr>
            <w:tcW w:w="745" w:type="dxa"/>
            <w:vMerge w:val="continue"/>
            <w:tcBorders>
              <w:left w:val="single" w:color="auto" w:sz="4" w:space="0"/>
              <w:right w:val="single" w:color="auto" w:sz="4" w:space="0"/>
            </w:tcBorders>
            <w:vAlign w:val="center"/>
          </w:tcPr>
          <w:p w14:paraId="091192B1">
            <w:pPr>
              <w:adjustRightInd w:val="0"/>
              <w:snapToGrid w:val="0"/>
              <w:spacing w:line="400" w:lineRule="exact"/>
              <w:ind w:left="-210" w:leftChars="-100" w:right="-210" w:rightChars="-100"/>
              <w:jc w:val="center"/>
              <w:rPr>
                <w:rFonts w:cs="宋体" w:asciiTheme="minorEastAsia" w:hAnsiTheme="minorEastAsia" w:eastAsiaTheme="minorEastAsia"/>
                <w:b/>
                <w:bCs/>
                <w:color w:val="auto"/>
                <w:kern w:val="0"/>
                <w:szCs w:val="21"/>
                <w:highlight w:val="none"/>
              </w:rPr>
            </w:pPr>
          </w:p>
        </w:tc>
        <w:tc>
          <w:tcPr>
            <w:tcW w:w="820" w:type="dxa"/>
            <w:vMerge w:val="continue"/>
            <w:tcBorders>
              <w:left w:val="single" w:color="auto" w:sz="4" w:space="0"/>
              <w:bottom w:val="single" w:color="auto" w:sz="4" w:space="0"/>
              <w:right w:val="single" w:color="auto" w:sz="4" w:space="0"/>
            </w:tcBorders>
            <w:vAlign w:val="center"/>
          </w:tcPr>
          <w:p w14:paraId="3FEC2F78">
            <w:pPr>
              <w:widowControl/>
              <w:adjustRightInd w:val="0"/>
              <w:snapToGrid w:val="0"/>
              <w:spacing w:line="400" w:lineRule="exact"/>
              <w:jc w:val="center"/>
              <w:rPr>
                <w:rFonts w:cs="宋体" w:asciiTheme="minorEastAsia" w:hAnsiTheme="minorEastAsia" w:eastAsiaTheme="minorEastAsia"/>
                <w:b/>
                <w:bCs/>
                <w:color w:val="auto"/>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14:paraId="5AD5F0BC">
            <w:pPr>
              <w:widowControl/>
              <w:adjustRightInd w:val="0"/>
              <w:snapToGrid w:val="0"/>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asciiTheme="minorEastAsia" w:hAnsiTheme="minorEastAsia" w:eastAsiaTheme="minorEastAsia"/>
                <w:color w:val="auto"/>
                <w:szCs w:val="21"/>
                <w:highlight w:val="none"/>
              </w:rPr>
              <w:t>7．</w:t>
            </w:r>
            <w:r>
              <w:rPr>
                <w:rFonts w:hint="eastAsia" w:cs="宋体" w:asciiTheme="minorEastAsia" w:hAnsiTheme="minorEastAsia" w:eastAsiaTheme="minorEastAsia"/>
                <w:color w:val="auto"/>
                <w:szCs w:val="21"/>
                <w:highlight w:val="none"/>
              </w:rPr>
              <w:t>投标人的其他要求</w:t>
            </w:r>
            <w:r>
              <w:rPr>
                <w:rStyle w:val="59"/>
                <w:rFonts w:ascii="宋体" w:hAnsi="宋体" w:cs="宋体"/>
                <w:color w:val="auto"/>
                <w:kern w:val="0"/>
                <w:szCs w:val="21"/>
                <w:highlight w:val="none"/>
              </w:rPr>
              <w:footnoteReference w:id="200"/>
            </w:r>
            <w:r>
              <w:rPr>
                <w:rFonts w:hint="eastAsia" w:cs="宋体" w:asciiTheme="minorEastAsia" w:hAnsiTheme="minorEastAsia" w:eastAsiaTheme="minorEastAsia"/>
                <w:color w:val="auto"/>
                <w:szCs w:val="21"/>
                <w:highlight w:val="none"/>
              </w:rPr>
              <w:t>符合第二章“投标人须知”前附表第</w:t>
            </w:r>
            <w:r>
              <w:rPr>
                <w:rFonts w:cs="宋体" w:asciiTheme="minorEastAsia" w:hAnsiTheme="minorEastAsia" w:eastAsiaTheme="minorEastAsia"/>
                <w:color w:val="auto"/>
                <w:szCs w:val="21"/>
                <w:highlight w:val="none"/>
              </w:rPr>
              <w:t>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2D582822">
            <w:pPr>
              <w:widowControl/>
              <w:adjustRightInd w:val="0"/>
              <w:snapToGrid w:val="0"/>
              <w:spacing w:line="400" w:lineRule="exact"/>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1）投标人</w:t>
            </w:r>
            <w:r>
              <w:rPr>
                <w:rFonts w:hint="eastAsia" w:cs="宋体" w:asciiTheme="minorEastAsia" w:hAnsiTheme="minorEastAsia" w:eastAsiaTheme="minorEastAsia"/>
                <w:color w:val="auto"/>
                <w:kern w:val="0"/>
                <w:szCs w:val="21"/>
                <w:highlight w:val="none"/>
              </w:rPr>
              <w:t>的其他要求符合第二章“投标人须知”前附表第</w:t>
            </w:r>
            <w:r>
              <w:rPr>
                <w:rFonts w:cs="宋体" w:asciiTheme="minorEastAsia" w:hAnsiTheme="minorEastAsia" w:eastAsiaTheme="minorEastAsia"/>
                <w:color w:val="auto"/>
                <w:kern w:val="0"/>
                <w:szCs w:val="21"/>
                <w:highlight w:val="none"/>
              </w:rPr>
              <w:t>1.4.1项规定</w:t>
            </w:r>
            <w:r>
              <w:rPr>
                <w:rFonts w:hint="eastAsia" w:ascii="宋体" w:hAnsi="宋体" w:cs="宋体"/>
                <w:color w:val="auto"/>
                <w:kern w:val="0"/>
                <w:szCs w:val="21"/>
                <w:highlight w:val="none"/>
              </w:rPr>
              <w:t>。</w:t>
            </w:r>
          </w:p>
          <w:p w14:paraId="09C1507A">
            <w:pPr>
              <w:widowControl/>
              <w:adjustRightInd w:val="0"/>
              <w:snapToGrid w:val="0"/>
              <w:spacing w:line="400" w:lineRule="exact"/>
              <w:rPr>
                <w:rFonts w:hint="eastAsia" w:cs="宋体" w:asciiTheme="minorEastAsia" w:hAnsiTheme="minorEastAsia" w:eastAsiaTheme="minorEastAsia"/>
                <w:b/>
                <w:color w:val="auto"/>
                <w:kern w:val="2"/>
                <w:sz w:val="21"/>
                <w:szCs w:val="21"/>
                <w:highlight w:val="none"/>
                <w:lang w:val="en-US" w:eastAsia="zh-CN" w:bidi="ar-SA"/>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szCs w:val="21"/>
                <w:highlight w:val="none"/>
              </w:rPr>
              <w:t>提供的证明材料符合第九章“投标文件格式”要求</w:t>
            </w:r>
            <w:r>
              <w:rPr>
                <w:rFonts w:cs="宋体" w:asciiTheme="minorEastAsia" w:hAnsiTheme="minorEastAsia" w:eastAsiaTheme="minorEastAsia"/>
                <w:color w:val="auto"/>
                <w:kern w:val="0"/>
                <w:szCs w:val="21"/>
                <w:highlight w:val="none"/>
              </w:rPr>
              <w:t>。</w:t>
            </w:r>
          </w:p>
        </w:tc>
      </w:tr>
      <w:tr w14:paraId="7B0BAE7C">
        <w:tblPrEx>
          <w:tblCellMar>
            <w:top w:w="0" w:type="dxa"/>
            <w:left w:w="108" w:type="dxa"/>
            <w:bottom w:w="0" w:type="dxa"/>
            <w:right w:w="108" w:type="dxa"/>
          </w:tblCellMar>
        </w:tblPrEx>
        <w:trPr>
          <w:trHeight w:val="549" w:hRule="atLeast"/>
        </w:trPr>
        <w:tc>
          <w:tcPr>
            <w:tcW w:w="745" w:type="dxa"/>
            <w:vMerge w:val="continue"/>
            <w:tcBorders>
              <w:left w:val="single" w:color="auto" w:sz="4" w:space="0"/>
              <w:right w:val="single" w:color="auto" w:sz="4" w:space="0"/>
            </w:tcBorders>
            <w:vAlign w:val="center"/>
          </w:tcPr>
          <w:p w14:paraId="15E7C434">
            <w:pPr>
              <w:adjustRightInd w:val="0"/>
              <w:snapToGrid w:val="0"/>
              <w:spacing w:line="400" w:lineRule="exact"/>
              <w:ind w:left="-210" w:leftChars="-100" w:right="-210" w:rightChars="-100"/>
              <w:jc w:val="center"/>
              <w:rPr>
                <w:rFonts w:cs="宋体" w:asciiTheme="minorEastAsia" w:hAnsiTheme="minorEastAsia" w:eastAsiaTheme="minorEastAsia"/>
                <w:b/>
                <w:bCs/>
                <w:color w:val="auto"/>
                <w:kern w:val="0"/>
                <w:szCs w:val="21"/>
                <w:highlight w:val="none"/>
              </w:rPr>
            </w:pPr>
          </w:p>
        </w:tc>
        <w:tc>
          <w:tcPr>
            <w:tcW w:w="820" w:type="dxa"/>
            <w:vMerge w:val="continue"/>
            <w:tcBorders>
              <w:left w:val="single" w:color="auto" w:sz="4" w:space="0"/>
              <w:bottom w:val="single" w:color="auto" w:sz="4" w:space="0"/>
              <w:right w:val="single" w:color="auto" w:sz="4" w:space="0"/>
            </w:tcBorders>
            <w:vAlign w:val="center"/>
          </w:tcPr>
          <w:p w14:paraId="583DF5E0">
            <w:pPr>
              <w:widowControl/>
              <w:adjustRightInd w:val="0"/>
              <w:snapToGrid w:val="0"/>
              <w:spacing w:line="400" w:lineRule="exact"/>
              <w:jc w:val="center"/>
              <w:rPr>
                <w:rFonts w:cs="宋体" w:asciiTheme="minorEastAsia" w:hAnsiTheme="minorEastAsia" w:eastAsiaTheme="minorEastAsia"/>
                <w:b/>
                <w:bCs/>
                <w:color w:val="auto"/>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14:paraId="3C8FB2AC">
            <w:pPr>
              <w:widowControl/>
              <w:adjustRightInd w:val="0"/>
              <w:snapToGrid w:val="0"/>
              <w:spacing w:line="400" w:lineRule="exact"/>
              <w:rPr>
                <w:rFonts w:cs="宋体" w:asciiTheme="minorEastAsia" w:hAnsiTheme="minorEastAsia" w:eastAsiaTheme="minorEastAsia"/>
                <w:b/>
                <w:bCs/>
                <w:color w:val="auto"/>
                <w:kern w:val="0"/>
                <w:sz w:val="21"/>
                <w:szCs w:val="21"/>
                <w:highlight w:val="none"/>
                <w:lang w:val="en-US" w:eastAsia="zh-CN" w:bidi="ar-SA"/>
              </w:rPr>
            </w:pPr>
            <w:r>
              <w:rPr>
                <w:rFonts w:ascii="宋体" w:hAnsi="宋体" w:cs="宋体"/>
                <w:color w:val="auto"/>
                <w:szCs w:val="21"/>
                <w:highlight w:val="none"/>
              </w:rPr>
              <w:t>8.投标人</w:t>
            </w:r>
            <w:r>
              <w:rPr>
                <w:rFonts w:hint="eastAsia" w:ascii="宋体" w:hAnsi="宋体" w:cs="宋体"/>
                <w:color w:val="auto"/>
                <w:szCs w:val="21"/>
                <w:highlight w:val="none"/>
              </w:rPr>
              <w:t>还应符合</w:t>
            </w:r>
            <w:r>
              <w:rPr>
                <w:rFonts w:hint="eastAsia" w:ascii="宋体" w:hAnsi="宋体" w:cs="宋体"/>
                <w:color w:val="auto"/>
                <w:szCs w:val="21"/>
                <w:highlight w:val="none"/>
                <w:lang w:val="en-US" w:eastAsia="zh-CN"/>
              </w:rPr>
              <w:t>的其他</w:t>
            </w:r>
            <w:r>
              <w:rPr>
                <w:rFonts w:hint="eastAsia" w:ascii="宋体" w:hAnsi="宋体" w:cs="宋体"/>
                <w:color w:val="auto"/>
                <w:szCs w:val="21"/>
                <w:highlight w:val="none"/>
              </w:rPr>
              <w:t>规定</w:t>
            </w:r>
          </w:p>
        </w:tc>
        <w:tc>
          <w:tcPr>
            <w:tcW w:w="4896" w:type="dxa"/>
            <w:tcBorders>
              <w:top w:val="single" w:color="auto" w:sz="4" w:space="0"/>
              <w:left w:val="single" w:color="auto" w:sz="4" w:space="0"/>
              <w:bottom w:val="single" w:color="auto" w:sz="4" w:space="0"/>
              <w:right w:val="single" w:color="auto" w:sz="4" w:space="0"/>
            </w:tcBorders>
            <w:vAlign w:val="center"/>
          </w:tcPr>
          <w:p w14:paraId="0F300C99">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asciiTheme="minorEastAsia" w:hAnsiTheme="minorEastAsia" w:eastAsiaTheme="minorEastAsia"/>
                <w:color w:val="auto"/>
                <w:szCs w:val="21"/>
                <w:highlight w:val="none"/>
              </w:rPr>
              <w:t>投标人不存在第二章“投标人须知”第</w:t>
            </w:r>
            <w:r>
              <w:rPr>
                <w:rFonts w:asciiTheme="minorEastAsia" w:hAnsiTheme="minorEastAsia" w:eastAsiaTheme="minorEastAsia"/>
                <w:color w:val="auto"/>
                <w:szCs w:val="21"/>
                <w:highlight w:val="none"/>
              </w:rPr>
              <w:t>1.4.3项或</w:t>
            </w:r>
            <w:r>
              <w:rPr>
                <w:rFonts w:hint="eastAsia" w:asciiTheme="minorEastAsia" w:hAnsiTheme="minorEastAsia" w:eastAsiaTheme="minorEastAsia"/>
                <w:color w:val="auto"/>
                <w:szCs w:val="21"/>
                <w:highlight w:val="none"/>
              </w:rPr>
              <w:t>第</w:t>
            </w:r>
            <w:r>
              <w:rPr>
                <w:rFonts w:asciiTheme="minorEastAsia" w:hAnsiTheme="minorEastAsia" w:eastAsiaTheme="minorEastAsia"/>
                <w:color w:val="auto"/>
                <w:szCs w:val="21"/>
                <w:highlight w:val="none"/>
              </w:rPr>
              <w:t>1.4.4项规定的任何一种情形</w:t>
            </w:r>
            <w:r>
              <w:rPr>
                <w:rFonts w:hint="eastAsia" w:cs="宋体" w:asciiTheme="minorEastAsia" w:hAnsiTheme="minorEastAsia" w:eastAsiaTheme="minorEastAsia"/>
                <w:color w:val="auto"/>
                <w:szCs w:val="21"/>
                <w:highlight w:val="none"/>
              </w:rPr>
              <w:t>（按本项资格评审标准第</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目</w:t>
            </w:r>
            <w:r>
              <w:rPr>
                <w:rFonts w:cs="宋体" w:asciiTheme="minorEastAsia" w:hAnsiTheme="minorEastAsia" w:eastAsiaTheme="minorEastAsia"/>
                <w:color w:val="auto"/>
                <w:szCs w:val="21"/>
                <w:highlight w:val="none"/>
              </w:rPr>
              <w:t>信誉要求已评审的，此处不再评审）</w:t>
            </w:r>
            <w:r>
              <w:rPr>
                <w:rFonts w:hint="eastAsia" w:asciiTheme="minorEastAsia" w:hAnsiTheme="minorEastAsia" w:eastAsiaTheme="minorEastAsia"/>
                <w:color w:val="auto"/>
                <w:szCs w:val="21"/>
                <w:highlight w:val="none"/>
              </w:rPr>
              <w:t>。</w:t>
            </w:r>
          </w:p>
          <w:p w14:paraId="1C0766C1">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以联合体形式投标的，联合体各方均未再以自己名义单独或参加其他联合体在同一标段中投标；独立投标的，投标人未同时参加联合体在同一标段中投标。</w:t>
            </w:r>
          </w:p>
          <w:p w14:paraId="3AD8E593">
            <w:pPr>
              <w:keepNext w:val="0"/>
              <w:keepLines w:val="0"/>
              <w:pageBreakBefore w:val="0"/>
              <w:widowControl/>
              <w:kinsoku/>
              <w:wordWrap/>
              <w:overflowPunct/>
              <w:topLinePunct w:val="0"/>
              <w:autoSpaceDE/>
              <w:autoSpaceDN/>
              <w:bidi w:val="0"/>
              <w:adjustRightInd w:val="0"/>
              <w:snapToGrid w:val="0"/>
              <w:spacing w:line="380" w:lineRule="exact"/>
              <w:textAlignment w:val="auto"/>
              <w:rPr>
                <w:rFonts w:cs="宋体" w:asciiTheme="minorEastAsia" w:hAnsiTheme="minorEastAsia" w:eastAsiaTheme="minorEastAsia"/>
                <w:b/>
                <w:bCs/>
                <w:color w:val="auto"/>
                <w:kern w:val="0"/>
                <w:sz w:val="21"/>
                <w:szCs w:val="21"/>
                <w:highlight w:val="none"/>
                <w:lang w:val="en-US" w:eastAsia="zh-CN" w:bidi="ar-SA"/>
              </w:rPr>
            </w:pPr>
            <w:r>
              <w:rPr>
                <w:rFonts w:hint="eastAsia" w:ascii="宋体" w:hAnsi="宋体" w:eastAsia="宋体" w:cs="宋体"/>
                <w:b w:val="0"/>
                <w:bCs/>
                <w:color w:val="auto"/>
                <w:szCs w:val="21"/>
                <w:highlight w:val="none"/>
              </w:rPr>
              <w:t>……</w:t>
            </w:r>
          </w:p>
        </w:tc>
      </w:tr>
      <w:tr w14:paraId="75E855E0">
        <w:tblPrEx>
          <w:tblCellMar>
            <w:top w:w="0" w:type="dxa"/>
            <w:left w:w="108" w:type="dxa"/>
            <w:bottom w:w="0" w:type="dxa"/>
            <w:right w:w="108" w:type="dxa"/>
          </w:tblCellMar>
        </w:tblPrEx>
        <w:trPr>
          <w:trHeight w:val="673" w:hRule="atLeast"/>
        </w:trPr>
        <w:tc>
          <w:tcPr>
            <w:tcW w:w="745" w:type="dxa"/>
            <w:vMerge w:val="continue"/>
            <w:tcBorders>
              <w:left w:val="single" w:color="auto" w:sz="4" w:space="0"/>
              <w:right w:val="single" w:color="auto" w:sz="4" w:space="0"/>
            </w:tcBorders>
            <w:vAlign w:val="center"/>
          </w:tcPr>
          <w:p w14:paraId="7FF449F5">
            <w:pPr>
              <w:adjustRightInd w:val="0"/>
              <w:snapToGrid w:val="0"/>
              <w:spacing w:line="400" w:lineRule="exact"/>
              <w:ind w:left="-210" w:leftChars="-100" w:right="-210" w:rightChars="-100"/>
              <w:jc w:val="center"/>
              <w:rPr>
                <w:rFonts w:cs="宋体" w:asciiTheme="minorEastAsia" w:hAnsiTheme="minorEastAsia" w:eastAsiaTheme="minorEastAsia"/>
                <w:color w:val="auto"/>
                <w:kern w:val="0"/>
                <w:szCs w:val="21"/>
                <w:highlight w:val="none"/>
              </w:rPr>
            </w:pPr>
          </w:p>
        </w:tc>
        <w:tc>
          <w:tcPr>
            <w:tcW w:w="820" w:type="dxa"/>
            <w:vMerge w:val="restart"/>
            <w:tcBorders>
              <w:top w:val="single" w:color="auto" w:sz="4" w:space="0"/>
              <w:left w:val="single" w:color="auto" w:sz="4" w:space="0"/>
              <w:right w:val="single" w:color="auto" w:sz="4" w:space="0"/>
            </w:tcBorders>
            <w:vAlign w:val="center"/>
          </w:tcPr>
          <w:p w14:paraId="74C8BDCC">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2.1.3</w:t>
            </w:r>
          </w:p>
          <w:p w14:paraId="65C76B22">
            <w:pPr>
              <w:adjustRightInd w:val="0"/>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响应性评审标准</w:t>
            </w: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50804C35">
            <w:pPr>
              <w:pStyle w:val="299"/>
              <w:adjustRightInd w:val="0"/>
              <w:snapToGrid w:val="0"/>
              <w:spacing w:line="400" w:lineRule="exact"/>
              <w:rPr>
                <w:rFonts w:asciiTheme="minorEastAsia" w:hAnsiTheme="minorEastAsia" w:eastAsiaTheme="minorEastAsia"/>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投标函上载明的招标项目工期符合招标文件规定的时间。</w:t>
            </w:r>
          </w:p>
        </w:tc>
      </w:tr>
      <w:tr w14:paraId="1EC9F775">
        <w:tblPrEx>
          <w:tblCellMar>
            <w:top w:w="0" w:type="dxa"/>
            <w:left w:w="108" w:type="dxa"/>
            <w:bottom w:w="0" w:type="dxa"/>
            <w:right w:w="108" w:type="dxa"/>
          </w:tblCellMar>
        </w:tblPrEx>
        <w:trPr>
          <w:trHeight w:val="641" w:hRule="atLeast"/>
        </w:trPr>
        <w:tc>
          <w:tcPr>
            <w:tcW w:w="745" w:type="dxa"/>
            <w:vMerge w:val="continue"/>
            <w:tcBorders>
              <w:left w:val="single" w:color="auto" w:sz="4" w:space="0"/>
              <w:bottom w:val="single" w:color="auto" w:sz="4" w:space="0"/>
              <w:right w:val="single" w:color="auto" w:sz="4" w:space="0"/>
            </w:tcBorders>
            <w:vAlign w:val="center"/>
          </w:tcPr>
          <w:p w14:paraId="41AE5744">
            <w:pPr>
              <w:adjustRightInd w:val="0"/>
              <w:snapToGrid w:val="0"/>
              <w:spacing w:line="400" w:lineRule="exact"/>
              <w:ind w:left="-210" w:leftChars="-100" w:right="-210" w:rightChars="-100"/>
              <w:jc w:val="center"/>
              <w:rPr>
                <w:rFonts w:cs="宋体" w:asciiTheme="minorEastAsia" w:hAnsiTheme="minorEastAsia" w:eastAsiaTheme="minorEastAsia"/>
                <w:color w:val="auto"/>
                <w:kern w:val="0"/>
                <w:szCs w:val="21"/>
                <w:highlight w:val="none"/>
              </w:rPr>
            </w:pPr>
          </w:p>
        </w:tc>
        <w:tc>
          <w:tcPr>
            <w:tcW w:w="820" w:type="dxa"/>
            <w:vMerge w:val="continue"/>
            <w:tcBorders>
              <w:left w:val="single" w:color="auto" w:sz="4" w:space="0"/>
              <w:bottom w:val="single" w:color="auto" w:sz="4" w:space="0"/>
              <w:right w:val="single" w:color="auto" w:sz="4" w:space="0"/>
            </w:tcBorders>
            <w:vAlign w:val="center"/>
          </w:tcPr>
          <w:p w14:paraId="0C1FFEF9">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0B700630">
            <w:pPr>
              <w:pStyle w:val="299"/>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投标文件对招标文件的实质性要求和条件在投标函</w:t>
            </w:r>
            <w:r>
              <w:rPr>
                <w:rFonts w:hint="eastAsia" w:ascii="宋体" w:hAnsi="宋体"/>
                <w:color w:val="auto"/>
                <w:szCs w:val="21"/>
                <w:highlight w:val="none"/>
                <w:lang w:val="en-US" w:eastAsia="zh-CN"/>
              </w:rPr>
              <w:t>作</w:t>
            </w:r>
            <w:r>
              <w:rPr>
                <w:rFonts w:hint="eastAsia" w:ascii="宋体" w:hAnsi="宋体"/>
                <w:color w:val="auto"/>
                <w:szCs w:val="21"/>
                <w:highlight w:val="none"/>
              </w:rPr>
              <w:t>出响应。</w:t>
            </w:r>
          </w:p>
        </w:tc>
      </w:tr>
      <w:tr w14:paraId="4E6F83CB">
        <w:tblPrEx>
          <w:tblCellMar>
            <w:top w:w="0" w:type="dxa"/>
            <w:left w:w="108" w:type="dxa"/>
            <w:bottom w:w="0" w:type="dxa"/>
            <w:right w:w="108" w:type="dxa"/>
          </w:tblCellMar>
        </w:tblPrEx>
        <w:trPr>
          <w:trHeight w:val="404"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002E69BF">
            <w:pPr>
              <w:adjustRightInd w:val="0"/>
              <w:snapToGrid w:val="0"/>
              <w:spacing w:line="400" w:lineRule="exact"/>
              <w:ind w:left="-210" w:leftChars="-100" w:right="-210" w:rightChars="-100"/>
              <w:jc w:val="center"/>
              <w:rPr>
                <w:rFonts w:cs="宋体" w:asciiTheme="minorEastAsia" w:hAnsiTheme="minorEastAsia" w:eastAsiaTheme="minorEastAsia"/>
                <w:color w:val="auto"/>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34488DF">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53DBA37B">
            <w:pPr>
              <w:pStyle w:val="299"/>
              <w:adjustRightInd w:val="0"/>
              <w:snapToGrid w:val="0"/>
              <w:spacing w:line="400" w:lineRule="exact"/>
              <w:rPr>
                <w:rFonts w:asciiTheme="minorEastAsia" w:hAnsiTheme="minorEastAsia" w:eastAsiaTheme="minorEastAsia"/>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合同</w:t>
            </w:r>
            <w:r>
              <w:rPr>
                <w:rFonts w:hint="eastAsia" w:ascii="宋体" w:hAnsi="宋体"/>
                <w:color w:val="auto"/>
                <w:szCs w:val="21"/>
                <w:highlight w:val="none"/>
              </w:rPr>
              <w:t>权利义务按招标文件规定在投标函</w:t>
            </w:r>
            <w:r>
              <w:rPr>
                <w:rFonts w:hint="eastAsia" w:ascii="宋体" w:hAnsi="宋体"/>
                <w:color w:val="auto"/>
                <w:szCs w:val="21"/>
                <w:highlight w:val="none"/>
                <w:lang w:val="en-US" w:eastAsia="zh-CN"/>
              </w:rPr>
              <w:t>作</w:t>
            </w:r>
            <w:r>
              <w:rPr>
                <w:rFonts w:hint="eastAsia" w:ascii="宋体" w:hAnsi="宋体"/>
                <w:color w:val="auto"/>
                <w:szCs w:val="21"/>
                <w:highlight w:val="none"/>
              </w:rPr>
              <w:t>出承诺。</w:t>
            </w:r>
          </w:p>
        </w:tc>
      </w:tr>
      <w:tr w14:paraId="15C21A84">
        <w:tblPrEx>
          <w:tblCellMar>
            <w:top w:w="0" w:type="dxa"/>
            <w:left w:w="108" w:type="dxa"/>
            <w:bottom w:w="0" w:type="dxa"/>
            <w:right w:w="108" w:type="dxa"/>
          </w:tblCellMar>
        </w:tblPrEx>
        <w:trPr>
          <w:trHeight w:val="343"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72CEEE7B">
            <w:pPr>
              <w:widowControl/>
              <w:adjustRightInd w:val="0"/>
              <w:snapToGrid w:val="0"/>
              <w:spacing w:line="400" w:lineRule="exact"/>
              <w:ind w:left="-210" w:leftChars="-100" w:right="-210" w:rightChars="-100"/>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2.1</w:t>
            </w:r>
          </w:p>
          <w:p w14:paraId="12962697">
            <w:pPr>
              <w:widowControl/>
              <w:adjustRightInd w:val="0"/>
              <w:snapToGrid w:val="0"/>
              <w:spacing w:line="400" w:lineRule="exact"/>
              <w:ind w:left="-210" w:leftChars="-100" w:right="-210" w:rightChars="-100"/>
              <w:jc w:val="center"/>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初步</w:t>
            </w:r>
          </w:p>
          <w:p w14:paraId="1B7E46BC">
            <w:pPr>
              <w:widowControl/>
              <w:adjustRightInd w:val="0"/>
              <w:snapToGrid w:val="0"/>
              <w:spacing w:line="400" w:lineRule="exact"/>
              <w:ind w:left="-210" w:leftChars="-100" w:right="-210" w:rightChars="-100"/>
              <w:jc w:val="center"/>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评审</w:t>
            </w:r>
          </w:p>
          <w:p w14:paraId="60AABD5C">
            <w:pPr>
              <w:widowControl/>
              <w:adjustRightInd w:val="0"/>
              <w:snapToGrid w:val="0"/>
              <w:spacing w:line="400" w:lineRule="exact"/>
              <w:ind w:left="-210" w:leftChars="-100" w:right="-210" w:rightChars="-100"/>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标准</w:t>
            </w:r>
          </w:p>
          <w:p w14:paraId="428C956A">
            <w:pPr>
              <w:widowControl/>
              <w:adjustRightInd w:val="0"/>
              <w:snapToGrid w:val="0"/>
              <w:spacing w:line="400" w:lineRule="exact"/>
              <w:ind w:left="-210" w:leftChars="-100" w:right="-210" w:rightChars="-100"/>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（第二</w:t>
            </w:r>
          </w:p>
          <w:p w14:paraId="1D715899">
            <w:pPr>
              <w:widowControl/>
              <w:adjustRightInd w:val="0"/>
              <w:snapToGrid w:val="0"/>
              <w:spacing w:line="400" w:lineRule="exact"/>
              <w:ind w:left="-210" w:leftChars="-100" w:right="-210" w:rightChars="-100"/>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个信</w:t>
            </w:r>
          </w:p>
          <w:p w14:paraId="4F3FBF78">
            <w:pPr>
              <w:widowControl/>
              <w:adjustRightInd w:val="0"/>
              <w:snapToGrid w:val="0"/>
              <w:spacing w:line="400" w:lineRule="exact"/>
              <w:ind w:left="-210" w:leftChars="-100" w:right="-210" w:rightChars="-10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封）</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27D31AEF">
            <w:pPr>
              <w:widowControl/>
              <w:adjustRightInd w:val="0"/>
              <w:snapToGrid w:val="0"/>
              <w:spacing w:line="400" w:lineRule="exact"/>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2.1.1</w:t>
            </w:r>
          </w:p>
          <w:p w14:paraId="132B4C03">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形式评审标准</w:t>
            </w:r>
          </w:p>
        </w:tc>
        <w:tc>
          <w:tcPr>
            <w:tcW w:w="2470" w:type="dxa"/>
            <w:tcBorders>
              <w:top w:val="single" w:color="auto" w:sz="4" w:space="0"/>
              <w:left w:val="single" w:color="auto" w:sz="4" w:space="0"/>
              <w:bottom w:val="single" w:color="000000" w:sz="4" w:space="0"/>
              <w:right w:val="single" w:color="000000" w:sz="4" w:space="0"/>
            </w:tcBorders>
            <w:vAlign w:val="center"/>
          </w:tcPr>
          <w:p w14:paraId="66A8728C">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1．投标文件中的重要内容按照招标文件规定的格式、内容填写，字迹、印章清晰可辨</w:t>
            </w:r>
          </w:p>
        </w:tc>
        <w:tc>
          <w:tcPr>
            <w:tcW w:w="4896" w:type="dxa"/>
            <w:tcBorders>
              <w:top w:val="single" w:color="auto" w:sz="4" w:space="0"/>
              <w:left w:val="nil"/>
              <w:bottom w:val="single" w:color="000000" w:sz="4" w:space="0"/>
              <w:right w:val="single" w:color="000000" w:sz="4" w:space="0"/>
            </w:tcBorders>
            <w:vAlign w:val="center"/>
          </w:tcPr>
          <w:p w14:paraId="307BAA5D">
            <w:pPr>
              <w:widowControl/>
              <w:adjustRightInd w:val="0"/>
              <w:snapToGrid w:val="0"/>
              <w:spacing w:line="400" w:lineRule="exact"/>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olor w:val="auto"/>
                <w:szCs w:val="21"/>
                <w:highlight w:val="none"/>
              </w:rPr>
              <w:t>投标函</w:t>
            </w:r>
            <w:r>
              <w:rPr>
                <w:rFonts w:hint="eastAsia"/>
                <w:color w:val="auto"/>
                <w:szCs w:val="21"/>
                <w:highlight w:val="none"/>
                <w:lang w:eastAsia="zh-CN"/>
              </w:rPr>
              <w:t>（</w:t>
            </w:r>
            <w:r>
              <w:rPr>
                <w:rFonts w:hint="eastAsia"/>
                <w:color w:val="auto"/>
                <w:szCs w:val="21"/>
                <w:highlight w:val="none"/>
                <w:lang w:val="en-US" w:eastAsia="zh-CN"/>
              </w:rPr>
              <w:t>第二个信封</w:t>
            </w:r>
            <w:r>
              <w:rPr>
                <w:rFonts w:hint="eastAsia"/>
                <w:color w:val="auto"/>
                <w:szCs w:val="21"/>
                <w:highlight w:val="none"/>
                <w:lang w:eastAsia="zh-CN"/>
              </w:rPr>
              <w:t>）</w:t>
            </w:r>
            <w:r>
              <w:rPr>
                <w:rFonts w:hint="eastAsia"/>
                <w:color w:val="auto"/>
                <w:szCs w:val="21"/>
                <w:highlight w:val="none"/>
              </w:rPr>
              <w:t>符合第九章“投标文件格式”要求</w:t>
            </w:r>
            <w:r>
              <w:rPr>
                <w:rFonts w:hint="eastAsia" w:eastAsiaTheme="minorEastAsia"/>
                <w:color w:val="auto"/>
                <w:szCs w:val="21"/>
                <w:highlight w:val="none"/>
                <w:lang w:eastAsia="zh-CN"/>
              </w:rPr>
              <w:t>。</w:t>
            </w:r>
          </w:p>
          <w:p w14:paraId="6763D5F7">
            <w:pPr>
              <w:widowControl/>
              <w:adjustRightInd w:val="0"/>
              <w:snapToGrid w:val="0"/>
              <w:spacing w:line="400" w:lineRule="exact"/>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2）已标价工程量清单说明与招标文件规定一致,未进行修改和删减</w:t>
            </w:r>
            <w:r>
              <w:rPr>
                <w:rFonts w:hint="eastAsia" w:cs="宋体" w:asciiTheme="minorEastAsia" w:hAnsiTheme="minorEastAsia" w:eastAsiaTheme="minorEastAsia"/>
                <w:color w:val="auto"/>
                <w:kern w:val="0"/>
                <w:szCs w:val="21"/>
                <w:highlight w:val="none"/>
                <w:lang w:eastAsia="zh-CN"/>
              </w:rPr>
              <w:t>。</w:t>
            </w:r>
          </w:p>
          <w:p w14:paraId="15A78390">
            <w:pPr>
              <w:widowControl/>
              <w:adjustRightInd w:val="0"/>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3）投标文件组成齐全完整，内容均按规定填写。</w:t>
            </w:r>
          </w:p>
        </w:tc>
      </w:tr>
      <w:tr w14:paraId="0C65ABD8">
        <w:tblPrEx>
          <w:tblCellMar>
            <w:top w:w="0" w:type="dxa"/>
            <w:left w:w="108" w:type="dxa"/>
            <w:bottom w:w="0" w:type="dxa"/>
            <w:right w:w="108" w:type="dxa"/>
          </w:tblCellMar>
        </w:tblPrEx>
        <w:trPr>
          <w:trHeight w:val="2486"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5D51FA38">
            <w:pPr>
              <w:widowControl/>
              <w:adjustRightInd w:val="0"/>
              <w:snapToGrid w:val="0"/>
              <w:spacing w:line="400" w:lineRule="exact"/>
              <w:jc w:val="center"/>
              <w:rPr>
                <w:rFonts w:cs="宋体" w:asciiTheme="minorEastAsia" w:hAnsiTheme="minorEastAsia" w:eastAsiaTheme="minorEastAsia"/>
                <w:b/>
                <w:bCs/>
                <w:color w:val="auto"/>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131B8702">
            <w:pPr>
              <w:widowControl/>
              <w:adjustRightInd w:val="0"/>
              <w:snapToGrid w:val="0"/>
              <w:spacing w:line="400" w:lineRule="exact"/>
              <w:jc w:val="left"/>
              <w:rPr>
                <w:rFonts w:cs="宋体" w:asciiTheme="minorEastAsia" w:hAnsiTheme="minorEastAsia" w:eastAsiaTheme="minorEastAsia"/>
                <w:b/>
                <w:bCs/>
                <w:color w:val="auto"/>
                <w:kern w:val="0"/>
                <w:szCs w:val="21"/>
                <w:highlight w:val="none"/>
              </w:rPr>
            </w:pPr>
          </w:p>
        </w:tc>
        <w:tc>
          <w:tcPr>
            <w:tcW w:w="2470" w:type="dxa"/>
            <w:tcBorders>
              <w:top w:val="single" w:color="000000" w:sz="4" w:space="0"/>
              <w:left w:val="single" w:color="auto" w:sz="4" w:space="0"/>
              <w:bottom w:val="single" w:color="auto" w:sz="4" w:space="0"/>
              <w:right w:val="single" w:color="000000" w:sz="4" w:space="0"/>
            </w:tcBorders>
            <w:vAlign w:val="center"/>
          </w:tcPr>
          <w:p w14:paraId="45976984">
            <w:pPr>
              <w:widowControl/>
              <w:adjustRightInd w:val="0"/>
              <w:snapToGrid w:val="0"/>
              <w:spacing w:line="400" w:lineRule="exact"/>
              <w:rPr>
                <w:rFonts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2．</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4896" w:type="dxa"/>
            <w:tcBorders>
              <w:top w:val="single" w:color="000000" w:sz="4" w:space="0"/>
              <w:left w:val="nil"/>
              <w:bottom w:val="single" w:color="000000" w:sz="4" w:space="0"/>
              <w:right w:val="single" w:color="000000" w:sz="4" w:space="0"/>
            </w:tcBorders>
            <w:vAlign w:val="center"/>
          </w:tcPr>
          <w:p w14:paraId="4CB863A2">
            <w:pPr>
              <w:pStyle w:val="299"/>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color w:val="auto"/>
                <w:szCs w:val="21"/>
                <w:highlight w:val="none"/>
                <w:lang w:eastAsia="zh-CN"/>
              </w:rPr>
              <w:t>（</w:t>
            </w:r>
            <w:r>
              <w:rPr>
                <w:rFonts w:hint="eastAsia"/>
                <w:color w:val="auto"/>
                <w:szCs w:val="21"/>
                <w:highlight w:val="none"/>
                <w:lang w:val="en-US" w:eastAsia="zh-CN"/>
              </w:rPr>
              <w:t>第二个信封</w:t>
            </w:r>
            <w:r>
              <w:rPr>
                <w:rFonts w:hint="eastAsia"/>
                <w:color w:val="auto"/>
                <w:szCs w:val="21"/>
                <w:highlight w:val="none"/>
                <w:lang w:eastAsia="zh-CN"/>
              </w:rPr>
              <w:t>）</w:t>
            </w:r>
            <w:r>
              <w:rPr>
                <w:rFonts w:ascii="宋体" w:hAnsi="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，投标人均应使用单位CA数字证书加盖投标人的单位电子印章；投标函</w:t>
            </w:r>
            <w:r>
              <w:rPr>
                <w:rFonts w:hint="eastAsia"/>
                <w:color w:val="auto"/>
                <w:szCs w:val="21"/>
                <w:highlight w:val="none"/>
                <w:lang w:eastAsia="zh-CN"/>
              </w:rPr>
              <w:t>（</w:t>
            </w:r>
            <w:r>
              <w:rPr>
                <w:rFonts w:hint="eastAsia"/>
                <w:color w:val="auto"/>
                <w:szCs w:val="21"/>
                <w:highlight w:val="none"/>
                <w:lang w:val="en-US" w:eastAsia="zh-CN"/>
              </w:rPr>
              <w:t>第二个信封</w:t>
            </w:r>
            <w:r>
              <w:rPr>
                <w:rFonts w:hint="eastAsia"/>
                <w:color w:val="auto"/>
                <w:szCs w:val="21"/>
                <w:highlight w:val="none"/>
                <w:lang w:eastAsia="zh-CN"/>
              </w:rPr>
              <w:t>）</w:t>
            </w:r>
            <w:r>
              <w:rPr>
                <w:rFonts w:ascii="宋体" w:hAnsi="宋体" w:cs="宋体"/>
                <w:color w:val="auto"/>
                <w:szCs w:val="21"/>
                <w:highlight w:val="none"/>
              </w:rPr>
              <w:t>中要求签字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，投标人均应使用个人CA数字证书加盖法定代表人或其委托代理人的个人电子签名章或个人电子印章。</w:t>
            </w:r>
          </w:p>
          <w:p w14:paraId="5C54C5E0">
            <w:pPr>
              <w:pStyle w:val="299"/>
              <w:adjustRightInd w:val="0"/>
              <w:snapToGrid w:val="0"/>
              <w:spacing w:line="400" w:lineRule="exact"/>
              <w:rPr>
                <w:rFonts w:ascii="宋体" w:hAnsi="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以</w:t>
            </w:r>
            <w:r>
              <w:rPr>
                <w:rFonts w:hint="eastAsia" w:ascii="宋体" w:hAnsi="宋体"/>
                <w:color w:val="auto"/>
                <w:szCs w:val="21"/>
                <w:highlight w:val="none"/>
              </w:rPr>
              <w:t>联合体</w:t>
            </w:r>
            <w:r>
              <w:rPr>
                <w:rFonts w:hint="eastAsia" w:ascii="宋体" w:hAnsi="宋体"/>
                <w:color w:val="auto"/>
                <w:szCs w:val="21"/>
                <w:highlight w:val="none"/>
                <w:lang w:val="en-US" w:eastAsia="zh-CN"/>
              </w:rPr>
              <w:t>形式</w:t>
            </w:r>
            <w:r>
              <w:rPr>
                <w:rFonts w:hint="eastAsia" w:ascii="宋体" w:hAnsi="宋体"/>
                <w:color w:val="auto"/>
                <w:szCs w:val="21"/>
                <w:highlight w:val="none"/>
              </w:rPr>
              <w:t>投标的，投标函</w:t>
            </w:r>
            <w:r>
              <w:rPr>
                <w:rFonts w:hint="eastAsia"/>
                <w:color w:val="auto"/>
                <w:szCs w:val="21"/>
                <w:highlight w:val="none"/>
                <w:lang w:eastAsia="zh-CN"/>
              </w:rPr>
              <w:t>（</w:t>
            </w:r>
            <w:r>
              <w:rPr>
                <w:rFonts w:hint="eastAsia"/>
                <w:color w:val="auto"/>
                <w:szCs w:val="21"/>
                <w:highlight w:val="none"/>
                <w:lang w:val="en-US" w:eastAsia="zh-CN"/>
              </w:rPr>
              <w:t>第二个信封</w:t>
            </w:r>
            <w:r>
              <w:rPr>
                <w:rFonts w:hint="eastAsia"/>
                <w:color w:val="auto"/>
                <w:szCs w:val="21"/>
                <w:highlight w:val="none"/>
                <w:lang w:eastAsia="zh-CN"/>
              </w:rPr>
              <w:t>）</w:t>
            </w:r>
            <w:r>
              <w:rPr>
                <w:rFonts w:hint="eastAsia" w:ascii="宋体" w:hAnsi="宋体"/>
                <w:color w:val="auto"/>
                <w:szCs w:val="21"/>
                <w:highlight w:val="none"/>
              </w:rPr>
              <w:t>由联合体牵头人按上述</w:t>
            </w:r>
            <w:r>
              <w:rPr>
                <w:rFonts w:hint="eastAsia" w:ascii="宋体" w:hAnsi="宋体"/>
                <w:color w:val="auto"/>
                <w:szCs w:val="21"/>
                <w:highlight w:val="none"/>
                <w:lang w:val="en-US" w:eastAsia="zh-CN"/>
              </w:rPr>
              <w:t>规定</w:t>
            </w:r>
            <w:r>
              <w:rPr>
                <w:rFonts w:ascii="宋体" w:hAnsi="宋体"/>
                <w:color w:val="auto"/>
                <w:szCs w:val="21"/>
                <w:highlight w:val="none"/>
              </w:rPr>
              <w:t>完成</w:t>
            </w:r>
            <w:r>
              <w:rPr>
                <w:rFonts w:hint="eastAsia" w:ascii="宋体" w:hAnsi="宋体"/>
                <w:color w:val="auto"/>
                <w:szCs w:val="21"/>
                <w:highlight w:val="none"/>
              </w:rPr>
              <w:t>签字、盖章。</w:t>
            </w:r>
          </w:p>
        </w:tc>
      </w:tr>
      <w:tr w14:paraId="31436BFF">
        <w:tblPrEx>
          <w:tblCellMar>
            <w:top w:w="0" w:type="dxa"/>
            <w:left w:w="108" w:type="dxa"/>
            <w:bottom w:w="0" w:type="dxa"/>
            <w:right w:w="108" w:type="dxa"/>
          </w:tblCellMar>
        </w:tblPrEx>
        <w:trPr>
          <w:trHeight w:val="2203"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3A820689">
            <w:pPr>
              <w:widowControl/>
              <w:adjustRightInd w:val="0"/>
              <w:snapToGrid w:val="0"/>
              <w:spacing w:line="400" w:lineRule="exact"/>
              <w:jc w:val="center"/>
              <w:rPr>
                <w:rFonts w:cs="宋体" w:asciiTheme="minorEastAsia" w:hAnsiTheme="minorEastAsia" w:eastAsiaTheme="minorEastAsia"/>
                <w:b/>
                <w:bCs/>
                <w:color w:val="auto"/>
                <w:kern w:val="0"/>
                <w:szCs w:val="21"/>
                <w:highlight w:val="none"/>
              </w:rPr>
            </w:pPr>
          </w:p>
        </w:tc>
        <w:tc>
          <w:tcPr>
            <w:tcW w:w="820" w:type="dxa"/>
            <w:tcBorders>
              <w:top w:val="single" w:color="auto" w:sz="4" w:space="0"/>
              <w:left w:val="single" w:color="auto" w:sz="4" w:space="0"/>
              <w:bottom w:val="single" w:color="auto" w:sz="4" w:space="0"/>
              <w:right w:val="single" w:color="000000" w:sz="4" w:space="0"/>
            </w:tcBorders>
            <w:vAlign w:val="center"/>
          </w:tcPr>
          <w:p w14:paraId="7D9716DC">
            <w:pPr>
              <w:widowControl/>
              <w:adjustRightInd w:val="0"/>
              <w:snapToGrid w:val="0"/>
              <w:spacing w:line="400" w:lineRule="exact"/>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2.1.3</w:t>
            </w:r>
          </w:p>
          <w:p w14:paraId="17D7D596">
            <w:pPr>
              <w:widowControl/>
              <w:adjustRightInd w:val="0"/>
              <w:snapToGrid w:val="0"/>
              <w:spacing w:line="400" w:lineRule="exact"/>
              <w:jc w:val="center"/>
              <w:rPr>
                <w:rFonts w:cs="宋体" w:asciiTheme="minorEastAsia" w:hAnsiTheme="minorEastAsia" w:eastAsiaTheme="minorEastAsia"/>
                <w:b/>
                <w:bCs/>
                <w:color w:val="auto"/>
                <w:kern w:val="0"/>
                <w:szCs w:val="21"/>
                <w:highlight w:val="none"/>
              </w:rPr>
            </w:pPr>
            <w:r>
              <w:rPr>
                <w:rFonts w:hint="eastAsia" w:asciiTheme="minorEastAsia" w:hAnsiTheme="minorEastAsia" w:eastAsiaTheme="minorEastAsia"/>
                <w:color w:val="auto"/>
                <w:szCs w:val="21"/>
                <w:highlight w:val="none"/>
              </w:rPr>
              <w:t>响应性评审标准</w:t>
            </w:r>
          </w:p>
        </w:tc>
        <w:tc>
          <w:tcPr>
            <w:tcW w:w="2470" w:type="dxa"/>
            <w:tcBorders>
              <w:top w:val="single" w:color="000000" w:sz="4" w:space="0"/>
              <w:left w:val="single" w:color="000000" w:sz="4" w:space="0"/>
              <w:bottom w:val="single" w:color="auto" w:sz="4" w:space="0"/>
              <w:right w:val="single" w:color="000000" w:sz="4" w:space="0"/>
            </w:tcBorders>
            <w:vAlign w:val="center"/>
          </w:tcPr>
          <w:p w14:paraId="09909A11">
            <w:pPr>
              <w:widowControl/>
              <w:adjustRightInd w:val="0"/>
              <w:snapToGrid w:val="0"/>
              <w:spacing w:line="400" w:lineRule="exact"/>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1.投标文件应符合的其他规定</w:t>
            </w:r>
          </w:p>
        </w:tc>
        <w:tc>
          <w:tcPr>
            <w:tcW w:w="4896" w:type="dxa"/>
            <w:tcBorders>
              <w:top w:val="single" w:color="000000" w:sz="4" w:space="0"/>
              <w:left w:val="nil"/>
              <w:bottom w:val="single" w:color="auto" w:sz="4" w:space="0"/>
              <w:right w:val="single" w:color="000000" w:sz="4" w:space="0"/>
            </w:tcBorders>
            <w:vAlign w:val="center"/>
          </w:tcPr>
          <w:p w14:paraId="27735ADB">
            <w:pPr>
              <w:widowControl/>
              <w:adjustRightInd w:val="0"/>
              <w:snapToGrid w:val="0"/>
              <w:spacing w:line="40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1）投标报价未超过招标文件设定的最高投标限价（如有）</w:t>
            </w:r>
            <w:r>
              <w:rPr>
                <w:rFonts w:hint="eastAsia" w:asciiTheme="minorEastAsia" w:hAnsiTheme="minorEastAsia" w:eastAsiaTheme="minorEastAsia"/>
                <w:color w:val="auto"/>
                <w:szCs w:val="21"/>
                <w:highlight w:val="none"/>
                <w:lang w:eastAsia="zh-CN"/>
              </w:rPr>
              <w:t>。</w:t>
            </w:r>
          </w:p>
          <w:p w14:paraId="28B3455F">
            <w:pPr>
              <w:widowControl/>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2）投标报价的大写金额能够确定具体数值。</w:t>
            </w:r>
            <w:r>
              <w:rPr>
                <w:rStyle w:val="59"/>
                <w:rFonts w:ascii="宋体" w:hAnsi="宋体"/>
                <w:color w:val="auto"/>
                <w:szCs w:val="21"/>
                <w:highlight w:val="none"/>
              </w:rPr>
              <w:footnoteReference w:id="201"/>
            </w:r>
          </w:p>
          <w:p w14:paraId="63FE2315">
            <w:pPr>
              <w:widowControl/>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同一投标人未提交两个以上</w:t>
            </w:r>
            <w:r>
              <w:rPr>
                <w:rFonts w:ascii="宋体" w:hAnsi="宋体" w:cs="宋体"/>
                <w:color w:val="auto"/>
                <w:szCs w:val="21"/>
                <w:highlight w:val="none"/>
              </w:rPr>
              <w:t>投标报价，</w:t>
            </w:r>
            <w:r>
              <w:rPr>
                <w:rFonts w:hint="eastAsia" w:ascii="宋体" w:hAnsi="宋体" w:cs="宋体"/>
                <w:color w:val="auto"/>
                <w:szCs w:val="21"/>
                <w:highlight w:val="none"/>
              </w:rPr>
              <w:t>但招标文件要求提交备选</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方案的除外</w:t>
            </w:r>
            <w:r>
              <w:rPr>
                <w:rFonts w:hint="eastAsia" w:asciiTheme="minorEastAsia" w:hAnsiTheme="minorEastAsia" w:eastAsiaTheme="minorEastAsia"/>
                <w:color w:val="auto"/>
                <w:szCs w:val="21"/>
                <w:highlight w:val="none"/>
              </w:rPr>
              <w:t>。</w:t>
            </w:r>
          </w:p>
          <w:p w14:paraId="7DD874B9">
            <w:pPr>
              <w:pStyle w:val="299"/>
              <w:adjustRightInd w:val="0"/>
              <w:snapToGrid w:val="0"/>
              <w:spacing w:line="400" w:lineRule="exact"/>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kern w:val="0"/>
                <w:szCs w:val="21"/>
                <w:highlight w:val="none"/>
              </w:rPr>
              <w:t>若采用工程量固化清单电子方式，投标人填写完毕的工程量固化清单未对工程量固化清单电子文件中的数据、格式和运算定义进行修改。</w:t>
            </w:r>
          </w:p>
          <w:p w14:paraId="4A747796">
            <w:pPr>
              <w:pStyle w:val="299"/>
              <w:adjustRightInd w:val="0"/>
              <w:snapToGrid w:val="0"/>
              <w:spacing w:line="400" w:lineRule="exact"/>
              <w:rPr>
                <w:rFonts w:hint="eastAsia" w:asciiTheme="minorEastAsia" w:hAnsiTheme="minorEastAsia" w:eastAsiaTheme="minorEastAsia"/>
                <w:color w:val="auto"/>
                <w:kern w:val="0"/>
                <w:szCs w:val="21"/>
                <w:highlight w:val="none"/>
              </w:rPr>
            </w:pPr>
            <w:r>
              <w:rPr>
                <w:rFonts w:hint="eastAsia" w:ascii="宋体" w:hAnsi="宋体" w:eastAsia="宋体" w:cs="宋体"/>
                <w:color w:val="auto"/>
                <w:kern w:val="0"/>
                <w:szCs w:val="21"/>
                <w:highlight w:val="none"/>
              </w:rPr>
              <w:t>……</w:t>
            </w:r>
          </w:p>
        </w:tc>
      </w:tr>
      <w:tr w14:paraId="442956FC">
        <w:tblPrEx>
          <w:tblCellMar>
            <w:top w:w="0" w:type="dxa"/>
            <w:left w:w="108" w:type="dxa"/>
            <w:bottom w:w="0" w:type="dxa"/>
            <w:right w:w="108" w:type="dxa"/>
          </w:tblCellMar>
        </w:tblPrEx>
        <w:trPr>
          <w:trHeight w:val="1101" w:hRule="atLeast"/>
        </w:trPr>
        <w:tc>
          <w:tcPr>
            <w:tcW w:w="745" w:type="dxa"/>
            <w:tcBorders>
              <w:top w:val="single" w:color="auto" w:sz="4" w:space="0"/>
              <w:left w:val="single" w:color="000000" w:sz="4" w:space="0"/>
              <w:bottom w:val="single" w:color="000000" w:sz="4" w:space="0"/>
              <w:right w:val="single" w:color="000000" w:sz="4" w:space="0"/>
            </w:tcBorders>
            <w:vAlign w:val="center"/>
          </w:tcPr>
          <w:p w14:paraId="6AC3956D">
            <w:pPr>
              <w:keepNext w:val="0"/>
              <w:keepLines w:val="0"/>
              <w:pageBreakBefore w:val="0"/>
              <w:widowControl/>
              <w:kinsoku/>
              <w:wordWrap/>
              <w:overflowPunct/>
              <w:topLinePunct w:val="0"/>
              <w:autoSpaceDE/>
              <w:autoSpaceDN/>
              <w:bidi w:val="0"/>
              <w:adjustRightInd w:val="0"/>
              <w:snapToGrid w:val="0"/>
              <w:spacing w:line="380" w:lineRule="exact"/>
              <w:ind w:left="-210" w:leftChars="-100" w:right="-210" w:rightChars="-100"/>
              <w:jc w:val="center"/>
              <w:textAlignment w:val="auto"/>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2.2</w:t>
            </w:r>
          </w:p>
          <w:p w14:paraId="0DC56D76">
            <w:pPr>
              <w:keepNext w:val="0"/>
              <w:keepLines w:val="0"/>
              <w:pageBreakBefore w:val="0"/>
              <w:widowControl/>
              <w:kinsoku/>
              <w:wordWrap/>
              <w:overflowPunct/>
              <w:topLinePunct w:val="0"/>
              <w:autoSpaceDE/>
              <w:autoSpaceDN/>
              <w:bidi w:val="0"/>
              <w:adjustRightInd w:val="0"/>
              <w:snapToGrid w:val="0"/>
              <w:spacing w:line="380" w:lineRule="exact"/>
              <w:ind w:left="-210" w:leftChars="-100" w:right="-210" w:rightChars="-100"/>
              <w:jc w:val="center"/>
              <w:textAlignment w:val="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详细</w:t>
            </w:r>
          </w:p>
          <w:p w14:paraId="5CB82C2F">
            <w:pPr>
              <w:keepNext w:val="0"/>
              <w:keepLines w:val="0"/>
              <w:pageBreakBefore w:val="0"/>
              <w:widowControl/>
              <w:kinsoku/>
              <w:wordWrap/>
              <w:overflowPunct/>
              <w:topLinePunct w:val="0"/>
              <w:autoSpaceDE/>
              <w:autoSpaceDN/>
              <w:bidi w:val="0"/>
              <w:adjustRightInd w:val="0"/>
              <w:snapToGrid w:val="0"/>
              <w:spacing w:line="380" w:lineRule="exact"/>
              <w:ind w:left="-210" w:leftChars="-100" w:right="-210" w:rightChars="-100"/>
              <w:jc w:val="center"/>
              <w:textAlignment w:val="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w:t>
            </w:r>
          </w:p>
          <w:p w14:paraId="77B48C51">
            <w:pPr>
              <w:keepNext w:val="0"/>
              <w:keepLines w:val="0"/>
              <w:pageBreakBefore w:val="0"/>
              <w:widowControl/>
              <w:kinsoku/>
              <w:wordWrap/>
              <w:overflowPunct/>
              <w:topLinePunct w:val="0"/>
              <w:autoSpaceDE/>
              <w:autoSpaceDN/>
              <w:bidi w:val="0"/>
              <w:adjustRightInd w:val="0"/>
              <w:snapToGrid w:val="0"/>
              <w:spacing w:line="380" w:lineRule="exact"/>
              <w:ind w:left="-210" w:leftChars="-100" w:right="-210" w:rightChars="-100"/>
              <w:jc w:val="center"/>
              <w:textAlignment w:val="auto"/>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标准</w:t>
            </w:r>
          </w:p>
          <w:p w14:paraId="02612B7F">
            <w:pPr>
              <w:keepNext w:val="0"/>
              <w:keepLines w:val="0"/>
              <w:pageBreakBefore w:val="0"/>
              <w:widowControl/>
              <w:kinsoku/>
              <w:wordWrap/>
              <w:overflowPunct/>
              <w:topLinePunct w:val="0"/>
              <w:autoSpaceDE/>
              <w:autoSpaceDN/>
              <w:bidi w:val="0"/>
              <w:adjustRightInd w:val="0"/>
              <w:snapToGrid w:val="0"/>
              <w:spacing w:line="380" w:lineRule="exact"/>
              <w:ind w:left="-210" w:leftChars="-100" w:right="-210" w:rightChars="-100"/>
              <w:jc w:val="center"/>
              <w:textAlignment w:val="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（第二</w:t>
            </w:r>
          </w:p>
          <w:p w14:paraId="4F1EB21E">
            <w:pPr>
              <w:keepNext w:val="0"/>
              <w:keepLines w:val="0"/>
              <w:pageBreakBefore w:val="0"/>
              <w:widowControl/>
              <w:kinsoku/>
              <w:wordWrap/>
              <w:overflowPunct/>
              <w:topLinePunct w:val="0"/>
              <w:autoSpaceDE/>
              <w:autoSpaceDN/>
              <w:bidi w:val="0"/>
              <w:adjustRightInd w:val="0"/>
              <w:snapToGrid w:val="0"/>
              <w:spacing w:line="380" w:lineRule="exact"/>
              <w:ind w:left="-210" w:leftChars="-100" w:right="-210" w:rightChars="-100"/>
              <w:jc w:val="center"/>
              <w:textAlignment w:val="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个信</w:t>
            </w:r>
          </w:p>
          <w:p w14:paraId="667DAFAF">
            <w:pPr>
              <w:keepNext w:val="0"/>
              <w:keepLines w:val="0"/>
              <w:pageBreakBefore w:val="0"/>
              <w:widowControl/>
              <w:kinsoku/>
              <w:wordWrap/>
              <w:overflowPunct/>
              <w:topLinePunct w:val="0"/>
              <w:autoSpaceDE/>
              <w:autoSpaceDN/>
              <w:bidi w:val="0"/>
              <w:adjustRightInd w:val="0"/>
              <w:snapToGrid w:val="0"/>
              <w:spacing w:line="380" w:lineRule="exact"/>
              <w:ind w:left="-210" w:leftChars="-100" w:right="-210" w:rightChars="-100"/>
              <w:jc w:val="center"/>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封）</w:t>
            </w:r>
          </w:p>
        </w:tc>
        <w:tc>
          <w:tcPr>
            <w:tcW w:w="820" w:type="dxa"/>
            <w:tcBorders>
              <w:top w:val="single" w:color="auto" w:sz="4" w:space="0"/>
              <w:left w:val="nil"/>
              <w:bottom w:val="single" w:color="000000" w:sz="4" w:space="0"/>
              <w:right w:val="single" w:color="000000" w:sz="4" w:space="0"/>
            </w:tcBorders>
            <w:vAlign w:val="center"/>
          </w:tcPr>
          <w:p w14:paraId="64850D09">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评标价计算</w:t>
            </w:r>
          </w:p>
        </w:tc>
        <w:tc>
          <w:tcPr>
            <w:tcW w:w="7366" w:type="dxa"/>
            <w:gridSpan w:val="2"/>
            <w:tcBorders>
              <w:top w:val="single" w:color="auto" w:sz="4" w:space="0"/>
              <w:left w:val="nil"/>
              <w:bottom w:val="single" w:color="000000" w:sz="4" w:space="0"/>
              <w:right w:val="single" w:color="000000" w:sz="4" w:space="0"/>
            </w:tcBorders>
            <w:vAlign w:val="center"/>
          </w:tcPr>
          <w:p w14:paraId="74FD34FE">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Theme="minorEastAsia" w:hAnsiTheme="minorEastAsia" w:eastAsiaTheme="minorEastAsia"/>
                <w:color w:val="auto"/>
                <w:kern w:val="0"/>
                <w:szCs w:val="21"/>
                <w:highlight w:val="none"/>
                <w:lang w:val="en-US" w:eastAsia="zh-CN"/>
              </w:rPr>
            </w:pPr>
            <w:r>
              <w:rPr>
                <w:rFonts w:hint="eastAsia" w:asciiTheme="minorEastAsia" w:hAnsiTheme="minorEastAsia" w:eastAsiaTheme="minorEastAsia"/>
                <w:color w:val="auto"/>
                <w:kern w:val="0"/>
                <w:szCs w:val="21"/>
                <w:highlight w:val="none"/>
              </w:rPr>
              <w:t>经评审的投标价（</w:t>
            </w:r>
            <w:r>
              <w:rPr>
                <w:rFonts w:hint="eastAsia" w:asciiTheme="minorEastAsia" w:hAnsiTheme="minorEastAsia" w:eastAsiaTheme="minorEastAsia"/>
                <w:color w:val="auto"/>
                <w:szCs w:val="21"/>
                <w:highlight w:val="none"/>
              </w:rPr>
              <w:t>评标价</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w:t>
            </w:r>
            <w:r>
              <w:rPr>
                <w:rFonts w:hint="eastAsia" w:ascii="宋体" w:hAnsi="宋体" w:cs="宋体"/>
                <w:color w:val="auto"/>
                <w:szCs w:val="21"/>
                <w:highlight w:val="none"/>
                <w:u w:val="single"/>
              </w:rPr>
              <w:t>通过第一个信封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商务及技术文件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评审的投标人</w:t>
            </w:r>
            <w:r>
              <w:rPr>
                <w:rFonts w:hint="eastAsia" w:asciiTheme="minorEastAsia" w:hAnsiTheme="minorEastAsia" w:eastAsiaTheme="minorEastAsia"/>
                <w:color w:val="auto"/>
                <w:szCs w:val="21"/>
                <w:highlight w:val="none"/>
                <w:u w:val="single"/>
              </w:rPr>
              <w:t>投标函</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u w:val="single"/>
              </w:rPr>
              <w:t>第二个信封</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u w:val="single"/>
              </w:rPr>
              <w:t>中投标总报价大写金额</w:t>
            </w:r>
            <w:r>
              <w:rPr>
                <w:rFonts w:hint="eastAsia" w:asciiTheme="minorEastAsia" w:hAnsiTheme="minorEastAsia" w:eastAsiaTheme="minorEastAsia"/>
                <w:color w:val="auto"/>
                <w:szCs w:val="21"/>
                <w:highlight w:val="none"/>
                <w:lang w:val="en-US" w:eastAsia="zh-CN"/>
              </w:rPr>
              <w:t xml:space="preserve"> </w:t>
            </w:r>
            <w:r>
              <w:rPr>
                <w:rStyle w:val="59"/>
                <w:rFonts w:hint="eastAsia" w:ascii="宋体" w:hAnsi="宋体" w:cs="宋体"/>
                <w:color w:val="auto"/>
                <w:szCs w:val="21"/>
                <w:highlight w:val="none"/>
              </w:rPr>
              <w:footnoteReference w:id="202"/>
            </w:r>
          </w:p>
        </w:tc>
      </w:tr>
      <w:tr w14:paraId="07F19947">
        <w:tblPrEx>
          <w:tblCellMar>
            <w:top w:w="0" w:type="dxa"/>
            <w:left w:w="108" w:type="dxa"/>
            <w:bottom w:w="0" w:type="dxa"/>
            <w:right w:w="108" w:type="dxa"/>
          </w:tblCellMar>
        </w:tblPrEx>
        <w:trPr>
          <w:trHeight w:val="627" w:hRule="atLeast"/>
        </w:trPr>
        <w:tc>
          <w:tcPr>
            <w:tcW w:w="745" w:type="dxa"/>
            <w:tcBorders>
              <w:top w:val="single" w:color="000000" w:sz="4" w:space="0"/>
              <w:left w:val="single" w:color="000000" w:sz="4" w:space="0"/>
              <w:bottom w:val="single" w:color="auto" w:sz="4" w:space="0"/>
              <w:right w:val="single" w:color="000000" w:sz="4" w:space="0"/>
            </w:tcBorders>
            <w:vAlign w:val="center"/>
          </w:tcPr>
          <w:p w14:paraId="46D1B790">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3.1</w:t>
            </w:r>
          </w:p>
          <w:p w14:paraId="779D5FA1">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第一个信封初步评审</w:t>
            </w:r>
          </w:p>
        </w:tc>
        <w:tc>
          <w:tcPr>
            <w:tcW w:w="820" w:type="dxa"/>
            <w:tcBorders>
              <w:top w:val="single" w:color="000000" w:sz="4" w:space="0"/>
              <w:left w:val="nil"/>
              <w:bottom w:val="single" w:color="auto" w:sz="4" w:space="0"/>
              <w:right w:val="single" w:color="000000" w:sz="4" w:space="0"/>
            </w:tcBorders>
            <w:vAlign w:val="center"/>
          </w:tcPr>
          <w:p w14:paraId="6BE7EEC1">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3.1.1</w:t>
            </w:r>
          </w:p>
        </w:tc>
        <w:tc>
          <w:tcPr>
            <w:tcW w:w="7366" w:type="dxa"/>
            <w:gridSpan w:val="2"/>
            <w:tcBorders>
              <w:top w:val="single" w:color="000000" w:sz="4" w:space="0"/>
              <w:left w:val="nil"/>
              <w:bottom w:val="single" w:color="auto" w:sz="4" w:space="0"/>
              <w:right w:val="single" w:color="000000" w:sz="4" w:space="0"/>
            </w:tcBorders>
            <w:vAlign w:val="center"/>
          </w:tcPr>
          <w:p w14:paraId="7AA1877E">
            <w:pPr>
              <w:keepNext w:val="0"/>
              <w:keepLines w:val="0"/>
              <w:pageBreakBefore w:val="0"/>
              <w:widowControl/>
              <w:kinsoku/>
              <w:wordWrap/>
              <w:overflowPunct/>
              <w:topLinePunct w:val="0"/>
              <w:autoSpaceDE/>
              <w:autoSpaceDN/>
              <w:bidi w:val="0"/>
              <w:adjustRightInd w:val="0"/>
              <w:snapToGrid w:val="0"/>
              <w:spacing w:line="380" w:lineRule="exact"/>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1）评标委员会依据本章第2.1.1</w:t>
            </w:r>
            <w:r>
              <w:rPr>
                <w:rFonts w:hint="eastAsia" w:cs="宋体" w:asciiTheme="minorEastAsia" w:hAnsiTheme="minorEastAsia" w:eastAsiaTheme="minorEastAsia"/>
                <w:color w:val="auto"/>
                <w:kern w:val="0"/>
                <w:szCs w:val="21"/>
                <w:highlight w:val="none"/>
              </w:rPr>
              <w:t>项、第</w:t>
            </w:r>
            <w:r>
              <w:rPr>
                <w:rFonts w:cs="宋体" w:asciiTheme="minorEastAsia" w:hAnsiTheme="minorEastAsia" w:eastAsiaTheme="minorEastAsia"/>
                <w:color w:val="auto"/>
                <w:kern w:val="0"/>
                <w:szCs w:val="21"/>
                <w:highlight w:val="none"/>
              </w:rPr>
              <w:t>2.1.2</w:t>
            </w:r>
            <w:r>
              <w:rPr>
                <w:rFonts w:hint="eastAsia" w:cs="宋体" w:asciiTheme="minorEastAsia" w:hAnsiTheme="minorEastAsia" w:eastAsiaTheme="minorEastAsia"/>
                <w:color w:val="auto"/>
                <w:kern w:val="0"/>
                <w:szCs w:val="21"/>
                <w:highlight w:val="none"/>
              </w:rPr>
              <w:t>项、第</w:t>
            </w:r>
            <w:r>
              <w:rPr>
                <w:rFonts w:cs="宋体" w:asciiTheme="minorEastAsia" w:hAnsiTheme="minorEastAsia" w:eastAsiaTheme="minorEastAsia"/>
                <w:color w:val="auto"/>
                <w:kern w:val="0"/>
                <w:szCs w:val="21"/>
                <w:highlight w:val="none"/>
              </w:rPr>
              <w:t>2.1.3项规定的标准对投标文件第一个信封（商务及技术文件）进行初步评审。有一项不符合评审标准的，评标委员会应否决其投标。</w:t>
            </w:r>
          </w:p>
          <w:p w14:paraId="67E333E3">
            <w:pPr>
              <w:pStyle w:val="299"/>
              <w:keepNext w:val="0"/>
              <w:keepLines w:val="0"/>
              <w:pageBreakBefore w:val="0"/>
              <w:widowControl/>
              <w:kinsoku/>
              <w:wordWrap/>
              <w:overflowPunct/>
              <w:topLinePunct w:val="0"/>
              <w:autoSpaceDE/>
              <w:autoSpaceDN/>
              <w:bidi w:val="0"/>
              <w:adjustRightInd w:val="0"/>
              <w:snapToGrid w:val="0"/>
              <w:spacing w:line="380" w:lineRule="exact"/>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2）通过第一个信封</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商务</w:t>
            </w:r>
            <w:r>
              <w:rPr>
                <w:rFonts w:hint="eastAsia" w:cs="宋体" w:asciiTheme="minorEastAsia" w:hAnsiTheme="minorEastAsia" w:eastAsiaTheme="minorEastAsia"/>
                <w:color w:val="auto"/>
                <w:kern w:val="0"/>
                <w:szCs w:val="21"/>
                <w:highlight w:val="none"/>
                <w:lang w:val="en-US" w:eastAsia="zh-CN"/>
              </w:rPr>
              <w:t>及</w:t>
            </w:r>
            <w:r>
              <w:rPr>
                <w:rFonts w:cs="宋体" w:asciiTheme="minorEastAsia" w:hAnsiTheme="minorEastAsia" w:eastAsiaTheme="minorEastAsia"/>
                <w:color w:val="auto"/>
                <w:kern w:val="0"/>
                <w:szCs w:val="21"/>
                <w:highlight w:val="none"/>
              </w:rPr>
              <w:t>技术文件</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评审的投标人</w:t>
            </w:r>
            <w:r>
              <w:rPr>
                <w:rFonts w:hint="eastAsia" w:cs="宋体" w:asciiTheme="minorEastAsia" w:hAnsiTheme="minorEastAsia" w:eastAsiaTheme="minorEastAsia"/>
                <w:color w:val="auto"/>
                <w:kern w:val="0"/>
                <w:szCs w:val="21"/>
                <w:highlight w:val="none"/>
              </w:rPr>
              <w:t>仅有</w:t>
            </w:r>
            <w:r>
              <w:rPr>
                <w:rFonts w:hint="eastAsia" w:cs="宋体" w:asciiTheme="minorEastAsia" w:hAnsiTheme="minorEastAsia" w:eastAsiaTheme="minorEastAsia"/>
                <w:color w:val="auto"/>
                <w:kern w:val="0"/>
                <w:szCs w:val="21"/>
                <w:highlight w:val="none"/>
                <w:lang w:val="en-US" w:eastAsia="zh-CN"/>
              </w:rPr>
              <w:t>2家</w:t>
            </w:r>
            <w:r>
              <w:rPr>
                <w:rFonts w:cs="宋体" w:asciiTheme="minorEastAsia" w:hAnsiTheme="minorEastAsia" w:eastAsiaTheme="minorEastAsia"/>
                <w:color w:val="auto"/>
                <w:kern w:val="0"/>
                <w:szCs w:val="21"/>
                <w:highlight w:val="none"/>
              </w:rPr>
              <w:t>的，评标委员会可以否决全部投标；未否决全部投标的，评标委员会应当在评标报告中阐明理由，招标人应当按照第二章</w:t>
            </w:r>
            <w:r>
              <w:rPr>
                <w:rFonts w:hint="eastAsia" w:cs="宋体" w:asciiTheme="minorEastAsia" w:hAnsiTheme="minorEastAsia" w:eastAsiaTheme="minorEastAsia"/>
                <w:color w:val="auto"/>
                <w:kern w:val="0"/>
                <w:szCs w:val="21"/>
                <w:highlight w:val="none"/>
              </w:rPr>
              <w:t>“投标人须知”前附表</w:t>
            </w:r>
            <w:r>
              <w:rPr>
                <w:rFonts w:cs="宋体" w:asciiTheme="minorEastAsia" w:hAnsiTheme="minorEastAsia" w:eastAsiaTheme="minorEastAsia"/>
                <w:color w:val="auto"/>
                <w:kern w:val="0"/>
                <w:szCs w:val="21"/>
                <w:highlight w:val="none"/>
              </w:rPr>
              <w:t>第5.2.3项规定的程序进行第二个信封</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报价文件</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开标，但评标委员会在进行</w:t>
            </w:r>
            <w:r>
              <w:rPr>
                <w:rFonts w:hint="eastAsia" w:cs="宋体" w:asciiTheme="minorEastAsia" w:hAnsiTheme="minorEastAsia" w:eastAsiaTheme="minorEastAsia"/>
                <w:color w:val="auto"/>
                <w:kern w:val="0"/>
                <w:szCs w:val="21"/>
                <w:highlight w:val="none"/>
                <w:lang w:val="en-US" w:eastAsia="zh-CN"/>
              </w:rPr>
              <w:t>第二个信封（</w:t>
            </w:r>
            <w:r>
              <w:rPr>
                <w:rFonts w:cs="宋体" w:asciiTheme="minorEastAsia" w:hAnsiTheme="minorEastAsia" w:eastAsiaTheme="minorEastAsia"/>
                <w:color w:val="auto"/>
                <w:kern w:val="0"/>
                <w:szCs w:val="21"/>
                <w:highlight w:val="none"/>
              </w:rPr>
              <w:t>报价文件</w:t>
            </w:r>
            <w:r>
              <w:rPr>
                <w:rFonts w:hint="eastAsia" w:cs="宋体" w:asciiTheme="minorEastAsia" w:hAnsiTheme="minorEastAsia" w:eastAsiaTheme="minorEastAsia"/>
                <w:color w:val="auto"/>
                <w:kern w:val="0"/>
                <w:szCs w:val="21"/>
                <w:highlight w:val="none"/>
                <w:lang w:val="en-US" w:eastAsia="zh-CN"/>
              </w:rPr>
              <w:t>）</w:t>
            </w:r>
            <w:r>
              <w:rPr>
                <w:rFonts w:cs="宋体" w:asciiTheme="minorEastAsia" w:hAnsiTheme="minorEastAsia" w:eastAsiaTheme="minorEastAsia"/>
                <w:color w:val="auto"/>
                <w:kern w:val="0"/>
                <w:szCs w:val="21"/>
                <w:highlight w:val="none"/>
              </w:rPr>
              <w:t>评审时仍有权否决全部投标；评标委员会未在</w:t>
            </w:r>
            <w:r>
              <w:rPr>
                <w:rFonts w:hint="eastAsia" w:cs="宋体" w:asciiTheme="minorEastAsia" w:hAnsiTheme="minorEastAsia" w:eastAsiaTheme="minorEastAsia"/>
                <w:color w:val="auto"/>
                <w:kern w:val="0"/>
                <w:szCs w:val="21"/>
                <w:highlight w:val="none"/>
                <w:lang w:val="en-US" w:eastAsia="zh-CN"/>
              </w:rPr>
              <w:t>第二个信封（</w:t>
            </w:r>
            <w:r>
              <w:rPr>
                <w:rFonts w:cs="宋体" w:asciiTheme="minorEastAsia" w:hAnsiTheme="minorEastAsia" w:eastAsiaTheme="minorEastAsia"/>
                <w:color w:val="auto"/>
                <w:kern w:val="0"/>
                <w:szCs w:val="21"/>
                <w:highlight w:val="none"/>
              </w:rPr>
              <w:t>报价文件</w:t>
            </w:r>
            <w:r>
              <w:rPr>
                <w:rFonts w:hint="eastAsia" w:cs="宋体" w:asciiTheme="minorEastAsia" w:hAnsiTheme="minorEastAsia" w:eastAsiaTheme="minorEastAsia"/>
                <w:color w:val="auto"/>
                <w:kern w:val="0"/>
                <w:szCs w:val="21"/>
                <w:highlight w:val="none"/>
                <w:lang w:val="en-US" w:eastAsia="zh-CN"/>
              </w:rPr>
              <w:t>）</w:t>
            </w:r>
            <w:r>
              <w:rPr>
                <w:rFonts w:cs="宋体" w:asciiTheme="minorEastAsia" w:hAnsiTheme="minorEastAsia" w:eastAsiaTheme="minorEastAsia"/>
                <w:color w:val="auto"/>
                <w:kern w:val="0"/>
                <w:szCs w:val="21"/>
                <w:highlight w:val="none"/>
              </w:rPr>
              <w:t>评审时否决全部投标的，应当在评标报告中阐明理由并推荐中标候选人。</w:t>
            </w:r>
          </w:p>
          <w:p w14:paraId="1D34FEDE">
            <w:pPr>
              <w:keepNext w:val="0"/>
              <w:keepLines w:val="0"/>
              <w:pageBreakBefore w:val="0"/>
              <w:widowControl/>
              <w:kinsoku/>
              <w:wordWrap/>
              <w:overflowPunct/>
              <w:topLinePunct w:val="0"/>
              <w:autoSpaceDE/>
              <w:autoSpaceDN/>
              <w:bidi w:val="0"/>
              <w:adjustRightInd w:val="0"/>
              <w:snapToGrid w:val="0"/>
              <w:spacing w:line="380" w:lineRule="exact"/>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3）当通过第一个信封</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商务</w:t>
            </w:r>
            <w:r>
              <w:rPr>
                <w:rFonts w:hint="eastAsia" w:cs="宋体" w:asciiTheme="minorEastAsia" w:hAnsiTheme="minorEastAsia" w:eastAsiaTheme="minorEastAsia"/>
                <w:color w:val="auto"/>
                <w:kern w:val="0"/>
                <w:szCs w:val="21"/>
                <w:highlight w:val="none"/>
                <w:lang w:val="en-US" w:eastAsia="zh-CN"/>
              </w:rPr>
              <w:t>及</w:t>
            </w:r>
            <w:r>
              <w:rPr>
                <w:rFonts w:cs="宋体" w:asciiTheme="minorEastAsia" w:hAnsiTheme="minorEastAsia" w:eastAsiaTheme="minorEastAsia"/>
                <w:color w:val="auto"/>
                <w:kern w:val="0"/>
                <w:szCs w:val="21"/>
                <w:highlight w:val="none"/>
              </w:rPr>
              <w:t>技术文件</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评审的投标人仅有1家时，评标委员会应否决其投标。</w:t>
            </w:r>
          </w:p>
        </w:tc>
      </w:tr>
      <w:tr w14:paraId="394525C5">
        <w:tblPrEx>
          <w:tblCellMar>
            <w:top w:w="0" w:type="dxa"/>
            <w:left w:w="108" w:type="dxa"/>
            <w:bottom w:w="0" w:type="dxa"/>
            <w:right w:w="108" w:type="dxa"/>
          </w:tblCellMar>
        </w:tblPrEx>
        <w:trPr>
          <w:trHeight w:val="1051"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78FC0741">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3.3</w:t>
            </w:r>
          </w:p>
          <w:p w14:paraId="734A9DF4">
            <w:pPr>
              <w:adjustRightInd w:val="0"/>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第二个信封初步评审</w:t>
            </w:r>
          </w:p>
        </w:tc>
        <w:tc>
          <w:tcPr>
            <w:tcW w:w="820" w:type="dxa"/>
            <w:tcBorders>
              <w:top w:val="single" w:color="auto" w:sz="4" w:space="0"/>
              <w:left w:val="single" w:color="auto" w:sz="4" w:space="0"/>
              <w:bottom w:val="single" w:color="auto" w:sz="4" w:space="0"/>
              <w:right w:val="single" w:color="auto" w:sz="4" w:space="0"/>
            </w:tcBorders>
            <w:vAlign w:val="center"/>
          </w:tcPr>
          <w:p w14:paraId="5EAF8FA0">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3.3.1</w:t>
            </w: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620DC4A0">
            <w:pPr>
              <w:widowControl/>
              <w:adjustRightInd w:val="0"/>
              <w:snapToGrid w:val="0"/>
              <w:spacing w:line="400" w:lineRule="exac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评标委员会依据本章第</w:t>
            </w:r>
            <w:r>
              <w:rPr>
                <w:rFonts w:cs="宋体" w:asciiTheme="minorEastAsia" w:hAnsiTheme="minorEastAsia" w:eastAsiaTheme="minorEastAsia"/>
                <w:color w:val="auto"/>
                <w:kern w:val="0"/>
                <w:szCs w:val="21"/>
                <w:highlight w:val="none"/>
              </w:rPr>
              <w:t>2.1.1</w:t>
            </w:r>
            <w:r>
              <w:rPr>
                <w:rFonts w:hint="eastAsia" w:cs="宋体" w:asciiTheme="minorEastAsia" w:hAnsiTheme="minorEastAsia" w:eastAsiaTheme="minorEastAsia"/>
                <w:color w:val="auto"/>
                <w:kern w:val="0"/>
                <w:szCs w:val="21"/>
                <w:highlight w:val="none"/>
              </w:rPr>
              <w:t>项、第</w:t>
            </w:r>
            <w:r>
              <w:rPr>
                <w:rFonts w:cs="宋体" w:asciiTheme="minorEastAsia" w:hAnsiTheme="minorEastAsia" w:eastAsiaTheme="minorEastAsia"/>
                <w:color w:val="auto"/>
                <w:kern w:val="0"/>
                <w:szCs w:val="21"/>
                <w:highlight w:val="none"/>
              </w:rPr>
              <w:t>2.1.3项规定的评审标准对投标文件第二个信封（报价文件）进行初步评审，有一项不符合评审标准的，</w:t>
            </w:r>
            <w:r>
              <w:rPr>
                <w:rFonts w:hint="eastAsia" w:asciiTheme="minorEastAsia" w:hAnsiTheme="minorEastAsia" w:eastAsiaTheme="minorEastAsia"/>
                <w:color w:val="auto"/>
                <w:szCs w:val="21"/>
                <w:highlight w:val="none"/>
              </w:rPr>
              <w:t>评标委员会应否决其投标</w:t>
            </w:r>
            <w:r>
              <w:rPr>
                <w:rFonts w:hint="eastAsia" w:cs="宋体" w:asciiTheme="minorEastAsia" w:hAnsiTheme="minorEastAsia" w:eastAsiaTheme="minorEastAsia"/>
                <w:color w:val="auto"/>
                <w:kern w:val="0"/>
                <w:szCs w:val="21"/>
                <w:highlight w:val="none"/>
              </w:rPr>
              <w:t>。</w:t>
            </w:r>
          </w:p>
        </w:tc>
      </w:tr>
      <w:tr w14:paraId="112695C8">
        <w:tblPrEx>
          <w:tblCellMar>
            <w:top w:w="0" w:type="dxa"/>
            <w:left w:w="108" w:type="dxa"/>
            <w:bottom w:w="0" w:type="dxa"/>
            <w:right w:w="108" w:type="dxa"/>
          </w:tblCellMar>
        </w:tblPrEx>
        <w:trPr>
          <w:trHeight w:val="2508" w:hRule="atLeast"/>
        </w:trPr>
        <w:tc>
          <w:tcPr>
            <w:tcW w:w="745" w:type="dxa"/>
            <w:vMerge w:val="continue"/>
            <w:tcBorders>
              <w:top w:val="single" w:color="auto" w:sz="4" w:space="0"/>
              <w:left w:val="single" w:color="auto" w:sz="4" w:space="0"/>
              <w:right w:val="single" w:color="auto" w:sz="4" w:space="0"/>
            </w:tcBorders>
            <w:vAlign w:val="center"/>
          </w:tcPr>
          <w:p w14:paraId="5271C4E6">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820" w:type="dxa"/>
            <w:tcBorders>
              <w:top w:val="single" w:color="auto" w:sz="4" w:space="0"/>
              <w:left w:val="single" w:color="auto" w:sz="4" w:space="0"/>
              <w:bottom w:val="single" w:color="auto" w:sz="4" w:space="0"/>
              <w:right w:val="single" w:color="000000" w:sz="4" w:space="0"/>
            </w:tcBorders>
            <w:vAlign w:val="center"/>
          </w:tcPr>
          <w:p w14:paraId="363729E2">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3.3.2</w:t>
            </w:r>
          </w:p>
        </w:tc>
        <w:tc>
          <w:tcPr>
            <w:tcW w:w="7366" w:type="dxa"/>
            <w:gridSpan w:val="2"/>
            <w:tcBorders>
              <w:top w:val="single" w:color="auto" w:sz="4" w:space="0"/>
              <w:left w:val="nil"/>
              <w:bottom w:val="single" w:color="auto" w:sz="4" w:space="0"/>
              <w:right w:val="single" w:color="000000" w:sz="4" w:space="0"/>
            </w:tcBorders>
            <w:vAlign w:val="center"/>
          </w:tcPr>
          <w:p w14:paraId="62C6A214">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对投标人投标报价进行算术性修正的原则：</w:t>
            </w:r>
          </w:p>
          <w:p w14:paraId="54A53B1A">
            <w:pPr>
              <w:pStyle w:val="299"/>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方式一：</w:t>
            </w:r>
          </w:p>
          <w:p w14:paraId="21998CA4">
            <w:pPr>
              <w:keepNext w:val="0"/>
              <w:keepLines w:val="0"/>
              <w:pageBreakBefore w:val="0"/>
              <w:widowControl/>
              <w:kinsoku/>
              <w:wordWrap/>
              <w:overflowPunct/>
              <w:topLinePunct w:val="0"/>
              <w:autoSpaceDE/>
              <w:autoSpaceDN/>
              <w:bidi w:val="0"/>
              <w:adjustRightInd w:val="0"/>
              <w:snapToGrid w:val="0"/>
              <w:spacing w:line="380" w:lineRule="exact"/>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1）投标函</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第二个信封</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中</w:t>
            </w:r>
            <w:r>
              <w:rPr>
                <w:rFonts w:hint="eastAsia" w:cs="宋体" w:asciiTheme="minorEastAsia" w:hAnsiTheme="minorEastAsia" w:eastAsiaTheme="minorEastAsia"/>
                <w:color w:val="auto"/>
                <w:kern w:val="0"/>
                <w:szCs w:val="21"/>
                <w:highlight w:val="none"/>
                <w:lang w:val="en-US" w:eastAsia="zh-CN"/>
              </w:rPr>
              <w:t>投标总报价</w:t>
            </w:r>
            <w:r>
              <w:rPr>
                <w:rFonts w:cs="宋体" w:asciiTheme="minorEastAsia" w:hAnsiTheme="minorEastAsia" w:eastAsiaTheme="minorEastAsia"/>
                <w:color w:val="auto"/>
                <w:kern w:val="0"/>
                <w:szCs w:val="21"/>
                <w:highlight w:val="none"/>
              </w:rPr>
              <w:t>的大写金额与小写金额不一致的，以大写金额为准。</w:t>
            </w:r>
          </w:p>
          <w:p w14:paraId="5DFF2227">
            <w:pPr>
              <w:keepNext w:val="0"/>
              <w:keepLines w:val="0"/>
              <w:pageBreakBefore w:val="0"/>
              <w:widowControl/>
              <w:kinsoku/>
              <w:wordWrap/>
              <w:overflowPunct/>
              <w:topLinePunct w:val="0"/>
              <w:autoSpaceDE/>
              <w:autoSpaceDN/>
              <w:bidi w:val="0"/>
              <w:adjustRightInd w:val="0"/>
              <w:snapToGrid w:val="0"/>
              <w:spacing w:line="380" w:lineRule="exact"/>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2）清单汇总表投标报价金额与投标函</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第二个信封</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中的</w:t>
            </w:r>
            <w:r>
              <w:rPr>
                <w:rFonts w:hint="eastAsia" w:cs="宋体" w:asciiTheme="minorEastAsia" w:hAnsiTheme="minorEastAsia" w:eastAsiaTheme="minorEastAsia"/>
                <w:color w:val="auto"/>
                <w:kern w:val="0"/>
                <w:szCs w:val="21"/>
                <w:highlight w:val="none"/>
                <w:lang w:val="en-US" w:eastAsia="zh-CN"/>
              </w:rPr>
              <w:t>投标总报价</w:t>
            </w:r>
            <w:r>
              <w:rPr>
                <w:rFonts w:cs="宋体" w:asciiTheme="minorEastAsia" w:hAnsiTheme="minorEastAsia" w:eastAsiaTheme="minorEastAsia"/>
                <w:color w:val="auto"/>
                <w:kern w:val="0"/>
                <w:szCs w:val="21"/>
                <w:highlight w:val="none"/>
              </w:rPr>
              <w:t>大写金额不一致的，以投标函</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第二个信封</w:t>
            </w:r>
            <w:r>
              <w:rPr>
                <w:rFonts w:hint="eastAsia" w:cs="宋体" w:asciiTheme="minorEastAsia" w:hAnsiTheme="minorEastAsia" w:eastAsiaTheme="minorEastAsia"/>
                <w:color w:val="auto"/>
                <w:kern w:val="0"/>
                <w:szCs w:val="21"/>
                <w:highlight w:val="none"/>
                <w:lang w:eastAsia="zh-CN"/>
              </w:rPr>
              <w:t>）</w:t>
            </w:r>
            <w:r>
              <w:rPr>
                <w:rFonts w:cs="宋体" w:asciiTheme="minorEastAsia" w:hAnsiTheme="minorEastAsia" w:eastAsiaTheme="minorEastAsia"/>
                <w:color w:val="auto"/>
                <w:kern w:val="0"/>
                <w:szCs w:val="21"/>
                <w:highlight w:val="none"/>
              </w:rPr>
              <w:t>中</w:t>
            </w:r>
            <w:r>
              <w:rPr>
                <w:color w:val="auto"/>
                <w:highlight w:val="none"/>
              </w:rPr>
              <w:t>投标总报价</w:t>
            </w:r>
            <w:r>
              <w:rPr>
                <w:rFonts w:cs="宋体" w:asciiTheme="minorEastAsia" w:hAnsiTheme="minorEastAsia" w:eastAsiaTheme="minorEastAsia"/>
                <w:color w:val="auto"/>
                <w:kern w:val="0"/>
                <w:szCs w:val="21"/>
                <w:highlight w:val="none"/>
              </w:rPr>
              <w:t>大写金额为准。</w:t>
            </w:r>
          </w:p>
          <w:p w14:paraId="6E419F96">
            <w:pPr>
              <w:pStyle w:val="299"/>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方式二：</w:t>
            </w:r>
            <w:r>
              <w:rPr>
                <w:rStyle w:val="59"/>
                <w:rFonts w:hint="eastAsia" w:ascii="宋体" w:hAnsi="宋体" w:cs="宋体"/>
                <w:color w:val="auto"/>
                <w:kern w:val="0"/>
                <w:szCs w:val="21"/>
                <w:highlight w:val="none"/>
              </w:rPr>
              <w:footnoteReference w:id="203"/>
            </w:r>
          </w:p>
          <w:p w14:paraId="4F61627E">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cs="宋体" w:asciiTheme="minorEastAsia" w:hAnsiTheme="minorEastAsia" w:eastAsiaTheme="minorEastAsia"/>
                <w:color w:val="auto"/>
                <w:kern w:val="0"/>
                <w:szCs w:val="21"/>
                <w:highlight w:val="none"/>
              </w:rPr>
            </w:pPr>
            <w:r>
              <w:rPr>
                <w:rFonts w:hint="eastAsia" w:ascii="宋体" w:hAnsi="宋体" w:cs="宋体"/>
                <w:color w:val="auto"/>
                <w:szCs w:val="21"/>
                <w:highlight w:val="none"/>
              </w:rPr>
              <w:t>……</w:t>
            </w:r>
          </w:p>
        </w:tc>
      </w:tr>
      <w:tr w14:paraId="555069C6">
        <w:tblPrEx>
          <w:tblCellMar>
            <w:top w:w="0" w:type="dxa"/>
            <w:left w:w="108" w:type="dxa"/>
            <w:bottom w:w="0" w:type="dxa"/>
            <w:right w:w="108" w:type="dxa"/>
          </w:tblCellMar>
        </w:tblPrEx>
        <w:trPr>
          <w:trHeight w:val="1418" w:hRule="atLeast"/>
        </w:trPr>
        <w:tc>
          <w:tcPr>
            <w:tcW w:w="745" w:type="dxa"/>
            <w:vMerge w:val="continue"/>
            <w:tcBorders>
              <w:left w:val="single" w:color="auto" w:sz="4" w:space="0"/>
              <w:right w:val="single" w:color="auto" w:sz="4" w:space="0"/>
            </w:tcBorders>
            <w:vAlign w:val="center"/>
          </w:tcPr>
          <w:p w14:paraId="7AF10FE5">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1CDD906">
            <w:pPr>
              <w:widowControl/>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3.3.3</w:t>
            </w: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2FCDB203">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对投标人已标价工程量清单中的投标报价有其他错误进行修正的原则：</w:t>
            </w:r>
          </w:p>
          <w:p w14:paraId="25C79EF8">
            <w:pPr>
              <w:pStyle w:val="299"/>
              <w:spacing w:line="400" w:lineRule="exact"/>
              <w:rPr>
                <w:rFonts w:hint="eastAsia"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 方式一：</w:t>
            </w:r>
          </w:p>
          <w:p w14:paraId="1A541925">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工程量清单中的投标报价有其他错误的，评标阶段不作修正，在签订合同时以投标函</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第二个信封</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中投标总报价大写金额为准，按第二章“投标人须知”前附表第</w:t>
            </w:r>
            <w:r>
              <w:rPr>
                <w:rFonts w:cs="宋体" w:asciiTheme="minorEastAsia" w:hAnsiTheme="minorEastAsia" w:eastAsiaTheme="minorEastAsia"/>
                <w:color w:val="auto"/>
                <w:kern w:val="0"/>
                <w:szCs w:val="21"/>
                <w:highlight w:val="none"/>
              </w:rPr>
              <w:t>7.8.3项规定修正。</w:t>
            </w:r>
          </w:p>
          <w:p w14:paraId="0A02D37A">
            <w:pPr>
              <w:widowControl/>
              <w:adjustRightInd w:val="0"/>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方式二：</w:t>
            </w:r>
            <w:r>
              <w:rPr>
                <w:rStyle w:val="59"/>
                <w:rFonts w:hint="eastAsia" w:ascii="宋体" w:hAnsi="宋体" w:cs="宋体"/>
                <w:color w:val="auto"/>
                <w:kern w:val="0"/>
                <w:szCs w:val="21"/>
                <w:highlight w:val="none"/>
              </w:rPr>
              <w:footnoteReference w:id="204"/>
            </w:r>
          </w:p>
          <w:p w14:paraId="188E0802">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33D77408">
        <w:tblPrEx>
          <w:tblCellMar>
            <w:top w:w="0" w:type="dxa"/>
            <w:left w:w="108" w:type="dxa"/>
            <w:bottom w:w="0" w:type="dxa"/>
            <w:right w:w="108" w:type="dxa"/>
          </w:tblCellMar>
        </w:tblPrEx>
        <w:trPr>
          <w:trHeight w:val="439" w:hRule="atLeast"/>
        </w:trPr>
        <w:tc>
          <w:tcPr>
            <w:tcW w:w="745" w:type="dxa"/>
            <w:vMerge w:val="continue"/>
            <w:tcBorders>
              <w:left w:val="single" w:color="auto" w:sz="4" w:space="0"/>
              <w:bottom w:val="single" w:color="auto" w:sz="4" w:space="0"/>
              <w:right w:val="single" w:color="auto" w:sz="4" w:space="0"/>
            </w:tcBorders>
            <w:vAlign w:val="center"/>
          </w:tcPr>
          <w:p w14:paraId="6CCB5E7A">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1F45456">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3.3.4</w:t>
            </w: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69702AD7">
            <w:pPr>
              <w:keepNext w:val="0"/>
              <w:keepLines w:val="0"/>
              <w:pageBreakBefore w:val="0"/>
              <w:widowControl/>
              <w:kinsoku/>
              <w:wordWrap/>
              <w:overflowPunct/>
              <w:topLinePunct w:val="0"/>
              <w:autoSpaceDE/>
              <w:autoSpaceDN/>
              <w:bidi w:val="0"/>
              <w:adjustRightInd w:val="0"/>
              <w:snapToGrid w:val="0"/>
              <w:spacing w:line="380" w:lineRule="exact"/>
              <w:textAlignment w:val="auto"/>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投标人的投标报价若超过最高投标限价（如有），评标委员会应否决其投标。</w:t>
            </w:r>
          </w:p>
        </w:tc>
      </w:tr>
      <w:tr w14:paraId="0DD5A15C">
        <w:tblPrEx>
          <w:tblCellMar>
            <w:top w:w="0" w:type="dxa"/>
            <w:left w:w="108" w:type="dxa"/>
            <w:bottom w:w="0" w:type="dxa"/>
            <w:right w:w="108" w:type="dxa"/>
          </w:tblCellMar>
        </w:tblPrEx>
        <w:trPr>
          <w:trHeight w:val="1166" w:hRule="atLeast"/>
        </w:trPr>
        <w:tc>
          <w:tcPr>
            <w:tcW w:w="745" w:type="dxa"/>
            <w:vMerge w:val="restart"/>
            <w:tcBorders>
              <w:top w:val="single" w:color="auto" w:sz="4" w:space="0"/>
              <w:left w:val="single" w:color="000000" w:sz="4" w:space="0"/>
              <w:right w:val="single" w:color="000000" w:sz="4" w:space="0"/>
            </w:tcBorders>
            <w:vAlign w:val="center"/>
          </w:tcPr>
          <w:p w14:paraId="237C00CA">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3.4</w:t>
            </w:r>
          </w:p>
          <w:p w14:paraId="054D8A17">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第二个信封详细评审</w:t>
            </w:r>
          </w:p>
        </w:tc>
        <w:tc>
          <w:tcPr>
            <w:tcW w:w="820" w:type="dxa"/>
            <w:tcBorders>
              <w:top w:val="single" w:color="auto" w:sz="4" w:space="0"/>
              <w:left w:val="nil"/>
              <w:right w:val="single" w:color="000000" w:sz="4" w:space="0"/>
            </w:tcBorders>
            <w:vAlign w:val="center"/>
          </w:tcPr>
          <w:p w14:paraId="569E80E0">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3.4.1</w:t>
            </w:r>
          </w:p>
        </w:tc>
        <w:tc>
          <w:tcPr>
            <w:tcW w:w="7366" w:type="dxa"/>
            <w:gridSpan w:val="2"/>
            <w:tcBorders>
              <w:top w:val="single" w:color="auto" w:sz="4" w:space="0"/>
              <w:left w:val="nil"/>
              <w:right w:val="single" w:color="000000" w:sz="4" w:space="0"/>
            </w:tcBorders>
            <w:vAlign w:val="center"/>
          </w:tcPr>
          <w:p w14:paraId="3EC0D733">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评标委员会按本章第</w:t>
            </w:r>
            <w:r>
              <w:rPr>
                <w:rFonts w:cs="宋体" w:asciiTheme="minorEastAsia" w:hAnsiTheme="minorEastAsia" w:eastAsiaTheme="minorEastAsia"/>
                <w:color w:val="auto"/>
                <w:kern w:val="0"/>
                <w:szCs w:val="21"/>
                <w:highlight w:val="none"/>
              </w:rPr>
              <w:t>2.2款规定的量化因素和标准计算出评标价。</w:t>
            </w:r>
          </w:p>
        </w:tc>
      </w:tr>
      <w:tr w14:paraId="023B4E39">
        <w:tblPrEx>
          <w:tblCellMar>
            <w:top w:w="0" w:type="dxa"/>
            <w:left w:w="108" w:type="dxa"/>
            <w:bottom w:w="0" w:type="dxa"/>
            <w:right w:w="108" w:type="dxa"/>
          </w:tblCellMar>
        </w:tblPrEx>
        <w:trPr>
          <w:trHeight w:val="888" w:hRule="atLeast"/>
        </w:trPr>
        <w:tc>
          <w:tcPr>
            <w:tcW w:w="745" w:type="dxa"/>
            <w:vMerge w:val="continue"/>
            <w:tcBorders>
              <w:left w:val="single" w:color="000000" w:sz="4" w:space="0"/>
              <w:bottom w:val="single" w:color="auto" w:sz="4" w:space="0"/>
              <w:right w:val="single" w:color="000000" w:sz="4" w:space="0"/>
            </w:tcBorders>
            <w:vAlign w:val="center"/>
          </w:tcPr>
          <w:p w14:paraId="254066E3">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820" w:type="dxa"/>
            <w:tcBorders>
              <w:top w:val="single" w:color="000000" w:sz="4" w:space="0"/>
              <w:left w:val="nil"/>
              <w:bottom w:val="single" w:color="auto" w:sz="4" w:space="0"/>
              <w:right w:val="single" w:color="000000" w:sz="4" w:space="0"/>
            </w:tcBorders>
            <w:vAlign w:val="center"/>
          </w:tcPr>
          <w:p w14:paraId="736A943C">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3.4.2</w:t>
            </w:r>
          </w:p>
        </w:tc>
        <w:tc>
          <w:tcPr>
            <w:tcW w:w="7366" w:type="dxa"/>
            <w:gridSpan w:val="2"/>
            <w:tcBorders>
              <w:top w:val="single" w:color="000000" w:sz="4" w:space="0"/>
              <w:left w:val="nil"/>
              <w:bottom w:val="single" w:color="000000" w:sz="4" w:space="0"/>
              <w:right w:val="single" w:color="000000" w:sz="4" w:space="0"/>
            </w:tcBorders>
            <w:vAlign w:val="center"/>
          </w:tcPr>
          <w:p w14:paraId="23F899FA">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评标委员会认定投标人以低于成本报价的，其投标将予以否决。</w:t>
            </w:r>
          </w:p>
        </w:tc>
      </w:tr>
      <w:tr w14:paraId="360C7231">
        <w:tblPrEx>
          <w:tblCellMar>
            <w:top w:w="0" w:type="dxa"/>
            <w:left w:w="108" w:type="dxa"/>
            <w:bottom w:w="0" w:type="dxa"/>
            <w:right w:w="108" w:type="dxa"/>
          </w:tblCellMar>
        </w:tblPrEx>
        <w:trPr>
          <w:trHeight w:val="704"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049C708E">
            <w:pPr>
              <w:widowControl/>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3.5</w:t>
            </w:r>
          </w:p>
          <w:p w14:paraId="5172AECB">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投标文件相关信息</w:t>
            </w:r>
            <w:r>
              <w:rPr>
                <w:rFonts w:hint="eastAsia" w:asciiTheme="minorEastAsia" w:hAnsiTheme="minorEastAsia" w:eastAsiaTheme="minorEastAsia"/>
                <w:color w:val="auto"/>
                <w:szCs w:val="21"/>
                <w:highlight w:val="none"/>
                <w:lang w:val="en-US" w:eastAsia="zh-CN"/>
              </w:rPr>
              <w:t>的</w:t>
            </w:r>
            <w:r>
              <w:rPr>
                <w:rFonts w:hint="eastAsia" w:asciiTheme="minorEastAsia" w:hAnsiTheme="minorEastAsia" w:eastAsiaTheme="minorEastAsia"/>
                <w:color w:val="auto"/>
                <w:szCs w:val="21"/>
                <w:highlight w:val="none"/>
              </w:rPr>
              <w:t>核查</w:t>
            </w:r>
          </w:p>
        </w:tc>
        <w:tc>
          <w:tcPr>
            <w:tcW w:w="820" w:type="dxa"/>
            <w:tcBorders>
              <w:top w:val="single" w:color="auto" w:sz="4" w:space="0"/>
              <w:left w:val="single" w:color="auto" w:sz="4" w:space="0"/>
              <w:bottom w:val="single" w:color="auto" w:sz="4" w:space="0"/>
              <w:right w:val="single" w:color="auto" w:sz="4" w:space="0"/>
            </w:tcBorders>
            <w:vAlign w:val="center"/>
          </w:tcPr>
          <w:p w14:paraId="1BD7EB31">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3.5.1</w:t>
            </w:r>
          </w:p>
        </w:tc>
        <w:tc>
          <w:tcPr>
            <w:tcW w:w="7366" w:type="dxa"/>
            <w:gridSpan w:val="2"/>
            <w:tcBorders>
              <w:top w:val="single" w:color="000000" w:sz="4" w:space="0"/>
              <w:left w:val="single" w:color="auto" w:sz="4" w:space="0"/>
              <w:bottom w:val="single" w:color="000000" w:sz="4" w:space="0"/>
              <w:right w:val="single" w:color="000000" w:sz="4" w:space="0"/>
            </w:tcBorders>
            <w:vAlign w:val="center"/>
          </w:tcPr>
          <w:p w14:paraId="46A15538">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经核实评标委员会认定投标人</w:t>
            </w:r>
            <w:r>
              <w:rPr>
                <w:rFonts w:hint="eastAsia" w:ascii="宋体" w:hAnsi="宋体" w:cs="宋体"/>
                <w:color w:val="auto"/>
                <w:szCs w:val="21"/>
                <w:highlight w:val="none"/>
                <w:lang w:val="en-US" w:eastAsia="zh-CN"/>
              </w:rPr>
              <w:t>按招标文件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章“投标文件格式”要求</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提供的信息与</w:t>
            </w:r>
            <w:r>
              <w:rPr>
                <w:rFonts w:hint="eastAsia" w:ascii="宋体" w:hAnsi="宋体"/>
                <w:color w:val="auto"/>
                <w:szCs w:val="21"/>
                <w:highlight w:val="none"/>
              </w:rPr>
              <w:t>交通运输主管部门</w:t>
            </w:r>
            <w:r>
              <w:rPr>
                <w:rFonts w:ascii="宋体" w:hAnsi="宋体"/>
                <w:color w:val="auto"/>
                <w:szCs w:val="21"/>
                <w:highlight w:val="none"/>
              </w:rPr>
              <w:t>“</w:t>
            </w:r>
            <w:r>
              <w:rPr>
                <w:rFonts w:hint="eastAsia" w:ascii="宋体" w:hAnsi="宋体" w:cs="宋体"/>
                <w:color w:val="auto"/>
                <w:kern w:val="2"/>
                <w:sz w:val="21"/>
                <w:szCs w:val="21"/>
                <w:highlight w:val="none"/>
              </w:rPr>
              <w:t>全国公路建设市场监督管理系统</w:t>
            </w:r>
            <w:r>
              <w:rPr>
                <w:rFonts w:ascii="宋体" w:hAnsi="宋体"/>
                <w:color w:val="auto"/>
                <w:szCs w:val="21"/>
                <w:highlight w:val="none"/>
              </w:rPr>
              <w:t>”</w:t>
            </w:r>
            <w:r>
              <w:rPr>
                <w:rStyle w:val="59"/>
                <w:rFonts w:ascii="宋体" w:hAnsi="宋体"/>
                <w:color w:val="auto"/>
                <w:szCs w:val="21"/>
                <w:highlight w:val="none"/>
              </w:rPr>
              <w:footnoteReference w:id="205"/>
            </w:r>
            <w:r>
              <w:rPr>
                <w:rFonts w:hint="eastAsia" w:ascii="宋体" w:hAnsi="宋体"/>
                <w:color w:val="auto"/>
                <w:szCs w:val="21"/>
                <w:highlight w:val="none"/>
              </w:rPr>
              <w:t>以及“信用交通·四川”</w:t>
            </w:r>
            <w:r>
              <w:rPr>
                <w:rFonts w:hint="eastAsia" w:ascii="宋体" w:hAnsi="宋体"/>
                <w:color w:val="auto"/>
                <w:szCs w:val="21"/>
                <w:highlight w:val="none"/>
                <w:lang w:val="en-US" w:eastAsia="zh-CN"/>
              </w:rPr>
              <w:t>等相关网站</w:t>
            </w:r>
            <w:r>
              <w:rPr>
                <w:rFonts w:hint="eastAsia" w:ascii="宋体" w:hAnsi="宋体"/>
                <w:color w:val="auto"/>
                <w:szCs w:val="21"/>
                <w:highlight w:val="none"/>
              </w:rPr>
              <w:t>发布的信息不符</w:t>
            </w:r>
            <w:r>
              <w:rPr>
                <w:rFonts w:hint="eastAsia" w:ascii="宋体" w:hAnsi="宋体" w:cs="宋体"/>
                <w:color w:val="auto"/>
                <w:szCs w:val="21"/>
                <w:highlight w:val="none"/>
              </w:rPr>
              <w:t>，使得投标人的资格条件不符合招标文件规定的，评标委员会应否决其投标</w:t>
            </w:r>
            <w:r>
              <w:rPr>
                <w:rFonts w:hint="eastAsia" w:asciiTheme="minorEastAsia" w:hAnsiTheme="minorEastAsia" w:eastAsiaTheme="minorEastAsia"/>
                <w:color w:val="auto"/>
                <w:szCs w:val="21"/>
                <w:highlight w:val="none"/>
              </w:rPr>
              <w:t>。</w:t>
            </w:r>
          </w:p>
        </w:tc>
      </w:tr>
      <w:tr w14:paraId="3F5D6C12">
        <w:tblPrEx>
          <w:tblCellMar>
            <w:top w:w="0" w:type="dxa"/>
            <w:left w:w="108" w:type="dxa"/>
            <w:bottom w:w="0" w:type="dxa"/>
            <w:right w:w="108" w:type="dxa"/>
          </w:tblCellMar>
        </w:tblPrEx>
        <w:trPr>
          <w:trHeight w:val="208" w:hRule="atLeast"/>
        </w:trPr>
        <w:tc>
          <w:tcPr>
            <w:tcW w:w="745" w:type="dxa"/>
            <w:vMerge w:val="continue"/>
            <w:tcBorders>
              <w:top w:val="single" w:color="auto" w:sz="4" w:space="0"/>
              <w:left w:val="single" w:color="000000" w:sz="4" w:space="0"/>
              <w:bottom w:val="single" w:color="000000" w:sz="4" w:space="0"/>
              <w:right w:val="single" w:color="000000" w:sz="4" w:space="0"/>
            </w:tcBorders>
            <w:vAlign w:val="center"/>
          </w:tcPr>
          <w:p w14:paraId="53A22F91">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p>
        </w:tc>
        <w:tc>
          <w:tcPr>
            <w:tcW w:w="820" w:type="dxa"/>
            <w:tcBorders>
              <w:top w:val="single" w:color="auto" w:sz="4" w:space="0"/>
              <w:left w:val="nil"/>
              <w:bottom w:val="single" w:color="000000" w:sz="4" w:space="0"/>
              <w:right w:val="single" w:color="000000" w:sz="4" w:space="0"/>
            </w:tcBorders>
            <w:vAlign w:val="center"/>
          </w:tcPr>
          <w:p w14:paraId="21133342">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3.5.2</w:t>
            </w:r>
          </w:p>
        </w:tc>
        <w:tc>
          <w:tcPr>
            <w:tcW w:w="7366" w:type="dxa"/>
            <w:gridSpan w:val="2"/>
            <w:tcBorders>
              <w:top w:val="single" w:color="000000" w:sz="4" w:space="0"/>
              <w:left w:val="nil"/>
              <w:bottom w:val="single" w:color="000000" w:sz="4" w:space="0"/>
              <w:right w:val="single" w:color="000000" w:sz="4" w:space="0"/>
            </w:tcBorders>
            <w:vAlign w:val="center"/>
          </w:tcPr>
          <w:p w14:paraId="57AD9329">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评标委员会在评标过程中发现投标人存在</w:t>
            </w:r>
            <w:r>
              <w:rPr>
                <w:rFonts w:hint="eastAsia" w:asciiTheme="minorEastAsia" w:hAnsiTheme="minorEastAsia" w:eastAsiaTheme="minorEastAsia"/>
                <w:color w:val="auto"/>
                <w:kern w:val="0"/>
                <w:szCs w:val="21"/>
                <w:highlight w:val="none"/>
              </w:rPr>
              <w:t>串通投标、弄虚作假、行贿等违法行为的</w:t>
            </w:r>
            <w:r>
              <w:rPr>
                <w:rFonts w:hint="eastAsia" w:asciiTheme="minorEastAsia" w:hAnsiTheme="minorEastAsia" w:eastAsiaTheme="minorEastAsia"/>
                <w:color w:val="auto"/>
                <w:szCs w:val="21"/>
                <w:highlight w:val="none"/>
              </w:rPr>
              <w:t>，评标委员会应否决其投标。</w:t>
            </w:r>
          </w:p>
        </w:tc>
      </w:tr>
      <w:tr w14:paraId="49DC3FB8">
        <w:tblPrEx>
          <w:tblCellMar>
            <w:top w:w="0" w:type="dxa"/>
            <w:left w:w="108" w:type="dxa"/>
            <w:bottom w:w="0" w:type="dxa"/>
            <w:right w:w="108" w:type="dxa"/>
          </w:tblCellMar>
        </w:tblPrEx>
        <w:trPr>
          <w:trHeight w:val="377" w:hRule="atLeast"/>
        </w:trPr>
        <w:tc>
          <w:tcPr>
            <w:tcW w:w="745" w:type="dxa"/>
            <w:tcBorders>
              <w:top w:val="single" w:color="000000" w:sz="4" w:space="0"/>
              <w:left w:val="single" w:color="000000" w:sz="4" w:space="0"/>
              <w:bottom w:val="single" w:color="000000" w:sz="4" w:space="0"/>
              <w:right w:val="single" w:color="000000" w:sz="4" w:space="0"/>
            </w:tcBorders>
            <w:vAlign w:val="center"/>
          </w:tcPr>
          <w:p w14:paraId="7713CB2C">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3.6</w:t>
            </w:r>
          </w:p>
          <w:p w14:paraId="16618744">
            <w:pPr>
              <w:widowControl/>
              <w:adjustRightInd w:val="0"/>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投标文件的澄清和说明</w:t>
            </w:r>
          </w:p>
        </w:tc>
        <w:tc>
          <w:tcPr>
            <w:tcW w:w="820" w:type="dxa"/>
            <w:tcBorders>
              <w:top w:val="single" w:color="000000" w:sz="4" w:space="0"/>
              <w:left w:val="nil"/>
              <w:bottom w:val="single" w:color="000000" w:sz="4" w:space="0"/>
              <w:right w:val="single" w:color="000000" w:sz="4" w:space="0"/>
            </w:tcBorders>
            <w:vAlign w:val="center"/>
          </w:tcPr>
          <w:p w14:paraId="41743C83">
            <w:pPr>
              <w:widowControl/>
              <w:adjustRightInd w:val="0"/>
              <w:snapToGrid w:val="0"/>
              <w:spacing w:line="400" w:lineRule="exact"/>
              <w:ind w:firstLine="120"/>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3.6.1</w:t>
            </w:r>
          </w:p>
        </w:tc>
        <w:tc>
          <w:tcPr>
            <w:tcW w:w="7366" w:type="dxa"/>
            <w:gridSpan w:val="2"/>
            <w:tcBorders>
              <w:top w:val="single" w:color="000000" w:sz="4" w:space="0"/>
              <w:left w:val="nil"/>
              <w:bottom w:val="single" w:color="000000" w:sz="4" w:space="0"/>
              <w:right w:val="single" w:color="000000" w:sz="4" w:space="0"/>
            </w:tcBorders>
            <w:vAlign w:val="center"/>
          </w:tcPr>
          <w:p w14:paraId="080B00C3">
            <w:pPr>
              <w:pStyle w:val="299"/>
              <w:keepNext w:val="0"/>
              <w:keepLines w:val="0"/>
              <w:pageBreakBefore w:val="0"/>
              <w:kinsoku/>
              <w:wordWrap/>
              <w:overflowPunct/>
              <w:topLinePunct w:val="0"/>
              <w:autoSpaceDE/>
              <w:autoSpaceDN/>
              <w:bidi w:val="0"/>
              <w:adjustRightInd w:val="0"/>
              <w:snapToGrid w:val="0"/>
              <w:spacing w:line="380" w:lineRule="exact"/>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1）在评标过程中，评标委员会通过“</w:t>
            </w:r>
            <w:r>
              <w:rPr>
                <w:rFonts w:hint="eastAsia" w:cs="宋体" w:asciiTheme="minorEastAsia" w:hAnsiTheme="minorEastAsia" w:eastAsiaTheme="minorEastAsia"/>
                <w:color w:val="auto"/>
                <w:szCs w:val="21"/>
                <w:highlight w:val="none"/>
                <w:lang w:eastAsia="zh-CN"/>
              </w:rPr>
              <w:t>电子交易系统</w:t>
            </w:r>
            <w:r>
              <w:rPr>
                <w:rFonts w:cs="宋体" w:asciiTheme="minorEastAsia" w:hAnsiTheme="minorEastAsia" w:eastAsiaTheme="minorEastAsia"/>
                <w:color w:val="auto"/>
                <w:szCs w:val="21"/>
                <w:highlight w:val="none"/>
              </w:rPr>
              <w:t>”要求投标人对投标文件中含义不明确的内容、明显文字或计算错误进行澄清或说明。评标委员会不接受投标人主动提出的澄清、说明。</w:t>
            </w:r>
          </w:p>
          <w:p w14:paraId="6250A5A3">
            <w:pPr>
              <w:pStyle w:val="299"/>
              <w:keepNext w:val="0"/>
              <w:keepLines w:val="0"/>
              <w:pageBreakBefore w:val="0"/>
              <w:kinsoku/>
              <w:wordWrap/>
              <w:overflowPunct/>
              <w:topLinePunct w:val="0"/>
              <w:autoSpaceDE/>
              <w:autoSpaceDN/>
              <w:bidi w:val="0"/>
              <w:adjustRightInd w:val="0"/>
              <w:snapToGrid w:val="0"/>
              <w:spacing w:line="380" w:lineRule="exact"/>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2）投标人收到问题澄清通知后必须在规定时间内通过“</w:t>
            </w:r>
            <w:r>
              <w:rPr>
                <w:rFonts w:hint="eastAsia" w:cs="宋体" w:asciiTheme="minorEastAsia" w:hAnsiTheme="minorEastAsia" w:eastAsiaTheme="minorEastAsia"/>
                <w:color w:val="auto"/>
                <w:szCs w:val="21"/>
                <w:highlight w:val="none"/>
                <w:lang w:eastAsia="zh-CN"/>
              </w:rPr>
              <w:t>电子交易系统</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给予澄清，投标人的澄清必须加盖投标人单位电子印章或法定代表人或其委托代理人的</w:t>
            </w:r>
            <w:r>
              <w:rPr>
                <w:rFonts w:hint="eastAsia" w:cs="宋体" w:asciiTheme="minorEastAsia" w:hAnsiTheme="minorEastAsia" w:eastAsiaTheme="minorEastAsia"/>
                <w:color w:val="auto"/>
                <w:szCs w:val="21"/>
                <w:highlight w:val="none"/>
                <w:lang w:val="en-US" w:eastAsia="zh-CN"/>
              </w:rPr>
              <w:t>个人</w:t>
            </w:r>
            <w:r>
              <w:rPr>
                <w:rFonts w:hint="eastAsia" w:cs="宋体" w:asciiTheme="minorEastAsia" w:hAnsiTheme="minorEastAsia" w:eastAsiaTheme="minorEastAsia"/>
                <w:color w:val="auto"/>
                <w:szCs w:val="21"/>
                <w:highlight w:val="none"/>
              </w:rPr>
              <w:t>电子签</w:t>
            </w:r>
            <w:r>
              <w:rPr>
                <w:rFonts w:hint="eastAsia" w:cs="宋体" w:asciiTheme="minorEastAsia" w:hAnsiTheme="minorEastAsia" w:eastAsiaTheme="minorEastAsia"/>
                <w:color w:val="auto"/>
                <w:szCs w:val="21"/>
                <w:highlight w:val="none"/>
                <w:lang w:val="en-US" w:eastAsia="zh-CN"/>
              </w:rPr>
              <w:t>名</w:t>
            </w:r>
            <w:r>
              <w:rPr>
                <w:rFonts w:hint="eastAsia" w:cs="宋体" w:asciiTheme="minorEastAsia" w:hAnsiTheme="minorEastAsia" w:eastAsiaTheme="minorEastAsia"/>
                <w:color w:val="auto"/>
                <w:szCs w:val="21"/>
                <w:highlight w:val="none"/>
              </w:rPr>
              <w:t>章</w:t>
            </w:r>
            <w:r>
              <w:rPr>
                <w:rFonts w:hint="eastAsia" w:cs="宋体" w:asciiTheme="minorEastAsia" w:hAnsiTheme="minorEastAsia" w:eastAsiaTheme="minorEastAsia"/>
                <w:color w:val="auto"/>
                <w:szCs w:val="21"/>
                <w:highlight w:val="none"/>
                <w:lang w:val="en-US" w:eastAsia="zh-CN"/>
              </w:rPr>
              <w:t>或个人电子印章</w:t>
            </w:r>
            <w:r>
              <w:rPr>
                <w:rFonts w:hint="eastAsia" w:cs="宋体" w:asciiTheme="minorEastAsia" w:hAnsiTheme="minorEastAsia" w:eastAsiaTheme="minorEastAsia"/>
                <w:color w:val="auto"/>
                <w:szCs w:val="21"/>
                <w:highlight w:val="none"/>
              </w:rPr>
              <w:t>。</w:t>
            </w:r>
          </w:p>
          <w:p w14:paraId="0D9BFDC1">
            <w:pPr>
              <w:pStyle w:val="299"/>
              <w:keepNext w:val="0"/>
              <w:keepLines w:val="0"/>
              <w:pageBreakBefore w:val="0"/>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3）投标人不按评标委员会要求澄清或说明的，评标委员会应否决其投标。</w:t>
            </w:r>
          </w:p>
        </w:tc>
      </w:tr>
      <w:tr w14:paraId="0EC3B662">
        <w:tblPrEx>
          <w:tblCellMar>
            <w:top w:w="0" w:type="dxa"/>
            <w:left w:w="108" w:type="dxa"/>
            <w:bottom w:w="0" w:type="dxa"/>
            <w:right w:w="108" w:type="dxa"/>
          </w:tblCellMar>
        </w:tblPrEx>
        <w:trPr>
          <w:trHeight w:val="992" w:hRule="atLeast"/>
        </w:trPr>
        <w:tc>
          <w:tcPr>
            <w:tcW w:w="8931" w:type="dxa"/>
            <w:gridSpan w:val="4"/>
            <w:tcBorders>
              <w:top w:val="single" w:color="000000" w:sz="4" w:space="0"/>
              <w:left w:val="single" w:color="000000" w:sz="4" w:space="0"/>
              <w:bottom w:val="single" w:color="000000" w:sz="4" w:space="0"/>
              <w:right w:val="single" w:color="000000" w:sz="4" w:space="0"/>
            </w:tcBorders>
            <w:vAlign w:val="center"/>
          </w:tcPr>
          <w:p w14:paraId="59E29BC4">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需要补充的</w:t>
            </w:r>
            <w:r>
              <w:rPr>
                <w:rFonts w:cs="宋体" w:asciiTheme="minorEastAsia" w:hAnsiTheme="minorEastAsia" w:eastAsiaTheme="minorEastAsia"/>
                <w:color w:val="auto"/>
                <w:szCs w:val="21"/>
                <w:highlight w:val="none"/>
              </w:rPr>
              <w:t>其他内容：</w:t>
            </w:r>
          </w:p>
          <w:p w14:paraId="085C3C10">
            <w:pPr>
              <w:pStyle w:val="299"/>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p>
        </w:tc>
      </w:tr>
    </w:tbl>
    <w:p w14:paraId="64FFEAB8">
      <w:pPr>
        <w:widowControl/>
        <w:spacing w:line="400" w:lineRule="atLeast"/>
        <w:ind w:firstLine="240"/>
        <w:jc w:val="center"/>
        <w:rPr>
          <w:rFonts w:ascii="宋体" w:hAnsi="宋体" w:cs="宋体"/>
          <w:color w:val="auto"/>
          <w:kern w:val="0"/>
          <w:sz w:val="24"/>
          <w:highlight w:val="none"/>
        </w:rPr>
        <w:sectPr>
          <w:footnotePr>
            <w:numFmt w:val="decimalEnclosedCircleChinese"/>
            <w:numRestart w:val="eachPage"/>
          </w:footnotePr>
          <w:pgSz w:w="11900" w:h="16838"/>
          <w:pgMar w:top="1417" w:right="1417" w:bottom="1417" w:left="1701" w:header="850" w:footer="624" w:gutter="0"/>
          <w:cols w:space="0" w:num="1"/>
          <w:rtlGutter w:val="0"/>
          <w:docGrid w:linePitch="312" w:charSpace="0"/>
        </w:sectPr>
      </w:pPr>
    </w:p>
    <w:p w14:paraId="05CD5B7C">
      <w:pPr>
        <w:pStyle w:val="5"/>
        <w:adjustRightInd w:val="0"/>
        <w:snapToGrid w:val="0"/>
        <w:spacing w:before="0" w:beforeLines="0" w:after="0" w:afterLines="0" w:line="360" w:lineRule="auto"/>
        <w:jc w:val="both"/>
        <w:rPr>
          <w:rStyle w:val="128"/>
          <w:rFonts w:ascii="黑体" w:hAnsi="黑体" w:cs="黑体"/>
          <w:b/>
          <w:bCs/>
          <w:color w:val="auto"/>
          <w:kern w:val="2"/>
          <w:sz w:val="30"/>
          <w:szCs w:val="30"/>
          <w:highlight w:val="none"/>
        </w:rPr>
      </w:pPr>
      <w:bookmarkStart w:id="721" w:name="_Toc53685698"/>
      <w:r>
        <w:rPr>
          <w:rStyle w:val="128"/>
          <w:rFonts w:ascii="黑体" w:hAnsi="黑体" w:cs="黑体"/>
          <w:b/>
          <w:bCs w:val="0"/>
          <w:color w:val="auto"/>
          <w:sz w:val="30"/>
          <w:szCs w:val="30"/>
          <w:highlight w:val="none"/>
        </w:rPr>
        <w:t>评标办法（经评审的最低投标价法正文）</w:t>
      </w:r>
      <w:bookmarkEnd w:id="721"/>
    </w:p>
    <w:p w14:paraId="71424D0A">
      <w:pPr>
        <w:pStyle w:val="5"/>
        <w:rPr>
          <w:rFonts w:hint="eastAsia" w:ascii="Arial" w:hAnsi="Arial"/>
          <w:b/>
          <w:color w:val="auto"/>
          <w:sz w:val="28"/>
          <w:szCs w:val="32"/>
          <w:highlight w:val="none"/>
        </w:rPr>
      </w:pPr>
      <w:bookmarkStart w:id="722" w:name="_Toc53685699"/>
      <w:r>
        <w:rPr>
          <w:rFonts w:hint="eastAsia" w:ascii="Arial" w:hAnsi="Arial"/>
          <w:b/>
          <w:color w:val="auto"/>
          <w:sz w:val="28"/>
          <w:szCs w:val="32"/>
          <w:highlight w:val="none"/>
        </w:rPr>
        <w:t>1. 评标方法</w:t>
      </w:r>
      <w:bookmarkEnd w:id="722"/>
      <w:r>
        <w:rPr>
          <w:rFonts w:hint="eastAsia" w:ascii="Arial" w:hAnsi="Arial"/>
          <w:b/>
          <w:color w:val="auto"/>
          <w:sz w:val="28"/>
          <w:szCs w:val="32"/>
          <w:highlight w:val="none"/>
        </w:rPr>
        <w:t xml:space="preserve"> </w:t>
      </w:r>
    </w:p>
    <w:p w14:paraId="0F431DEA">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本次评标采用经评审的最低投标价法。评标委员会对满足招标文件实质性要求的投标文件，根据本章第</w:t>
      </w:r>
      <w:r>
        <w:rPr>
          <w:rFonts w:ascii="宋体" w:hAnsi="宋体"/>
          <w:color w:val="auto"/>
          <w:kern w:val="0"/>
          <w:sz w:val="24"/>
          <w:highlight w:val="none"/>
        </w:rPr>
        <w:t>2.2</w:t>
      </w:r>
      <w:r>
        <w:rPr>
          <w:rFonts w:hint="eastAsia" w:ascii="宋体" w:hAnsi="宋体"/>
          <w:color w:val="auto"/>
          <w:kern w:val="0"/>
          <w:sz w:val="24"/>
          <w:highlight w:val="none"/>
        </w:rPr>
        <w:t>款规定的量化因素及量化标准进行价格折算，按照经评审的投标价由低到高的顺序推荐中标候选人，或根据招标人授权直接确定中标人，但投标报价低于其成本的除外。经评审的投标价相等时，评标委员会应按照评标办法前附表规定的优先次序推荐中标候选人或确定中标人。</w:t>
      </w:r>
      <w:r>
        <w:rPr>
          <w:rFonts w:ascii="宋体" w:hAnsi="宋体"/>
          <w:color w:val="auto"/>
          <w:kern w:val="0"/>
          <w:sz w:val="24"/>
          <w:highlight w:val="none"/>
        </w:rPr>
        <w:t xml:space="preserve"> </w:t>
      </w:r>
    </w:p>
    <w:p w14:paraId="46FB0DC1">
      <w:pPr>
        <w:pStyle w:val="5"/>
        <w:rPr>
          <w:rFonts w:hint="eastAsia" w:ascii="Arial" w:hAnsi="Arial"/>
          <w:b/>
          <w:color w:val="auto"/>
          <w:sz w:val="28"/>
          <w:szCs w:val="32"/>
          <w:highlight w:val="none"/>
        </w:rPr>
      </w:pPr>
      <w:bookmarkStart w:id="723" w:name="_Toc53685700"/>
      <w:r>
        <w:rPr>
          <w:rFonts w:hint="eastAsia" w:ascii="Arial" w:hAnsi="Arial"/>
          <w:b/>
          <w:color w:val="auto"/>
          <w:sz w:val="28"/>
          <w:szCs w:val="32"/>
          <w:highlight w:val="none"/>
        </w:rPr>
        <w:t>2. 评审标准</w:t>
      </w:r>
      <w:bookmarkEnd w:id="723"/>
      <w:r>
        <w:rPr>
          <w:rFonts w:hint="eastAsia" w:ascii="Arial" w:hAnsi="Arial"/>
          <w:b/>
          <w:color w:val="auto"/>
          <w:sz w:val="28"/>
          <w:szCs w:val="32"/>
          <w:highlight w:val="none"/>
        </w:rPr>
        <w:t xml:space="preserve"> </w:t>
      </w:r>
    </w:p>
    <w:p w14:paraId="4B439D9F">
      <w:pPr>
        <w:pStyle w:val="6"/>
        <w:numPr>
          <w:ilvl w:val="0"/>
          <w:numId w:val="0"/>
        </w:numPr>
        <w:spacing w:line="360" w:lineRule="auto"/>
        <w:jc w:val="both"/>
        <w:rPr>
          <w:rFonts w:ascii="Times New Roman" w:hAnsi="Times New Roman"/>
          <w:b w:val="0"/>
          <w:bCs w:val="0"/>
          <w:color w:val="auto"/>
          <w:sz w:val="28"/>
          <w:szCs w:val="32"/>
          <w:highlight w:val="none"/>
        </w:rPr>
      </w:pPr>
      <w:bookmarkStart w:id="724" w:name="_Toc53685701"/>
      <w:r>
        <w:rPr>
          <w:rFonts w:ascii="Times New Roman" w:hAnsi="Times New Roman"/>
          <w:b w:val="0"/>
          <w:bCs w:val="0"/>
          <w:color w:val="auto"/>
          <w:sz w:val="28"/>
          <w:szCs w:val="32"/>
          <w:highlight w:val="none"/>
        </w:rPr>
        <w:t xml:space="preserve">2.1 </w:t>
      </w:r>
      <w:r>
        <w:rPr>
          <w:rFonts w:hint="default" w:ascii="Times New Roman" w:hAnsi="Times New Roman"/>
          <w:b w:val="0"/>
          <w:bCs w:val="0"/>
          <w:color w:val="auto"/>
          <w:sz w:val="28"/>
          <w:szCs w:val="32"/>
          <w:highlight w:val="none"/>
        </w:rPr>
        <w:t>初步评审标准</w:t>
      </w:r>
      <w:bookmarkEnd w:id="724"/>
      <w:r>
        <w:rPr>
          <w:rFonts w:ascii="Times New Roman" w:hAnsi="Times New Roman"/>
          <w:b w:val="0"/>
          <w:bCs w:val="0"/>
          <w:color w:val="auto"/>
          <w:sz w:val="28"/>
          <w:szCs w:val="32"/>
          <w:highlight w:val="none"/>
        </w:rPr>
        <w:t xml:space="preserve"> </w:t>
      </w:r>
    </w:p>
    <w:p w14:paraId="4D07A8A9">
      <w:pPr>
        <w:widowControl w:val="0"/>
        <w:spacing w:line="360" w:lineRule="auto"/>
        <w:ind w:firstLine="480" w:firstLineChars="200"/>
        <w:rPr>
          <w:rFonts w:ascii="宋体" w:hAnsi="宋体" w:cs="宋体"/>
          <w:color w:val="auto"/>
          <w:kern w:val="0"/>
          <w:sz w:val="24"/>
          <w:highlight w:val="none"/>
        </w:rPr>
      </w:pPr>
      <w:r>
        <w:rPr>
          <w:rFonts w:ascii="宋体" w:hAnsi="宋体" w:cs="宋体"/>
          <w:bCs/>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14:paraId="483C35C6">
      <w:pPr>
        <w:widowControl w:val="0"/>
        <w:spacing w:line="360" w:lineRule="auto"/>
        <w:ind w:firstLine="480" w:firstLineChars="200"/>
        <w:rPr>
          <w:rFonts w:ascii="宋体" w:hAnsi="宋体" w:cs="宋体"/>
          <w:color w:val="auto"/>
          <w:kern w:val="0"/>
          <w:sz w:val="24"/>
          <w:highlight w:val="none"/>
        </w:rPr>
      </w:pPr>
      <w:r>
        <w:rPr>
          <w:rFonts w:ascii="宋体" w:hAnsi="宋体" w:cs="宋体"/>
          <w:bCs/>
          <w:color w:val="auto"/>
          <w:kern w:val="0"/>
          <w:sz w:val="24"/>
          <w:highlight w:val="none"/>
        </w:rPr>
        <w:t>2.1.2</w:t>
      </w:r>
      <w:r>
        <w:rPr>
          <w:rFonts w:ascii="宋体" w:hAnsi="宋体" w:cs="宋体"/>
          <w:color w:val="auto"/>
          <w:kern w:val="0"/>
          <w:sz w:val="24"/>
          <w:highlight w:val="none"/>
        </w:rPr>
        <w:t xml:space="preserve"> 资格评审标准：见评标办法前附表。</w:t>
      </w:r>
    </w:p>
    <w:p w14:paraId="2D58B9B8">
      <w:pPr>
        <w:widowControl w:val="0"/>
        <w:spacing w:line="360" w:lineRule="auto"/>
        <w:ind w:firstLine="480" w:firstLineChars="200"/>
        <w:rPr>
          <w:rFonts w:ascii="宋体" w:hAnsi="宋体"/>
          <w:color w:val="auto"/>
          <w:kern w:val="0"/>
          <w:sz w:val="24"/>
          <w:highlight w:val="none"/>
        </w:rPr>
      </w:pPr>
      <w:r>
        <w:rPr>
          <w:rFonts w:ascii="宋体" w:hAnsi="宋体"/>
          <w:bCs/>
          <w:color w:val="auto"/>
          <w:kern w:val="0"/>
          <w:sz w:val="24"/>
          <w:highlight w:val="none"/>
        </w:rPr>
        <w:t>2.1.3</w:t>
      </w:r>
      <w:r>
        <w:rPr>
          <w:rFonts w:ascii="宋体" w:hAnsi="宋体"/>
          <w:color w:val="auto"/>
          <w:kern w:val="0"/>
          <w:sz w:val="24"/>
          <w:highlight w:val="none"/>
        </w:rPr>
        <w:t xml:space="preserve"> 响应性评审标准：见评标办法前附表。</w:t>
      </w:r>
    </w:p>
    <w:p w14:paraId="17477F5F">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725" w:name="_Toc53685702"/>
      <w:r>
        <w:rPr>
          <w:rFonts w:ascii="Times New Roman" w:hAnsi="Times New Roman"/>
          <w:b w:val="0"/>
          <w:bCs w:val="0"/>
          <w:color w:val="auto"/>
          <w:sz w:val="28"/>
          <w:szCs w:val="32"/>
          <w:highlight w:val="none"/>
        </w:rPr>
        <w:t xml:space="preserve">2.2 </w:t>
      </w:r>
      <w:r>
        <w:rPr>
          <w:rFonts w:hint="default" w:ascii="Times New Roman" w:hAnsi="Times New Roman"/>
          <w:b w:val="0"/>
          <w:bCs w:val="0"/>
          <w:color w:val="auto"/>
          <w:sz w:val="28"/>
          <w:szCs w:val="32"/>
          <w:highlight w:val="none"/>
        </w:rPr>
        <w:t>详细评审标准</w:t>
      </w:r>
      <w:bookmarkEnd w:id="725"/>
      <w:r>
        <w:rPr>
          <w:rFonts w:ascii="Times New Roman" w:hAnsi="Times New Roman"/>
          <w:b w:val="0"/>
          <w:bCs w:val="0"/>
          <w:color w:val="auto"/>
          <w:sz w:val="28"/>
          <w:szCs w:val="32"/>
          <w:highlight w:val="none"/>
        </w:rPr>
        <w:t xml:space="preserve"> </w:t>
      </w:r>
    </w:p>
    <w:p w14:paraId="3132DFAD">
      <w:pPr>
        <w:widowControl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详细评审标准：见评标办法前附表。</w:t>
      </w:r>
    </w:p>
    <w:p w14:paraId="48EB284A">
      <w:pPr>
        <w:pStyle w:val="5"/>
        <w:keepNext w:val="0"/>
        <w:keepLines w:val="0"/>
        <w:rPr>
          <w:rFonts w:hint="eastAsia" w:ascii="Arial" w:hAnsi="Arial"/>
          <w:b/>
          <w:color w:val="auto"/>
          <w:sz w:val="28"/>
          <w:szCs w:val="32"/>
          <w:highlight w:val="none"/>
        </w:rPr>
      </w:pPr>
      <w:bookmarkStart w:id="726" w:name="_Toc53685703"/>
      <w:r>
        <w:rPr>
          <w:rFonts w:hint="eastAsia" w:ascii="Arial" w:hAnsi="Arial"/>
          <w:b/>
          <w:color w:val="auto"/>
          <w:sz w:val="28"/>
          <w:szCs w:val="32"/>
          <w:highlight w:val="none"/>
        </w:rPr>
        <w:t>3. 评标程序</w:t>
      </w:r>
      <w:bookmarkEnd w:id="726"/>
      <w:r>
        <w:rPr>
          <w:rFonts w:hint="eastAsia" w:ascii="Arial" w:hAnsi="Arial"/>
          <w:b/>
          <w:color w:val="auto"/>
          <w:sz w:val="28"/>
          <w:szCs w:val="32"/>
          <w:highlight w:val="none"/>
        </w:rPr>
        <w:t xml:space="preserve"> </w:t>
      </w:r>
    </w:p>
    <w:p w14:paraId="4DFE8E6F">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727" w:name="_Toc53685704"/>
      <w:r>
        <w:rPr>
          <w:rFonts w:ascii="Times New Roman" w:hAnsi="Times New Roman"/>
          <w:b w:val="0"/>
          <w:bCs w:val="0"/>
          <w:color w:val="auto"/>
          <w:sz w:val="28"/>
          <w:szCs w:val="32"/>
          <w:highlight w:val="none"/>
        </w:rPr>
        <w:t xml:space="preserve">3.1 </w:t>
      </w:r>
      <w:r>
        <w:rPr>
          <w:rFonts w:hint="default" w:ascii="Times New Roman" w:hAnsi="Times New Roman"/>
          <w:b w:val="0"/>
          <w:bCs w:val="0"/>
          <w:color w:val="auto"/>
          <w:sz w:val="28"/>
          <w:szCs w:val="32"/>
          <w:highlight w:val="none"/>
        </w:rPr>
        <w:t>第一个信封初步评审</w:t>
      </w:r>
      <w:bookmarkEnd w:id="727"/>
      <w:r>
        <w:rPr>
          <w:rFonts w:ascii="Times New Roman" w:hAnsi="Times New Roman"/>
          <w:b w:val="0"/>
          <w:bCs w:val="0"/>
          <w:color w:val="auto"/>
          <w:sz w:val="28"/>
          <w:szCs w:val="32"/>
          <w:highlight w:val="none"/>
        </w:rPr>
        <w:t xml:space="preserve"> </w:t>
      </w:r>
    </w:p>
    <w:p w14:paraId="7E9FBB33">
      <w:pPr>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3.1.1</w:t>
      </w:r>
      <w:r>
        <w:rPr>
          <w:rFonts w:hint="eastAsia" w:ascii="宋体" w:hAnsi="宋体"/>
          <w:color w:val="auto"/>
          <w:kern w:val="0"/>
          <w:sz w:val="24"/>
          <w:highlight w:val="none"/>
        </w:rPr>
        <w:t>评标委员会依据本章第</w:t>
      </w:r>
      <w:r>
        <w:rPr>
          <w:rFonts w:ascii="宋体" w:hAnsi="宋体"/>
          <w:color w:val="auto"/>
          <w:kern w:val="0"/>
          <w:sz w:val="24"/>
          <w:highlight w:val="none"/>
        </w:rPr>
        <w:t>2.1</w:t>
      </w:r>
      <w:r>
        <w:rPr>
          <w:rFonts w:hint="eastAsia" w:ascii="宋体" w:hAnsi="宋体"/>
          <w:color w:val="auto"/>
          <w:kern w:val="0"/>
          <w:sz w:val="24"/>
          <w:highlight w:val="none"/>
        </w:rPr>
        <w:t>款规定的标准对投标文件第一个信封（商务及技术文件）进行初步评审。有一项不符合评审标准的，评标委员会应否决其投标。</w:t>
      </w:r>
      <w:r>
        <w:rPr>
          <w:rFonts w:ascii="宋体" w:hAnsi="宋体"/>
          <w:color w:val="auto"/>
          <w:kern w:val="0"/>
          <w:sz w:val="24"/>
          <w:highlight w:val="none"/>
        </w:rPr>
        <w:t xml:space="preserve"> </w:t>
      </w:r>
    </w:p>
    <w:p w14:paraId="1C05B7D8">
      <w:pPr>
        <w:pStyle w:val="6"/>
        <w:keepLines w:val="0"/>
        <w:numPr>
          <w:ilvl w:val="0"/>
          <w:numId w:val="0"/>
        </w:numPr>
        <w:spacing w:line="360" w:lineRule="auto"/>
        <w:jc w:val="both"/>
        <w:rPr>
          <w:rFonts w:ascii="Times New Roman" w:hAnsi="Times New Roman"/>
          <w:b w:val="0"/>
          <w:bCs w:val="0"/>
          <w:color w:val="auto"/>
          <w:sz w:val="28"/>
          <w:szCs w:val="32"/>
          <w:highlight w:val="none"/>
        </w:rPr>
      </w:pPr>
      <w:bookmarkStart w:id="728" w:name="_Toc53685705"/>
      <w:r>
        <w:rPr>
          <w:rFonts w:ascii="Times New Roman" w:hAnsi="Times New Roman"/>
          <w:b w:val="0"/>
          <w:bCs w:val="0"/>
          <w:color w:val="auto"/>
          <w:sz w:val="28"/>
          <w:szCs w:val="32"/>
          <w:highlight w:val="none"/>
        </w:rPr>
        <w:t xml:space="preserve">3.2 </w:t>
      </w:r>
      <w:r>
        <w:rPr>
          <w:rFonts w:hint="default" w:ascii="Times New Roman" w:hAnsi="Times New Roman"/>
          <w:b w:val="0"/>
          <w:bCs w:val="0"/>
          <w:color w:val="auto"/>
          <w:sz w:val="28"/>
          <w:szCs w:val="32"/>
          <w:highlight w:val="none"/>
        </w:rPr>
        <w:t>第二个信封开标</w:t>
      </w:r>
      <w:bookmarkEnd w:id="728"/>
      <w:r>
        <w:rPr>
          <w:rFonts w:ascii="Times New Roman" w:hAnsi="Times New Roman"/>
          <w:b w:val="0"/>
          <w:bCs w:val="0"/>
          <w:color w:val="auto"/>
          <w:sz w:val="28"/>
          <w:szCs w:val="32"/>
          <w:highlight w:val="none"/>
        </w:rPr>
        <w:t xml:space="preserve"> </w:t>
      </w:r>
    </w:p>
    <w:p w14:paraId="03E7F957">
      <w:pPr>
        <w:keepLines w:val="0"/>
        <w:widowControl w:val="0"/>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第一个信封（商务及技术文件）评审结束后，招标人将按照第二章“投标人须知”</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第</w:t>
      </w:r>
      <w:r>
        <w:rPr>
          <w:rFonts w:ascii="宋体" w:hAnsi="宋体"/>
          <w:color w:val="auto"/>
          <w:kern w:val="0"/>
          <w:sz w:val="24"/>
          <w:highlight w:val="none"/>
        </w:rPr>
        <w:t>5.1</w:t>
      </w:r>
      <w:r>
        <w:rPr>
          <w:rFonts w:hint="eastAsia" w:ascii="宋体" w:hAnsi="宋体" w:cs="宋体"/>
          <w:color w:val="auto"/>
          <w:kern w:val="0"/>
          <w:sz w:val="24"/>
          <w:highlight w:val="none"/>
        </w:rPr>
        <w:t>款规定的时间和地点对通过投标文件第一个信封（商务及技术文件）评审的投标文件第二个信封（报价文件）进行开标。</w:t>
      </w:r>
      <w:r>
        <w:rPr>
          <w:rFonts w:ascii="宋体" w:hAnsi="宋体" w:cs="宋体"/>
          <w:color w:val="auto"/>
          <w:kern w:val="0"/>
          <w:sz w:val="24"/>
          <w:highlight w:val="none"/>
        </w:rPr>
        <w:t xml:space="preserve"> </w:t>
      </w:r>
    </w:p>
    <w:p w14:paraId="3B905D37">
      <w:pPr>
        <w:pStyle w:val="6"/>
        <w:keepLines w:val="0"/>
        <w:numPr>
          <w:ilvl w:val="0"/>
          <w:numId w:val="0"/>
        </w:numPr>
        <w:spacing w:line="360" w:lineRule="auto"/>
        <w:jc w:val="both"/>
        <w:rPr>
          <w:rFonts w:ascii="Times New Roman" w:hAnsi="Times New Roman"/>
          <w:b w:val="0"/>
          <w:bCs w:val="0"/>
          <w:color w:val="auto"/>
          <w:sz w:val="28"/>
          <w:szCs w:val="32"/>
          <w:highlight w:val="none"/>
        </w:rPr>
      </w:pPr>
      <w:bookmarkStart w:id="729" w:name="_Toc53685706"/>
      <w:r>
        <w:rPr>
          <w:rFonts w:ascii="Times New Roman" w:hAnsi="Times New Roman"/>
          <w:b w:val="0"/>
          <w:bCs w:val="0"/>
          <w:color w:val="auto"/>
          <w:sz w:val="28"/>
          <w:szCs w:val="32"/>
          <w:highlight w:val="none"/>
        </w:rPr>
        <w:t xml:space="preserve">3.3 </w:t>
      </w:r>
      <w:r>
        <w:rPr>
          <w:rFonts w:hint="default" w:ascii="Times New Roman" w:hAnsi="Times New Roman"/>
          <w:b w:val="0"/>
          <w:bCs w:val="0"/>
          <w:color w:val="auto"/>
          <w:sz w:val="28"/>
          <w:szCs w:val="32"/>
          <w:highlight w:val="none"/>
        </w:rPr>
        <w:t>第二个信封初步评审</w:t>
      </w:r>
      <w:bookmarkEnd w:id="729"/>
      <w:r>
        <w:rPr>
          <w:rFonts w:ascii="Times New Roman" w:hAnsi="Times New Roman"/>
          <w:b w:val="0"/>
          <w:bCs w:val="0"/>
          <w:color w:val="auto"/>
          <w:sz w:val="28"/>
          <w:szCs w:val="32"/>
          <w:highlight w:val="none"/>
        </w:rPr>
        <w:t xml:space="preserve"> </w:t>
      </w:r>
    </w:p>
    <w:p w14:paraId="2A1CD3B3">
      <w:pPr>
        <w:keepLines w:val="0"/>
        <w:widowControl w:val="0"/>
        <w:snapToGrid w:val="0"/>
        <w:spacing w:line="360" w:lineRule="auto"/>
        <w:ind w:firstLine="420"/>
        <w:rPr>
          <w:rFonts w:ascii="宋体" w:hAnsi="宋体" w:cs="宋体"/>
          <w:color w:val="auto"/>
          <w:kern w:val="0"/>
          <w:sz w:val="24"/>
          <w:highlight w:val="none"/>
        </w:rPr>
      </w:pPr>
      <w:r>
        <w:rPr>
          <w:rFonts w:ascii="宋体" w:hAnsi="宋体"/>
          <w:color w:val="auto"/>
          <w:kern w:val="0"/>
          <w:sz w:val="24"/>
          <w:highlight w:val="none"/>
        </w:rPr>
        <w:t xml:space="preserve">3.3.1 </w:t>
      </w:r>
      <w:r>
        <w:rPr>
          <w:rFonts w:hint="eastAsia" w:ascii="宋体" w:hAnsi="宋体" w:cs="宋体"/>
          <w:color w:val="auto"/>
          <w:kern w:val="0"/>
          <w:sz w:val="24"/>
          <w:highlight w:val="none"/>
        </w:rPr>
        <w:t>评标委员会依据本章第</w:t>
      </w:r>
      <w:r>
        <w:rPr>
          <w:rFonts w:ascii="宋体" w:hAnsi="宋体"/>
          <w:color w:val="auto"/>
          <w:kern w:val="0"/>
          <w:sz w:val="24"/>
          <w:highlight w:val="none"/>
        </w:rPr>
        <w:t>2.1.1</w:t>
      </w:r>
      <w:r>
        <w:rPr>
          <w:rFonts w:hint="eastAsia" w:ascii="宋体" w:hAnsi="宋体" w:cs="宋体"/>
          <w:color w:val="auto"/>
          <w:kern w:val="0"/>
          <w:sz w:val="24"/>
          <w:highlight w:val="none"/>
        </w:rPr>
        <w:t>项、第</w:t>
      </w:r>
      <w:r>
        <w:rPr>
          <w:rFonts w:ascii="宋体" w:hAnsi="宋体"/>
          <w:color w:val="auto"/>
          <w:kern w:val="0"/>
          <w:sz w:val="24"/>
          <w:highlight w:val="none"/>
        </w:rPr>
        <w:t>2.1.3</w:t>
      </w:r>
      <w:r>
        <w:rPr>
          <w:rFonts w:hint="eastAsia" w:ascii="宋体" w:hAnsi="宋体" w:cs="宋体"/>
          <w:color w:val="auto"/>
          <w:kern w:val="0"/>
          <w:sz w:val="24"/>
          <w:highlight w:val="none"/>
        </w:rPr>
        <w:t>项规定的评审标准对投标文件第二个信封（报价文件）进行初步评审。有一项不符合评审标准的，评标委员会应否决其投标。</w:t>
      </w:r>
      <w:r>
        <w:rPr>
          <w:rFonts w:ascii="宋体" w:hAnsi="宋体" w:cs="宋体"/>
          <w:color w:val="auto"/>
          <w:kern w:val="0"/>
          <w:sz w:val="24"/>
          <w:highlight w:val="none"/>
        </w:rPr>
        <w:t xml:space="preserve"> </w:t>
      </w:r>
    </w:p>
    <w:p w14:paraId="1B1B106C">
      <w:pPr>
        <w:widowControl w:val="0"/>
        <w:snapToGrid w:val="0"/>
        <w:spacing w:line="360" w:lineRule="auto"/>
        <w:ind w:firstLine="420"/>
        <w:rPr>
          <w:rFonts w:ascii="宋体" w:hAnsi="宋体" w:cs="宋体"/>
          <w:color w:val="auto"/>
          <w:kern w:val="0"/>
          <w:sz w:val="24"/>
          <w:highlight w:val="none"/>
        </w:rPr>
      </w:pPr>
      <w:r>
        <w:rPr>
          <w:rFonts w:ascii="宋体" w:hAnsi="宋体"/>
          <w:color w:val="auto"/>
          <w:kern w:val="0"/>
          <w:sz w:val="24"/>
          <w:highlight w:val="none"/>
        </w:rPr>
        <w:t xml:space="preserve">3.3.2 </w:t>
      </w:r>
      <w:r>
        <w:rPr>
          <w:rFonts w:hint="eastAsia" w:ascii="宋体" w:hAnsi="宋体" w:cs="宋体"/>
          <w:color w:val="auto"/>
          <w:kern w:val="0"/>
          <w:sz w:val="24"/>
          <w:highlight w:val="none"/>
        </w:rPr>
        <w:t>投标报价有算术错误的，评标委员会按</w:t>
      </w:r>
      <w:r>
        <w:rPr>
          <w:rFonts w:hint="eastAsia" w:ascii="宋体" w:hAnsi="宋体"/>
          <w:color w:val="auto"/>
          <w:sz w:val="24"/>
          <w:highlight w:val="none"/>
        </w:rPr>
        <w:t>评标办法前附表</w:t>
      </w:r>
      <w:r>
        <w:rPr>
          <w:rFonts w:hint="eastAsia" w:ascii="宋体" w:hAnsi="宋体" w:cs="宋体"/>
          <w:color w:val="auto"/>
          <w:kern w:val="0"/>
          <w:sz w:val="24"/>
          <w:highlight w:val="none"/>
        </w:rPr>
        <w:t>原则对投标报价进行修正，修正的价格经投标人书面确认后具有约束力。投标人不接受修正价格的，评标委员会应否决其投标。</w:t>
      </w:r>
      <w:r>
        <w:rPr>
          <w:rFonts w:ascii="宋体" w:hAnsi="宋体" w:cs="宋体"/>
          <w:color w:val="auto"/>
          <w:kern w:val="0"/>
          <w:sz w:val="24"/>
          <w:highlight w:val="none"/>
        </w:rPr>
        <w:t xml:space="preserve"> </w:t>
      </w:r>
    </w:p>
    <w:p w14:paraId="7151D377">
      <w:pPr>
        <w:widowControl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3.3.3 </w:t>
      </w:r>
      <w:r>
        <w:rPr>
          <w:rFonts w:hint="eastAsia" w:ascii="宋体" w:hAnsi="宋体" w:cs="宋体"/>
          <w:color w:val="auto"/>
          <w:kern w:val="0"/>
          <w:sz w:val="24"/>
          <w:highlight w:val="none"/>
        </w:rPr>
        <w:t>工程量清单中的投标报价有其他错误的，评标委员会按</w:t>
      </w:r>
      <w:r>
        <w:rPr>
          <w:rFonts w:hint="eastAsia" w:ascii="宋体" w:hAnsi="宋体"/>
          <w:color w:val="auto"/>
          <w:sz w:val="24"/>
          <w:highlight w:val="none"/>
        </w:rPr>
        <w:t>评标办法前附表</w:t>
      </w:r>
      <w:r>
        <w:rPr>
          <w:rFonts w:hint="eastAsia" w:ascii="宋体" w:hAnsi="宋体" w:cs="宋体"/>
          <w:color w:val="auto"/>
          <w:kern w:val="0"/>
          <w:sz w:val="24"/>
          <w:highlight w:val="none"/>
        </w:rPr>
        <w:t>原则对投标报价进行修正，修正的价格经投标人书面确认后具有约束力。投标人不接受修正价格的，评标委员会应否决其投标。</w:t>
      </w:r>
      <w:r>
        <w:rPr>
          <w:rFonts w:ascii="宋体" w:hAnsi="宋体" w:cs="宋体"/>
          <w:color w:val="auto"/>
          <w:kern w:val="0"/>
          <w:sz w:val="24"/>
          <w:highlight w:val="none"/>
        </w:rPr>
        <w:t xml:space="preserve"> </w:t>
      </w:r>
    </w:p>
    <w:p w14:paraId="11B63C4D">
      <w:pPr>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3.3.4 </w:t>
      </w:r>
      <w:r>
        <w:rPr>
          <w:rFonts w:hint="eastAsia" w:ascii="宋体" w:hAnsi="宋体"/>
          <w:color w:val="auto"/>
          <w:kern w:val="0"/>
          <w:sz w:val="24"/>
          <w:highlight w:val="none"/>
        </w:rPr>
        <w:t>修正后的最终投标报价若超过最高投标限价（如有），评标委员会应否决其投标。</w:t>
      </w:r>
      <w:r>
        <w:rPr>
          <w:rFonts w:ascii="宋体" w:hAnsi="宋体"/>
          <w:color w:val="auto"/>
          <w:kern w:val="0"/>
          <w:sz w:val="24"/>
          <w:highlight w:val="none"/>
        </w:rPr>
        <w:t xml:space="preserve"> </w:t>
      </w:r>
    </w:p>
    <w:p w14:paraId="2BCFA382">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730" w:name="_Toc53685707"/>
      <w:r>
        <w:rPr>
          <w:rFonts w:ascii="Times New Roman" w:hAnsi="Times New Roman"/>
          <w:b w:val="0"/>
          <w:bCs w:val="0"/>
          <w:color w:val="auto"/>
          <w:sz w:val="28"/>
          <w:szCs w:val="32"/>
          <w:highlight w:val="none"/>
        </w:rPr>
        <w:t xml:space="preserve">3.4 </w:t>
      </w:r>
      <w:r>
        <w:rPr>
          <w:rFonts w:hint="default" w:ascii="Times New Roman" w:hAnsi="Times New Roman"/>
          <w:b w:val="0"/>
          <w:bCs w:val="0"/>
          <w:color w:val="auto"/>
          <w:sz w:val="28"/>
          <w:szCs w:val="32"/>
          <w:highlight w:val="none"/>
        </w:rPr>
        <w:t>第二个信封详细评审</w:t>
      </w:r>
      <w:bookmarkEnd w:id="730"/>
      <w:r>
        <w:rPr>
          <w:rFonts w:ascii="Times New Roman" w:hAnsi="Times New Roman"/>
          <w:b w:val="0"/>
          <w:bCs w:val="0"/>
          <w:color w:val="auto"/>
          <w:sz w:val="28"/>
          <w:szCs w:val="32"/>
          <w:highlight w:val="none"/>
        </w:rPr>
        <w:t xml:space="preserve"> </w:t>
      </w:r>
    </w:p>
    <w:p w14:paraId="00BE1993">
      <w:pPr>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3.4.1 </w:t>
      </w:r>
      <w:r>
        <w:rPr>
          <w:rFonts w:hint="eastAsia" w:ascii="宋体" w:hAnsi="宋体"/>
          <w:color w:val="auto"/>
          <w:kern w:val="0"/>
          <w:sz w:val="24"/>
          <w:highlight w:val="none"/>
        </w:rPr>
        <w:t>评标委员会按本章第</w:t>
      </w:r>
      <w:r>
        <w:rPr>
          <w:rFonts w:ascii="宋体" w:hAnsi="宋体"/>
          <w:color w:val="auto"/>
          <w:kern w:val="0"/>
          <w:sz w:val="24"/>
          <w:highlight w:val="none"/>
        </w:rPr>
        <w:t>2.2</w:t>
      </w:r>
      <w:r>
        <w:rPr>
          <w:rFonts w:hint="eastAsia" w:ascii="宋体" w:hAnsi="宋体"/>
          <w:color w:val="auto"/>
          <w:kern w:val="0"/>
          <w:sz w:val="24"/>
          <w:highlight w:val="none"/>
        </w:rPr>
        <w:t>款规定的量化因素和标准进行价格折算，计算出经评审的投标价（即评标价），并编制价格比较一览表。</w:t>
      </w:r>
      <w:r>
        <w:rPr>
          <w:rFonts w:ascii="宋体" w:hAnsi="宋体"/>
          <w:color w:val="auto"/>
          <w:kern w:val="0"/>
          <w:sz w:val="24"/>
          <w:highlight w:val="none"/>
        </w:rPr>
        <w:t xml:space="preserve"> </w:t>
      </w:r>
    </w:p>
    <w:p w14:paraId="2BF37E8D">
      <w:pPr>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3.4.2 </w:t>
      </w:r>
      <w:r>
        <w:rPr>
          <w:rFonts w:hint="eastAsia" w:ascii="宋体" w:hAnsi="宋体"/>
          <w:color w:val="auto"/>
          <w:kern w:val="0"/>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color w:val="auto"/>
          <w:kern w:val="0"/>
          <w:sz w:val="24"/>
          <w:highlight w:val="none"/>
        </w:rPr>
        <w:t xml:space="preserve"> </w:t>
      </w:r>
    </w:p>
    <w:p w14:paraId="7450FC6F">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731" w:name="_Toc53685708"/>
      <w:r>
        <w:rPr>
          <w:rFonts w:ascii="Times New Roman" w:hAnsi="Times New Roman"/>
          <w:b w:val="0"/>
          <w:bCs w:val="0"/>
          <w:color w:val="auto"/>
          <w:sz w:val="28"/>
          <w:szCs w:val="32"/>
          <w:highlight w:val="none"/>
        </w:rPr>
        <w:t xml:space="preserve">3.5 </w:t>
      </w:r>
      <w:r>
        <w:rPr>
          <w:rFonts w:hint="default" w:ascii="Times New Roman" w:hAnsi="Times New Roman"/>
          <w:b w:val="0"/>
          <w:bCs w:val="0"/>
          <w:color w:val="auto"/>
          <w:sz w:val="28"/>
          <w:szCs w:val="32"/>
          <w:highlight w:val="none"/>
        </w:rPr>
        <w:t>投标文件相关信息的核查</w:t>
      </w:r>
      <w:bookmarkEnd w:id="731"/>
      <w:r>
        <w:rPr>
          <w:rFonts w:ascii="Times New Roman" w:hAnsi="Times New Roman"/>
          <w:b w:val="0"/>
          <w:bCs w:val="0"/>
          <w:color w:val="auto"/>
          <w:sz w:val="28"/>
          <w:szCs w:val="32"/>
          <w:highlight w:val="none"/>
        </w:rPr>
        <w:t xml:space="preserve"> </w:t>
      </w:r>
    </w:p>
    <w:p w14:paraId="2A17B55E">
      <w:pPr>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3.5.1 </w:t>
      </w:r>
      <w:r>
        <w:rPr>
          <w:rFonts w:hint="eastAsia" w:ascii="宋体" w:hAnsi="宋体"/>
          <w:color w:val="auto"/>
          <w:kern w:val="0"/>
          <w:sz w:val="24"/>
          <w:highlight w:val="none"/>
        </w:rPr>
        <w:t>在评标过程中，评标委员会应查询交通运输主管部门“</w:t>
      </w:r>
      <w:r>
        <w:rPr>
          <w:rFonts w:hint="eastAsia" w:ascii="宋体" w:hAnsi="宋体" w:cs="Times New Roman"/>
          <w:color w:val="auto"/>
          <w:kern w:val="0"/>
          <w:sz w:val="24"/>
          <w:szCs w:val="24"/>
          <w:highlight w:val="none"/>
        </w:rPr>
        <w:t>全国公路建设市场监督管理系统</w:t>
      </w:r>
      <w:r>
        <w:rPr>
          <w:rFonts w:hint="eastAsia" w:ascii="宋体" w:hAnsi="宋体"/>
          <w:color w:val="auto"/>
          <w:kern w:val="0"/>
          <w:sz w:val="24"/>
          <w:highlight w:val="none"/>
        </w:rPr>
        <w:t>”，对投标人的资质、业绩、主要人员资历</w:t>
      </w:r>
      <w:bookmarkStart w:id="732" w:name="_Hlk98667500"/>
      <w:r>
        <w:rPr>
          <w:rFonts w:hint="eastAsia" w:ascii="宋体" w:hAnsi="宋体"/>
          <w:color w:val="auto"/>
          <w:kern w:val="0"/>
          <w:sz w:val="24"/>
          <w:highlight w:val="none"/>
        </w:rPr>
        <w:t>等信息进行核实，信用等级</w:t>
      </w:r>
      <w:r>
        <w:rPr>
          <w:rFonts w:hint="eastAsia" w:ascii="宋体" w:hAnsi="宋体"/>
          <w:color w:val="auto"/>
          <w:sz w:val="24"/>
          <w:highlight w:val="none"/>
        </w:rPr>
        <w:t>信息应以“信用交通·四川”上查询结果为准</w:t>
      </w:r>
      <w:r>
        <w:rPr>
          <w:rFonts w:hint="eastAsia" w:ascii="宋体" w:hAnsi="宋体"/>
          <w:color w:val="auto"/>
          <w:kern w:val="0"/>
          <w:sz w:val="24"/>
          <w:highlight w:val="none"/>
        </w:rPr>
        <w:t>。若投标文件</w:t>
      </w:r>
      <w:r>
        <w:rPr>
          <w:rFonts w:hint="eastAsia" w:ascii="宋体" w:hAnsi="宋体"/>
          <w:color w:val="auto"/>
          <w:kern w:val="0"/>
          <w:sz w:val="24"/>
          <w:highlight w:val="none"/>
          <w:lang w:val="en-US" w:eastAsia="zh-CN"/>
        </w:rPr>
        <w:t>提供</w:t>
      </w:r>
      <w:r>
        <w:rPr>
          <w:rFonts w:hint="eastAsia" w:ascii="宋体" w:hAnsi="宋体"/>
          <w:color w:val="auto"/>
          <w:kern w:val="0"/>
          <w:sz w:val="24"/>
          <w:highlight w:val="none"/>
        </w:rPr>
        <w:t>的信息与上述</w:t>
      </w:r>
      <w:r>
        <w:rPr>
          <w:rFonts w:ascii="宋体" w:hAnsi="宋体"/>
          <w:color w:val="auto"/>
          <w:kern w:val="0"/>
          <w:sz w:val="24"/>
          <w:highlight w:val="none"/>
        </w:rPr>
        <w:t>信息发布平台</w:t>
      </w:r>
      <w:r>
        <w:rPr>
          <w:rFonts w:hint="eastAsia" w:ascii="宋体" w:hAnsi="宋体"/>
          <w:color w:val="auto"/>
          <w:kern w:val="0"/>
          <w:sz w:val="24"/>
          <w:highlight w:val="none"/>
        </w:rPr>
        <w:t>发布的信息不符</w:t>
      </w:r>
      <w:bookmarkEnd w:id="732"/>
      <w:r>
        <w:rPr>
          <w:rFonts w:hint="eastAsia" w:ascii="宋体" w:hAnsi="宋体"/>
          <w:color w:val="auto"/>
          <w:kern w:val="0"/>
          <w:sz w:val="24"/>
          <w:highlight w:val="none"/>
        </w:rPr>
        <w:t>，使得投标人的资格条件不符合招标文件规定的，评标委员会应否决其投标。</w:t>
      </w:r>
      <w:r>
        <w:rPr>
          <w:rFonts w:ascii="宋体" w:hAnsi="宋体"/>
          <w:color w:val="auto"/>
          <w:kern w:val="0"/>
          <w:sz w:val="24"/>
          <w:highlight w:val="none"/>
        </w:rPr>
        <w:t xml:space="preserve"> </w:t>
      </w:r>
    </w:p>
    <w:p w14:paraId="46850034">
      <w:pPr>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3.5.2 </w:t>
      </w:r>
      <w:r>
        <w:rPr>
          <w:rFonts w:hint="eastAsia" w:ascii="宋体" w:hAnsi="宋体"/>
          <w:color w:val="auto"/>
          <w:kern w:val="0"/>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color w:val="auto"/>
          <w:kern w:val="0"/>
          <w:sz w:val="24"/>
          <w:highlight w:val="none"/>
        </w:rPr>
        <w:t xml:space="preserve"> </w:t>
      </w:r>
    </w:p>
    <w:p w14:paraId="58FED2C2">
      <w:pPr>
        <w:widowControl w:val="0"/>
        <w:snapToGrid w:val="0"/>
        <w:spacing w:line="360" w:lineRule="auto"/>
        <w:ind w:left="42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）有下列情形之一的，属于投标人相互串通投标：</w:t>
      </w:r>
      <w:r>
        <w:rPr>
          <w:rFonts w:ascii="宋体" w:hAnsi="宋体"/>
          <w:color w:val="auto"/>
          <w:kern w:val="0"/>
          <w:sz w:val="24"/>
          <w:highlight w:val="none"/>
        </w:rPr>
        <w:t xml:space="preserve"> </w:t>
      </w:r>
    </w:p>
    <w:p w14:paraId="7046DD1A">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投标人之间协商投标报价等投标文件的实质性内容；</w:t>
      </w:r>
      <w:r>
        <w:rPr>
          <w:rFonts w:ascii="宋体" w:hAnsi="宋体"/>
          <w:color w:val="auto"/>
          <w:kern w:val="0"/>
          <w:sz w:val="24"/>
          <w:highlight w:val="none"/>
        </w:rPr>
        <w:t xml:space="preserve"> </w:t>
      </w:r>
    </w:p>
    <w:p w14:paraId="0FB15D53">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投标人之间约定中标人；</w:t>
      </w:r>
      <w:r>
        <w:rPr>
          <w:rFonts w:ascii="宋体" w:hAnsi="宋体"/>
          <w:color w:val="auto"/>
          <w:kern w:val="0"/>
          <w:sz w:val="24"/>
          <w:highlight w:val="none"/>
        </w:rPr>
        <w:t xml:space="preserve"> </w:t>
      </w:r>
    </w:p>
    <w:p w14:paraId="099A62E9">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投标人之间约定部分投标人放弃投标或中标；</w:t>
      </w:r>
      <w:r>
        <w:rPr>
          <w:rFonts w:ascii="宋体" w:hAnsi="宋体"/>
          <w:color w:val="auto"/>
          <w:kern w:val="0"/>
          <w:sz w:val="24"/>
          <w:highlight w:val="none"/>
        </w:rPr>
        <w:t xml:space="preserve"> </w:t>
      </w:r>
    </w:p>
    <w:p w14:paraId="0AB7DDD9">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属于同一集团、协会、商会等组织成员的投标人按照该组织要求协同投标；</w:t>
      </w:r>
      <w:r>
        <w:rPr>
          <w:rFonts w:ascii="宋体" w:hAnsi="宋体"/>
          <w:color w:val="auto"/>
          <w:kern w:val="0"/>
          <w:sz w:val="24"/>
          <w:highlight w:val="none"/>
        </w:rPr>
        <w:t xml:space="preserve"> </w:t>
      </w:r>
    </w:p>
    <w:p w14:paraId="3C5BDF92">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投标人之间为谋取中标或排斥特定投标人而采取的其他联合行动。</w:t>
      </w:r>
      <w:r>
        <w:rPr>
          <w:rFonts w:ascii="宋体" w:hAnsi="宋体"/>
          <w:color w:val="auto"/>
          <w:kern w:val="0"/>
          <w:sz w:val="24"/>
          <w:highlight w:val="none"/>
        </w:rPr>
        <w:t xml:space="preserve"> </w:t>
      </w:r>
    </w:p>
    <w:p w14:paraId="36AA6CCE">
      <w:pPr>
        <w:widowControl w:val="0"/>
        <w:snapToGrid w:val="0"/>
        <w:spacing w:line="360" w:lineRule="auto"/>
        <w:ind w:left="42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）有下列情形之一的，视为投标人相互串通投标：</w:t>
      </w:r>
      <w:r>
        <w:rPr>
          <w:rFonts w:ascii="宋体" w:hAnsi="宋体"/>
          <w:color w:val="auto"/>
          <w:kern w:val="0"/>
          <w:sz w:val="24"/>
          <w:highlight w:val="none"/>
        </w:rPr>
        <w:t xml:space="preserve"> </w:t>
      </w:r>
    </w:p>
    <w:p w14:paraId="7B82293E">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不同投标人的投标文件由同一单位或个人编制；</w:t>
      </w:r>
      <w:r>
        <w:rPr>
          <w:rFonts w:ascii="宋体" w:hAnsi="宋体"/>
          <w:color w:val="auto"/>
          <w:kern w:val="0"/>
          <w:sz w:val="24"/>
          <w:highlight w:val="none"/>
        </w:rPr>
        <w:t xml:space="preserve"> </w:t>
      </w:r>
    </w:p>
    <w:p w14:paraId="458CE19A">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不同投标人委托同一单位或个人办理投标事宜；</w:t>
      </w:r>
      <w:r>
        <w:rPr>
          <w:rFonts w:ascii="宋体" w:hAnsi="宋体"/>
          <w:color w:val="auto"/>
          <w:kern w:val="0"/>
          <w:sz w:val="24"/>
          <w:highlight w:val="none"/>
        </w:rPr>
        <w:t xml:space="preserve"> </w:t>
      </w:r>
    </w:p>
    <w:p w14:paraId="464EEB9C">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不同投标人的投标文件载明的项目管理成员为同一人；</w:t>
      </w:r>
      <w:r>
        <w:rPr>
          <w:rFonts w:ascii="宋体" w:hAnsi="宋体"/>
          <w:color w:val="auto"/>
          <w:kern w:val="0"/>
          <w:sz w:val="24"/>
          <w:highlight w:val="none"/>
        </w:rPr>
        <w:t xml:space="preserve"> </w:t>
      </w:r>
    </w:p>
    <w:p w14:paraId="1014CF25">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不同投标人的投标文件异常一致或投标报价呈规律性差异；</w:t>
      </w:r>
      <w:r>
        <w:rPr>
          <w:rFonts w:ascii="宋体" w:hAnsi="宋体"/>
          <w:color w:val="auto"/>
          <w:kern w:val="0"/>
          <w:sz w:val="24"/>
          <w:highlight w:val="none"/>
        </w:rPr>
        <w:t xml:space="preserve"> </w:t>
      </w:r>
    </w:p>
    <w:p w14:paraId="08A519BD">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不同投标人的投标文件相互混装；</w:t>
      </w:r>
      <w:r>
        <w:rPr>
          <w:rFonts w:ascii="宋体" w:hAnsi="宋体"/>
          <w:color w:val="auto"/>
          <w:kern w:val="0"/>
          <w:sz w:val="24"/>
          <w:highlight w:val="none"/>
        </w:rPr>
        <w:t xml:space="preserve"> </w:t>
      </w:r>
    </w:p>
    <w:p w14:paraId="2342D0AD">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不同投标人的投标保证金从同一单位或个人的账户转出</w:t>
      </w:r>
      <w:r>
        <w:rPr>
          <w:rFonts w:hint="eastAsia" w:ascii="宋体" w:hAnsi="宋体"/>
          <w:color w:val="auto"/>
          <w:kern w:val="0"/>
          <w:sz w:val="24"/>
          <w:highlight w:val="none"/>
          <w:lang w:eastAsia="zh-CN"/>
        </w:rPr>
        <w:t>；</w:t>
      </w:r>
      <w:r>
        <w:rPr>
          <w:rFonts w:ascii="宋体" w:hAnsi="宋体"/>
          <w:color w:val="auto"/>
          <w:kern w:val="0"/>
          <w:sz w:val="24"/>
          <w:highlight w:val="none"/>
        </w:rPr>
        <w:t xml:space="preserve"> </w:t>
      </w:r>
    </w:p>
    <w:p w14:paraId="63A849FD">
      <w:pPr>
        <w:widowControl w:val="0"/>
        <w:snapToGrid w:val="0"/>
        <w:spacing w:line="360" w:lineRule="auto"/>
        <w:ind w:left="420" w:firstLine="0"/>
        <w:jc w:val="both"/>
        <w:rPr>
          <w:rFonts w:hint="eastAsia" w:ascii="宋体" w:hAnsi="宋体"/>
          <w:color w:val="auto"/>
          <w:kern w:val="0"/>
          <w:sz w:val="24"/>
          <w:highlight w:val="none"/>
        </w:rPr>
      </w:pPr>
      <w:r>
        <w:rPr>
          <w:rFonts w:hint="eastAsia" w:ascii="宋体" w:hAnsi="宋体"/>
          <w:color w:val="auto"/>
          <w:kern w:val="0"/>
          <w:sz w:val="24"/>
          <w:highlight w:val="none"/>
        </w:rPr>
        <w:t>g.对同一标段不同投标人电子投标文件的文件制作机器码或文件创建标识码相</w:t>
      </w:r>
    </w:p>
    <w:p w14:paraId="574B1B53">
      <w:pPr>
        <w:widowControl w:val="0"/>
        <w:snapToGrid w:val="0"/>
        <w:spacing w:line="360" w:lineRule="auto"/>
        <w:ind w:left="0" w:firstLine="0"/>
        <w:jc w:val="both"/>
        <w:rPr>
          <w:rFonts w:hint="eastAsia" w:ascii="宋体" w:hAnsi="宋体"/>
          <w:color w:val="auto"/>
          <w:kern w:val="0"/>
          <w:sz w:val="24"/>
          <w:highlight w:val="none"/>
        </w:rPr>
      </w:pPr>
      <w:r>
        <w:rPr>
          <w:rFonts w:hint="eastAsia" w:ascii="宋体" w:hAnsi="宋体"/>
          <w:color w:val="auto"/>
          <w:kern w:val="0"/>
          <w:sz w:val="24"/>
          <w:highlight w:val="none"/>
        </w:rPr>
        <w:t>同；</w:t>
      </w:r>
    </w:p>
    <w:p w14:paraId="1706B225">
      <w:pPr>
        <w:widowControl w:val="0"/>
        <w:snapToGrid w:val="0"/>
        <w:spacing w:line="360" w:lineRule="auto"/>
        <w:ind w:left="420" w:firstLine="0"/>
        <w:jc w:val="both"/>
        <w:rPr>
          <w:rFonts w:hint="eastAsia" w:ascii="宋体" w:hAnsi="宋体"/>
          <w:color w:val="auto"/>
          <w:kern w:val="0"/>
          <w:sz w:val="24"/>
          <w:highlight w:val="none"/>
        </w:rPr>
      </w:pPr>
      <w:r>
        <w:rPr>
          <w:rFonts w:hint="eastAsia" w:ascii="宋体" w:hAnsi="宋体"/>
          <w:color w:val="auto"/>
          <w:kern w:val="0"/>
          <w:sz w:val="24"/>
          <w:highlight w:val="none"/>
        </w:rPr>
        <w:t>h.不同投标人从同一投标单位或同一自然人的互联网协议地址上传投标文件、购</w:t>
      </w:r>
    </w:p>
    <w:p w14:paraId="4D63D1F3">
      <w:pPr>
        <w:widowControl w:val="0"/>
        <w:snapToGrid w:val="0"/>
        <w:spacing w:line="360" w:lineRule="auto"/>
        <w:ind w:left="0" w:firstLine="0"/>
        <w:jc w:val="both"/>
        <w:rPr>
          <w:rFonts w:hint="eastAsia" w:ascii="宋体" w:hAnsi="宋体"/>
          <w:color w:val="auto"/>
          <w:kern w:val="0"/>
          <w:sz w:val="24"/>
          <w:highlight w:val="none"/>
        </w:rPr>
      </w:pPr>
      <w:r>
        <w:rPr>
          <w:rFonts w:hint="eastAsia" w:ascii="宋体" w:hAnsi="宋体"/>
          <w:color w:val="auto"/>
          <w:kern w:val="0"/>
          <w:sz w:val="24"/>
          <w:highlight w:val="none"/>
        </w:rPr>
        <w:t>买电子保函或参加投标活动的人员为同一标段其他投标人的在职人员；</w:t>
      </w:r>
    </w:p>
    <w:p w14:paraId="63388028">
      <w:pPr>
        <w:widowControl w:val="0"/>
        <w:spacing w:line="360" w:lineRule="auto"/>
        <w:ind w:left="420"/>
        <w:rPr>
          <w:rFonts w:hint="eastAsia" w:ascii="宋体" w:hAnsi="宋体"/>
          <w:color w:val="auto"/>
          <w:kern w:val="0"/>
          <w:sz w:val="24"/>
          <w:highlight w:val="none"/>
        </w:rPr>
      </w:pPr>
      <w:r>
        <w:rPr>
          <w:rFonts w:hint="eastAsia" w:ascii="宋体" w:hAnsi="宋体"/>
          <w:color w:val="auto"/>
          <w:kern w:val="0"/>
          <w:sz w:val="24"/>
          <w:highlight w:val="none"/>
        </w:rPr>
        <w:t>j.不同投标人通过同一单位或者个人账户购买电子保函的。</w:t>
      </w:r>
    </w:p>
    <w:p w14:paraId="478A7239">
      <w:pPr>
        <w:widowControl w:val="0"/>
        <w:spacing w:line="360" w:lineRule="auto"/>
        <w:ind w:left="42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w:t>
      </w:r>
      <w:r>
        <w:rPr>
          <w:rFonts w:hint="eastAsia" w:ascii="宋体" w:hAnsi="宋体"/>
          <w:color w:val="auto"/>
          <w:kern w:val="0"/>
          <w:sz w:val="24"/>
          <w:highlight w:val="none"/>
        </w:rPr>
        <w:t>）有下列情形之一的，属于招标人与投标人串通投标：</w:t>
      </w:r>
    </w:p>
    <w:p w14:paraId="1CDCF5CC">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招标人在开标前开启投标文件并将有关信息泄露给其他投标人；</w:t>
      </w:r>
      <w:r>
        <w:rPr>
          <w:rFonts w:ascii="宋体" w:hAnsi="宋体"/>
          <w:color w:val="auto"/>
          <w:kern w:val="0"/>
          <w:sz w:val="24"/>
          <w:highlight w:val="none"/>
        </w:rPr>
        <w:t xml:space="preserve"> </w:t>
      </w:r>
    </w:p>
    <w:p w14:paraId="3DA73BBE">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招标人直接或间接向投标人泄露标底、评标委员会成员等信息；</w:t>
      </w:r>
      <w:r>
        <w:rPr>
          <w:rFonts w:ascii="宋体" w:hAnsi="宋体"/>
          <w:color w:val="auto"/>
          <w:kern w:val="0"/>
          <w:sz w:val="24"/>
          <w:highlight w:val="none"/>
        </w:rPr>
        <w:t xml:space="preserve"> </w:t>
      </w:r>
    </w:p>
    <w:p w14:paraId="0837353B">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招标人明示或暗示投标人压低或抬高投标报价；</w:t>
      </w:r>
      <w:r>
        <w:rPr>
          <w:rFonts w:ascii="宋体" w:hAnsi="宋体"/>
          <w:color w:val="auto"/>
          <w:kern w:val="0"/>
          <w:sz w:val="24"/>
          <w:highlight w:val="none"/>
        </w:rPr>
        <w:t xml:space="preserve"> </w:t>
      </w:r>
    </w:p>
    <w:p w14:paraId="4FF6F955">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招标人授意投标人撤换、修改投标文件；</w:t>
      </w:r>
      <w:r>
        <w:rPr>
          <w:rFonts w:ascii="宋体" w:hAnsi="宋体"/>
          <w:color w:val="auto"/>
          <w:kern w:val="0"/>
          <w:sz w:val="24"/>
          <w:highlight w:val="none"/>
        </w:rPr>
        <w:t xml:space="preserve"> </w:t>
      </w:r>
    </w:p>
    <w:p w14:paraId="41E85537">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招标人明示或暗示投标人为特定投标人中标提供方便；</w:t>
      </w:r>
      <w:r>
        <w:rPr>
          <w:rFonts w:ascii="宋体" w:hAnsi="宋体"/>
          <w:color w:val="auto"/>
          <w:kern w:val="0"/>
          <w:sz w:val="24"/>
          <w:highlight w:val="none"/>
        </w:rPr>
        <w:t xml:space="preserve"> </w:t>
      </w:r>
    </w:p>
    <w:p w14:paraId="4B6B3716">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招标人与投标人为谋求特定投标人中标而采取的其他串通行为。</w:t>
      </w:r>
    </w:p>
    <w:p w14:paraId="78B63AE1">
      <w:pPr>
        <w:widowControl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4）有下列情形之一的，属于电子招标投标交易平台运营机构或其人员与投标人串通投标：</w:t>
      </w:r>
    </w:p>
    <w:p w14:paraId="022EE251">
      <w:pPr>
        <w:widowControl w:val="0"/>
        <w:spacing w:line="360" w:lineRule="auto"/>
        <w:ind w:firstLine="480"/>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电子招标投标交易平台运营机构或其人员在开标前开启投标文件并将有关信息泄露给其他投标人；</w:t>
      </w:r>
    </w:p>
    <w:p w14:paraId="17980EF0">
      <w:pPr>
        <w:widowControl w:val="0"/>
        <w:spacing w:line="360" w:lineRule="auto"/>
        <w:ind w:firstLine="480"/>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电子招标投标交易平台运营机构或其人员直接或者间接向投标人泄露标底、评标委员会成员等信息；</w:t>
      </w:r>
    </w:p>
    <w:p w14:paraId="157D95DA">
      <w:pPr>
        <w:widowControl w:val="0"/>
        <w:spacing w:line="360" w:lineRule="auto"/>
        <w:ind w:firstLine="480"/>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电子招标投标交易平台运营机构或其人员明示或者暗示投标人压低或者抬高投标报价；</w:t>
      </w:r>
    </w:p>
    <w:p w14:paraId="6807429F">
      <w:pPr>
        <w:widowControl w:val="0"/>
        <w:spacing w:line="360" w:lineRule="auto"/>
        <w:ind w:firstLine="480"/>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电子招标投标交易平台运营机构或其人员授意投标人撤换、修改投标文件；</w:t>
      </w:r>
    </w:p>
    <w:p w14:paraId="6CA7DA11">
      <w:pPr>
        <w:widowControl w:val="0"/>
        <w:spacing w:line="360" w:lineRule="auto"/>
        <w:ind w:firstLine="480"/>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电子招标投标交易平台运营机构或其人员明示或者暗示投标人为特定投标人中标提供方便；</w:t>
      </w:r>
    </w:p>
    <w:p w14:paraId="1091B8FB">
      <w:pPr>
        <w:widowControl w:val="0"/>
        <w:spacing w:line="360" w:lineRule="auto"/>
        <w:ind w:firstLine="480"/>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电子招标投标交易平台运营机构或其人员与投标人为谋求特定投标人中标而采取的其他串通行为。</w:t>
      </w:r>
    </w:p>
    <w:p w14:paraId="1B475266">
      <w:pPr>
        <w:widowControl w:val="0"/>
        <w:snapToGrid w:val="0"/>
        <w:spacing w:line="360" w:lineRule="auto"/>
        <w:ind w:left="42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 xml:space="preserve">5）投标人有下列情形之一的，属于弄虚作假的行为： </w:t>
      </w:r>
    </w:p>
    <w:p w14:paraId="33F7EA63">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a.</w:t>
      </w:r>
      <w:r>
        <w:rPr>
          <w:rFonts w:hint="eastAsia" w:ascii="宋体" w:hAnsi="宋体"/>
          <w:color w:val="auto"/>
          <w:kern w:val="0"/>
          <w:sz w:val="24"/>
          <w:highlight w:val="none"/>
        </w:rPr>
        <w:t>使用通过受让或租借等方式获取的资格、资质证书投标；</w:t>
      </w:r>
      <w:r>
        <w:rPr>
          <w:rFonts w:ascii="宋体" w:hAnsi="宋体"/>
          <w:color w:val="auto"/>
          <w:kern w:val="0"/>
          <w:sz w:val="24"/>
          <w:highlight w:val="none"/>
        </w:rPr>
        <w:t xml:space="preserve"> </w:t>
      </w:r>
    </w:p>
    <w:p w14:paraId="4DFE4937">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b.</w:t>
      </w:r>
      <w:r>
        <w:rPr>
          <w:rFonts w:hint="eastAsia" w:ascii="宋体" w:hAnsi="宋体"/>
          <w:color w:val="auto"/>
          <w:kern w:val="0"/>
          <w:sz w:val="24"/>
          <w:highlight w:val="none"/>
        </w:rPr>
        <w:t>使用伪造、变造的许可证件；</w:t>
      </w:r>
      <w:r>
        <w:rPr>
          <w:rFonts w:ascii="宋体" w:hAnsi="宋体"/>
          <w:color w:val="auto"/>
          <w:kern w:val="0"/>
          <w:sz w:val="24"/>
          <w:highlight w:val="none"/>
        </w:rPr>
        <w:t xml:space="preserve"> </w:t>
      </w:r>
    </w:p>
    <w:p w14:paraId="57DEFF6A">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c.</w:t>
      </w:r>
      <w:r>
        <w:rPr>
          <w:rFonts w:hint="eastAsia" w:ascii="宋体" w:hAnsi="宋体"/>
          <w:color w:val="auto"/>
          <w:kern w:val="0"/>
          <w:sz w:val="24"/>
          <w:highlight w:val="none"/>
        </w:rPr>
        <w:t>提供虚假的财务状况或业绩；</w:t>
      </w:r>
      <w:r>
        <w:rPr>
          <w:rFonts w:ascii="宋体" w:hAnsi="宋体"/>
          <w:color w:val="auto"/>
          <w:kern w:val="0"/>
          <w:sz w:val="24"/>
          <w:highlight w:val="none"/>
        </w:rPr>
        <w:t xml:space="preserve"> </w:t>
      </w:r>
    </w:p>
    <w:p w14:paraId="54B145F5">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d.</w:t>
      </w:r>
      <w:r>
        <w:rPr>
          <w:rFonts w:hint="eastAsia" w:ascii="宋体" w:hAnsi="宋体"/>
          <w:color w:val="auto"/>
          <w:kern w:val="0"/>
          <w:sz w:val="24"/>
          <w:highlight w:val="none"/>
        </w:rPr>
        <w:t>提供虚假的项目负责人或主要技术人员简历、劳动关系证明；</w:t>
      </w:r>
      <w:r>
        <w:rPr>
          <w:rFonts w:ascii="宋体" w:hAnsi="宋体"/>
          <w:color w:val="auto"/>
          <w:kern w:val="0"/>
          <w:sz w:val="24"/>
          <w:highlight w:val="none"/>
        </w:rPr>
        <w:t xml:space="preserve"> </w:t>
      </w:r>
    </w:p>
    <w:p w14:paraId="4A851C3F">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e.</w:t>
      </w:r>
      <w:r>
        <w:rPr>
          <w:rFonts w:hint="eastAsia" w:ascii="宋体" w:hAnsi="宋体"/>
          <w:color w:val="auto"/>
          <w:kern w:val="0"/>
          <w:sz w:val="24"/>
          <w:highlight w:val="none"/>
        </w:rPr>
        <w:t>提供虚假的信用状况；</w:t>
      </w:r>
      <w:r>
        <w:rPr>
          <w:rFonts w:ascii="宋体" w:hAnsi="宋体"/>
          <w:color w:val="auto"/>
          <w:kern w:val="0"/>
          <w:sz w:val="24"/>
          <w:highlight w:val="none"/>
        </w:rPr>
        <w:t xml:space="preserve"> </w:t>
      </w:r>
    </w:p>
    <w:p w14:paraId="5DF70B30">
      <w:pPr>
        <w:widowControl w:val="0"/>
        <w:snapToGrid w:val="0"/>
        <w:spacing w:line="360" w:lineRule="auto"/>
        <w:ind w:left="420"/>
        <w:rPr>
          <w:rFonts w:ascii="宋体" w:hAnsi="宋体"/>
          <w:color w:val="auto"/>
          <w:kern w:val="0"/>
          <w:sz w:val="24"/>
          <w:highlight w:val="none"/>
        </w:rPr>
      </w:pPr>
      <w:r>
        <w:rPr>
          <w:rFonts w:ascii="宋体" w:hAnsi="宋体"/>
          <w:color w:val="auto"/>
          <w:kern w:val="0"/>
          <w:sz w:val="24"/>
          <w:highlight w:val="none"/>
        </w:rPr>
        <w:t>f.</w:t>
      </w:r>
      <w:r>
        <w:rPr>
          <w:rFonts w:hint="eastAsia" w:ascii="宋体" w:hAnsi="宋体"/>
          <w:color w:val="auto"/>
          <w:kern w:val="0"/>
          <w:sz w:val="24"/>
          <w:highlight w:val="none"/>
        </w:rPr>
        <w:t>其他弄虚作假的行为。</w:t>
      </w:r>
      <w:r>
        <w:rPr>
          <w:rFonts w:ascii="宋体" w:hAnsi="宋体"/>
          <w:color w:val="auto"/>
          <w:kern w:val="0"/>
          <w:sz w:val="24"/>
          <w:highlight w:val="none"/>
        </w:rPr>
        <w:t xml:space="preserve"> </w:t>
      </w:r>
    </w:p>
    <w:p w14:paraId="37594331">
      <w:pPr>
        <w:pStyle w:val="6"/>
        <w:keepNext w:val="0"/>
        <w:keepLines w:val="0"/>
        <w:numPr>
          <w:ilvl w:val="0"/>
          <w:numId w:val="0"/>
        </w:numPr>
        <w:spacing w:line="360" w:lineRule="auto"/>
        <w:jc w:val="both"/>
        <w:rPr>
          <w:rFonts w:ascii="Times New Roman" w:hAnsi="Times New Roman"/>
          <w:b w:val="0"/>
          <w:bCs w:val="0"/>
          <w:color w:val="auto"/>
          <w:sz w:val="28"/>
          <w:szCs w:val="32"/>
          <w:highlight w:val="none"/>
        </w:rPr>
      </w:pPr>
      <w:bookmarkStart w:id="733" w:name="_Toc53685709"/>
      <w:r>
        <w:rPr>
          <w:rFonts w:ascii="Times New Roman" w:hAnsi="Times New Roman"/>
          <w:b w:val="0"/>
          <w:bCs w:val="0"/>
          <w:color w:val="auto"/>
          <w:sz w:val="28"/>
          <w:szCs w:val="32"/>
          <w:highlight w:val="none"/>
        </w:rPr>
        <w:t xml:space="preserve">3.6 </w:t>
      </w:r>
      <w:r>
        <w:rPr>
          <w:rFonts w:hint="default" w:ascii="Times New Roman" w:hAnsi="Times New Roman"/>
          <w:b w:val="0"/>
          <w:bCs w:val="0"/>
          <w:color w:val="auto"/>
          <w:sz w:val="28"/>
          <w:szCs w:val="32"/>
          <w:highlight w:val="none"/>
        </w:rPr>
        <w:t>投标文件的澄清和说明</w:t>
      </w:r>
      <w:bookmarkEnd w:id="733"/>
      <w:r>
        <w:rPr>
          <w:rFonts w:ascii="Times New Roman" w:hAnsi="Times New Roman"/>
          <w:b w:val="0"/>
          <w:bCs w:val="0"/>
          <w:color w:val="auto"/>
          <w:sz w:val="28"/>
          <w:szCs w:val="32"/>
          <w:highlight w:val="none"/>
        </w:rPr>
        <w:t xml:space="preserve"> </w:t>
      </w:r>
    </w:p>
    <w:p w14:paraId="02F4C01F">
      <w:pPr>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3.6.1 </w:t>
      </w:r>
      <w:r>
        <w:rPr>
          <w:rFonts w:hint="eastAsia" w:ascii="宋体" w:hAnsi="宋体"/>
          <w:color w:val="auto"/>
          <w:kern w:val="0"/>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color w:val="auto"/>
          <w:kern w:val="0"/>
          <w:sz w:val="24"/>
          <w:highlight w:val="none"/>
        </w:rPr>
        <w:t xml:space="preserve"> </w:t>
      </w:r>
    </w:p>
    <w:p w14:paraId="452E6E58">
      <w:pPr>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3.6.2 </w:t>
      </w:r>
      <w:r>
        <w:rPr>
          <w:rFonts w:hint="eastAsia" w:ascii="宋体" w:hAnsi="宋体"/>
          <w:color w:val="auto"/>
          <w:kern w:val="0"/>
          <w:sz w:val="24"/>
          <w:highlight w:val="none"/>
        </w:rPr>
        <w:t>澄清和说明不得超出投标文件的范围或改变投标文件的实质性内容（算术性错误的修正除外）。投标人的书面澄清、说明属于投标文件的组成部分。</w:t>
      </w:r>
      <w:r>
        <w:rPr>
          <w:rFonts w:ascii="宋体" w:hAnsi="宋体"/>
          <w:color w:val="auto"/>
          <w:kern w:val="0"/>
          <w:sz w:val="24"/>
          <w:highlight w:val="none"/>
        </w:rPr>
        <w:t xml:space="preserve"> </w:t>
      </w:r>
    </w:p>
    <w:p w14:paraId="51ED0A4B">
      <w:pPr>
        <w:keepLines w:val="0"/>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3.6.3 </w:t>
      </w:r>
      <w:r>
        <w:rPr>
          <w:rFonts w:hint="eastAsia" w:ascii="宋体" w:hAnsi="宋体"/>
          <w:color w:val="auto"/>
          <w:kern w:val="0"/>
          <w:sz w:val="24"/>
          <w:highlight w:val="none"/>
        </w:rPr>
        <w:t>评标委员会不得暗示或诱导投标人作出澄清、说明，对投标人提交的澄清、说明有疑问的，可以要求投标人进一步澄清或说明，直至满足评标委员会的要求。</w:t>
      </w:r>
      <w:r>
        <w:rPr>
          <w:rFonts w:ascii="宋体" w:hAnsi="宋体"/>
          <w:color w:val="auto"/>
          <w:kern w:val="0"/>
          <w:sz w:val="24"/>
          <w:highlight w:val="none"/>
        </w:rPr>
        <w:t xml:space="preserve"> </w:t>
      </w:r>
    </w:p>
    <w:p w14:paraId="27C82B65">
      <w:pPr>
        <w:keepLines w:val="0"/>
        <w:widowControl w:val="0"/>
        <w:snapToGrid w:val="0"/>
        <w:spacing w:line="360" w:lineRule="auto"/>
        <w:ind w:firstLine="480"/>
        <w:rPr>
          <w:rFonts w:ascii="宋体" w:hAnsi="宋体"/>
          <w:color w:val="auto"/>
          <w:kern w:val="0"/>
          <w:sz w:val="24"/>
          <w:highlight w:val="none"/>
        </w:rPr>
      </w:pPr>
      <w:r>
        <w:rPr>
          <w:rFonts w:ascii="宋体" w:hAnsi="宋体"/>
          <w:color w:val="auto"/>
          <w:kern w:val="0"/>
          <w:sz w:val="24"/>
          <w:highlight w:val="none"/>
        </w:rPr>
        <w:t xml:space="preserve">3.6.4 </w:t>
      </w:r>
      <w:r>
        <w:rPr>
          <w:rFonts w:hint="eastAsia" w:ascii="宋体" w:hAnsi="宋体"/>
          <w:color w:val="auto"/>
          <w:kern w:val="0"/>
          <w:sz w:val="24"/>
          <w:highlight w:val="none"/>
        </w:rPr>
        <w:t>凡超出招标文件规定的或给发包人带来未曾要求的利益的变化、偏差或其他因素在评标时不予考虑。</w:t>
      </w:r>
      <w:r>
        <w:rPr>
          <w:rFonts w:ascii="宋体" w:hAnsi="宋体"/>
          <w:color w:val="auto"/>
          <w:kern w:val="0"/>
          <w:sz w:val="24"/>
          <w:highlight w:val="none"/>
        </w:rPr>
        <w:t xml:space="preserve"> </w:t>
      </w:r>
    </w:p>
    <w:p w14:paraId="61A4FD29">
      <w:pPr>
        <w:pStyle w:val="6"/>
        <w:keepLines w:val="0"/>
        <w:numPr>
          <w:ilvl w:val="0"/>
          <w:numId w:val="0"/>
        </w:numPr>
        <w:spacing w:line="360" w:lineRule="auto"/>
        <w:jc w:val="both"/>
        <w:rPr>
          <w:rFonts w:ascii="Times New Roman" w:hAnsi="Times New Roman"/>
          <w:b w:val="0"/>
          <w:bCs w:val="0"/>
          <w:color w:val="auto"/>
          <w:sz w:val="28"/>
          <w:szCs w:val="32"/>
          <w:highlight w:val="none"/>
        </w:rPr>
      </w:pPr>
      <w:bookmarkStart w:id="734" w:name="_Toc53685710"/>
      <w:r>
        <w:rPr>
          <w:rFonts w:ascii="Times New Roman" w:hAnsi="Times New Roman"/>
          <w:b w:val="0"/>
          <w:bCs w:val="0"/>
          <w:color w:val="auto"/>
          <w:sz w:val="28"/>
          <w:szCs w:val="32"/>
          <w:highlight w:val="none"/>
        </w:rPr>
        <w:t xml:space="preserve">3.7 </w:t>
      </w:r>
      <w:r>
        <w:rPr>
          <w:rFonts w:hint="default" w:ascii="Times New Roman" w:hAnsi="Times New Roman"/>
          <w:b w:val="0"/>
          <w:bCs w:val="0"/>
          <w:color w:val="auto"/>
          <w:sz w:val="28"/>
          <w:szCs w:val="32"/>
          <w:highlight w:val="none"/>
        </w:rPr>
        <w:t>不得否决投标的情形</w:t>
      </w:r>
      <w:bookmarkEnd w:id="734"/>
      <w:r>
        <w:rPr>
          <w:rFonts w:ascii="Times New Roman" w:hAnsi="Times New Roman"/>
          <w:b w:val="0"/>
          <w:bCs w:val="0"/>
          <w:color w:val="auto"/>
          <w:sz w:val="28"/>
          <w:szCs w:val="32"/>
          <w:highlight w:val="none"/>
        </w:rPr>
        <w:t xml:space="preserve"> </w:t>
      </w:r>
    </w:p>
    <w:p w14:paraId="2526EA99">
      <w:pPr>
        <w:keepLines w:val="0"/>
        <w:widowControl w:val="0"/>
        <w:snapToGrid w:val="0"/>
        <w:spacing w:line="360" w:lineRule="auto"/>
        <w:ind w:firstLine="482"/>
        <w:rPr>
          <w:rFonts w:ascii="宋体" w:hAnsi="宋体"/>
          <w:color w:val="auto"/>
          <w:kern w:val="0"/>
          <w:sz w:val="24"/>
          <w:highlight w:val="none"/>
        </w:rPr>
      </w:pPr>
      <w:bookmarkStart w:id="735" w:name="_Hlk98667559"/>
      <w:r>
        <w:rPr>
          <w:rFonts w:hint="eastAsia" w:ascii="宋体" w:hAnsi="宋体" w:cs="宋体"/>
          <w:color w:val="auto"/>
          <w:sz w:val="24"/>
          <w:highlight w:val="none"/>
        </w:rPr>
        <w:t>投标文件存在第三章“评标办法前附表”中所列任一否决投标情形以外的情况均视为细微偏差，评标委员会不得否决投标人的投标，细微偏差的处理可以按照澄清规定处理</w:t>
      </w:r>
      <w:bookmarkEnd w:id="735"/>
      <w:r>
        <w:rPr>
          <w:rFonts w:hint="eastAsia" w:ascii="宋体" w:hAnsi="宋体"/>
          <w:color w:val="auto"/>
          <w:kern w:val="0"/>
          <w:sz w:val="24"/>
          <w:highlight w:val="none"/>
        </w:rPr>
        <w:t>。</w:t>
      </w:r>
    </w:p>
    <w:p w14:paraId="2EBA375A">
      <w:pPr>
        <w:pStyle w:val="6"/>
        <w:keepLines w:val="0"/>
        <w:numPr>
          <w:ilvl w:val="0"/>
          <w:numId w:val="0"/>
        </w:numPr>
        <w:spacing w:line="360" w:lineRule="auto"/>
        <w:jc w:val="both"/>
        <w:rPr>
          <w:rFonts w:ascii="Times New Roman" w:hAnsi="Times New Roman"/>
          <w:b w:val="0"/>
          <w:bCs w:val="0"/>
          <w:color w:val="auto"/>
          <w:sz w:val="28"/>
          <w:szCs w:val="32"/>
          <w:highlight w:val="none"/>
        </w:rPr>
      </w:pPr>
      <w:bookmarkStart w:id="736" w:name="_Toc53685711"/>
      <w:r>
        <w:rPr>
          <w:rFonts w:ascii="Times New Roman" w:hAnsi="Times New Roman"/>
          <w:b w:val="0"/>
          <w:bCs w:val="0"/>
          <w:color w:val="auto"/>
          <w:sz w:val="28"/>
          <w:szCs w:val="32"/>
          <w:highlight w:val="none"/>
        </w:rPr>
        <w:t xml:space="preserve">3.8 </w:t>
      </w:r>
      <w:r>
        <w:rPr>
          <w:rFonts w:hint="default" w:ascii="Times New Roman" w:hAnsi="Times New Roman"/>
          <w:b w:val="0"/>
          <w:bCs w:val="0"/>
          <w:color w:val="auto"/>
          <w:sz w:val="28"/>
          <w:szCs w:val="32"/>
          <w:highlight w:val="none"/>
        </w:rPr>
        <w:t>评标结果</w:t>
      </w:r>
      <w:bookmarkEnd w:id="736"/>
      <w:r>
        <w:rPr>
          <w:rFonts w:ascii="Times New Roman" w:hAnsi="Times New Roman"/>
          <w:b w:val="0"/>
          <w:bCs w:val="0"/>
          <w:color w:val="auto"/>
          <w:sz w:val="28"/>
          <w:szCs w:val="32"/>
          <w:highlight w:val="none"/>
        </w:rPr>
        <w:t xml:space="preserve"> </w:t>
      </w:r>
    </w:p>
    <w:p w14:paraId="4FF0A3FE">
      <w:pPr>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 xml:space="preserve">3.8.1 </w:t>
      </w:r>
      <w:r>
        <w:rPr>
          <w:rFonts w:hint="eastAsia" w:ascii="宋体" w:hAnsi="宋体"/>
          <w:color w:val="auto"/>
          <w:kern w:val="0"/>
          <w:sz w:val="24"/>
          <w:highlight w:val="none"/>
        </w:rPr>
        <w:t>除第二章</w:t>
      </w:r>
      <w:r>
        <w:rPr>
          <w:rFonts w:ascii="宋体" w:hAnsi="宋体"/>
          <w:color w:val="auto"/>
          <w:kern w:val="0"/>
          <w:sz w:val="24"/>
          <w:highlight w:val="none"/>
        </w:rPr>
        <w:t>“</w:t>
      </w:r>
      <w:r>
        <w:rPr>
          <w:rFonts w:hint="eastAsia" w:ascii="宋体" w:hAnsi="宋体"/>
          <w:color w:val="auto"/>
          <w:kern w:val="0"/>
          <w:sz w:val="24"/>
          <w:highlight w:val="none"/>
        </w:rPr>
        <w:t>投标人须知</w:t>
      </w:r>
      <w:r>
        <w:rPr>
          <w:rFonts w:ascii="宋体" w:hAnsi="宋体"/>
          <w:color w:val="auto"/>
          <w:kern w:val="0"/>
          <w:sz w:val="24"/>
          <w:highlight w:val="none"/>
        </w:rPr>
        <w:t>”</w:t>
      </w:r>
      <w:r>
        <w:rPr>
          <w:rFonts w:hint="eastAsia" w:ascii="宋体" w:hAnsi="宋体"/>
          <w:color w:val="auto"/>
          <w:kern w:val="0"/>
          <w:sz w:val="24"/>
          <w:highlight w:val="none"/>
        </w:rPr>
        <w:t>前附表授权直接确定中标人外，评标委员会按照经评审的价格由低到高的顺序推荐中标候选人，并标明排序。</w:t>
      </w:r>
    </w:p>
    <w:p w14:paraId="28DD4461">
      <w:pPr>
        <w:spacing w:line="360" w:lineRule="auto"/>
        <w:ind w:firstLine="480" w:firstLineChars="200"/>
        <w:jc w:val="left"/>
        <w:rPr>
          <w:rFonts w:ascii="宋体" w:hAnsi="宋体"/>
          <w:color w:val="auto"/>
          <w:sz w:val="24"/>
          <w:highlight w:val="none"/>
        </w:rPr>
      </w:pPr>
      <w:r>
        <w:rPr>
          <w:rFonts w:ascii="宋体" w:hAnsi="宋体"/>
          <w:color w:val="auto"/>
          <w:kern w:val="0"/>
          <w:sz w:val="24"/>
          <w:highlight w:val="none"/>
        </w:rPr>
        <w:t>3.8.2</w:t>
      </w:r>
      <w:r>
        <w:rPr>
          <w:rFonts w:hint="eastAsia" w:ascii="宋体" w:hAnsi="宋体"/>
          <w:color w:val="auto"/>
          <w:kern w:val="0"/>
          <w:sz w:val="24"/>
          <w:highlight w:val="none"/>
          <w:lang w:val="en-US" w:eastAsia="zh-CN"/>
        </w:rPr>
        <w:t xml:space="preserve"> </w:t>
      </w:r>
      <w:r>
        <w:rPr>
          <w:rFonts w:ascii="宋体" w:hAnsi="宋体"/>
          <w:color w:val="auto"/>
          <w:kern w:val="0"/>
          <w:sz w:val="24"/>
          <w:highlight w:val="none"/>
        </w:rPr>
        <w:t>评标委员会完成评标后，应向招标人提交评标报告。</w:t>
      </w:r>
    </w:p>
    <w:p w14:paraId="50078860">
      <w:pPr>
        <w:jc w:val="center"/>
        <w:rPr>
          <w:rFonts w:ascii="宋体" w:hAnsi="宋体"/>
          <w:color w:val="auto"/>
          <w:sz w:val="24"/>
          <w:highlight w:val="none"/>
        </w:rPr>
      </w:pPr>
    </w:p>
    <w:p w14:paraId="1C3AA9EC">
      <w:pPr>
        <w:jc w:val="center"/>
        <w:rPr>
          <w:rFonts w:ascii="宋体" w:hAnsi="宋体"/>
          <w:color w:val="auto"/>
          <w:sz w:val="24"/>
          <w:highlight w:val="none"/>
        </w:rPr>
      </w:pPr>
    </w:p>
    <w:p w14:paraId="2B99923E">
      <w:pPr>
        <w:jc w:val="center"/>
        <w:rPr>
          <w:rFonts w:ascii="宋体" w:hAnsi="宋体"/>
          <w:color w:val="auto"/>
          <w:sz w:val="24"/>
          <w:highlight w:val="none"/>
        </w:rPr>
      </w:pPr>
    </w:p>
    <w:p w14:paraId="0C6F37BC">
      <w:pPr>
        <w:jc w:val="center"/>
        <w:rPr>
          <w:rFonts w:ascii="宋体" w:hAnsi="宋体"/>
          <w:color w:val="auto"/>
          <w:sz w:val="24"/>
          <w:highlight w:val="none"/>
        </w:rPr>
      </w:pPr>
    </w:p>
    <w:p w14:paraId="7200D5C1">
      <w:pPr>
        <w:jc w:val="center"/>
        <w:rPr>
          <w:rFonts w:ascii="宋体" w:hAnsi="宋体"/>
          <w:color w:val="auto"/>
          <w:sz w:val="24"/>
          <w:highlight w:val="none"/>
        </w:rPr>
      </w:pPr>
    </w:p>
    <w:p w14:paraId="44BFCEA9">
      <w:pPr>
        <w:jc w:val="center"/>
        <w:rPr>
          <w:rFonts w:ascii="宋体" w:hAnsi="宋体"/>
          <w:color w:val="auto"/>
          <w:sz w:val="24"/>
          <w:highlight w:val="none"/>
        </w:rPr>
      </w:pPr>
    </w:p>
    <w:p w14:paraId="5671C5A6">
      <w:pPr>
        <w:jc w:val="center"/>
        <w:rPr>
          <w:rFonts w:ascii="宋体" w:hAnsi="宋体"/>
          <w:color w:val="auto"/>
          <w:sz w:val="24"/>
          <w:highlight w:val="none"/>
        </w:rPr>
      </w:pPr>
    </w:p>
    <w:p w14:paraId="5EE5148D">
      <w:pPr>
        <w:jc w:val="center"/>
        <w:rPr>
          <w:rFonts w:ascii="宋体" w:hAnsi="宋体"/>
          <w:color w:val="auto"/>
          <w:sz w:val="24"/>
          <w:highlight w:val="none"/>
        </w:rPr>
      </w:pPr>
    </w:p>
    <w:p w14:paraId="4BCF13DE">
      <w:pPr>
        <w:jc w:val="center"/>
        <w:rPr>
          <w:rFonts w:ascii="宋体" w:hAnsi="宋体"/>
          <w:color w:val="auto"/>
          <w:sz w:val="24"/>
          <w:highlight w:val="none"/>
        </w:rPr>
      </w:pPr>
    </w:p>
    <w:p w14:paraId="5F5D4DA8">
      <w:pPr>
        <w:jc w:val="center"/>
        <w:rPr>
          <w:rFonts w:ascii="宋体" w:hAnsi="宋体"/>
          <w:color w:val="auto"/>
          <w:sz w:val="24"/>
          <w:highlight w:val="none"/>
        </w:rPr>
      </w:pPr>
    </w:p>
    <w:p w14:paraId="3BCEE4C3">
      <w:pPr>
        <w:jc w:val="center"/>
        <w:rPr>
          <w:rFonts w:ascii="宋体" w:hAnsi="宋体"/>
          <w:color w:val="auto"/>
          <w:sz w:val="24"/>
          <w:highlight w:val="none"/>
        </w:rPr>
      </w:pPr>
    </w:p>
    <w:p w14:paraId="17D344A6">
      <w:pPr>
        <w:jc w:val="center"/>
        <w:rPr>
          <w:rFonts w:ascii="宋体" w:hAnsi="宋体"/>
          <w:color w:val="auto"/>
          <w:sz w:val="24"/>
          <w:highlight w:val="none"/>
        </w:rPr>
      </w:pPr>
    </w:p>
    <w:p w14:paraId="4C0B4376">
      <w:pPr>
        <w:jc w:val="center"/>
        <w:rPr>
          <w:rFonts w:ascii="宋体" w:hAnsi="宋体"/>
          <w:color w:val="auto"/>
          <w:sz w:val="24"/>
          <w:highlight w:val="none"/>
        </w:rPr>
      </w:pPr>
    </w:p>
    <w:p w14:paraId="1F184DD9">
      <w:pPr>
        <w:jc w:val="center"/>
        <w:rPr>
          <w:rFonts w:ascii="宋体" w:hAnsi="宋体"/>
          <w:color w:val="auto"/>
          <w:sz w:val="24"/>
          <w:highlight w:val="none"/>
        </w:rPr>
      </w:pPr>
    </w:p>
    <w:p w14:paraId="71F2C46D">
      <w:pPr>
        <w:jc w:val="center"/>
        <w:rPr>
          <w:rFonts w:ascii="宋体" w:hAnsi="宋体"/>
          <w:color w:val="auto"/>
          <w:sz w:val="24"/>
          <w:highlight w:val="none"/>
        </w:rPr>
      </w:pPr>
    </w:p>
    <w:p w14:paraId="42E238C0">
      <w:pPr>
        <w:jc w:val="center"/>
        <w:rPr>
          <w:rFonts w:ascii="宋体" w:hAnsi="宋体"/>
          <w:color w:val="auto"/>
          <w:sz w:val="24"/>
          <w:highlight w:val="none"/>
        </w:rPr>
      </w:pPr>
    </w:p>
    <w:p w14:paraId="2F828ABA">
      <w:pPr>
        <w:jc w:val="center"/>
        <w:rPr>
          <w:rFonts w:ascii="宋体" w:hAnsi="宋体"/>
          <w:color w:val="auto"/>
          <w:sz w:val="24"/>
          <w:highlight w:val="none"/>
        </w:rPr>
      </w:pPr>
    </w:p>
    <w:p w14:paraId="76996C1F">
      <w:pPr>
        <w:jc w:val="center"/>
        <w:rPr>
          <w:rFonts w:ascii="宋体" w:hAnsi="宋体"/>
          <w:color w:val="auto"/>
          <w:sz w:val="24"/>
          <w:highlight w:val="none"/>
        </w:rPr>
      </w:pPr>
    </w:p>
    <w:p w14:paraId="28A74AFB">
      <w:pPr>
        <w:jc w:val="center"/>
        <w:rPr>
          <w:rFonts w:ascii="宋体" w:hAnsi="宋体"/>
          <w:color w:val="auto"/>
          <w:sz w:val="24"/>
          <w:highlight w:val="none"/>
        </w:rPr>
      </w:pPr>
    </w:p>
    <w:p w14:paraId="09B9A383">
      <w:pPr>
        <w:jc w:val="center"/>
        <w:rPr>
          <w:rFonts w:ascii="宋体" w:hAnsi="宋体"/>
          <w:color w:val="auto"/>
          <w:sz w:val="24"/>
          <w:highlight w:val="none"/>
        </w:rPr>
      </w:pPr>
    </w:p>
    <w:p w14:paraId="324A0503">
      <w:pPr>
        <w:jc w:val="center"/>
        <w:rPr>
          <w:rFonts w:ascii="宋体" w:hAnsi="宋体"/>
          <w:color w:val="auto"/>
          <w:sz w:val="24"/>
          <w:highlight w:val="none"/>
        </w:rPr>
      </w:pPr>
    </w:p>
    <w:p w14:paraId="0F539572">
      <w:pPr>
        <w:jc w:val="center"/>
        <w:rPr>
          <w:rFonts w:ascii="宋体" w:hAnsi="宋体"/>
          <w:color w:val="auto"/>
          <w:sz w:val="24"/>
          <w:highlight w:val="none"/>
        </w:rPr>
      </w:pPr>
    </w:p>
    <w:p w14:paraId="0A0DAEA2">
      <w:pPr>
        <w:jc w:val="center"/>
        <w:rPr>
          <w:rFonts w:ascii="宋体" w:hAnsi="宋体"/>
          <w:color w:val="auto"/>
          <w:sz w:val="24"/>
          <w:highlight w:val="none"/>
        </w:rPr>
      </w:pPr>
    </w:p>
    <w:p w14:paraId="705F7873">
      <w:pPr>
        <w:jc w:val="center"/>
        <w:rPr>
          <w:rFonts w:ascii="宋体" w:hAnsi="宋体"/>
          <w:color w:val="auto"/>
          <w:sz w:val="24"/>
          <w:highlight w:val="none"/>
        </w:rPr>
      </w:pPr>
    </w:p>
    <w:p w14:paraId="0CAE7944">
      <w:pPr>
        <w:jc w:val="center"/>
        <w:rPr>
          <w:rFonts w:ascii="宋体" w:hAnsi="宋体"/>
          <w:color w:val="auto"/>
          <w:sz w:val="24"/>
          <w:highlight w:val="none"/>
        </w:rPr>
      </w:pPr>
    </w:p>
    <w:p w14:paraId="70398364">
      <w:pPr>
        <w:jc w:val="center"/>
        <w:rPr>
          <w:rFonts w:ascii="宋体" w:hAnsi="宋体"/>
          <w:color w:val="auto"/>
          <w:sz w:val="24"/>
          <w:highlight w:val="none"/>
        </w:rPr>
      </w:pPr>
    </w:p>
    <w:p w14:paraId="21E6DEB3">
      <w:pPr>
        <w:jc w:val="center"/>
        <w:rPr>
          <w:rFonts w:ascii="宋体" w:hAnsi="宋体"/>
          <w:color w:val="auto"/>
          <w:sz w:val="24"/>
          <w:highlight w:val="none"/>
        </w:rPr>
      </w:pPr>
    </w:p>
    <w:p w14:paraId="79AB3DBE">
      <w:pPr>
        <w:jc w:val="center"/>
        <w:rPr>
          <w:rFonts w:ascii="宋体" w:hAnsi="宋体"/>
          <w:color w:val="auto"/>
          <w:sz w:val="24"/>
          <w:highlight w:val="none"/>
        </w:rPr>
      </w:pPr>
    </w:p>
    <w:p w14:paraId="0F4EF498">
      <w:pPr>
        <w:jc w:val="center"/>
        <w:rPr>
          <w:rFonts w:ascii="宋体" w:hAnsi="宋体"/>
          <w:color w:val="auto"/>
          <w:sz w:val="24"/>
          <w:highlight w:val="none"/>
        </w:rPr>
      </w:pPr>
    </w:p>
    <w:p w14:paraId="1EF9AA66">
      <w:pPr>
        <w:jc w:val="center"/>
        <w:rPr>
          <w:rFonts w:ascii="宋体" w:hAnsi="宋体"/>
          <w:color w:val="auto"/>
          <w:sz w:val="24"/>
          <w:highlight w:val="none"/>
        </w:rPr>
      </w:pPr>
    </w:p>
    <w:p w14:paraId="36E5F042">
      <w:pPr>
        <w:jc w:val="center"/>
        <w:rPr>
          <w:rFonts w:ascii="宋体" w:hAnsi="宋体"/>
          <w:color w:val="auto"/>
          <w:sz w:val="24"/>
          <w:highlight w:val="none"/>
        </w:rPr>
      </w:pPr>
    </w:p>
    <w:p w14:paraId="0E1CB040">
      <w:pPr>
        <w:jc w:val="center"/>
        <w:rPr>
          <w:rFonts w:ascii="宋体" w:hAnsi="宋体"/>
          <w:color w:val="auto"/>
          <w:sz w:val="24"/>
          <w:highlight w:val="none"/>
        </w:rPr>
      </w:pPr>
    </w:p>
    <w:p w14:paraId="2B23244C">
      <w:pPr>
        <w:jc w:val="center"/>
        <w:rPr>
          <w:rFonts w:ascii="宋体" w:hAnsi="宋体"/>
          <w:color w:val="auto"/>
          <w:sz w:val="24"/>
          <w:highlight w:val="none"/>
        </w:rPr>
      </w:pPr>
    </w:p>
    <w:p w14:paraId="4121C5D8">
      <w:pPr>
        <w:jc w:val="center"/>
        <w:rPr>
          <w:rFonts w:ascii="宋体" w:hAnsi="宋体"/>
          <w:color w:val="auto"/>
          <w:sz w:val="24"/>
          <w:highlight w:val="none"/>
        </w:rPr>
      </w:pPr>
    </w:p>
    <w:p w14:paraId="4FDF0424">
      <w:pPr>
        <w:jc w:val="center"/>
        <w:rPr>
          <w:rFonts w:ascii="宋体" w:hAnsi="宋体"/>
          <w:color w:val="auto"/>
          <w:sz w:val="24"/>
          <w:highlight w:val="none"/>
        </w:rPr>
      </w:pPr>
    </w:p>
    <w:p w14:paraId="6A49ED4C">
      <w:pPr>
        <w:spacing w:line="360" w:lineRule="auto"/>
        <w:rPr>
          <w:rFonts w:ascii="宋体" w:hAnsi="宋体"/>
          <w:b/>
          <w:color w:val="auto"/>
          <w:sz w:val="48"/>
          <w:szCs w:val="48"/>
          <w:highlight w:val="none"/>
        </w:rPr>
      </w:pPr>
    </w:p>
    <w:p w14:paraId="424E1B26">
      <w:pPr>
        <w:spacing w:line="360" w:lineRule="auto"/>
        <w:rPr>
          <w:rFonts w:ascii="宋体" w:hAnsi="宋体"/>
          <w:b/>
          <w:color w:val="auto"/>
          <w:sz w:val="48"/>
          <w:szCs w:val="48"/>
          <w:highlight w:val="none"/>
        </w:rPr>
      </w:pPr>
    </w:p>
    <w:p w14:paraId="30715CA3">
      <w:pPr>
        <w:spacing w:line="360" w:lineRule="auto"/>
        <w:rPr>
          <w:rFonts w:ascii="宋体" w:hAnsi="宋体"/>
          <w:b/>
          <w:color w:val="auto"/>
          <w:sz w:val="48"/>
          <w:szCs w:val="48"/>
          <w:highlight w:val="none"/>
        </w:rPr>
      </w:pPr>
    </w:p>
    <w:p w14:paraId="6214C464">
      <w:pPr>
        <w:spacing w:line="360" w:lineRule="auto"/>
        <w:rPr>
          <w:rFonts w:ascii="宋体" w:hAnsi="宋体"/>
          <w:b/>
          <w:color w:val="auto"/>
          <w:sz w:val="48"/>
          <w:szCs w:val="48"/>
          <w:highlight w:val="none"/>
        </w:rPr>
      </w:pPr>
    </w:p>
    <w:p w14:paraId="56189E3B">
      <w:pPr>
        <w:pStyle w:val="2"/>
        <w:rPr>
          <w:rFonts w:ascii="宋体" w:hAnsi="宋体"/>
          <w:b/>
          <w:color w:val="auto"/>
          <w:sz w:val="48"/>
          <w:szCs w:val="48"/>
          <w:highlight w:val="none"/>
        </w:rPr>
      </w:pPr>
    </w:p>
    <w:p w14:paraId="7D903F15">
      <w:pPr>
        <w:pStyle w:val="2"/>
        <w:rPr>
          <w:rFonts w:ascii="宋体" w:hAnsi="宋体"/>
          <w:b/>
          <w:color w:val="auto"/>
          <w:sz w:val="48"/>
          <w:szCs w:val="48"/>
          <w:highlight w:val="none"/>
        </w:rPr>
      </w:pPr>
    </w:p>
    <w:p w14:paraId="2474A2AD">
      <w:pPr>
        <w:pStyle w:val="2"/>
        <w:rPr>
          <w:rFonts w:ascii="宋体" w:hAnsi="宋体"/>
          <w:b/>
          <w:color w:val="auto"/>
          <w:sz w:val="48"/>
          <w:szCs w:val="48"/>
          <w:highlight w:val="none"/>
        </w:rPr>
      </w:pPr>
    </w:p>
    <w:p w14:paraId="2F3437B9">
      <w:pPr>
        <w:pStyle w:val="2"/>
        <w:rPr>
          <w:rFonts w:ascii="宋体" w:hAnsi="宋体"/>
          <w:b/>
          <w:color w:val="auto"/>
          <w:sz w:val="48"/>
          <w:szCs w:val="48"/>
          <w:highlight w:val="none"/>
        </w:rPr>
      </w:pPr>
    </w:p>
    <w:p w14:paraId="0F2196CC">
      <w:pPr>
        <w:pStyle w:val="2"/>
        <w:rPr>
          <w:rFonts w:ascii="宋体" w:hAnsi="宋体"/>
          <w:b/>
          <w:color w:val="auto"/>
          <w:sz w:val="48"/>
          <w:szCs w:val="48"/>
          <w:highlight w:val="none"/>
        </w:rPr>
      </w:pPr>
    </w:p>
    <w:p w14:paraId="5E72EC80">
      <w:pPr>
        <w:pStyle w:val="2"/>
        <w:rPr>
          <w:rFonts w:ascii="宋体" w:hAnsi="宋体"/>
          <w:b/>
          <w:color w:val="auto"/>
          <w:sz w:val="48"/>
          <w:szCs w:val="48"/>
          <w:highlight w:val="none"/>
        </w:rPr>
      </w:pPr>
    </w:p>
    <w:p w14:paraId="5CF54CB3">
      <w:pPr>
        <w:ind w:firstLine="1560" w:firstLineChars="300"/>
        <w:rPr>
          <w:rFonts w:ascii="宋体" w:hAnsi="宋体"/>
          <w:color w:val="auto"/>
          <w:sz w:val="42"/>
          <w:szCs w:val="42"/>
          <w:highlight w:val="none"/>
        </w:rPr>
      </w:pPr>
      <w:bookmarkStart w:id="737" w:name="_Toc53685712"/>
      <w:r>
        <w:rPr>
          <w:rStyle w:val="175"/>
          <w:rFonts w:hint="eastAsia"/>
          <w:b w:val="0"/>
          <w:bCs w:val="0"/>
          <w:color w:val="auto"/>
          <w:szCs w:val="52"/>
          <w:highlight w:val="none"/>
        </w:rPr>
        <w:t>第四章</w:t>
      </w:r>
      <w:r>
        <w:rPr>
          <w:rStyle w:val="175"/>
          <w:b w:val="0"/>
          <w:bCs w:val="0"/>
          <w:color w:val="auto"/>
          <w:szCs w:val="52"/>
          <w:highlight w:val="none"/>
        </w:rPr>
        <w:t xml:space="preserve">  </w:t>
      </w:r>
      <w:r>
        <w:rPr>
          <w:rStyle w:val="175"/>
          <w:rFonts w:hint="eastAsia"/>
          <w:b w:val="0"/>
          <w:bCs w:val="0"/>
          <w:color w:val="auto"/>
          <w:szCs w:val="52"/>
          <w:highlight w:val="none"/>
        </w:rPr>
        <w:t>合同条款及格式</w:t>
      </w:r>
      <w:bookmarkEnd w:id="737"/>
      <w:bookmarkStart w:id="738" w:name="_Toc501257188"/>
      <w:bookmarkStart w:id="739" w:name="_Toc234832965"/>
      <w:bookmarkStart w:id="740" w:name="_Toc27059732"/>
      <w:bookmarkStart w:id="741" w:name="_Toc27059822"/>
      <w:bookmarkStart w:id="742" w:name="_Toc27060722"/>
      <w:bookmarkStart w:id="743" w:name="_Toc27059551"/>
      <w:bookmarkStart w:id="744" w:name="_Toc27059924"/>
    </w:p>
    <w:p w14:paraId="227B6273">
      <w:pPr>
        <w:rPr>
          <w:rFonts w:ascii="宋体" w:hAnsi="宋体"/>
          <w:color w:val="auto"/>
          <w:sz w:val="42"/>
          <w:szCs w:val="42"/>
          <w:highlight w:val="none"/>
        </w:rPr>
      </w:pPr>
    </w:p>
    <w:p w14:paraId="4E86DDD2">
      <w:pPr>
        <w:rPr>
          <w:rFonts w:ascii="宋体" w:hAnsi="宋体"/>
          <w:color w:val="auto"/>
          <w:sz w:val="42"/>
          <w:szCs w:val="42"/>
          <w:highlight w:val="none"/>
        </w:rPr>
      </w:pPr>
    </w:p>
    <w:p w14:paraId="5D1D3892">
      <w:pPr>
        <w:rPr>
          <w:rFonts w:ascii="宋体" w:hAnsi="宋体"/>
          <w:color w:val="auto"/>
          <w:sz w:val="42"/>
          <w:szCs w:val="42"/>
          <w:highlight w:val="none"/>
        </w:rPr>
      </w:pPr>
    </w:p>
    <w:p w14:paraId="30D9E6A2">
      <w:pPr>
        <w:rPr>
          <w:rFonts w:ascii="宋体" w:hAnsi="宋体"/>
          <w:color w:val="auto"/>
          <w:sz w:val="42"/>
          <w:szCs w:val="42"/>
          <w:highlight w:val="none"/>
        </w:rPr>
      </w:pPr>
    </w:p>
    <w:p w14:paraId="6AE15E49">
      <w:pPr>
        <w:rPr>
          <w:rFonts w:ascii="宋体" w:hAnsi="宋体"/>
          <w:b w:val="0"/>
          <w:color w:val="auto"/>
          <w:sz w:val="40"/>
          <w:szCs w:val="40"/>
          <w:highlight w:val="none"/>
        </w:rPr>
      </w:pPr>
      <w:bookmarkStart w:id="745" w:name="_Toc53685713"/>
      <w:r>
        <w:rPr>
          <w:rFonts w:ascii="宋体" w:hAnsi="宋体"/>
          <w:b w:val="0"/>
          <w:color w:val="auto"/>
          <w:sz w:val="40"/>
          <w:szCs w:val="40"/>
          <w:highlight w:val="none"/>
        </w:rPr>
        <w:br w:type="page"/>
      </w:r>
    </w:p>
    <w:p w14:paraId="23158CF4">
      <w:pPr>
        <w:pStyle w:val="5"/>
        <w:ind w:firstLine="2400" w:firstLineChars="600"/>
        <w:rPr>
          <w:rFonts w:ascii="宋体" w:hAnsi="宋体"/>
          <w:b w:val="0"/>
          <w:color w:val="auto"/>
          <w:sz w:val="40"/>
          <w:szCs w:val="40"/>
          <w:highlight w:val="none"/>
        </w:rPr>
      </w:pPr>
      <w:r>
        <w:rPr>
          <w:rFonts w:ascii="宋体" w:hAnsi="宋体"/>
          <w:b w:val="0"/>
          <w:color w:val="auto"/>
          <w:sz w:val="40"/>
          <w:szCs w:val="40"/>
          <w:highlight w:val="none"/>
        </w:rPr>
        <w:t>第一节  通用合同条款</w:t>
      </w:r>
      <w:bookmarkEnd w:id="738"/>
      <w:bookmarkEnd w:id="739"/>
      <w:r>
        <w:rPr>
          <w:rStyle w:val="59"/>
          <w:rFonts w:ascii="宋体" w:hAnsi="宋体"/>
          <w:b w:val="0"/>
          <w:color w:val="auto"/>
          <w:sz w:val="40"/>
          <w:szCs w:val="40"/>
          <w:highlight w:val="none"/>
        </w:rPr>
        <w:footnoteReference w:id="206"/>
      </w:r>
      <w:bookmarkEnd w:id="740"/>
      <w:bookmarkEnd w:id="741"/>
      <w:bookmarkEnd w:id="742"/>
      <w:bookmarkEnd w:id="743"/>
      <w:bookmarkEnd w:id="744"/>
      <w:bookmarkEnd w:id="745"/>
    </w:p>
    <w:p w14:paraId="42F1E32F">
      <w:pPr>
        <w:pStyle w:val="20"/>
        <w:rPr>
          <w:rFonts w:ascii="黑体" w:hAnsi="黑体"/>
          <w:b w:val="0"/>
          <w:color w:val="auto"/>
          <w:szCs w:val="32"/>
          <w:highlight w:val="none"/>
        </w:rPr>
      </w:pPr>
      <w:bookmarkStart w:id="746" w:name="_Toc27059733"/>
      <w:bookmarkStart w:id="747" w:name="_Toc27059925"/>
      <w:bookmarkStart w:id="748" w:name="_Toc27059823"/>
      <w:bookmarkStart w:id="749" w:name="_Toc53685714"/>
      <w:bookmarkStart w:id="750" w:name="_Toc27060723"/>
      <w:bookmarkStart w:id="751" w:name="_Toc27059552"/>
      <w:r>
        <w:rPr>
          <w:rFonts w:hint="eastAsia"/>
          <w:color w:val="auto"/>
          <w:sz w:val="28"/>
          <w:szCs w:val="28"/>
          <w:highlight w:val="none"/>
        </w:rPr>
        <w:t>详见《中华人民共和国标准施工招标文件》（</w:t>
      </w:r>
      <w:r>
        <w:rPr>
          <w:color w:val="auto"/>
          <w:sz w:val="28"/>
          <w:szCs w:val="28"/>
          <w:highlight w:val="none"/>
        </w:rPr>
        <w:t>2007年版）</w:t>
      </w:r>
      <w:bookmarkEnd w:id="746"/>
      <w:bookmarkEnd w:id="747"/>
      <w:bookmarkEnd w:id="748"/>
      <w:bookmarkEnd w:id="749"/>
      <w:bookmarkEnd w:id="750"/>
      <w:bookmarkEnd w:id="751"/>
      <w:r>
        <w:rPr>
          <w:rFonts w:ascii="黑体" w:hAnsi="黑体"/>
          <w:b w:val="0"/>
          <w:color w:val="auto"/>
          <w:szCs w:val="32"/>
          <w:highlight w:val="none"/>
        </w:rPr>
        <w:br w:type="page"/>
      </w:r>
    </w:p>
    <w:p w14:paraId="3A26B0A4">
      <w:pPr>
        <w:pStyle w:val="5"/>
        <w:ind w:firstLine="2400" w:firstLineChars="600"/>
        <w:rPr>
          <w:color w:val="auto"/>
          <w:highlight w:val="none"/>
        </w:rPr>
      </w:pPr>
      <w:bookmarkStart w:id="752" w:name="_Toc53685715"/>
      <w:bookmarkStart w:id="753" w:name="_Toc27059824"/>
      <w:bookmarkStart w:id="754" w:name="_Toc27059926"/>
      <w:bookmarkStart w:id="755" w:name="_Toc501257345"/>
      <w:bookmarkStart w:id="756" w:name="_Toc234833122"/>
      <w:bookmarkStart w:id="757" w:name="_Toc27059734"/>
      <w:bookmarkStart w:id="758" w:name="_Toc27060724"/>
      <w:bookmarkStart w:id="759" w:name="_Toc27059553"/>
      <w:r>
        <w:rPr>
          <w:b w:val="0"/>
          <w:bCs w:val="0"/>
          <w:color w:val="auto"/>
          <w:sz w:val="40"/>
          <w:szCs w:val="40"/>
          <w:highlight w:val="none"/>
        </w:rPr>
        <w:t>第二节  专用合同条款</w:t>
      </w:r>
      <w:bookmarkEnd w:id="752"/>
      <w:bookmarkEnd w:id="753"/>
      <w:bookmarkEnd w:id="754"/>
      <w:bookmarkEnd w:id="755"/>
      <w:bookmarkEnd w:id="756"/>
      <w:bookmarkEnd w:id="757"/>
      <w:bookmarkEnd w:id="758"/>
      <w:bookmarkEnd w:id="759"/>
    </w:p>
    <w:p w14:paraId="386F1997">
      <w:pPr>
        <w:pStyle w:val="5"/>
        <w:ind w:firstLine="2560" w:firstLineChars="800"/>
        <w:rPr>
          <w:rFonts w:ascii="黑体" w:hAnsi="黑体" w:cs="黑体"/>
          <w:b w:val="0"/>
          <w:color w:val="auto"/>
          <w:kern w:val="2"/>
          <w:sz w:val="32"/>
          <w:szCs w:val="32"/>
          <w:highlight w:val="none"/>
        </w:rPr>
      </w:pPr>
      <w:bookmarkStart w:id="760" w:name="_Toc501257346"/>
      <w:bookmarkStart w:id="761" w:name="_Toc234833123"/>
      <w:bookmarkStart w:id="762" w:name="_Toc27060725"/>
      <w:bookmarkStart w:id="763" w:name="_Toc27059735"/>
      <w:bookmarkStart w:id="764" w:name="_Toc27059554"/>
      <w:bookmarkStart w:id="765" w:name="_Toc53685716"/>
      <w:bookmarkStart w:id="766" w:name="_Toc27059825"/>
      <w:bookmarkStart w:id="767" w:name="_Toc27059927"/>
      <w:r>
        <w:rPr>
          <w:rFonts w:ascii="黑体" w:hAnsi="黑体" w:cs="黑体"/>
          <w:b w:val="0"/>
          <w:color w:val="auto"/>
          <w:kern w:val="2"/>
          <w:sz w:val="32"/>
          <w:szCs w:val="32"/>
          <w:highlight w:val="none"/>
        </w:rPr>
        <w:t>A</w:t>
      </w:r>
      <w:r>
        <w:rPr>
          <w:rFonts w:hint="eastAsia" w:ascii="黑体" w:hAnsi="黑体" w:cs="黑体"/>
          <w:b w:val="0"/>
          <w:color w:val="auto"/>
          <w:kern w:val="2"/>
          <w:sz w:val="32"/>
          <w:szCs w:val="32"/>
          <w:highlight w:val="none"/>
        </w:rPr>
        <w:t>．</w:t>
      </w:r>
      <w:r>
        <w:rPr>
          <w:rFonts w:ascii="黑体" w:hAnsi="黑体" w:cs="黑体"/>
          <w:b w:val="0"/>
          <w:color w:val="auto"/>
          <w:kern w:val="2"/>
          <w:sz w:val="32"/>
          <w:szCs w:val="32"/>
          <w:highlight w:val="none"/>
        </w:rPr>
        <w:t>公路工程专用合同条款</w:t>
      </w:r>
      <w:bookmarkEnd w:id="760"/>
      <w:bookmarkEnd w:id="761"/>
      <w:r>
        <w:rPr>
          <w:rFonts w:ascii="黑体" w:hAnsi="黑体" w:cs="黑体"/>
          <w:b w:val="0"/>
          <w:color w:val="auto"/>
          <w:kern w:val="2"/>
          <w:sz w:val="32"/>
          <w:szCs w:val="32"/>
          <w:highlight w:val="none"/>
          <w:vertAlign w:val="superscript"/>
        </w:rPr>
        <w:footnoteReference w:id="207"/>
      </w:r>
      <w:bookmarkEnd w:id="762"/>
      <w:bookmarkEnd w:id="763"/>
      <w:bookmarkEnd w:id="764"/>
      <w:bookmarkEnd w:id="765"/>
      <w:bookmarkEnd w:id="766"/>
      <w:bookmarkEnd w:id="767"/>
    </w:p>
    <w:p w14:paraId="29E9FCB4">
      <w:pPr>
        <w:pStyle w:val="20"/>
        <w:rPr>
          <w:color w:val="auto"/>
          <w:sz w:val="28"/>
          <w:szCs w:val="28"/>
          <w:highlight w:val="none"/>
        </w:rPr>
      </w:pPr>
      <w:r>
        <w:rPr>
          <w:rFonts w:hint="eastAsia"/>
          <w:color w:val="auto"/>
          <w:sz w:val="28"/>
          <w:szCs w:val="28"/>
          <w:highlight w:val="none"/>
        </w:rPr>
        <w:t>详见交通运输部《公路工程标准施工招标文件》（</w:t>
      </w:r>
      <w:r>
        <w:rPr>
          <w:color w:val="auto"/>
          <w:sz w:val="28"/>
          <w:szCs w:val="28"/>
          <w:highlight w:val="none"/>
        </w:rPr>
        <w:t>2018年版</w:t>
      </w:r>
      <w:r>
        <w:rPr>
          <w:rFonts w:hint="eastAsia"/>
          <w:color w:val="auto"/>
          <w:sz w:val="28"/>
          <w:szCs w:val="28"/>
          <w:highlight w:val="none"/>
        </w:rPr>
        <w:t>·</w:t>
      </w:r>
      <w:r>
        <w:rPr>
          <w:rFonts w:hint="eastAsia"/>
          <w:color w:val="auto"/>
          <w:sz w:val="28"/>
          <w:szCs w:val="28"/>
          <w:highlight w:val="none"/>
          <w:lang w:val="en-US" w:eastAsia="zh-CN"/>
        </w:rPr>
        <w:t>第一册</w:t>
      </w:r>
      <w:r>
        <w:rPr>
          <w:color w:val="auto"/>
          <w:sz w:val="28"/>
          <w:szCs w:val="28"/>
          <w:highlight w:val="none"/>
        </w:rPr>
        <w:t>）</w:t>
      </w:r>
    </w:p>
    <w:p w14:paraId="60609F06">
      <w:pPr>
        <w:snapToGrid w:val="0"/>
        <w:spacing w:line="305" w:lineRule="auto"/>
        <w:ind w:firstLine="554" w:firstLineChars="198"/>
        <w:jc w:val="center"/>
        <w:rPr>
          <w:rFonts w:ascii="宋体" w:hAnsi="宋体"/>
          <w:color w:val="auto"/>
          <w:sz w:val="28"/>
          <w:szCs w:val="28"/>
          <w:highlight w:val="none"/>
        </w:rPr>
      </w:pPr>
    </w:p>
    <w:p w14:paraId="4B1CC654">
      <w:pPr>
        <w:snapToGrid w:val="0"/>
        <w:spacing w:line="305" w:lineRule="auto"/>
        <w:ind w:firstLine="554" w:firstLineChars="198"/>
        <w:jc w:val="center"/>
        <w:rPr>
          <w:rFonts w:ascii="宋体" w:hAnsi="宋体"/>
          <w:color w:val="auto"/>
          <w:sz w:val="28"/>
          <w:szCs w:val="28"/>
          <w:highlight w:val="none"/>
        </w:rPr>
      </w:pPr>
    </w:p>
    <w:p w14:paraId="744D1FC0">
      <w:pPr>
        <w:snapToGrid w:val="0"/>
        <w:spacing w:line="305" w:lineRule="auto"/>
        <w:jc w:val="center"/>
        <w:rPr>
          <w:rFonts w:ascii="黑体" w:hAnsi="黑体" w:eastAsia="黑体" w:cs="黑体"/>
          <w:bCs/>
          <w:color w:val="auto"/>
          <w:sz w:val="32"/>
          <w:szCs w:val="32"/>
          <w:highlight w:val="none"/>
        </w:rPr>
      </w:pPr>
    </w:p>
    <w:p w14:paraId="5FC54490">
      <w:pPr>
        <w:snapToGrid w:val="0"/>
        <w:spacing w:line="305" w:lineRule="auto"/>
        <w:jc w:val="center"/>
        <w:rPr>
          <w:rFonts w:ascii="黑体" w:hAnsi="黑体" w:eastAsia="黑体" w:cs="黑体"/>
          <w:bCs/>
          <w:color w:val="auto"/>
          <w:sz w:val="32"/>
          <w:szCs w:val="32"/>
          <w:highlight w:val="none"/>
        </w:rPr>
      </w:pPr>
    </w:p>
    <w:p w14:paraId="26B1B02A">
      <w:pPr>
        <w:snapToGrid w:val="0"/>
        <w:spacing w:line="305" w:lineRule="auto"/>
        <w:jc w:val="center"/>
        <w:rPr>
          <w:rFonts w:ascii="黑体" w:hAnsi="黑体" w:eastAsia="黑体" w:cs="黑体"/>
          <w:bCs/>
          <w:color w:val="auto"/>
          <w:sz w:val="32"/>
          <w:szCs w:val="32"/>
          <w:highlight w:val="none"/>
        </w:rPr>
      </w:pPr>
    </w:p>
    <w:p w14:paraId="072002F9">
      <w:pPr>
        <w:snapToGrid w:val="0"/>
        <w:spacing w:line="305" w:lineRule="auto"/>
        <w:jc w:val="center"/>
        <w:rPr>
          <w:rFonts w:ascii="黑体" w:hAnsi="黑体" w:eastAsia="黑体" w:cs="黑体"/>
          <w:bCs/>
          <w:color w:val="auto"/>
          <w:sz w:val="32"/>
          <w:szCs w:val="32"/>
          <w:highlight w:val="none"/>
        </w:rPr>
      </w:pPr>
    </w:p>
    <w:p w14:paraId="7B378107">
      <w:pPr>
        <w:snapToGrid w:val="0"/>
        <w:spacing w:line="305" w:lineRule="auto"/>
        <w:jc w:val="center"/>
        <w:rPr>
          <w:rFonts w:ascii="黑体" w:hAnsi="黑体" w:eastAsia="黑体" w:cs="黑体"/>
          <w:bCs/>
          <w:color w:val="auto"/>
          <w:sz w:val="32"/>
          <w:szCs w:val="32"/>
          <w:highlight w:val="none"/>
        </w:rPr>
      </w:pPr>
    </w:p>
    <w:p w14:paraId="49512744">
      <w:pPr>
        <w:snapToGrid w:val="0"/>
        <w:spacing w:line="305" w:lineRule="auto"/>
        <w:jc w:val="center"/>
        <w:rPr>
          <w:rFonts w:ascii="黑体" w:hAnsi="黑体" w:eastAsia="黑体" w:cs="黑体"/>
          <w:bCs/>
          <w:color w:val="auto"/>
          <w:sz w:val="32"/>
          <w:szCs w:val="32"/>
          <w:highlight w:val="none"/>
        </w:rPr>
      </w:pPr>
    </w:p>
    <w:p w14:paraId="620B5199">
      <w:pPr>
        <w:snapToGrid w:val="0"/>
        <w:spacing w:line="305" w:lineRule="auto"/>
        <w:jc w:val="center"/>
        <w:rPr>
          <w:rFonts w:ascii="黑体" w:hAnsi="黑体" w:eastAsia="黑体" w:cs="黑体"/>
          <w:bCs/>
          <w:color w:val="auto"/>
          <w:sz w:val="32"/>
          <w:szCs w:val="32"/>
          <w:highlight w:val="none"/>
        </w:rPr>
      </w:pPr>
    </w:p>
    <w:p w14:paraId="57ACF4BA">
      <w:pPr>
        <w:snapToGrid w:val="0"/>
        <w:spacing w:line="305" w:lineRule="auto"/>
        <w:jc w:val="center"/>
        <w:rPr>
          <w:rFonts w:ascii="黑体" w:hAnsi="黑体" w:eastAsia="黑体" w:cs="黑体"/>
          <w:bCs/>
          <w:color w:val="auto"/>
          <w:sz w:val="32"/>
          <w:szCs w:val="32"/>
          <w:highlight w:val="none"/>
        </w:rPr>
      </w:pPr>
    </w:p>
    <w:p w14:paraId="36334FBF">
      <w:pPr>
        <w:snapToGrid w:val="0"/>
        <w:spacing w:line="305" w:lineRule="auto"/>
        <w:jc w:val="center"/>
        <w:rPr>
          <w:rFonts w:ascii="黑体" w:hAnsi="黑体" w:eastAsia="黑体" w:cs="黑体"/>
          <w:bCs/>
          <w:color w:val="auto"/>
          <w:sz w:val="32"/>
          <w:szCs w:val="32"/>
          <w:highlight w:val="none"/>
        </w:rPr>
      </w:pPr>
    </w:p>
    <w:p w14:paraId="101C262C">
      <w:pPr>
        <w:snapToGrid w:val="0"/>
        <w:spacing w:line="305" w:lineRule="auto"/>
        <w:jc w:val="center"/>
        <w:rPr>
          <w:rFonts w:ascii="黑体" w:hAnsi="黑体" w:eastAsia="黑体" w:cs="黑体"/>
          <w:bCs/>
          <w:color w:val="auto"/>
          <w:sz w:val="32"/>
          <w:szCs w:val="32"/>
          <w:highlight w:val="none"/>
        </w:rPr>
      </w:pPr>
    </w:p>
    <w:p w14:paraId="71AFB2C7">
      <w:pPr>
        <w:snapToGrid w:val="0"/>
        <w:spacing w:line="305" w:lineRule="auto"/>
        <w:jc w:val="center"/>
        <w:rPr>
          <w:rFonts w:ascii="黑体" w:hAnsi="黑体" w:eastAsia="黑体" w:cs="黑体"/>
          <w:bCs/>
          <w:color w:val="auto"/>
          <w:sz w:val="32"/>
          <w:szCs w:val="32"/>
          <w:highlight w:val="none"/>
        </w:rPr>
      </w:pPr>
    </w:p>
    <w:p w14:paraId="38CD3728">
      <w:pPr>
        <w:snapToGrid w:val="0"/>
        <w:spacing w:line="305" w:lineRule="auto"/>
        <w:jc w:val="center"/>
        <w:rPr>
          <w:rFonts w:ascii="黑体" w:hAnsi="黑体" w:eastAsia="黑体" w:cs="黑体"/>
          <w:bCs/>
          <w:color w:val="auto"/>
          <w:sz w:val="32"/>
          <w:szCs w:val="32"/>
          <w:highlight w:val="none"/>
        </w:rPr>
      </w:pPr>
    </w:p>
    <w:p w14:paraId="0C62ED47">
      <w:pPr>
        <w:snapToGrid/>
        <w:spacing w:line="240" w:lineRule="auto"/>
        <w:ind w:firstLine="0" w:firstLineChars="0"/>
        <w:jc w:val="left"/>
        <w:rPr>
          <w:rFonts w:ascii="黑体" w:hAnsi="黑体" w:eastAsia="黑体" w:cs="黑体"/>
          <w:b w:val="0"/>
          <w:bCs/>
          <w:color w:val="auto"/>
          <w:sz w:val="32"/>
          <w:szCs w:val="32"/>
          <w:highlight w:val="none"/>
        </w:rPr>
      </w:pPr>
      <w:r>
        <w:rPr>
          <w:rFonts w:ascii="黑体" w:hAnsi="黑体" w:eastAsia="黑体" w:cs="黑体"/>
          <w:b w:val="0"/>
          <w:bCs/>
          <w:color w:val="auto"/>
          <w:sz w:val="32"/>
          <w:szCs w:val="32"/>
          <w:highlight w:val="none"/>
        </w:rPr>
        <w:br w:type="page"/>
      </w:r>
    </w:p>
    <w:p w14:paraId="1A197A29">
      <w:pPr>
        <w:pStyle w:val="5"/>
        <w:ind w:firstLine="2880" w:firstLineChars="900"/>
        <w:rPr>
          <w:rFonts w:hint="eastAsia" w:ascii="黑体" w:hAnsi="黑体" w:eastAsia="黑体" w:cs="黑体"/>
          <w:bCs w:val="0"/>
          <w:color w:val="auto"/>
          <w:sz w:val="32"/>
          <w:szCs w:val="24"/>
          <w:highlight w:val="none"/>
          <w:vertAlign w:val="baseline"/>
        </w:rPr>
      </w:pPr>
      <w:r>
        <w:rPr>
          <w:rFonts w:hint="eastAsia" w:ascii="黑体" w:hAnsi="黑体" w:eastAsia="黑体" w:cs="黑体"/>
          <w:b w:val="0"/>
          <w:bCs/>
          <w:color w:val="auto"/>
          <w:kern w:val="2"/>
          <w:sz w:val="32"/>
          <w:szCs w:val="32"/>
          <w:highlight w:val="none"/>
        </w:rPr>
        <w:t>B．项目专用合同条款</w:t>
      </w:r>
      <w:r>
        <w:rPr>
          <w:rFonts w:hint="eastAsia" w:ascii="黑体" w:hAnsi="黑体" w:eastAsia="黑体" w:cs="黑体"/>
          <w:b w:val="0"/>
          <w:bCs/>
          <w:color w:val="auto"/>
          <w:kern w:val="2"/>
          <w:sz w:val="32"/>
          <w:szCs w:val="32"/>
          <w:highlight w:val="none"/>
          <w:vertAlign w:val="superscript"/>
        </w:rPr>
        <w:footnoteReference w:id="208"/>
      </w:r>
    </w:p>
    <w:p w14:paraId="7C3AC03F">
      <w:pPr>
        <w:spacing w:line="360" w:lineRule="auto"/>
        <w:ind w:firstLine="480" w:firstLineChars="200"/>
        <w:rPr>
          <w:rFonts w:ascii="黑体" w:hAnsi="黑体" w:eastAsia="黑体" w:cs="宋体"/>
          <w:color w:val="auto"/>
          <w:sz w:val="24"/>
          <w:highlight w:val="none"/>
        </w:rPr>
      </w:pPr>
      <w:r>
        <w:rPr>
          <w:rFonts w:hint="eastAsia" w:ascii="黑体" w:hAnsi="黑体" w:eastAsia="黑体"/>
          <w:color w:val="auto"/>
          <w:sz w:val="24"/>
          <w:highlight w:val="none"/>
        </w:rPr>
        <w:t>说明：</w:t>
      </w:r>
    </w:p>
    <w:p w14:paraId="3F49F297">
      <w:pPr>
        <w:spacing w:line="360" w:lineRule="auto"/>
        <w:ind w:firstLine="480" w:firstLineChars="200"/>
        <w:rPr>
          <w:rFonts w:ascii="楷体" w:hAnsi="楷体" w:eastAsia="楷体" w:cs="宋体"/>
          <w:color w:val="auto"/>
          <w:sz w:val="24"/>
          <w:highlight w:val="none"/>
        </w:rPr>
      </w:pPr>
      <w:r>
        <w:rPr>
          <w:rFonts w:ascii="楷体" w:hAnsi="楷体" w:eastAsia="楷体" w:cs="宋体"/>
          <w:color w:val="auto"/>
          <w:sz w:val="24"/>
          <w:highlight w:val="none"/>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w:t>
      </w:r>
      <w:r>
        <w:rPr>
          <w:rFonts w:hint="eastAsia" w:ascii="楷体" w:hAnsi="楷体" w:eastAsia="楷体" w:cs="宋体"/>
          <w:color w:val="auto"/>
          <w:sz w:val="24"/>
          <w:highlight w:val="none"/>
          <w:lang w:eastAsia="zh-CN"/>
        </w:rPr>
        <w:t>、</w:t>
      </w:r>
      <w:r>
        <w:rPr>
          <w:rFonts w:ascii="楷体" w:hAnsi="楷体" w:eastAsia="楷体" w:cs="宋体"/>
          <w:color w:val="auto"/>
          <w:sz w:val="24"/>
          <w:highlight w:val="none"/>
        </w:rPr>
        <w:t>诚实信用原则。</w:t>
      </w:r>
    </w:p>
    <w:p w14:paraId="562B1192">
      <w:pPr>
        <w:spacing w:line="360" w:lineRule="auto"/>
        <w:ind w:firstLine="480" w:firstLineChars="200"/>
        <w:rPr>
          <w:rFonts w:ascii="楷体" w:hAnsi="楷体" w:eastAsia="楷体" w:cs="宋体"/>
          <w:color w:val="auto"/>
          <w:sz w:val="24"/>
          <w:highlight w:val="none"/>
        </w:rPr>
      </w:pPr>
      <w:r>
        <w:rPr>
          <w:rFonts w:ascii="楷体" w:hAnsi="楷体" w:eastAsia="楷体" w:cs="宋体"/>
          <w:color w:val="auto"/>
          <w:sz w:val="24"/>
          <w:highlight w:val="none"/>
        </w:rPr>
        <w:t>2.项目专用合同条款的编号应与通用合同条款和公路工程专用合同条款一致。</w:t>
      </w:r>
    </w:p>
    <w:p w14:paraId="0593CC25">
      <w:pPr>
        <w:snapToGrid w:val="0"/>
        <w:spacing w:line="360" w:lineRule="auto"/>
        <w:ind w:firstLine="480" w:firstLineChars="200"/>
        <w:jc w:val="left"/>
        <w:rPr>
          <w:rFonts w:ascii="宋体" w:hAnsi="宋体" w:cs="宋体"/>
          <w:color w:val="auto"/>
          <w:sz w:val="24"/>
          <w:highlight w:val="none"/>
        </w:rPr>
      </w:pPr>
      <w:r>
        <w:rPr>
          <w:rFonts w:ascii="楷体" w:hAnsi="楷体" w:eastAsia="楷体" w:cs="宋体"/>
          <w:color w:val="auto"/>
          <w:sz w:val="24"/>
          <w:highlight w:val="none"/>
        </w:rPr>
        <w:t>3.招标人可以根据项目实际情况对项目专用合同条款进行补充</w:t>
      </w:r>
      <w:r>
        <w:rPr>
          <w:rFonts w:hint="eastAsia" w:ascii="楷体" w:hAnsi="楷体" w:eastAsia="楷体" w:cs="宋体"/>
          <w:color w:val="auto"/>
          <w:sz w:val="24"/>
          <w:highlight w:val="none"/>
          <w:lang w:val="en-US" w:eastAsia="zh-CN"/>
        </w:rPr>
        <w:t>和</w:t>
      </w:r>
      <w:r>
        <w:rPr>
          <w:rFonts w:ascii="楷体" w:hAnsi="楷体" w:eastAsia="楷体" w:cs="宋体"/>
          <w:color w:val="auto"/>
          <w:sz w:val="24"/>
          <w:highlight w:val="none"/>
        </w:rPr>
        <w:t>细化。</w:t>
      </w:r>
    </w:p>
    <w:p w14:paraId="00362E2A">
      <w:pPr>
        <w:snapToGrid w:val="0"/>
        <w:spacing w:line="305" w:lineRule="auto"/>
        <w:jc w:val="center"/>
        <w:rPr>
          <w:rFonts w:ascii="黑体" w:hAnsi="黑体" w:eastAsia="黑体" w:cs="黑体"/>
          <w:bCs/>
          <w:color w:val="auto"/>
          <w:sz w:val="32"/>
          <w:szCs w:val="32"/>
          <w:highlight w:val="none"/>
        </w:rPr>
      </w:pPr>
    </w:p>
    <w:p w14:paraId="49444BC5">
      <w:pPr>
        <w:snapToGrid w:val="0"/>
        <w:spacing w:line="305" w:lineRule="auto"/>
        <w:ind w:firstLine="554" w:firstLineChars="198"/>
        <w:rPr>
          <w:rFonts w:ascii="宋体" w:hAnsi="宋体"/>
          <w:color w:val="auto"/>
          <w:sz w:val="28"/>
          <w:szCs w:val="28"/>
          <w:highlight w:val="none"/>
        </w:rPr>
      </w:pPr>
    </w:p>
    <w:p w14:paraId="3C3BFD9F">
      <w:pPr>
        <w:pStyle w:val="6"/>
        <w:rPr>
          <w:rFonts w:ascii="宋体" w:hAnsi="宋体"/>
          <w:b w:val="0"/>
          <w:color w:val="auto"/>
          <w:sz w:val="32"/>
          <w:szCs w:val="32"/>
          <w:highlight w:val="none"/>
        </w:rPr>
      </w:pPr>
      <w:r>
        <w:rPr>
          <w:rFonts w:ascii="宋体" w:hAnsi="宋体" w:cs="宋体"/>
          <w:b w:val="0"/>
          <w:bCs w:val="0"/>
          <w:color w:val="auto"/>
          <w:sz w:val="24"/>
          <w:highlight w:val="none"/>
        </w:rPr>
        <w:br w:type="page"/>
      </w:r>
      <w:bookmarkStart w:id="768" w:name="_Toc27059736"/>
      <w:bookmarkStart w:id="769" w:name="_Toc27060726"/>
      <w:bookmarkStart w:id="770" w:name="_Toc53685717"/>
      <w:bookmarkStart w:id="771" w:name="_Toc27059826"/>
      <w:bookmarkStart w:id="772" w:name="_Toc27059928"/>
      <w:bookmarkStart w:id="773" w:name="_Toc27059555"/>
      <w:r>
        <w:rPr>
          <w:rFonts w:hint="eastAsia" w:ascii="宋体" w:hAnsi="宋体"/>
          <w:b w:val="0"/>
          <w:color w:val="auto"/>
          <w:sz w:val="32"/>
          <w:szCs w:val="32"/>
          <w:highlight w:val="none"/>
        </w:rPr>
        <w:t>项目专用合同条款数据表</w:t>
      </w:r>
      <w:bookmarkEnd w:id="768"/>
      <w:bookmarkEnd w:id="769"/>
      <w:bookmarkEnd w:id="770"/>
      <w:bookmarkEnd w:id="771"/>
      <w:bookmarkEnd w:id="772"/>
      <w:bookmarkEnd w:id="773"/>
    </w:p>
    <w:p w14:paraId="28A6CE52">
      <w:pPr>
        <w:adjustRightInd w:val="0"/>
        <w:snapToGrid w:val="0"/>
        <w:spacing w:line="360" w:lineRule="auto"/>
        <w:rPr>
          <w:rFonts w:ascii="宋体" w:hAnsi="宋体" w:cs="楷体"/>
          <w:color w:val="auto"/>
          <w:szCs w:val="21"/>
          <w:highlight w:val="none"/>
        </w:rPr>
      </w:pPr>
      <w:r>
        <w:rPr>
          <w:rFonts w:hint="eastAsia" w:ascii="黑体" w:hAnsi="黑体" w:eastAsia="黑体"/>
          <w:bCs/>
          <w:color w:val="auto"/>
          <w:sz w:val="24"/>
          <w:highlight w:val="none"/>
        </w:rPr>
        <w:t>说明</w:t>
      </w:r>
      <w:r>
        <w:rPr>
          <w:rFonts w:hint="eastAsia" w:ascii="黑体" w:hAnsi="黑体" w:eastAsia="黑体"/>
          <w:color w:val="auto"/>
          <w:sz w:val="24"/>
          <w:highlight w:val="none"/>
        </w:rPr>
        <w:t>：</w:t>
      </w:r>
      <w:r>
        <w:rPr>
          <w:rFonts w:hint="eastAsia" w:ascii="楷体" w:hAnsi="楷体" w:eastAsia="楷体" w:cs="楷体"/>
          <w:color w:val="auto"/>
          <w:sz w:val="24"/>
          <w:highlight w:val="none"/>
        </w:rPr>
        <w:t>本数据表是项目专用合同条款中适用于本项目的信息和数据的归纳与提示，是项目专用合同条款的组成部分。第九章“投标文件格式”的投标函附录中的数据（供投标人确认）与本表所列有重复。编写投标文件的单位应仔细校核，不使数据出现差错或不一致。</w:t>
      </w:r>
    </w:p>
    <w:tbl>
      <w:tblPr>
        <w:tblStyle w:val="4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832"/>
      </w:tblGrid>
      <w:tr w14:paraId="25AA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4" w:type="dxa"/>
            <w:vAlign w:val="center"/>
          </w:tcPr>
          <w:p w14:paraId="6886569F">
            <w:pPr>
              <w:adjustRightInd w:val="0"/>
              <w:snapToGrid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序号</w:t>
            </w:r>
          </w:p>
        </w:tc>
        <w:tc>
          <w:tcPr>
            <w:tcW w:w="1418" w:type="dxa"/>
            <w:vAlign w:val="center"/>
          </w:tcPr>
          <w:p w14:paraId="31B94025">
            <w:pPr>
              <w:adjustRightInd w:val="0"/>
              <w:snapToGrid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条目号</w:t>
            </w:r>
          </w:p>
        </w:tc>
        <w:tc>
          <w:tcPr>
            <w:tcW w:w="6832" w:type="dxa"/>
            <w:vAlign w:val="center"/>
          </w:tcPr>
          <w:p w14:paraId="691984BC">
            <w:pPr>
              <w:adjustRightInd w:val="0"/>
              <w:snapToGrid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w:t>
            </w:r>
            <w:r>
              <w:rPr>
                <w:rFonts w:ascii="宋体" w:hAnsi="宋体" w:cs="宋体"/>
                <w:b/>
                <w:bCs/>
                <w:color w:val="auto"/>
                <w:szCs w:val="21"/>
                <w:highlight w:val="none"/>
              </w:rPr>
              <w:t xml:space="preserve"> </w:t>
            </w:r>
            <w:r>
              <w:rPr>
                <w:rFonts w:hint="eastAsia" w:ascii="宋体" w:hAnsi="宋体" w:cs="宋体"/>
                <w:b/>
                <w:bCs/>
                <w:color w:val="auto"/>
                <w:szCs w:val="21"/>
                <w:highlight w:val="none"/>
              </w:rPr>
              <w:t>息</w:t>
            </w:r>
            <w:r>
              <w:rPr>
                <w:rFonts w:ascii="宋体" w:hAnsi="宋体" w:cs="宋体"/>
                <w:b/>
                <w:bCs/>
                <w:color w:val="auto"/>
                <w:szCs w:val="21"/>
                <w:highlight w:val="none"/>
              </w:rPr>
              <w:t xml:space="preserve"> </w:t>
            </w:r>
            <w:r>
              <w:rPr>
                <w:rFonts w:hint="eastAsia" w:ascii="宋体" w:hAnsi="宋体" w:cs="宋体"/>
                <w:b/>
                <w:bCs/>
                <w:color w:val="auto"/>
                <w:szCs w:val="21"/>
                <w:highlight w:val="none"/>
              </w:rPr>
              <w:t>或</w:t>
            </w:r>
            <w:r>
              <w:rPr>
                <w:rFonts w:ascii="宋体" w:hAnsi="宋体" w:cs="宋体"/>
                <w:b/>
                <w:bCs/>
                <w:color w:val="auto"/>
                <w:szCs w:val="21"/>
                <w:highlight w:val="none"/>
              </w:rPr>
              <w:t xml:space="preserve"> </w:t>
            </w:r>
            <w:r>
              <w:rPr>
                <w:rFonts w:hint="eastAsia" w:ascii="宋体" w:hAnsi="宋体" w:cs="宋体"/>
                <w:b/>
                <w:bCs/>
                <w:color w:val="auto"/>
                <w:szCs w:val="21"/>
                <w:highlight w:val="none"/>
              </w:rPr>
              <w:t>数</w:t>
            </w:r>
            <w:r>
              <w:rPr>
                <w:rFonts w:ascii="宋体" w:hAnsi="宋体" w:cs="宋体"/>
                <w:b/>
                <w:bCs/>
                <w:color w:val="auto"/>
                <w:szCs w:val="21"/>
                <w:highlight w:val="none"/>
              </w:rPr>
              <w:t xml:space="preserve"> </w:t>
            </w:r>
            <w:r>
              <w:rPr>
                <w:rFonts w:hint="eastAsia" w:ascii="宋体" w:hAnsi="宋体" w:cs="宋体"/>
                <w:b/>
                <w:bCs/>
                <w:color w:val="auto"/>
                <w:szCs w:val="21"/>
                <w:highlight w:val="none"/>
              </w:rPr>
              <w:t>据</w:t>
            </w:r>
          </w:p>
        </w:tc>
      </w:tr>
      <w:tr w14:paraId="2645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A82AD40">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418" w:type="dxa"/>
            <w:vAlign w:val="center"/>
          </w:tcPr>
          <w:p w14:paraId="5457345A">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1.1.2.2</w:t>
            </w:r>
          </w:p>
        </w:tc>
        <w:tc>
          <w:tcPr>
            <w:tcW w:w="6832" w:type="dxa"/>
            <w:vAlign w:val="center"/>
          </w:tcPr>
          <w:p w14:paraId="17937223">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发包人：</w:t>
            </w:r>
            <w:r>
              <w:rPr>
                <w:rFonts w:ascii="宋体" w:hAnsi="宋体" w:cs="宋体"/>
                <w:color w:val="auto"/>
                <w:szCs w:val="21"/>
                <w:highlight w:val="none"/>
                <w:u w:val="single"/>
              </w:rPr>
              <w:t xml:space="preserve">                 </w:t>
            </w:r>
          </w:p>
          <w:p w14:paraId="3E1B1969">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地</w:t>
            </w:r>
            <w:r>
              <w:rPr>
                <w:rFonts w:ascii="宋体" w:hAnsi="宋体" w:cs="宋体"/>
                <w:color w:val="auto"/>
                <w:szCs w:val="21"/>
                <w:highlight w:val="none"/>
              </w:rPr>
              <w:t xml:space="preserve">  </w:t>
            </w:r>
            <w:r>
              <w:rPr>
                <w:rFonts w:hint="eastAsia" w:ascii="宋体" w:hAnsi="宋体" w:cs="宋体"/>
                <w:color w:val="auto"/>
                <w:szCs w:val="21"/>
                <w:highlight w:val="none"/>
              </w:rPr>
              <w:t>址：</w:t>
            </w:r>
            <w:r>
              <w:rPr>
                <w:rFonts w:ascii="宋体" w:hAnsi="宋体" w:cs="宋体"/>
                <w:color w:val="auto"/>
                <w:szCs w:val="21"/>
                <w:highlight w:val="none"/>
                <w:u w:val="single"/>
              </w:rPr>
              <w:t xml:space="preserve">                  </w:t>
            </w: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1188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966E5F5">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w:t>
            </w:r>
          </w:p>
        </w:tc>
        <w:tc>
          <w:tcPr>
            <w:tcW w:w="1418" w:type="dxa"/>
            <w:vAlign w:val="center"/>
          </w:tcPr>
          <w:p w14:paraId="15BE9966">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1.1.2.6</w:t>
            </w:r>
          </w:p>
        </w:tc>
        <w:tc>
          <w:tcPr>
            <w:tcW w:w="6832" w:type="dxa"/>
            <w:vAlign w:val="center"/>
          </w:tcPr>
          <w:p w14:paraId="4433C113">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监理人</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27C4CFBF">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地</w:t>
            </w:r>
            <w:r>
              <w:rPr>
                <w:rFonts w:ascii="宋体" w:hAnsi="宋体" w:cs="宋体"/>
                <w:color w:val="auto"/>
                <w:szCs w:val="21"/>
                <w:highlight w:val="none"/>
              </w:rPr>
              <w:t xml:space="preserve">  </w:t>
            </w:r>
            <w:r>
              <w:rPr>
                <w:rFonts w:hint="eastAsia" w:ascii="宋体" w:hAnsi="宋体" w:cs="宋体"/>
                <w:color w:val="auto"/>
                <w:szCs w:val="21"/>
                <w:highlight w:val="none"/>
              </w:rPr>
              <w:t>址：</w:t>
            </w:r>
            <w:r>
              <w:rPr>
                <w:rFonts w:ascii="宋体" w:hAnsi="宋体" w:cs="宋体"/>
                <w:color w:val="auto"/>
                <w:szCs w:val="21"/>
                <w:highlight w:val="none"/>
                <w:u w:val="single"/>
              </w:rPr>
              <w:t xml:space="preserve">                  </w:t>
            </w: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3E58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E757D62">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w:t>
            </w:r>
          </w:p>
        </w:tc>
        <w:tc>
          <w:tcPr>
            <w:tcW w:w="1418" w:type="dxa"/>
            <w:vAlign w:val="center"/>
          </w:tcPr>
          <w:p w14:paraId="4CFDFDFB">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1.1.4.5</w:t>
            </w:r>
          </w:p>
        </w:tc>
        <w:tc>
          <w:tcPr>
            <w:tcW w:w="6832" w:type="dxa"/>
            <w:vAlign w:val="center"/>
          </w:tcPr>
          <w:p w14:paraId="0D09259E">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缺陷责任期：自实际交工日期起计算</w:t>
            </w:r>
            <w:r>
              <w:rPr>
                <w:rFonts w:ascii="宋体" w:hAnsi="宋体" w:cs="宋体"/>
                <w:color w:val="auto"/>
                <w:szCs w:val="21"/>
                <w:highlight w:val="none"/>
                <w:u w:val="single"/>
              </w:rPr>
              <w:t xml:space="preserve">      </w:t>
            </w:r>
            <w:r>
              <w:rPr>
                <w:rFonts w:hint="eastAsia" w:ascii="宋体" w:hAnsi="宋体" w:cs="宋体"/>
                <w:color w:val="auto"/>
                <w:szCs w:val="21"/>
                <w:highlight w:val="none"/>
                <w:lang w:val="en-US" w:eastAsia="zh-CN"/>
              </w:rPr>
              <w:t>个月</w:t>
            </w:r>
            <w:r>
              <w:rPr>
                <w:rStyle w:val="59"/>
                <w:rFonts w:ascii="宋体" w:hAnsi="宋体" w:cs="宋体"/>
                <w:color w:val="auto"/>
                <w:szCs w:val="21"/>
                <w:highlight w:val="none"/>
              </w:rPr>
              <w:footnoteReference w:id="209"/>
            </w:r>
          </w:p>
        </w:tc>
      </w:tr>
      <w:tr w14:paraId="2558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76DEB38">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4</w:t>
            </w:r>
          </w:p>
        </w:tc>
        <w:tc>
          <w:tcPr>
            <w:tcW w:w="1418" w:type="dxa"/>
            <w:vAlign w:val="center"/>
          </w:tcPr>
          <w:p w14:paraId="6E175617">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1.6.3</w:t>
            </w:r>
          </w:p>
        </w:tc>
        <w:tc>
          <w:tcPr>
            <w:tcW w:w="6832" w:type="dxa"/>
            <w:vAlign w:val="center"/>
          </w:tcPr>
          <w:p w14:paraId="34DBE838">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图纸需要修改和补充的，应由监理人取得发包人同意后，在该工程或工程相应部位施工前</w:t>
            </w:r>
            <w:r>
              <w:rPr>
                <w:rFonts w:ascii="宋体" w:hAnsi="宋体" w:cs="宋体"/>
                <w:color w:val="auto"/>
                <w:szCs w:val="21"/>
                <w:highlight w:val="none"/>
                <w:u w:val="single"/>
              </w:rPr>
              <w:t xml:space="preserve">     </w:t>
            </w:r>
            <w:r>
              <w:rPr>
                <w:rFonts w:hint="eastAsia" w:ascii="宋体" w:hAnsi="宋体" w:cs="宋体"/>
                <w:color w:val="auto"/>
                <w:szCs w:val="21"/>
                <w:highlight w:val="none"/>
              </w:rPr>
              <w:t>天签发图纸修改图给承包人</w:t>
            </w:r>
          </w:p>
        </w:tc>
      </w:tr>
      <w:tr w14:paraId="5C93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3C1A88E">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5</w:t>
            </w:r>
          </w:p>
        </w:tc>
        <w:tc>
          <w:tcPr>
            <w:tcW w:w="1418" w:type="dxa"/>
            <w:vAlign w:val="center"/>
          </w:tcPr>
          <w:p w14:paraId="4BD259D6">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3.1.1</w:t>
            </w:r>
          </w:p>
        </w:tc>
        <w:tc>
          <w:tcPr>
            <w:tcW w:w="6832" w:type="dxa"/>
            <w:vAlign w:val="center"/>
          </w:tcPr>
          <w:p w14:paraId="57CCEE7B">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监理人在行使下列权力前需要经发包人事先批准：</w:t>
            </w:r>
            <w:r>
              <w:rPr>
                <w:rFonts w:ascii="宋体" w:hAnsi="宋体" w:cs="宋体"/>
                <w:color w:val="auto"/>
                <w:szCs w:val="21"/>
                <w:highlight w:val="none"/>
                <w:u w:val="single"/>
              </w:rPr>
              <w:t xml:space="preserve">        </w:t>
            </w:r>
          </w:p>
        </w:tc>
      </w:tr>
      <w:tr w14:paraId="63EB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29F3DB">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6</w:t>
            </w:r>
          </w:p>
        </w:tc>
        <w:tc>
          <w:tcPr>
            <w:tcW w:w="1418" w:type="dxa"/>
            <w:vAlign w:val="center"/>
          </w:tcPr>
          <w:p w14:paraId="65F86127">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5.2.1</w:t>
            </w:r>
          </w:p>
        </w:tc>
        <w:tc>
          <w:tcPr>
            <w:tcW w:w="6832" w:type="dxa"/>
            <w:vAlign w:val="center"/>
          </w:tcPr>
          <w:p w14:paraId="00761BB3">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发包人是否提供材料或工程设备：□是  □否</w:t>
            </w:r>
          </w:p>
          <w:p w14:paraId="0090E6E0">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如发包人负责提供部分材料或工程设备，相关规定如下：</w:t>
            </w:r>
            <w:r>
              <w:rPr>
                <w:rFonts w:ascii="宋体" w:hAnsi="宋体" w:cs="宋体"/>
                <w:color w:val="auto"/>
                <w:szCs w:val="21"/>
                <w:highlight w:val="none"/>
                <w:u w:val="single"/>
              </w:rPr>
              <w:t xml:space="preserve">              </w:t>
            </w:r>
          </w:p>
        </w:tc>
      </w:tr>
      <w:tr w14:paraId="25BA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C15A027">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7</w:t>
            </w:r>
          </w:p>
        </w:tc>
        <w:tc>
          <w:tcPr>
            <w:tcW w:w="1418" w:type="dxa"/>
            <w:vAlign w:val="center"/>
          </w:tcPr>
          <w:p w14:paraId="18286C79">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6.2</w:t>
            </w:r>
          </w:p>
        </w:tc>
        <w:tc>
          <w:tcPr>
            <w:tcW w:w="6832" w:type="dxa"/>
            <w:vAlign w:val="center"/>
          </w:tcPr>
          <w:p w14:paraId="29C29573">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发包人是否提供施工设备和临时设施：□是  □否</w:t>
            </w:r>
          </w:p>
          <w:p w14:paraId="68A3B624">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如发包人负责提供部分施工设备和临时设施，相关规定如下：</w:t>
            </w:r>
            <w:r>
              <w:rPr>
                <w:rFonts w:ascii="宋体" w:hAnsi="宋体" w:cs="宋体"/>
                <w:color w:val="auto"/>
                <w:szCs w:val="21"/>
                <w:highlight w:val="none"/>
                <w:u w:val="single"/>
              </w:rPr>
              <w:t xml:space="preserve">             </w:t>
            </w:r>
          </w:p>
        </w:tc>
      </w:tr>
      <w:tr w14:paraId="72C9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B7FA424">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8</w:t>
            </w:r>
          </w:p>
        </w:tc>
        <w:tc>
          <w:tcPr>
            <w:tcW w:w="1418" w:type="dxa"/>
            <w:vAlign w:val="center"/>
          </w:tcPr>
          <w:p w14:paraId="43F7F3B2">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8.1.1</w:t>
            </w:r>
          </w:p>
        </w:tc>
        <w:tc>
          <w:tcPr>
            <w:tcW w:w="6832" w:type="dxa"/>
            <w:vAlign w:val="center"/>
          </w:tcPr>
          <w:p w14:paraId="22C2F8C5">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发包人提供测量基准点、基准线和水准点及其书面资料的期限：</w:t>
            </w:r>
            <w:r>
              <w:rPr>
                <w:rFonts w:ascii="宋体" w:hAnsi="宋体" w:cs="宋体"/>
                <w:color w:val="auto"/>
                <w:szCs w:val="21"/>
                <w:highlight w:val="none"/>
                <w:u w:val="single"/>
              </w:rPr>
              <w:t xml:space="preserve">       </w:t>
            </w:r>
          </w:p>
          <w:p w14:paraId="7B6F932E">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承包人将施工控制网资料报送监理人审批的期限：</w:t>
            </w:r>
            <w:r>
              <w:rPr>
                <w:rFonts w:ascii="宋体" w:hAnsi="宋体" w:cs="宋体"/>
                <w:color w:val="auto"/>
                <w:szCs w:val="21"/>
                <w:highlight w:val="none"/>
                <w:u w:val="single"/>
              </w:rPr>
              <w:t xml:space="preserve">      </w:t>
            </w:r>
          </w:p>
        </w:tc>
      </w:tr>
      <w:tr w14:paraId="73FB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A5395B3">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9</w:t>
            </w:r>
          </w:p>
        </w:tc>
        <w:tc>
          <w:tcPr>
            <w:tcW w:w="1418" w:type="dxa"/>
            <w:vAlign w:val="center"/>
          </w:tcPr>
          <w:p w14:paraId="61F5D0C5">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11.5（3）</w:t>
            </w:r>
          </w:p>
        </w:tc>
        <w:tc>
          <w:tcPr>
            <w:tcW w:w="6832" w:type="dxa"/>
            <w:vAlign w:val="center"/>
          </w:tcPr>
          <w:p w14:paraId="6193506D">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逾期交工违约金：</w:t>
            </w: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r>
              <w:rPr>
                <w:rFonts w:ascii="宋体" w:hAnsi="宋体" w:cs="宋体"/>
                <w:color w:val="auto"/>
                <w:szCs w:val="21"/>
                <w:highlight w:val="none"/>
              </w:rPr>
              <w:t>/天</w:t>
            </w:r>
          </w:p>
          <w:p w14:paraId="3FFA1BC0">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逾期交（竣）工违约金</w:t>
            </w:r>
            <w:r>
              <w:rPr>
                <w:rStyle w:val="59"/>
                <w:rFonts w:ascii="宋体" w:hAnsi="宋体" w:cs="宋体"/>
                <w:color w:val="auto"/>
                <w:szCs w:val="21"/>
                <w:highlight w:val="none"/>
              </w:rPr>
              <w:footnoteReference w:id="210"/>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r>
              <w:rPr>
                <w:rFonts w:ascii="宋体" w:hAnsi="宋体" w:cs="宋体"/>
                <w:color w:val="auto"/>
                <w:szCs w:val="21"/>
                <w:highlight w:val="none"/>
              </w:rPr>
              <w:t>/天</w:t>
            </w:r>
          </w:p>
        </w:tc>
      </w:tr>
      <w:tr w14:paraId="36F7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4CF85C3">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10</w:t>
            </w:r>
          </w:p>
        </w:tc>
        <w:tc>
          <w:tcPr>
            <w:tcW w:w="1418" w:type="dxa"/>
            <w:vAlign w:val="center"/>
          </w:tcPr>
          <w:p w14:paraId="012432EF">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11.5（3）</w:t>
            </w:r>
          </w:p>
        </w:tc>
        <w:tc>
          <w:tcPr>
            <w:tcW w:w="6832" w:type="dxa"/>
            <w:vAlign w:val="center"/>
          </w:tcPr>
          <w:p w14:paraId="41CB9AFD">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逾期交工违约金限额：</w:t>
            </w:r>
            <w:r>
              <w:rPr>
                <w:rFonts w:ascii="宋体" w:hAnsi="宋体" w:cs="宋体"/>
                <w:color w:val="auto"/>
                <w:szCs w:val="21"/>
                <w:highlight w:val="none"/>
                <w:u w:val="single"/>
              </w:rPr>
              <w:t xml:space="preserve">     </w:t>
            </w:r>
            <w:r>
              <w:rPr>
                <w:rFonts w:ascii="宋体" w:hAnsi="宋体" w:cs="宋体"/>
                <w:color w:val="auto"/>
                <w:szCs w:val="21"/>
                <w:highlight w:val="none"/>
              </w:rPr>
              <w:t>%签约合同价</w:t>
            </w:r>
            <w:r>
              <w:rPr>
                <w:rStyle w:val="59"/>
                <w:rFonts w:ascii="宋体" w:hAnsi="宋体" w:cs="宋体"/>
                <w:color w:val="auto"/>
                <w:szCs w:val="21"/>
                <w:highlight w:val="none"/>
              </w:rPr>
              <w:footnoteReference w:id="211"/>
            </w:r>
          </w:p>
          <w:p w14:paraId="097D5FEC">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逾期交（竣）工违约金限额</w:t>
            </w:r>
            <w:r>
              <w:rPr>
                <w:rStyle w:val="59"/>
                <w:rFonts w:ascii="宋体" w:hAnsi="宋体" w:cs="宋体"/>
                <w:color w:val="auto"/>
                <w:szCs w:val="21"/>
                <w:highlight w:val="none"/>
              </w:rPr>
              <w:footnoteReference w:id="212"/>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%签约合同价</w:t>
            </w:r>
          </w:p>
        </w:tc>
      </w:tr>
      <w:tr w14:paraId="4CCB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BD753FF">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w:t>
            </w:r>
          </w:p>
        </w:tc>
        <w:tc>
          <w:tcPr>
            <w:tcW w:w="1418" w:type="dxa"/>
            <w:vAlign w:val="center"/>
          </w:tcPr>
          <w:p w14:paraId="022676B2">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11.6</w:t>
            </w:r>
          </w:p>
        </w:tc>
        <w:tc>
          <w:tcPr>
            <w:tcW w:w="6832" w:type="dxa"/>
            <w:vAlign w:val="center"/>
          </w:tcPr>
          <w:p w14:paraId="504DA1B9">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提前交工的奖金：</w:t>
            </w:r>
            <w:r>
              <w:rPr>
                <w:rFonts w:ascii="宋体" w:hAnsi="宋体" w:cs="宋体"/>
                <w:color w:val="auto"/>
                <w:szCs w:val="21"/>
                <w:highlight w:val="none"/>
                <w:u w:val="single"/>
              </w:rPr>
              <w:t xml:space="preserve">     </w:t>
            </w:r>
          </w:p>
          <w:p w14:paraId="109712E9">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提前交（竣）工的奖金</w:t>
            </w:r>
            <w:r>
              <w:rPr>
                <w:rStyle w:val="59"/>
                <w:rFonts w:ascii="宋体" w:hAnsi="宋体" w:cs="宋体"/>
                <w:color w:val="auto"/>
                <w:szCs w:val="21"/>
                <w:highlight w:val="none"/>
              </w:rPr>
              <w:footnoteReference w:id="213"/>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tc>
      </w:tr>
      <w:tr w14:paraId="638F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vAlign w:val="center"/>
          </w:tcPr>
          <w:p w14:paraId="2C456A48">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12</w:t>
            </w:r>
          </w:p>
        </w:tc>
        <w:tc>
          <w:tcPr>
            <w:tcW w:w="1418" w:type="dxa"/>
            <w:vAlign w:val="center"/>
          </w:tcPr>
          <w:p w14:paraId="272C3E60">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11.6</w:t>
            </w:r>
          </w:p>
        </w:tc>
        <w:tc>
          <w:tcPr>
            <w:tcW w:w="6832" w:type="dxa"/>
            <w:vAlign w:val="center"/>
          </w:tcPr>
          <w:p w14:paraId="421B1BBF">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提前交工的奖金限额：</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10F28476">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提前交（竣）工的奖金限额</w:t>
            </w:r>
            <w:r>
              <w:rPr>
                <w:rStyle w:val="59"/>
                <w:rFonts w:ascii="宋体" w:hAnsi="宋体" w:cs="宋体"/>
                <w:color w:val="auto"/>
                <w:szCs w:val="21"/>
                <w:highlight w:val="none"/>
              </w:rPr>
              <w:footnoteReference w:id="214"/>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tc>
      </w:tr>
      <w:tr w14:paraId="75E6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99BA848">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13</w:t>
            </w:r>
          </w:p>
        </w:tc>
        <w:tc>
          <w:tcPr>
            <w:tcW w:w="1418" w:type="dxa"/>
            <w:vAlign w:val="center"/>
          </w:tcPr>
          <w:p w14:paraId="73B2D1C3">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15.5.2</w:t>
            </w:r>
          </w:p>
        </w:tc>
        <w:tc>
          <w:tcPr>
            <w:tcW w:w="6832" w:type="dxa"/>
            <w:vAlign w:val="center"/>
          </w:tcPr>
          <w:p w14:paraId="1D071E29">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承包人提出的合理化建议降低了合同价格或者提高了工程经济效益的，发包人按所节约成本的</w:t>
            </w:r>
            <w:r>
              <w:rPr>
                <w:rFonts w:ascii="宋体" w:hAnsi="宋体" w:cs="宋体"/>
                <w:color w:val="auto"/>
                <w:szCs w:val="21"/>
                <w:highlight w:val="none"/>
                <w:u w:val="single"/>
              </w:rPr>
              <w:t xml:space="preserve">     </w:t>
            </w:r>
            <w:r>
              <w:rPr>
                <w:rFonts w:ascii="宋体" w:hAnsi="宋体" w:cs="宋体"/>
                <w:color w:val="auto"/>
                <w:szCs w:val="21"/>
                <w:highlight w:val="none"/>
              </w:rPr>
              <w:t>%或增加收益的</w:t>
            </w:r>
            <w:r>
              <w:rPr>
                <w:rFonts w:ascii="宋体" w:hAnsi="宋体" w:cs="宋体"/>
                <w:color w:val="auto"/>
                <w:szCs w:val="21"/>
                <w:highlight w:val="none"/>
                <w:u w:val="single"/>
              </w:rPr>
              <w:t xml:space="preserve">     </w:t>
            </w:r>
            <w:r>
              <w:rPr>
                <w:rFonts w:ascii="宋体" w:hAnsi="宋体" w:cs="宋体"/>
                <w:color w:val="auto"/>
                <w:szCs w:val="21"/>
                <w:highlight w:val="none"/>
              </w:rPr>
              <w:t>%给予奖励</w:t>
            </w:r>
          </w:p>
        </w:tc>
      </w:tr>
      <w:tr w14:paraId="20A7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vAlign w:val="center"/>
          </w:tcPr>
          <w:p w14:paraId="5C2106E7">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14</w:t>
            </w:r>
          </w:p>
        </w:tc>
        <w:tc>
          <w:tcPr>
            <w:tcW w:w="1418" w:type="dxa"/>
            <w:vAlign w:val="center"/>
          </w:tcPr>
          <w:p w14:paraId="3DD74D80">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16.1</w:t>
            </w:r>
          </w:p>
        </w:tc>
        <w:tc>
          <w:tcPr>
            <w:tcW w:w="6832" w:type="dxa"/>
            <w:vAlign w:val="center"/>
          </w:tcPr>
          <w:p w14:paraId="29704E29">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合同期内不调价</w:t>
            </w:r>
            <w:r>
              <w:rPr>
                <w:rStyle w:val="59"/>
                <w:rFonts w:ascii="宋体" w:hAnsi="宋体" w:cs="宋体"/>
                <w:color w:val="auto"/>
                <w:szCs w:val="21"/>
                <w:highlight w:val="none"/>
              </w:rPr>
              <w:footnoteReference w:id="215"/>
            </w:r>
          </w:p>
          <w:p w14:paraId="65238A4B">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因物价波动引起的价格调整按照下列约定的原则处理：</w:t>
            </w:r>
          </w:p>
          <w:p w14:paraId="7F24FDA6">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□第</w:t>
            </w:r>
            <w:r>
              <w:rPr>
                <w:rFonts w:ascii="宋体" w:hAnsi="宋体" w:cs="宋体"/>
                <w:color w:val="auto"/>
                <w:szCs w:val="21"/>
                <w:highlight w:val="none"/>
              </w:rPr>
              <w:t>16.1.1项，</w:t>
            </w:r>
            <w:r>
              <w:rPr>
                <w:rFonts w:hint="eastAsia" w:ascii="宋体" w:hAnsi="宋体" w:cs="宋体"/>
                <w:color w:val="auto"/>
                <w:szCs w:val="21"/>
                <w:highlight w:val="none"/>
              </w:rPr>
              <w:t>采用价格指数方式</w:t>
            </w:r>
            <w:r>
              <w:rPr>
                <w:rFonts w:ascii="宋体" w:hAnsi="宋体" w:cs="宋体"/>
                <w:color w:val="auto"/>
                <w:szCs w:val="21"/>
                <w:highlight w:val="none"/>
              </w:rPr>
              <w:t>每</w:t>
            </w:r>
            <w:r>
              <w:rPr>
                <w:rFonts w:ascii="宋体" w:hAnsi="宋体" w:cs="宋体"/>
                <w:color w:val="auto"/>
                <w:szCs w:val="21"/>
                <w:highlight w:val="none"/>
                <w:u w:val="single"/>
              </w:rPr>
              <w:t xml:space="preserve">   </w:t>
            </w:r>
            <w:r>
              <w:rPr>
                <w:rFonts w:hint="eastAsia" w:ascii="宋体" w:hAnsi="宋体" w:cs="宋体"/>
                <w:color w:val="auto"/>
                <w:szCs w:val="21"/>
                <w:highlight w:val="none"/>
              </w:rPr>
              <w:t>个月按价格调整公式进行一次调整，调价</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954B78C">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第</w:t>
            </w:r>
            <w:r>
              <w:rPr>
                <w:rFonts w:ascii="宋体" w:hAnsi="宋体" w:cs="宋体"/>
                <w:color w:val="auto"/>
                <w:szCs w:val="21"/>
                <w:highlight w:val="none"/>
              </w:rPr>
              <w:t>16.1.2项</w:t>
            </w:r>
            <w:r>
              <w:rPr>
                <w:rFonts w:hint="eastAsia" w:ascii="宋体" w:hAnsi="宋体" w:cs="宋体"/>
                <w:color w:val="auto"/>
                <w:szCs w:val="21"/>
                <w:highlight w:val="none"/>
              </w:rPr>
              <w:t>，采用造价信息方式</w:t>
            </w:r>
            <w:r>
              <w:rPr>
                <w:rFonts w:ascii="宋体" w:hAnsi="宋体" w:cs="宋体"/>
                <w:color w:val="auto"/>
                <w:szCs w:val="21"/>
                <w:highlight w:val="none"/>
              </w:rPr>
              <w:t>每</w:t>
            </w:r>
            <w:r>
              <w:rPr>
                <w:rFonts w:ascii="宋体" w:hAnsi="宋体" w:cs="宋体"/>
                <w:color w:val="auto"/>
                <w:szCs w:val="21"/>
                <w:highlight w:val="none"/>
                <w:u w:val="single"/>
              </w:rPr>
              <w:t xml:space="preserve">   </w:t>
            </w:r>
            <w:r>
              <w:rPr>
                <w:rFonts w:hint="eastAsia" w:ascii="宋体" w:hAnsi="宋体" w:cs="宋体"/>
                <w:color w:val="auto"/>
                <w:szCs w:val="21"/>
                <w:highlight w:val="none"/>
              </w:rPr>
              <w:t>个月按价格调整公式进行一次调整，调价</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417C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62B08F5">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15</w:t>
            </w:r>
          </w:p>
        </w:tc>
        <w:tc>
          <w:tcPr>
            <w:tcW w:w="1418" w:type="dxa"/>
            <w:vAlign w:val="center"/>
          </w:tcPr>
          <w:p w14:paraId="670C4D46">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17.2.1（1）</w:t>
            </w:r>
          </w:p>
        </w:tc>
        <w:tc>
          <w:tcPr>
            <w:tcW w:w="6832" w:type="dxa"/>
            <w:vAlign w:val="center"/>
          </w:tcPr>
          <w:p w14:paraId="65757842">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开工预付款金额：</w:t>
            </w:r>
            <w:r>
              <w:rPr>
                <w:rFonts w:ascii="宋体" w:hAnsi="宋体" w:cs="宋体"/>
                <w:color w:val="auto"/>
                <w:szCs w:val="21"/>
                <w:highlight w:val="none"/>
                <w:u w:val="single"/>
              </w:rPr>
              <w:t xml:space="preserve">      </w:t>
            </w:r>
            <w:r>
              <w:rPr>
                <w:rFonts w:ascii="宋体" w:hAnsi="宋体" w:cs="宋体"/>
                <w:color w:val="auto"/>
                <w:szCs w:val="21"/>
                <w:highlight w:val="none"/>
              </w:rPr>
              <w:t>%签约合同价</w:t>
            </w:r>
            <w:r>
              <w:rPr>
                <w:rStyle w:val="59"/>
                <w:rFonts w:ascii="宋体" w:hAnsi="宋体" w:cs="宋体"/>
                <w:color w:val="auto"/>
                <w:szCs w:val="21"/>
                <w:highlight w:val="none"/>
              </w:rPr>
              <w:footnoteReference w:id="216"/>
            </w:r>
          </w:p>
        </w:tc>
      </w:tr>
      <w:tr w14:paraId="1CFF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6D67620">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16</w:t>
            </w:r>
          </w:p>
        </w:tc>
        <w:tc>
          <w:tcPr>
            <w:tcW w:w="1418" w:type="dxa"/>
            <w:vAlign w:val="center"/>
          </w:tcPr>
          <w:p w14:paraId="428C10DB">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17.2.1（2）</w:t>
            </w:r>
          </w:p>
        </w:tc>
        <w:tc>
          <w:tcPr>
            <w:tcW w:w="6832" w:type="dxa"/>
            <w:vAlign w:val="center"/>
          </w:tcPr>
          <w:p w14:paraId="5E056228">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材料、设备预付款比例：</w:t>
            </w:r>
            <w:r>
              <w:rPr>
                <w:rFonts w:ascii="宋体" w:hAnsi="宋体" w:cs="宋体"/>
                <w:color w:val="auto"/>
                <w:szCs w:val="21"/>
                <w:highlight w:val="none"/>
                <w:u w:val="single"/>
              </w:rPr>
              <w:t xml:space="preserve">            </w:t>
            </w:r>
            <w:r>
              <w:rPr>
                <w:rFonts w:hint="eastAsia" w:ascii="宋体" w:hAnsi="宋体" w:cs="宋体"/>
                <w:color w:val="auto"/>
                <w:szCs w:val="21"/>
                <w:highlight w:val="none"/>
              </w:rPr>
              <w:t>等主要材料、设备单据所列费用的</w:t>
            </w:r>
            <w:r>
              <w:rPr>
                <w:rFonts w:ascii="宋体" w:hAnsi="宋体" w:cs="宋体"/>
                <w:color w:val="auto"/>
                <w:szCs w:val="21"/>
                <w:highlight w:val="none"/>
                <w:u w:val="single"/>
              </w:rPr>
              <w:t xml:space="preserve">      </w:t>
            </w:r>
            <w:r>
              <w:rPr>
                <w:rFonts w:ascii="宋体" w:hAnsi="宋体" w:cs="宋体"/>
                <w:color w:val="auto"/>
                <w:szCs w:val="21"/>
                <w:highlight w:val="none"/>
              </w:rPr>
              <w:t>%</w:t>
            </w:r>
            <w:r>
              <w:rPr>
                <w:rStyle w:val="59"/>
                <w:rFonts w:ascii="宋体" w:hAnsi="宋体" w:cs="宋体"/>
                <w:color w:val="auto"/>
                <w:szCs w:val="21"/>
                <w:highlight w:val="none"/>
              </w:rPr>
              <w:footnoteReference w:id="217"/>
            </w:r>
          </w:p>
        </w:tc>
      </w:tr>
      <w:tr w14:paraId="7C8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A5A6F7B">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17</w:t>
            </w:r>
          </w:p>
        </w:tc>
        <w:tc>
          <w:tcPr>
            <w:tcW w:w="1418" w:type="dxa"/>
            <w:vAlign w:val="center"/>
          </w:tcPr>
          <w:p w14:paraId="0D7CBB81">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17.3.2</w:t>
            </w:r>
          </w:p>
        </w:tc>
        <w:tc>
          <w:tcPr>
            <w:tcW w:w="6832" w:type="dxa"/>
            <w:vAlign w:val="center"/>
          </w:tcPr>
          <w:p w14:paraId="7E369549">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承包人在每个付款周期末向监理人提交进度付款申请单的份数：</w:t>
            </w:r>
            <w:r>
              <w:rPr>
                <w:rFonts w:ascii="宋体" w:hAnsi="宋体" w:cs="宋体"/>
                <w:color w:val="auto"/>
                <w:szCs w:val="21"/>
                <w:highlight w:val="none"/>
                <w:u w:val="single"/>
              </w:rPr>
              <w:t xml:space="preserve">      </w:t>
            </w:r>
            <w:r>
              <w:rPr>
                <w:rFonts w:hint="eastAsia" w:ascii="宋体" w:hAnsi="宋体" w:cs="宋体"/>
                <w:color w:val="auto"/>
                <w:szCs w:val="21"/>
                <w:highlight w:val="none"/>
              </w:rPr>
              <w:t>份</w:t>
            </w:r>
          </w:p>
        </w:tc>
      </w:tr>
      <w:tr w14:paraId="0BA8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1A880E9">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18</w:t>
            </w:r>
          </w:p>
        </w:tc>
        <w:tc>
          <w:tcPr>
            <w:tcW w:w="1418" w:type="dxa"/>
            <w:vAlign w:val="center"/>
          </w:tcPr>
          <w:p w14:paraId="4E8AD746">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17.3.3（1）</w:t>
            </w:r>
          </w:p>
        </w:tc>
        <w:tc>
          <w:tcPr>
            <w:tcW w:w="6832" w:type="dxa"/>
            <w:vAlign w:val="center"/>
          </w:tcPr>
          <w:p w14:paraId="1A5B96A8">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进度付款证书最低限额：</w:t>
            </w:r>
            <w:r>
              <w:rPr>
                <w:rFonts w:ascii="宋体" w:hAnsi="宋体" w:cs="宋体"/>
                <w:color w:val="auto"/>
                <w:szCs w:val="21"/>
                <w:highlight w:val="none"/>
                <w:u w:val="single"/>
              </w:rPr>
              <w:t xml:space="preserve">     </w:t>
            </w:r>
            <w:r>
              <w:rPr>
                <w:rFonts w:ascii="宋体" w:hAnsi="宋体" w:cs="宋体"/>
                <w:color w:val="auto"/>
                <w:szCs w:val="21"/>
                <w:highlight w:val="none"/>
              </w:rPr>
              <w:t>%签约合同价或</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w:t>
            </w:r>
            <w:r>
              <w:rPr>
                <w:rStyle w:val="59"/>
                <w:rFonts w:ascii="宋体" w:hAnsi="宋体" w:cs="宋体"/>
                <w:color w:val="auto"/>
                <w:szCs w:val="21"/>
                <w:highlight w:val="none"/>
              </w:rPr>
              <w:footnoteReference w:id="218"/>
            </w:r>
          </w:p>
        </w:tc>
      </w:tr>
      <w:tr w14:paraId="7DD7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3BF2C7D">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19</w:t>
            </w:r>
          </w:p>
        </w:tc>
        <w:tc>
          <w:tcPr>
            <w:tcW w:w="1418" w:type="dxa"/>
            <w:vAlign w:val="center"/>
          </w:tcPr>
          <w:p w14:paraId="730E4421">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17.3.3（2）</w:t>
            </w:r>
          </w:p>
        </w:tc>
        <w:tc>
          <w:tcPr>
            <w:tcW w:w="6832" w:type="dxa"/>
            <w:vAlign w:val="center"/>
          </w:tcPr>
          <w:p w14:paraId="7E5FDE08">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逾期付款违约金的利率：</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天</w:t>
            </w:r>
            <w:r>
              <w:rPr>
                <w:rStyle w:val="59"/>
                <w:rFonts w:ascii="宋体" w:hAnsi="宋体" w:cs="宋体"/>
                <w:color w:val="auto"/>
                <w:szCs w:val="21"/>
                <w:highlight w:val="none"/>
              </w:rPr>
              <w:footnoteReference w:id="219"/>
            </w:r>
          </w:p>
        </w:tc>
      </w:tr>
      <w:tr w14:paraId="39F9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C262E56">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20</w:t>
            </w:r>
          </w:p>
        </w:tc>
        <w:tc>
          <w:tcPr>
            <w:tcW w:w="1418" w:type="dxa"/>
            <w:vAlign w:val="center"/>
          </w:tcPr>
          <w:p w14:paraId="1833E56C">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17.4.1</w:t>
            </w:r>
            <w:r>
              <w:rPr>
                <w:rStyle w:val="59"/>
                <w:rFonts w:ascii="黑体"/>
                <w:bCs/>
                <w:color w:val="auto"/>
                <w:sz w:val="24"/>
                <w:highlight w:val="none"/>
              </w:rPr>
              <w:footnoteReference w:id="220"/>
            </w:r>
          </w:p>
        </w:tc>
        <w:tc>
          <w:tcPr>
            <w:tcW w:w="6832" w:type="dxa"/>
            <w:vAlign w:val="center"/>
          </w:tcPr>
          <w:p w14:paraId="5FB71547">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质量保证金金额：</w:t>
            </w:r>
            <w:r>
              <w:rPr>
                <w:rFonts w:ascii="宋体" w:hAnsi="宋体" w:cs="宋体"/>
                <w:color w:val="auto"/>
                <w:szCs w:val="21"/>
                <w:highlight w:val="none"/>
                <w:u w:val="single"/>
              </w:rPr>
              <w:t xml:space="preserve">     </w:t>
            </w:r>
            <w:r>
              <w:rPr>
                <w:rFonts w:ascii="宋体" w:hAnsi="宋体" w:cs="宋体"/>
                <w:color w:val="auto"/>
                <w:szCs w:val="21"/>
                <w:highlight w:val="none"/>
              </w:rPr>
              <w:t>%合同价格</w:t>
            </w:r>
            <w:r>
              <w:rPr>
                <w:rStyle w:val="59"/>
                <w:rFonts w:ascii="宋体" w:hAnsi="宋体" w:cs="宋体"/>
                <w:color w:val="auto"/>
                <w:szCs w:val="21"/>
                <w:highlight w:val="none"/>
              </w:rPr>
              <w:footnoteReference w:id="221"/>
            </w:r>
          </w:p>
          <w:p w14:paraId="6EF92D68">
            <w:pPr>
              <w:widowControl/>
              <w:spacing w:line="400" w:lineRule="exact"/>
              <w:jc w:val="left"/>
              <w:rPr>
                <w:color w:val="auto"/>
                <w:highlight w:val="none"/>
              </w:rPr>
            </w:pPr>
            <w:r>
              <w:rPr>
                <w:rFonts w:hint="eastAsia" w:ascii="宋体" w:hAnsi="宋体" w:cs="宋体"/>
                <w:color w:val="auto"/>
                <w:kern w:val="0"/>
                <w:szCs w:val="21"/>
                <w:highlight w:val="none"/>
                <w:lang w:bidi="ar"/>
              </w:rPr>
              <w:t xml:space="preserve">质量保证金是否计付利息： </w:t>
            </w:r>
          </w:p>
          <w:p w14:paraId="10CC6841">
            <w:pPr>
              <w:widowControl/>
              <w:spacing w:line="400" w:lineRule="exact"/>
              <w:ind w:firstLine="210" w:firstLineChars="100"/>
              <w:jc w:val="left"/>
              <w:rPr>
                <w:color w:val="auto"/>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kern w:val="0"/>
                <w:szCs w:val="21"/>
                <w:highlight w:val="none"/>
                <w:lang w:bidi="ar"/>
              </w:rPr>
              <w:t xml:space="preserve"> 是，利息的计算方式：</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 </w:t>
            </w:r>
          </w:p>
          <w:p w14:paraId="07F175E6">
            <w:pPr>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lang w:bidi="ar"/>
              </w:rPr>
              <w:sym w:font="Wingdings 2" w:char="00A3"/>
            </w:r>
            <w:r>
              <w:rPr>
                <w:rFonts w:hint="eastAsia"/>
                <w:color w:val="auto"/>
                <w:kern w:val="0"/>
                <w:szCs w:val="21"/>
                <w:highlight w:val="none"/>
                <w:lang w:bidi="ar"/>
              </w:rPr>
              <w:t xml:space="preserve"> </w:t>
            </w:r>
            <w:r>
              <w:rPr>
                <w:rFonts w:hint="eastAsia" w:ascii="宋体" w:hAnsi="宋体" w:cs="宋体"/>
                <w:color w:val="auto"/>
                <w:kern w:val="0"/>
                <w:szCs w:val="21"/>
                <w:highlight w:val="none"/>
                <w:lang w:bidi="ar"/>
              </w:rPr>
              <w:t>否</w:t>
            </w:r>
          </w:p>
        </w:tc>
      </w:tr>
      <w:tr w14:paraId="3D75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E98ED63">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w:t>
            </w:r>
          </w:p>
        </w:tc>
        <w:tc>
          <w:tcPr>
            <w:tcW w:w="1418" w:type="dxa"/>
            <w:vAlign w:val="center"/>
          </w:tcPr>
          <w:p w14:paraId="1F29D123">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17.5.1（1）</w:t>
            </w:r>
          </w:p>
        </w:tc>
        <w:tc>
          <w:tcPr>
            <w:tcW w:w="6832" w:type="dxa"/>
            <w:vAlign w:val="center"/>
          </w:tcPr>
          <w:p w14:paraId="02EF4F60">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承包人向监理人提交交工付款申请单（包括相关证明材料）的份数：</w:t>
            </w:r>
            <w:r>
              <w:rPr>
                <w:rFonts w:ascii="宋体" w:hAnsi="宋体" w:cs="宋体"/>
                <w:color w:val="auto"/>
                <w:szCs w:val="21"/>
                <w:highlight w:val="none"/>
                <w:u w:val="single"/>
              </w:rPr>
              <w:t xml:space="preserve">   </w:t>
            </w:r>
            <w:r>
              <w:rPr>
                <w:rFonts w:hint="eastAsia" w:ascii="宋体" w:hAnsi="宋体" w:cs="宋体"/>
                <w:color w:val="auto"/>
                <w:szCs w:val="21"/>
                <w:highlight w:val="none"/>
              </w:rPr>
              <w:t>份</w:t>
            </w:r>
          </w:p>
        </w:tc>
      </w:tr>
      <w:tr w14:paraId="42CE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454B5FF">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w:t>
            </w:r>
          </w:p>
        </w:tc>
        <w:tc>
          <w:tcPr>
            <w:tcW w:w="1418" w:type="dxa"/>
            <w:vAlign w:val="center"/>
          </w:tcPr>
          <w:p w14:paraId="7CAF1689">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17.6.1（1）</w:t>
            </w:r>
          </w:p>
        </w:tc>
        <w:tc>
          <w:tcPr>
            <w:tcW w:w="6832" w:type="dxa"/>
            <w:vAlign w:val="center"/>
          </w:tcPr>
          <w:p w14:paraId="18BDAD5C">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承包人向监理人提交最终结清申请单（包括相关证明材料）的份数：</w:t>
            </w:r>
            <w:r>
              <w:rPr>
                <w:rFonts w:ascii="宋体" w:hAnsi="宋体" w:cs="宋体"/>
                <w:color w:val="auto"/>
                <w:szCs w:val="21"/>
                <w:highlight w:val="none"/>
                <w:u w:val="single"/>
              </w:rPr>
              <w:t xml:space="preserve">   </w:t>
            </w:r>
            <w:r>
              <w:rPr>
                <w:rFonts w:hint="eastAsia" w:ascii="宋体" w:hAnsi="宋体" w:cs="宋体"/>
                <w:color w:val="auto"/>
                <w:szCs w:val="21"/>
                <w:highlight w:val="none"/>
              </w:rPr>
              <w:t>份</w:t>
            </w:r>
          </w:p>
        </w:tc>
      </w:tr>
      <w:tr w14:paraId="23B6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4413318">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23</w:t>
            </w:r>
          </w:p>
        </w:tc>
        <w:tc>
          <w:tcPr>
            <w:tcW w:w="1418" w:type="dxa"/>
            <w:vAlign w:val="center"/>
          </w:tcPr>
          <w:p w14:paraId="3C86B3C6">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18.2.（2）</w:t>
            </w:r>
          </w:p>
        </w:tc>
        <w:tc>
          <w:tcPr>
            <w:tcW w:w="6832" w:type="dxa"/>
            <w:vAlign w:val="center"/>
          </w:tcPr>
          <w:p w14:paraId="69C543E9">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竣工资料的份数：</w:t>
            </w:r>
            <w:r>
              <w:rPr>
                <w:rFonts w:ascii="宋体" w:hAnsi="宋体" w:cs="宋体"/>
                <w:color w:val="auto"/>
                <w:szCs w:val="21"/>
                <w:highlight w:val="none"/>
                <w:u w:val="single"/>
              </w:rPr>
              <w:t xml:space="preserve">     </w:t>
            </w:r>
            <w:r>
              <w:rPr>
                <w:rFonts w:hint="eastAsia" w:ascii="宋体" w:hAnsi="宋体" w:cs="宋体"/>
                <w:color w:val="auto"/>
                <w:szCs w:val="21"/>
                <w:highlight w:val="none"/>
              </w:rPr>
              <w:t>份</w:t>
            </w:r>
          </w:p>
        </w:tc>
      </w:tr>
      <w:tr w14:paraId="4880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B0E8E82">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24</w:t>
            </w:r>
          </w:p>
        </w:tc>
        <w:tc>
          <w:tcPr>
            <w:tcW w:w="1418" w:type="dxa"/>
            <w:vAlign w:val="center"/>
          </w:tcPr>
          <w:p w14:paraId="025E9A66">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18.5.1</w:t>
            </w:r>
          </w:p>
        </w:tc>
        <w:tc>
          <w:tcPr>
            <w:tcW w:w="6832" w:type="dxa"/>
            <w:vAlign w:val="center"/>
          </w:tcPr>
          <w:p w14:paraId="481312F3">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单位工程或工程设备是否需投入施工期运行：□</w:t>
            </w:r>
            <w:r>
              <w:rPr>
                <w:rFonts w:hint="eastAsia" w:ascii="宋体" w:hAnsi="宋体" w:cs="宋体"/>
                <w:color w:val="auto"/>
                <w:szCs w:val="21"/>
                <w:highlight w:val="none"/>
                <w:u w:val="none"/>
              </w:rPr>
              <w:t>是</w:t>
            </w:r>
            <w:r>
              <w:rPr>
                <w:rFonts w:hint="eastAsia" w:ascii="宋体" w:hAnsi="宋体" w:cs="宋体"/>
                <w:color w:val="auto"/>
                <w:szCs w:val="21"/>
                <w:highlight w:val="none"/>
              </w:rPr>
              <w:t xml:space="preserve">  □否</w:t>
            </w:r>
          </w:p>
          <w:p w14:paraId="77D49B00">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如单位工程或工程设备需要进行施工期运行，需要施工期运行的单位工程或工程设备规定如下：</w:t>
            </w:r>
            <w:r>
              <w:rPr>
                <w:rFonts w:ascii="宋体" w:hAnsi="宋体" w:cs="宋体"/>
                <w:color w:val="auto"/>
                <w:szCs w:val="21"/>
                <w:highlight w:val="none"/>
                <w:u w:val="single"/>
              </w:rPr>
              <w:t xml:space="preserve">          </w:t>
            </w:r>
          </w:p>
        </w:tc>
      </w:tr>
      <w:tr w14:paraId="3831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B56C833">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25</w:t>
            </w:r>
          </w:p>
        </w:tc>
        <w:tc>
          <w:tcPr>
            <w:tcW w:w="1418" w:type="dxa"/>
            <w:vAlign w:val="center"/>
          </w:tcPr>
          <w:p w14:paraId="71CFB19F">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18.6.1</w:t>
            </w:r>
          </w:p>
        </w:tc>
        <w:tc>
          <w:tcPr>
            <w:tcW w:w="6832" w:type="dxa"/>
            <w:vAlign w:val="center"/>
          </w:tcPr>
          <w:p w14:paraId="40924446">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本工程及工程设备是否进行试运行：□</w:t>
            </w:r>
            <w:r>
              <w:rPr>
                <w:rFonts w:hint="eastAsia" w:ascii="宋体" w:hAnsi="宋体" w:cs="宋体"/>
                <w:color w:val="auto"/>
                <w:szCs w:val="21"/>
                <w:highlight w:val="none"/>
                <w:u w:val="none"/>
              </w:rPr>
              <w:t>是</w:t>
            </w:r>
            <w:r>
              <w:rPr>
                <w:rFonts w:hint="eastAsia" w:ascii="宋体" w:hAnsi="宋体" w:cs="宋体"/>
                <w:color w:val="auto"/>
                <w:szCs w:val="21"/>
                <w:highlight w:val="none"/>
              </w:rPr>
              <w:t xml:space="preserve">  □否</w:t>
            </w:r>
          </w:p>
          <w:p w14:paraId="272CFCE4">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如本工程及工程设备需要进行试运行，试运行的具体规定如下：</w:t>
            </w:r>
            <w:r>
              <w:rPr>
                <w:rFonts w:ascii="宋体" w:hAnsi="宋体" w:cs="宋体"/>
                <w:color w:val="auto"/>
                <w:szCs w:val="21"/>
                <w:highlight w:val="none"/>
                <w:u w:val="single"/>
              </w:rPr>
              <w:t xml:space="preserve">          </w:t>
            </w:r>
          </w:p>
        </w:tc>
      </w:tr>
      <w:tr w14:paraId="29F7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04" w:type="dxa"/>
            <w:vAlign w:val="center"/>
          </w:tcPr>
          <w:p w14:paraId="593A1F30">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26</w:t>
            </w:r>
          </w:p>
        </w:tc>
        <w:tc>
          <w:tcPr>
            <w:tcW w:w="1418" w:type="dxa"/>
            <w:vAlign w:val="center"/>
          </w:tcPr>
          <w:p w14:paraId="48AC3AAD">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19.7（1）</w:t>
            </w:r>
          </w:p>
        </w:tc>
        <w:tc>
          <w:tcPr>
            <w:tcW w:w="6832" w:type="dxa"/>
            <w:vAlign w:val="center"/>
          </w:tcPr>
          <w:p w14:paraId="686C7190">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保修期：自实际交工日期起计算</w:t>
            </w:r>
            <w:r>
              <w:rPr>
                <w:rFonts w:ascii="宋体" w:hAnsi="宋体" w:cs="宋体"/>
                <w:color w:val="auto"/>
                <w:szCs w:val="21"/>
                <w:highlight w:val="none"/>
                <w:u w:val="single"/>
              </w:rPr>
              <w:t xml:space="preserve">     </w:t>
            </w:r>
            <w:r>
              <w:rPr>
                <w:rFonts w:hint="eastAsia" w:ascii="宋体" w:hAnsi="宋体" w:cs="宋体"/>
                <w:color w:val="auto"/>
                <w:szCs w:val="21"/>
                <w:highlight w:val="none"/>
                <w:lang w:val="en-US" w:eastAsia="zh-CN"/>
              </w:rPr>
              <w:t>个月</w:t>
            </w:r>
            <w:r>
              <w:rPr>
                <w:rStyle w:val="59"/>
                <w:rFonts w:ascii="宋体" w:hAnsi="宋体" w:cs="宋体"/>
                <w:color w:val="auto"/>
                <w:szCs w:val="21"/>
                <w:highlight w:val="none"/>
              </w:rPr>
              <w:footnoteReference w:id="222"/>
            </w:r>
          </w:p>
          <w:p w14:paraId="36E4BE49">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房建工程保修期：</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Style w:val="59"/>
                <w:rFonts w:ascii="宋体" w:hAnsi="宋体" w:cs="宋体"/>
                <w:color w:val="auto"/>
                <w:szCs w:val="21"/>
                <w:highlight w:val="none"/>
              </w:rPr>
              <w:footnoteReference w:id="223"/>
            </w:r>
          </w:p>
        </w:tc>
      </w:tr>
      <w:tr w14:paraId="25D6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85803F6">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27</w:t>
            </w:r>
          </w:p>
        </w:tc>
        <w:tc>
          <w:tcPr>
            <w:tcW w:w="1418" w:type="dxa"/>
            <w:vAlign w:val="center"/>
          </w:tcPr>
          <w:p w14:paraId="5E71F029">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20.1</w:t>
            </w:r>
          </w:p>
        </w:tc>
        <w:tc>
          <w:tcPr>
            <w:tcW w:w="6832" w:type="dxa"/>
            <w:vAlign w:val="center"/>
          </w:tcPr>
          <w:p w14:paraId="332A057C">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建筑工程一切险的保险费率：</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62B0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7EB9DE3">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28</w:t>
            </w:r>
          </w:p>
        </w:tc>
        <w:tc>
          <w:tcPr>
            <w:tcW w:w="1418" w:type="dxa"/>
            <w:vAlign w:val="center"/>
          </w:tcPr>
          <w:p w14:paraId="043503C8">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20.4.2</w:t>
            </w:r>
          </w:p>
        </w:tc>
        <w:tc>
          <w:tcPr>
            <w:tcW w:w="6832" w:type="dxa"/>
            <w:vAlign w:val="center"/>
          </w:tcPr>
          <w:p w14:paraId="70E4D57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第三者责任险的最低投保金额：</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万元，事故次数不限（不计免赔额）</w:t>
            </w:r>
          </w:p>
          <w:p w14:paraId="269E69EC">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保险费率：</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3B1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54C0907">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29</w:t>
            </w:r>
          </w:p>
        </w:tc>
        <w:tc>
          <w:tcPr>
            <w:tcW w:w="1418" w:type="dxa"/>
            <w:vAlign w:val="center"/>
          </w:tcPr>
          <w:p w14:paraId="15F6A81C">
            <w:pPr>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24.1</w:t>
            </w:r>
          </w:p>
        </w:tc>
        <w:tc>
          <w:tcPr>
            <w:tcW w:w="6832" w:type="dxa"/>
            <w:vAlign w:val="center"/>
          </w:tcPr>
          <w:p w14:paraId="63748F0D">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争议的最终解决方式：</w:t>
            </w:r>
            <w:r>
              <w:rPr>
                <w:rFonts w:hint="eastAsia" w:ascii="宋体" w:hAnsi="宋体" w:cs="宋体"/>
                <w:b/>
                <w:color w:val="auto"/>
                <w:szCs w:val="21"/>
                <w:highlight w:val="none"/>
              </w:rPr>
              <w:t>□</w:t>
            </w:r>
            <w:r>
              <w:rPr>
                <w:rFonts w:hint="eastAsia" w:ascii="宋体" w:hAnsi="宋体" w:cs="宋体"/>
                <w:color w:val="auto"/>
                <w:szCs w:val="21"/>
                <w:highlight w:val="none"/>
                <w:u w:val="none"/>
              </w:rPr>
              <w:t>仲裁</w:t>
            </w:r>
            <w:r>
              <w:rPr>
                <w:rFonts w:ascii="宋体" w:hAnsi="宋体" w:cs="宋体"/>
                <w:color w:val="auto"/>
                <w:szCs w:val="21"/>
                <w:highlight w:val="none"/>
              </w:rPr>
              <w:t xml:space="preserve">  </w:t>
            </w:r>
            <w:r>
              <w:rPr>
                <w:rFonts w:hint="eastAsia" w:ascii="宋体" w:hAnsi="宋体" w:cs="宋体"/>
                <w:b/>
                <w:color w:val="auto"/>
                <w:szCs w:val="21"/>
                <w:highlight w:val="none"/>
              </w:rPr>
              <w:t>□</w:t>
            </w:r>
            <w:r>
              <w:rPr>
                <w:rFonts w:hint="eastAsia" w:ascii="宋体" w:hAnsi="宋体" w:cs="宋体"/>
                <w:color w:val="auto"/>
                <w:szCs w:val="21"/>
                <w:highlight w:val="none"/>
                <w:u w:val="none"/>
              </w:rPr>
              <w:t>诉讼</w:t>
            </w:r>
          </w:p>
          <w:p w14:paraId="48F4EA74">
            <w:pPr>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如采用仲裁，仲裁委员会名称：</w:t>
            </w:r>
            <w:r>
              <w:rPr>
                <w:rFonts w:ascii="宋体" w:hAnsi="宋体" w:cs="宋体"/>
                <w:color w:val="auto"/>
                <w:szCs w:val="21"/>
                <w:highlight w:val="none"/>
                <w:u w:val="single"/>
              </w:rPr>
              <w:t xml:space="preserve">            </w:t>
            </w:r>
          </w:p>
          <w:p w14:paraId="62F39FF5">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如采用诉讼</w:t>
            </w:r>
            <w:r>
              <w:rPr>
                <w:rFonts w:ascii="宋体" w:hAnsi="宋体" w:cs="宋体"/>
                <w:color w:val="auto"/>
                <w:szCs w:val="21"/>
                <w:highlight w:val="none"/>
              </w:rPr>
              <w:t>，诉讼机构</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bl>
    <w:p w14:paraId="47A22C0E">
      <w:pPr>
        <w:snapToGrid w:val="0"/>
        <w:spacing w:line="360" w:lineRule="auto"/>
        <w:ind w:firstLine="562" w:firstLineChars="200"/>
        <w:jc w:val="left"/>
        <w:rPr>
          <w:rFonts w:ascii="宋体" w:hAnsi="宋体" w:cs="宋体"/>
          <w:color w:val="auto"/>
          <w:sz w:val="24"/>
          <w:highlight w:val="none"/>
        </w:rPr>
      </w:pPr>
      <w:r>
        <w:rPr>
          <w:rFonts w:ascii="宋体" w:hAnsi="宋体"/>
          <w:b/>
          <w:color w:val="auto"/>
          <w:sz w:val="28"/>
          <w:szCs w:val="28"/>
          <w:highlight w:val="none"/>
        </w:rPr>
        <w:br w:type="page"/>
      </w:r>
    </w:p>
    <w:p w14:paraId="2E8D2FF9">
      <w:pPr>
        <w:pStyle w:val="6"/>
        <w:rPr>
          <w:color w:val="auto"/>
          <w:highlight w:val="none"/>
        </w:rPr>
      </w:pPr>
      <w:r>
        <w:rPr>
          <w:b w:val="0"/>
          <w:bCs w:val="0"/>
          <w:color w:val="auto"/>
          <w:sz w:val="32"/>
          <w:highlight w:val="none"/>
        </w:rPr>
        <w:t>项目专用合同条款</w:t>
      </w:r>
    </w:p>
    <w:p w14:paraId="29B84CCA">
      <w:pPr>
        <w:snapToGrid w:val="0"/>
        <w:spacing w:line="360" w:lineRule="auto"/>
        <w:ind w:firstLine="480" w:firstLineChars="200"/>
        <w:jc w:val="left"/>
        <w:rPr>
          <w:rFonts w:ascii="宋体" w:hAnsi="宋体" w:cs="宋体"/>
          <w:color w:val="auto"/>
          <w:sz w:val="24"/>
          <w:highlight w:val="none"/>
        </w:rPr>
      </w:pPr>
      <w:bookmarkStart w:id="774" w:name="_Hlk98429156"/>
      <w:r>
        <w:rPr>
          <w:rFonts w:hint="eastAsia" w:ascii="黑体" w:hAnsi="黑体"/>
          <w:b w:val="0"/>
          <w:bCs w:val="0"/>
          <w:color w:val="auto"/>
          <w:sz w:val="24"/>
          <w:highlight w:val="none"/>
        </w:rPr>
        <w:t>说明：</w:t>
      </w:r>
      <w:bookmarkStart w:id="775" w:name="_Hlk100150336"/>
      <w:r>
        <w:rPr>
          <w:rFonts w:hint="eastAsia" w:ascii="楷体" w:hAnsi="楷体" w:eastAsia="楷体" w:cs="楷体"/>
          <w:b w:val="0"/>
          <w:bCs w:val="0"/>
          <w:color w:val="auto"/>
          <w:sz w:val="24"/>
          <w:highlight w:val="none"/>
        </w:rPr>
        <w:t>本部分所列的项目专用合同条款是对</w:t>
      </w:r>
      <w:bookmarkStart w:id="776" w:name="_Hlk98232255"/>
      <w:r>
        <w:rPr>
          <w:rFonts w:hint="eastAsia" w:ascii="楷体" w:hAnsi="楷体" w:eastAsia="楷体" w:cs="楷体"/>
          <w:b w:val="0"/>
          <w:bCs w:val="0"/>
          <w:color w:val="auto"/>
          <w:sz w:val="24"/>
          <w:highlight w:val="none"/>
        </w:rPr>
        <w:t>“公路工程专用合同条款”</w:t>
      </w:r>
      <w:bookmarkEnd w:id="776"/>
      <w:r>
        <w:rPr>
          <w:rFonts w:hint="eastAsia" w:ascii="楷体" w:hAnsi="楷体" w:eastAsia="楷体" w:cs="楷体"/>
          <w:b w:val="0"/>
          <w:bCs w:val="0"/>
          <w:color w:val="auto"/>
          <w:sz w:val="24"/>
          <w:highlight w:val="none"/>
        </w:rPr>
        <w:t>中规定必须在项目专用合同条款中明确的内容的集中，同时也是对“公路工程专用合同条款”</w:t>
      </w:r>
      <w:r>
        <w:rPr>
          <w:rFonts w:ascii="楷体" w:hAnsi="楷体" w:eastAsia="楷体" w:cs="楷体"/>
          <w:b w:val="0"/>
          <w:bCs w:val="0"/>
          <w:color w:val="auto"/>
          <w:sz w:val="24"/>
          <w:highlight w:val="none"/>
        </w:rPr>
        <w:t>补充、细化</w:t>
      </w:r>
      <w:r>
        <w:rPr>
          <w:rFonts w:hint="eastAsia" w:ascii="楷体" w:hAnsi="楷体" w:eastAsia="楷体" w:cs="楷体"/>
          <w:b w:val="0"/>
          <w:bCs w:val="0"/>
          <w:color w:val="auto"/>
          <w:sz w:val="24"/>
          <w:highlight w:val="none"/>
        </w:rPr>
        <w:t>。招标人编制的“项目专用合同条款”不限于本部分所列内容。</w:t>
      </w:r>
      <w:bookmarkEnd w:id="774"/>
      <w:bookmarkEnd w:id="775"/>
    </w:p>
    <w:p w14:paraId="2B3B288F">
      <w:pPr>
        <w:pStyle w:val="5"/>
        <w:rPr>
          <w:color w:val="auto"/>
          <w:highlight w:val="none"/>
        </w:rPr>
      </w:pPr>
      <w:bookmarkStart w:id="777" w:name="_Toc53685718"/>
      <w:r>
        <w:rPr>
          <w:color w:val="auto"/>
          <w:highlight w:val="none"/>
        </w:rPr>
        <w:t xml:space="preserve">1. </w:t>
      </w:r>
      <w:r>
        <w:rPr>
          <w:rFonts w:hint="eastAsia"/>
          <w:color w:val="auto"/>
          <w:highlight w:val="none"/>
        </w:rPr>
        <w:t>一般约定</w:t>
      </w:r>
      <w:bookmarkEnd w:id="777"/>
    </w:p>
    <w:p w14:paraId="68BF3B83">
      <w:pPr>
        <w:pStyle w:val="6"/>
        <w:jc w:val="left"/>
        <w:rPr>
          <w:rFonts w:hint="eastAsia" w:ascii="黑体" w:hAnsi="黑体" w:cs="黑体"/>
          <w:b w:val="0"/>
          <w:bCs w:val="0"/>
          <w:color w:val="auto"/>
          <w:highlight w:val="none"/>
        </w:rPr>
      </w:pPr>
      <w:bookmarkStart w:id="778" w:name="_Toc53685719"/>
      <w:r>
        <w:rPr>
          <w:rFonts w:hint="eastAsia" w:ascii="黑体" w:hAnsi="黑体" w:cs="黑体"/>
          <w:b w:val="0"/>
          <w:bCs w:val="0"/>
          <w:color w:val="auto"/>
          <w:highlight w:val="none"/>
        </w:rPr>
        <w:t>1.1</w:t>
      </w:r>
      <w:r>
        <w:rPr>
          <w:rFonts w:hint="eastAsia" w:ascii="黑体" w:hAnsi="黑体" w:cs="黑体"/>
          <w:b w:val="0"/>
          <w:bCs w:val="0"/>
          <w:color w:val="auto"/>
          <w:highlight w:val="none"/>
          <w:lang w:val="en-US" w:eastAsia="zh-CN"/>
        </w:rPr>
        <w:t xml:space="preserve"> </w:t>
      </w:r>
      <w:r>
        <w:rPr>
          <w:rFonts w:hint="eastAsia" w:ascii="黑体" w:hAnsi="黑体" w:cs="黑体"/>
          <w:b w:val="0"/>
          <w:bCs w:val="0"/>
          <w:color w:val="auto"/>
          <w:highlight w:val="none"/>
        </w:rPr>
        <w:t>词语定义</w:t>
      </w:r>
      <w:bookmarkEnd w:id="778"/>
    </w:p>
    <w:p w14:paraId="4F1298A0">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1.1.2合同当事人和人员</w:t>
      </w:r>
    </w:p>
    <w:p w14:paraId="2A13A1DF">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1.1.2.2 发包人：</w:t>
      </w:r>
      <w:r>
        <w:rPr>
          <w:rFonts w:ascii="宋体" w:hAnsi="宋体"/>
          <w:color w:val="auto"/>
          <w:sz w:val="24"/>
          <w:highlight w:val="none"/>
          <w:u w:val="single"/>
        </w:rPr>
        <w:t xml:space="preserve">              </w:t>
      </w:r>
      <w:r>
        <w:rPr>
          <w:rFonts w:hint="eastAsia" w:ascii="宋体" w:hAnsi="宋体"/>
          <w:color w:val="auto"/>
          <w:sz w:val="24"/>
          <w:highlight w:val="none"/>
        </w:rPr>
        <w:t>。</w:t>
      </w:r>
    </w:p>
    <w:p w14:paraId="0A4289BB">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1.1.2.3 承包人：通过公开招标确定，与发包人签订合同协议书的当事人。</w:t>
      </w:r>
    </w:p>
    <w:p w14:paraId="75463064">
      <w:pPr>
        <w:adjustRightInd w:val="0"/>
        <w:snapToGrid w:val="0"/>
        <w:spacing w:line="360" w:lineRule="auto"/>
        <w:ind w:firstLine="480" w:firstLineChars="200"/>
        <w:rPr>
          <w:rFonts w:asciiTheme="minorEastAsia" w:hAnsiTheme="minorEastAsia" w:eastAsiaTheme="minorEastAsia"/>
          <w:b/>
          <w:color w:val="auto"/>
          <w:sz w:val="24"/>
          <w:highlight w:val="none"/>
        </w:rPr>
      </w:pPr>
      <w:r>
        <w:rPr>
          <w:rFonts w:ascii="宋体" w:hAnsi="宋体"/>
          <w:color w:val="auto"/>
          <w:sz w:val="24"/>
          <w:highlight w:val="none"/>
        </w:rPr>
        <w:t>1.1.2.6</w:t>
      </w:r>
      <w:r>
        <w:rPr>
          <w:rFonts w:hint="eastAsia" w:ascii="宋体" w:hAnsi="宋体"/>
          <w:color w:val="auto"/>
          <w:sz w:val="24"/>
          <w:highlight w:val="none"/>
          <w:lang w:val="en-US" w:eastAsia="zh-CN"/>
        </w:rPr>
        <w:t xml:space="preserve"> </w:t>
      </w:r>
      <w:r>
        <w:rPr>
          <w:rFonts w:ascii="宋体" w:hAnsi="宋体"/>
          <w:color w:val="auto"/>
          <w:sz w:val="24"/>
          <w:highlight w:val="none"/>
        </w:rPr>
        <w:t>监理人：通过公开招标确定，受发包人委托对合同履约实施管理的法人或其他组织。</w:t>
      </w:r>
    </w:p>
    <w:p w14:paraId="031828EE">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1.1.3</w:t>
      </w:r>
      <w:r>
        <w:rPr>
          <w:rFonts w:hint="eastAsia" w:ascii="黑体" w:hAnsi="黑体" w:eastAsia="黑体"/>
          <w:color w:val="auto"/>
          <w:sz w:val="24"/>
          <w:highlight w:val="none"/>
        </w:rPr>
        <w:t>工程和设备</w:t>
      </w:r>
    </w:p>
    <w:p w14:paraId="39F70846">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1.1.3.4</w:t>
      </w:r>
      <w:r>
        <w:rPr>
          <w:rFonts w:hint="eastAsia" w:ascii="宋体" w:hAnsi="宋体"/>
          <w:color w:val="auto"/>
          <w:sz w:val="24"/>
          <w:highlight w:val="none"/>
        </w:rPr>
        <w:t>单位工程：标段范围内具有独立施工条件的</w:t>
      </w:r>
      <w:r>
        <w:rPr>
          <w:rFonts w:ascii="宋体" w:hAnsi="宋体" w:cs="宋体"/>
          <w:color w:val="auto"/>
          <w:sz w:val="24"/>
          <w:highlight w:val="none"/>
        </w:rPr>
        <w:sym w:font="Wingdings 2" w:char="00A3"/>
      </w:r>
      <w:r>
        <w:rPr>
          <w:rFonts w:hint="eastAsia" w:ascii="宋体" w:hAnsi="宋体" w:cs="宋体"/>
          <w:color w:val="auto"/>
          <w:sz w:val="24"/>
          <w:highlight w:val="none"/>
        </w:rPr>
        <w:t>路基、□路面、□桥涵、□隧道、□交通安全设施、□绿化及环境保护设施、□房建、□机电、□其他：</w:t>
      </w:r>
      <w:r>
        <w:rPr>
          <w:rFonts w:ascii="宋体" w:hAnsi="宋体" w:cs="宋体"/>
          <w:color w:val="auto"/>
          <w:sz w:val="24"/>
          <w:highlight w:val="none"/>
          <w:u w:val="single"/>
        </w:rPr>
        <w:t xml:space="preserve">       </w:t>
      </w:r>
      <w:r>
        <w:rPr>
          <w:rFonts w:hint="eastAsia" w:ascii="宋体" w:hAnsi="宋体"/>
          <w:color w:val="auto"/>
          <w:sz w:val="24"/>
          <w:highlight w:val="none"/>
        </w:rPr>
        <w:t>等永久工程。</w:t>
      </w:r>
      <w:r>
        <w:rPr>
          <w:rFonts w:ascii="宋体" w:hAnsi="宋体" w:cs="宋体"/>
          <w:color w:val="auto"/>
          <w:sz w:val="24"/>
          <w:highlight w:val="none"/>
          <w:vertAlign w:val="superscript"/>
        </w:rPr>
        <w:footnoteReference w:id="224"/>
      </w:r>
    </w:p>
    <w:p w14:paraId="506BB79C">
      <w:pPr>
        <w:adjustRightInd w:val="0"/>
        <w:snapToGrid w:val="0"/>
        <w:spacing w:line="360" w:lineRule="auto"/>
        <w:ind w:firstLine="480" w:firstLineChars="200"/>
        <w:rPr>
          <w:rFonts w:ascii="黑体" w:hAnsi="黑体" w:eastAsia="黑体"/>
          <w:b w:val="0"/>
          <w:color w:val="auto"/>
          <w:sz w:val="24"/>
          <w:highlight w:val="none"/>
        </w:rPr>
      </w:pPr>
      <w:r>
        <w:rPr>
          <w:rFonts w:ascii="宋体" w:hAnsi="宋体"/>
          <w:color w:val="auto"/>
          <w:sz w:val="24"/>
          <w:highlight w:val="none"/>
        </w:rPr>
        <w:t>1.1.3.11</w:t>
      </w:r>
      <w:r>
        <w:rPr>
          <w:rFonts w:hint="eastAsia" w:ascii="宋体" w:hAnsi="宋体"/>
          <w:color w:val="auto"/>
          <w:sz w:val="24"/>
          <w:highlight w:val="none"/>
        </w:rPr>
        <w:t>临时占地：指为实施本合同工程而需要的一切临时占用的土地，包括承包人驻地建设的办公室、食堂、宿舍、道路和机械设备停放场，材料堆放场地、取土场、弃土场、预制场、拌和场、仓库、进场临时道路、临时便道及便桥等。</w:t>
      </w:r>
    </w:p>
    <w:p w14:paraId="49FA329B">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b w:val="0"/>
          <w:color w:val="auto"/>
          <w:sz w:val="24"/>
          <w:highlight w:val="none"/>
        </w:rPr>
        <w:t>1.1.4</w:t>
      </w:r>
      <w:r>
        <w:rPr>
          <w:rFonts w:hint="default" w:ascii="黑体" w:hAnsi="黑体" w:eastAsia="黑体"/>
          <w:b w:val="0"/>
          <w:color w:val="auto"/>
          <w:sz w:val="24"/>
          <w:highlight w:val="none"/>
        </w:rPr>
        <w:t>日期</w:t>
      </w:r>
    </w:p>
    <w:p w14:paraId="795BF24F">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1.1.4.2</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开工日期：具体开工时间以监理工程师下发的开工令为准。</w:t>
      </w:r>
    </w:p>
    <w:p w14:paraId="1262B297">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1.1.4.3</w:t>
      </w:r>
      <w:r>
        <w:rPr>
          <w:rFonts w:hint="eastAsia" w:ascii="宋体" w:hAnsi="宋体"/>
          <w:color w:val="auto"/>
          <w:sz w:val="24"/>
          <w:highlight w:val="none"/>
        </w:rPr>
        <w:t>工期</w:t>
      </w:r>
      <w:r>
        <w:rPr>
          <w:rFonts w:hint="eastAsia" w:ascii="宋体" w:hAnsi="宋体"/>
          <w:color w:val="auto"/>
          <w:sz w:val="24"/>
          <w:highlight w:val="none"/>
          <w:lang w:eastAsia="zh-CN"/>
        </w:rPr>
        <w:t>：</w:t>
      </w:r>
      <w:r>
        <w:rPr>
          <w:rFonts w:hint="eastAsia" w:ascii="宋体" w:hAnsi="宋体"/>
          <w:color w:val="auto"/>
          <w:sz w:val="24"/>
          <w:highlight w:val="none"/>
        </w:rPr>
        <w:t>指本合同工程从开工至交工的时间，均从监理工程师根据工地进度实际情况发布开工令之日起至交工验收证书上写明的交工日期止。</w:t>
      </w:r>
    </w:p>
    <w:p w14:paraId="1135F49C">
      <w:pPr>
        <w:keepLines/>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1.1.4.4</w:t>
      </w:r>
      <w:r>
        <w:rPr>
          <w:rFonts w:hint="eastAsia" w:ascii="宋体" w:hAnsi="宋体"/>
          <w:color w:val="auto"/>
          <w:sz w:val="24"/>
          <w:highlight w:val="none"/>
        </w:rPr>
        <w:t>竣工日期</w:t>
      </w:r>
      <w:r>
        <w:rPr>
          <w:rFonts w:hint="eastAsia" w:ascii="宋体" w:hAnsi="宋体"/>
          <w:color w:val="auto"/>
          <w:sz w:val="24"/>
          <w:highlight w:val="none"/>
          <w:lang w:eastAsia="zh-CN"/>
        </w:rPr>
        <w:t>：</w:t>
      </w:r>
      <w:r>
        <w:rPr>
          <w:rFonts w:hint="eastAsia" w:ascii="宋体" w:hAnsi="宋体"/>
          <w:color w:val="auto"/>
          <w:sz w:val="24"/>
          <w:highlight w:val="none"/>
        </w:rPr>
        <w:t>指按《公路工程竣</w:t>
      </w:r>
      <w:r>
        <w:rPr>
          <w:rFonts w:ascii="宋体" w:hAnsi="宋体"/>
          <w:color w:val="auto"/>
          <w:sz w:val="24"/>
          <w:highlight w:val="none"/>
        </w:rPr>
        <w:t>（</w:t>
      </w:r>
      <w:r>
        <w:rPr>
          <w:rFonts w:hint="eastAsia" w:ascii="宋体" w:hAnsi="宋体"/>
          <w:color w:val="auto"/>
          <w:sz w:val="24"/>
          <w:highlight w:val="none"/>
        </w:rPr>
        <w:t>交</w:t>
      </w:r>
      <w:r>
        <w:rPr>
          <w:rFonts w:ascii="宋体" w:hAnsi="宋体"/>
          <w:color w:val="auto"/>
          <w:sz w:val="24"/>
          <w:highlight w:val="none"/>
        </w:rPr>
        <w:t>）</w:t>
      </w:r>
      <w:r>
        <w:rPr>
          <w:rFonts w:hint="eastAsia" w:ascii="宋体" w:hAnsi="宋体"/>
          <w:color w:val="auto"/>
          <w:sz w:val="24"/>
          <w:highlight w:val="none"/>
        </w:rPr>
        <w:t>工验收办法》</w:t>
      </w:r>
      <w:r>
        <w:rPr>
          <w:rFonts w:ascii="宋体" w:hAnsi="宋体"/>
          <w:color w:val="auto"/>
          <w:sz w:val="24"/>
          <w:highlight w:val="none"/>
        </w:rPr>
        <w:t>（</w:t>
      </w:r>
      <w:r>
        <w:rPr>
          <w:rFonts w:hint="eastAsia" w:ascii="宋体" w:hAnsi="宋体"/>
          <w:color w:val="auto"/>
          <w:sz w:val="24"/>
          <w:highlight w:val="none"/>
        </w:rPr>
        <w:t>交通部令</w:t>
      </w:r>
      <w:r>
        <w:rPr>
          <w:rFonts w:ascii="宋体" w:hAnsi="宋体"/>
          <w:color w:val="auto"/>
          <w:sz w:val="24"/>
          <w:highlight w:val="none"/>
        </w:rPr>
        <w:t>2004</w:t>
      </w:r>
      <w:r>
        <w:rPr>
          <w:rFonts w:hint="eastAsia" w:ascii="宋体" w:hAnsi="宋体"/>
          <w:color w:val="auto"/>
          <w:sz w:val="24"/>
          <w:highlight w:val="none"/>
        </w:rPr>
        <w:t>年第</w:t>
      </w:r>
      <w:r>
        <w:rPr>
          <w:rFonts w:ascii="宋体" w:hAnsi="宋体"/>
          <w:color w:val="auto"/>
          <w:sz w:val="24"/>
          <w:highlight w:val="none"/>
        </w:rPr>
        <w:t>3</w:t>
      </w:r>
      <w:r>
        <w:rPr>
          <w:rFonts w:hint="eastAsia" w:ascii="宋体" w:hAnsi="宋体"/>
          <w:color w:val="auto"/>
          <w:sz w:val="24"/>
          <w:highlight w:val="none"/>
        </w:rPr>
        <w:t>号</w:t>
      </w:r>
      <w:r>
        <w:rPr>
          <w:rFonts w:ascii="宋体" w:hAnsi="宋体"/>
          <w:color w:val="auto"/>
          <w:sz w:val="24"/>
          <w:highlight w:val="none"/>
        </w:rPr>
        <w:t>）</w:t>
      </w:r>
      <w:r>
        <w:rPr>
          <w:rFonts w:hint="eastAsia" w:ascii="宋体" w:hAnsi="宋体"/>
          <w:color w:val="auto"/>
          <w:sz w:val="24"/>
          <w:highlight w:val="none"/>
        </w:rPr>
        <w:t>及《交通运输部关于印发公路工程竣交工验收办法实施细则的通知》</w:t>
      </w:r>
      <w:r>
        <w:rPr>
          <w:rFonts w:ascii="宋体" w:hAnsi="宋体"/>
          <w:color w:val="auto"/>
          <w:sz w:val="24"/>
          <w:highlight w:val="none"/>
        </w:rPr>
        <w:t>（</w:t>
      </w:r>
      <w:r>
        <w:rPr>
          <w:rFonts w:hint="eastAsia" w:ascii="宋体" w:hAnsi="宋体"/>
          <w:color w:val="auto"/>
          <w:sz w:val="24"/>
          <w:highlight w:val="none"/>
        </w:rPr>
        <w:t>交公路发</w:t>
      </w:r>
      <w:r>
        <w:rPr>
          <w:rFonts w:hint="eastAsia" w:ascii="宋体" w:hAnsi="宋体"/>
          <w:color w:val="auto"/>
          <w:sz w:val="24"/>
          <w:highlight w:val="none"/>
          <w:lang w:eastAsia="zh-CN"/>
        </w:rPr>
        <w:t>〔</w:t>
      </w:r>
      <w:r>
        <w:rPr>
          <w:rFonts w:ascii="宋体" w:hAnsi="宋体"/>
          <w:color w:val="auto"/>
          <w:sz w:val="24"/>
          <w:highlight w:val="none"/>
        </w:rPr>
        <w:t>2010</w:t>
      </w:r>
      <w:r>
        <w:rPr>
          <w:rFonts w:hint="eastAsia" w:ascii="宋体" w:hAnsi="宋体"/>
          <w:color w:val="auto"/>
          <w:sz w:val="24"/>
          <w:highlight w:val="none"/>
          <w:lang w:eastAsia="zh-CN"/>
        </w:rPr>
        <w:t>〕</w:t>
      </w:r>
      <w:r>
        <w:rPr>
          <w:rFonts w:ascii="宋体" w:hAnsi="宋体"/>
          <w:color w:val="auto"/>
          <w:sz w:val="24"/>
          <w:highlight w:val="none"/>
        </w:rPr>
        <w:t>65</w:t>
      </w:r>
      <w:r>
        <w:rPr>
          <w:rFonts w:hint="eastAsia" w:ascii="宋体" w:hAnsi="宋体"/>
          <w:color w:val="auto"/>
          <w:sz w:val="24"/>
          <w:highlight w:val="none"/>
        </w:rPr>
        <w:t>号</w:t>
      </w:r>
      <w:r>
        <w:rPr>
          <w:rFonts w:ascii="宋体" w:hAnsi="宋体"/>
          <w:color w:val="auto"/>
          <w:sz w:val="24"/>
          <w:highlight w:val="none"/>
        </w:rPr>
        <w:t>）</w:t>
      </w:r>
      <w:r>
        <w:rPr>
          <w:rFonts w:hint="eastAsia" w:ascii="宋体" w:hAnsi="宋体"/>
          <w:color w:val="auto"/>
          <w:sz w:val="24"/>
          <w:highlight w:val="none"/>
        </w:rPr>
        <w:t>进行竣工验收签发的竣工验收证书的日期。</w:t>
      </w:r>
    </w:p>
    <w:p w14:paraId="1496327A">
      <w:pPr>
        <w:keepLine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本项</w:t>
      </w:r>
      <w:r>
        <w:rPr>
          <w:rFonts w:hint="eastAsia" w:ascii="宋体" w:hAnsi="宋体"/>
          <w:color w:val="auto"/>
          <w:sz w:val="24"/>
          <w:highlight w:val="none"/>
        </w:rPr>
        <w:t>补充第</w:t>
      </w:r>
      <w:r>
        <w:rPr>
          <w:rFonts w:ascii="宋体" w:hAnsi="宋体"/>
          <w:color w:val="auto"/>
          <w:sz w:val="24"/>
          <w:highlight w:val="none"/>
        </w:rPr>
        <w:t>1.1.4.8</w:t>
      </w:r>
      <w:r>
        <w:rPr>
          <w:rFonts w:hint="eastAsia" w:ascii="宋体" w:hAnsi="宋体"/>
          <w:color w:val="auto"/>
          <w:sz w:val="24"/>
          <w:highlight w:val="none"/>
        </w:rPr>
        <w:t>目：</w:t>
      </w:r>
    </w:p>
    <w:p w14:paraId="23F52C0B">
      <w:pPr>
        <w:keepLines/>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宋体" w:hAnsi="宋体"/>
          <w:color w:val="auto"/>
          <w:sz w:val="24"/>
          <w:highlight w:val="none"/>
        </w:rPr>
        <w:t xml:space="preserve">1.1.4.8 </w:t>
      </w:r>
      <w:r>
        <w:rPr>
          <w:rFonts w:hint="eastAsia" w:ascii="宋体" w:hAnsi="宋体"/>
          <w:color w:val="auto"/>
          <w:sz w:val="24"/>
          <w:highlight w:val="none"/>
        </w:rPr>
        <w:t>交工日期</w:t>
      </w:r>
      <w:r>
        <w:rPr>
          <w:rStyle w:val="59"/>
          <w:rFonts w:ascii="宋体" w:hAnsi="宋体"/>
          <w:color w:val="auto"/>
          <w:sz w:val="24"/>
          <w:highlight w:val="none"/>
        </w:rPr>
        <w:footnoteReference w:id="225"/>
      </w:r>
      <w:r>
        <w:rPr>
          <w:rFonts w:hint="eastAsia" w:ascii="宋体" w:hAnsi="宋体"/>
          <w:color w:val="auto"/>
          <w:sz w:val="24"/>
          <w:highlight w:val="none"/>
          <w:lang w:eastAsia="zh-CN"/>
        </w:rPr>
        <w:t>：</w:t>
      </w:r>
      <w:r>
        <w:rPr>
          <w:rFonts w:hint="eastAsia" w:ascii="宋体" w:hAnsi="宋体"/>
          <w:color w:val="auto"/>
          <w:sz w:val="24"/>
          <w:highlight w:val="none"/>
        </w:rPr>
        <w:t>指实质上完成本合同工程施工合格通过交工验收后，在发包人签发的交工验收证书上写明的日期。</w:t>
      </w:r>
    </w:p>
    <w:p w14:paraId="6E1E513E">
      <w:pPr>
        <w:adjustRightInd w:val="0"/>
        <w:snapToGrid w:val="0"/>
        <w:spacing w:line="360" w:lineRule="auto"/>
        <w:ind w:firstLine="360" w:firstLineChars="150"/>
        <w:rPr>
          <w:rFonts w:hint="default" w:ascii="黑体" w:hAnsi="黑体" w:eastAsia="黑体"/>
          <w:color w:val="auto"/>
          <w:sz w:val="24"/>
          <w:highlight w:val="none"/>
          <w:lang w:val="en-US" w:eastAsia="zh-CN"/>
        </w:rPr>
      </w:pPr>
      <w:r>
        <w:rPr>
          <w:rFonts w:hint="default" w:ascii="黑体" w:hAnsi="黑体" w:eastAsia="黑体"/>
          <w:color w:val="auto"/>
          <w:sz w:val="24"/>
          <w:highlight w:val="none"/>
          <w:lang w:val="en-US" w:eastAsia="zh-CN"/>
        </w:rPr>
        <w:t>1.1.6其他</w:t>
      </w:r>
    </w:p>
    <w:p w14:paraId="17409D14">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w:t>
      </w:r>
      <w:r>
        <w:rPr>
          <w:rFonts w:hint="eastAsia" w:asciiTheme="minorEastAsia" w:hAnsiTheme="minorEastAsia" w:eastAsiaTheme="minorEastAsia"/>
          <w:color w:val="auto"/>
          <w:sz w:val="24"/>
          <w:highlight w:val="none"/>
          <w:lang w:val="en-US" w:eastAsia="zh-CN"/>
        </w:rPr>
        <w:t>第</w:t>
      </w:r>
      <w:r>
        <w:rPr>
          <w:rFonts w:asciiTheme="minorEastAsia" w:hAnsiTheme="minorEastAsia" w:eastAsiaTheme="minorEastAsia"/>
          <w:color w:val="auto"/>
          <w:sz w:val="24"/>
          <w:highlight w:val="none"/>
        </w:rPr>
        <w:t>1.1.6.7、1.1.6.8、1.1.6.9目</w:t>
      </w:r>
      <w:r>
        <w:rPr>
          <w:rFonts w:hint="eastAsia" w:asciiTheme="minorEastAsia" w:hAnsiTheme="minorEastAsia" w:eastAsiaTheme="minorEastAsia"/>
          <w:color w:val="auto"/>
          <w:sz w:val="24"/>
          <w:highlight w:val="none"/>
        </w:rPr>
        <w:t>细化</w:t>
      </w:r>
      <w:r>
        <w:rPr>
          <w:rFonts w:asciiTheme="minorEastAsia" w:hAnsiTheme="minorEastAsia" w:eastAsiaTheme="minorEastAsia"/>
          <w:color w:val="auto"/>
          <w:sz w:val="24"/>
          <w:highlight w:val="none"/>
        </w:rPr>
        <w:t>为：</w:t>
      </w:r>
    </w:p>
    <w:p w14:paraId="29BE0C8F">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宋体" w:hAnsi="宋体"/>
          <w:color w:val="auto"/>
          <w:sz w:val="24"/>
          <w:highlight w:val="none"/>
        </w:rPr>
        <w:t xml:space="preserve">1.1.6.7 </w:t>
      </w:r>
      <w:r>
        <w:rPr>
          <w:rFonts w:hint="eastAsia" w:ascii="宋体" w:hAnsi="宋体"/>
          <w:color w:val="auto"/>
          <w:sz w:val="24"/>
          <w:highlight w:val="none"/>
        </w:rPr>
        <w:t>专业</w:t>
      </w:r>
      <w:r>
        <w:rPr>
          <w:rFonts w:ascii="宋体" w:hAnsi="宋体"/>
          <w:color w:val="auto"/>
          <w:sz w:val="24"/>
          <w:highlight w:val="none"/>
        </w:rPr>
        <w:t>分包：</w:t>
      </w:r>
      <w:r>
        <w:rPr>
          <w:rFonts w:asciiTheme="minorEastAsia" w:hAnsiTheme="minorEastAsia" w:eastAsiaTheme="minorEastAsia"/>
          <w:color w:val="auto"/>
          <w:sz w:val="24"/>
          <w:highlight w:val="none"/>
        </w:rPr>
        <w:t>承包人将其所承包工程中</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适合专业化队伍施工的专项工程、专业工程和综合工程</w:t>
      </w:r>
      <w:r>
        <w:rPr>
          <w:rFonts w:hint="eastAsia" w:asciiTheme="minorEastAsia" w:hAnsiTheme="minorEastAsia" w:eastAsiaTheme="minorEastAsia"/>
          <w:color w:val="auto"/>
          <w:sz w:val="24"/>
          <w:highlight w:val="none"/>
        </w:rPr>
        <w:t>按照</w:t>
      </w:r>
      <w:r>
        <w:rPr>
          <w:rFonts w:asciiTheme="minorEastAsia" w:hAnsiTheme="minorEastAsia" w:eastAsiaTheme="minorEastAsia"/>
          <w:color w:val="auto"/>
          <w:sz w:val="24"/>
          <w:highlight w:val="none"/>
        </w:rPr>
        <w:t>规定分包给具有相应资格的</w:t>
      </w:r>
      <w:r>
        <w:rPr>
          <w:rFonts w:hint="eastAsia" w:asciiTheme="minorEastAsia" w:hAnsiTheme="minorEastAsia" w:eastAsiaTheme="minorEastAsia"/>
          <w:color w:val="auto"/>
          <w:sz w:val="24"/>
          <w:highlight w:val="none"/>
          <w:lang w:val="en-US" w:eastAsia="zh-CN"/>
        </w:rPr>
        <w:t>专业施工企业完成</w:t>
      </w:r>
      <w:r>
        <w:rPr>
          <w:rFonts w:hint="eastAsia" w:asciiTheme="minorEastAsia" w:hAnsiTheme="minorEastAsia" w:eastAsiaTheme="minorEastAsia"/>
          <w:color w:val="auto"/>
          <w:sz w:val="24"/>
          <w:highlight w:val="none"/>
        </w:rPr>
        <w:t>的活动，</w:t>
      </w:r>
      <w:r>
        <w:rPr>
          <w:rFonts w:asciiTheme="minorEastAsia" w:hAnsiTheme="minorEastAsia" w:eastAsiaTheme="minorEastAsia"/>
          <w:color w:val="auto"/>
          <w:sz w:val="24"/>
          <w:highlight w:val="none"/>
        </w:rPr>
        <w:t>按整体结算。分包人应当依据分包合同的约定，组织分包工程的施工，对分包工程的质量、安全、环保和进度等实施有效控制。分包人对其分包的工程向承包人负责，并就所分包的工程向发包人承担连带责任。分包人不得将承接的分包工程再进行分包。</w:t>
      </w:r>
    </w:p>
    <w:p w14:paraId="1EDB1F08">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宋体" w:hAnsi="宋体"/>
          <w:color w:val="auto"/>
          <w:sz w:val="24"/>
          <w:highlight w:val="none"/>
        </w:rPr>
        <w:t>1.1.6.8 劳务合作：</w:t>
      </w:r>
      <w:r>
        <w:rPr>
          <w:rFonts w:asciiTheme="minorEastAsia" w:hAnsiTheme="minorEastAsia" w:eastAsiaTheme="minorEastAsia"/>
          <w:color w:val="auto"/>
          <w:sz w:val="24"/>
          <w:highlight w:val="none"/>
        </w:rPr>
        <w:t>由承包人负责主要材料采购以及施工组织、相关试验检测、工程测量、工程资料、质量安全管理等工作，与具备企业法人资格的劳务合作企业合作完成的以劳务为主的施工活动。</w:t>
      </w:r>
    </w:p>
    <w:p w14:paraId="7324E6E1">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1.1.6.9 雇佣农民工：</w:t>
      </w:r>
      <w:r>
        <w:rPr>
          <w:rFonts w:asciiTheme="minorEastAsia" w:hAnsiTheme="minorEastAsia" w:eastAsiaTheme="minorEastAsia"/>
          <w:color w:val="auto"/>
          <w:sz w:val="24"/>
          <w:highlight w:val="none"/>
        </w:rPr>
        <w:t>指承包人</w:t>
      </w:r>
      <w:r>
        <w:rPr>
          <w:rFonts w:hint="eastAsia" w:asciiTheme="minorEastAsia" w:hAnsiTheme="minorEastAsia" w:eastAsiaTheme="minorEastAsia"/>
          <w:color w:val="auto"/>
          <w:sz w:val="24"/>
          <w:highlight w:val="none"/>
        </w:rPr>
        <w:t>及其分包人、劳务合作单位</w:t>
      </w:r>
      <w:r>
        <w:rPr>
          <w:rFonts w:asciiTheme="minorEastAsia" w:hAnsiTheme="minorEastAsia" w:eastAsiaTheme="minorEastAsia"/>
          <w:color w:val="auto"/>
          <w:sz w:val="24"/>
          <w:highlight w:val="none"/>
        </w:rPr>
        <w:t>与具有相应劳动能力的自然人签订劳动合同，由承包人统一组织管理，从事分项工程施工或配套工程施工的行为。</w:t>
      </w:r>
      <w:r>
        <w:rPr>
          <w:rFonts w:hint="eastAsia" w:asciiTheme="minorEastAsia" w:hAnsiTheme="minorEastAsia" w:eastAsiaTheme="minorEastAsia"/>
          <w:color w:val="auto"/>
          <w:sz w:val="24"/>
          <w:highlight w:val="none"/>
        </w:rPr>
        <w:t>原条款中“雇佣民工”修改为“农民工”。</w:t>
      </w:r>
    </w:p>
    <w:p w14:paraId="41825407">
      <w:pPr>
        <w:pStyle w:val="6"/>
        <w:jc w:val="left"/>
        <w:rPr>
          <w:rFonts w:hint="eastAsia" w:ascii="黑体" w:hAnsi="黑体" w:cs="黑体"/>
          <w:b w:val="0"/>
          <w:bCs w:val="0"/>
          <w:color w:val="auto"/>
          <w:sz w:val="28"/>
          <w:szCs w:val="32"/>
          <w:highlight w:val="none"/>
        </w:rPr>
      </w:pPr>
      <w:bookmarkStart w:id="779" w:name="_Toc415302464"/>
      <w:bookmarkStart w:id="780" w:name="_Toc53685720"/>
      <w:bookmarkStart w:id="781" w:name="_Toc331491710"/>
      <w:bookmarkStart w:id="782" w:name="_Hlk94093179"/>
      <w:bookmarkStart w:id="783" w:name="_Toc53685723"/>
      <w:r>
        <w:rPr>
          <w:rFonts w:hint="eastAsia" w:ascii="黑体" w:hAnsi="黑体" w:cs="黑体"/>
          <w:b w:val="0"/>
          <w:bCs w:val="0"/>
          <w:color w:val="auto"/>
          <w:sz w:val="28"/>
          <w:szCs w:val="32"/>
          <w:highlight w:val="none"/>
        </w:rPr>
        <w:t>1.4 合同文件的优先顺序</w:t>
      </w:r>
      <w:bookmarkEnd w:id="779"/>
      <w:bookmarkEnd w:id="780"/>
      <w:bookmarkEnd w:id="781"/>
    </w:p>
    <w:p w14:paraId="2751614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本款细化为：</w:t>
      </w:r>
    </w:p>
    <w:p w14:paraId="5AFF4D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组成合同的各项文件应互相解释，互为说明。除项目专用合同条款另有约定外，解释合同文件的优先顺序如下：</w:t>
      </w:r>
    </w:p>
    <w:p w14:paraId="121A48C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1）合同协议书及各种合同附件（含评标期间和合同谈判过程中的澄清文件和</w:t>
      </w:r>
      <w:r>
        <w:rPr>
          <w:rFonts w:hint="eastAsia" w:ascii="宋体" w:hAnsi="宋体"/>
          <w:color w:val="auto"/>
          <w:sz w:val="24"/>
          <w:highlight w:val="none"/>
        </w:rPr>
        <w:t>补充资料）；</w:t>
      </w:r>
    </w:p>
    <w:p w14:paraId="0FDFCB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2）中标通知书；</w:t>
      </w:r>
    </w:p>
    <w:p w14:paraId="149464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3）投标函及投标函附录；</w:t>
      </w:r>
    </w:p>
    <w:p w14:paraId="248BC4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4）项目专用合同条款；</w:t>
      </w:r>
    </w:p>
    <w:p w14:paraId="21B1FC3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5）公路工程专用合同条款；</w:t>
      </w:r>
    </w:p>
    <w:p w14:paraId="5C86C2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6）通用合同条款；</w:t>
      </w:r>
    </w:p>
    <w:p w14:paraId="70A48D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7）工程量清单计量规则（含补充工程量清单计量规则，如有）；</w:t>
      </w:r>
    </w:p>
    <w:p w14:paraId="6B0BF0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8）技术规范（含补充技术规范，如有）</w:t>
      </w:r>
      <w:r>
        <w:rPr>
          <w:rFonts w:hint="eastAsia" w:ascii="宋体" w:hAnsi="宋体"/>
          <w:color w:val="auto"/>
          <w:sz w:val="24"/>
          <w:highlight w:val="none"/>
        </w:rPr>
        <w:t>；</w:t>
      </w:r>
    </w:p>
    <w:p w14:paraId="22DEA5F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9）图纸</w:t>
      </w:r>
      <w:r>
        <w:rPr>
          <w:rFonts w:hint="eastAsia" w:ascii="宋体" w:hAnsi="宋体"/>
          <w:color w:val="auto"/>
          <w:sz w:val="24"/>
          <w:highlight w:val="none"/>
        </w:rPr>
        <w:t>；</w:t>
      </w:r>
    </w:p>
    <w:p w14:paraId="5E8576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10）已标价工程量清单（含工程量清单说明）</w:t>
      </w:r>
      <w:r>
        <w:rPr>
          <w:rFonts w:hint="eastAsia" w:ascii="宋体" w:hAnsi="宋体"/>
          <w:color w:val="auto"/>
          <w:sz w:val="24"/>
          <w:highlight w:val="none"/>
        </w:rPr>
        <w:t>；</w:t>
      </w:r>
    </w:p>
    <w:p w14:paraId="57B53CC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11）承包人有关人员、设备投入的承诺及投标文件中的施工组织设计；</w:t>
      </w:r>
    </w:p>
    <w:p w14:paraId="5F901042">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12）其他合同文件（补遗书具体内容分别归入上述各项文件中）。</w:t>
      </w:r>
    </w:p>
    <w:p w14:paraId="0CF6EE79">
      <w:pPr>
        <w:pStyle w:val="6"/>
        <w:jc w:val="left"/>
        <w:rPr>
          <w:rFonts w:hint="eastAsia" w:ascii="黑体" w:hAnsi="黑体" w:cs="黑体"/>
          <w:b w:val="0"/>
          <w:bCs w:val="0"/>
          <w:color w:val="auto"/>
          <w:sz w:val="28"/>
          <w:szCs w:val="32"/>
          <w:highlight w:val="none"/>
        </w:rPr>
      </w:pPr>
      <w:bookmarkStart w:id="784" w:name="_Toc53685721"/>
      <w:r>
        <w:rPr>
          <w:rFonts w:hint="eastAsia" w:ascii="黑体" w:hAnsi="黑体" w:cs="黑体"/>
          <w:b w:val="0"/>
          <w:bCs w:val="0"/>
          <w:color w:val="auto"/>
          <w:sz w:val="28"/>
          <w:szCs w:val="32"/>
          <w:highlight w:val="none"/>
        </w:rPr>
        <w:t>1.5</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合同协议书</w:t>
      </w:r>
      <w:bookmarkEnd w:id="784"/>
    </w:p>
    <w:p w14:paraId="5FF5E65A">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本款补充：</w:t>
      </w:r>
    </w:p>
    <w:p w14:paraId="7EE4C182">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制备合同文件的费用承担方在第二章“投标人须知”前附表中约定，合同文件的份数视需要由发包人与承包人协商确定。在合同协议书签订之前，投标文件和中标通知书将约束双方。</w:t>
      </w:r>
    </w:p>
    <w:p w14:paraId="1E312E24">
      <w:pPr>
        <w:pStyle w:val="6"/>
        <w:jc w:val="left"/>
        <w:rPr>
          <w:rFonts w:hint="eastAsia" w:ascii="黑体" w:hAnsi="黑体" w:cs="黑体"/>
          <w:b w:val="0"/>
          <w:bCs w:val="0"/>
          <w:color w:val="auto"/>
          <w:sz w:val="28"/>
          <w:szCs w:val="32"/>
          <w:highlight w:val="none"/>
        </w:rPr>
      </w:pPr>
      <w:bookmarkStart w:id="785" w:name="_Toc53685722"/>
      <w:r>
        <w:rPr>
          <w:rFonts w:hint="eastAsia" w:ascii="黑体" w:hAnsi="黑体" w:cs="黑体"/>
          <w:b w:val="0"/>
          <w:bCs w:val="0"/>
          <w:color w:val="auto"/>
          <w:sz w:val="28"/>
          <w:szCs w:val="32"/>
          <w:highlight w:val="none"/>
        </w:rPr>
        <w:t>1.6</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图纸和承包人文件</w:t>
      </w:r>
      <w:bookmarkEnd w:id="785"/>
    </w:p>
    <w:p w14:paraId="1E4311D4">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1.6.1</w:t>
      </w:r>
      <w:r>
        <w:rPr>
          <w:rFonts w:hint="eastAsia" w:ascii="黑体" w:hAnsi="黑体" w:eastAsia="黑体"/>
          <w:color w:val="auto"/>
          <w:sz w:val="24"/>
          <w:highlight w:val="none"/>
        </w:rPr>
        <w:t>图纸的提供</w:t>
      </w:r>
    </w:p>
    <w:p w14:paraId="3CDF286E">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本项补充：</w:t>
      </w:r>
    </w:p>
    <w:p w14:paraId="25F5EF9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发包人提供的施工图纸、补充技术规范和其他技术资料，未经发包人同意，承包人不得提供给与本工程施工无关的第三方。</w:t>
      </w:r>
      <w:bookmarkEnd w:id="782"/>
    </w:p>
    <w:p w14:paraId="19A190AA">
      <w:pPr>
        <w:pStyle w:val="5"/>
        <w:keepNext w:val="0"/>
        <w:keepLines w:val="0"/>
        <w:rPr>
          <w:rFonts w:hint="eastAsia" w:ascii="Arial" w:hAnsi="Arial"/>
          <w:b/>
          <w:color w:val="auto"/>
          <w:sz w:val="28"/>
          <w:szCs w:val="32"/>
          <w:highlight w:val="none"/>
        </w:rPr>
      </w:pPr>
      <w:r>
        <w:rPr>
          <w:rFonts w:hint="eastAsia" w:ascii="Arial" w:hAnsi="Arial"/>
          <w:b/>
          <w:color w:val="auto"/>
          <w:sz w:val="28"/>
          <w:szCs w:val="32"/>
          <w:highlight w:val="none"/>
        </w:rPr>
        <w:t>2. 发包人义务</w:t>
      </w:r>
      <w:bookmarkEnd w:id="783"/>
    </w:p>
    <w:p w14:paraId="58417C10">
      <w:pPr>
        <w:pStyle w:val="6"/>
        <w:jc w:val="left"/>
        <w:rPr>
          <w:rFonts w:hint="eastAsia" w:ascii="黑体" w:hAnsi="黑体" w:cs="黑体"/>
          <w:b w:val="0"/>
          <w:bCs w:val="0"/>
          <w:color w:val="auto"/>
          <w:sz w:val="28"/>
          <w:szCs w:val="32"/>
          <w:highlight w:val="none"/>
        </w:rPr>
      </w:pPr>
      <w:bookmarkStart w:id="786" w:name="_Toc53685724"/>
      <w:r>
        <w:rPr>
          <w:rFonts w:hint="eastAsia" w:ascii="黑体" w:hAnsi="黑体" w:cs="黑体"/>
          <w:b w:val="0"/>
          <w:bCs w:val="0"/>
          <w:color w:val="auto"/>
          <w:sz w:val="28"/>
          <w:szCs w:val="32"/>
          <w:highlight w:val="none"/>
        </w:rPr>
        <w:t>2.3</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提供施工场地</w:t>
      </w:r>
      <w:bookmarkEnd w:id="786"/>
    </w:p>
    <w:p w14:paraId="5C85E660">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本款补充：</w:t>
      </w:r>
    </w:p>
    <w:p w14:paraId="5FFAACD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临时占地由承包人</w:t>
      </w:r>
      <w:r>
        <w:rPr>
          <w:rFonts w:hint="eastAsia" w:ascii="宋体" w:hAnsi="宋体"/>
          <w:color w:val="auto"/>
          <w:sz w:val="24"/>
          <w:highlight w:val="none"/>
          <w:lang w:val="en-US" w:eastAsia="zh-CN"/>
        </w:rPr>
        <w:t>按照</w:t>
      </w:r>
      <w:r>
        <w:rPr>
          <w:rFonts w:hint="eastAsia" w:ascii="宋体" w:hAnsi="宋体"/>
          <w:color w:val="auto"/>
          <w:sz w:val="24"/>
          <w:highlight w:val="none"/>
        </w:rPr>
        <w:t>第</w:t>
      </w:r>
      <w:r>
        <w:rPr>
          <w:rFonts w:ascii="宋体" w:hAnsi="宋体"/>
          <w:color w:val="auto"/>
          <w:sz w:val="24"/>
          <w:highlight w:val="none"/>
        </w:rPr>
        <w:t>4.1.10</w:t>
      </w:r>
      <w:r>
        <w:rPr>
          <w:rFonts w:hint="eastAsia" w:ascii="宋体" w:hAnsi="宋体"/>
          <w:color w:val="auto"/>
          <w:sz w:val="24"/>
          <w:highlight w:val="none"/>
          <w:lang w:val="en-US" w:eastAsia="zh-CN"/>
        </w:rPr>
        <w:t>项</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目要求</w:t>
      </w:r>
      <w:r>
        <w:rPr>
          <w:rFonts w:hint="eastAsia" w:ascii="宋体" w:hAnsi="宋体"/>
          <w:color w:val="auto"/>
          <w:sz w:val="24"/>
          <w:highlight w:val="none"/>
        </w:rPr>
        <w:t>自行负责办理。</w:t>
      </w:r>
    </w:p>
    <w:p w14:paraId="4F367870">
      <w:pPr>
        <w:pStyle w:val="6"/>
        <w:jc w:val="left"/>
        <w:rPr>
          <w:rFonts w:hint="eastAsia" w:ascii="黑体" w:hAnsi="黑体" w:eastAsia="黑体" w:cs="黑体"/>
          <w:b w:val="0"/>
          <w:bCs w:val="0"/>
          <w:color w:val="auto"/>
          <w:sz w:val="28"/>
          <w:szCs w:val="32"/>
          <w:highlight w:val="none"/>
          <w:lang w:eastAsia="zh-CN"/>
        </w:rPr>
      </w:pPr>
      <w:r>
        <w:rPr>
          <w:rFonts w:hint="eastAsia" w:ascii="黑体" w:hAnsi="黑体" w:cs="黑体"/>
          <w:b w:val="0"/>
          <w:bCs w:val="0"/>
          <w:color w:val="auto"/>
          <w:sz w:val="28"/>
          <w:szCs w:val="32"/>
          <w:highlight w:val="none"/>
        </w:rPr>
        <w:t>2.</w:t>
      </w:r>
      <w:r>
        <w:rPr>
          <w:rFonts w:hint="eastAsia" w:ascii="黑体" w:hAnsi="黑体" w:cs="黑体"/>
          <w:b w:val="0"/>
          <w:bCs w:val="0"/>
          <w:color w:val="auto"/>
          <w:sz w:val="28"/>
          <w:szCs w:val="32"/>
          <w:highlight w:val="none"/>
          <w:lang w:val="en-US" w:eastAsia="zh-CN"/>
        </w:rPr>
        <w:t>6 支付合同价款</w:t>
      </w:r>
    </w:p>
    <w:p w14:paraId="3008500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本款补充：</w:t>
      </w:r>
    </w:p>
    <w:p w14:paraId="4B75B6C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按照项目专用合同条款第4.8.7项（2）目规定，</w:t>
      </w:r>
      <w:r>
        <w:rPr>
          <w:rFonts w:hint="eastAsia" w:ascii="宋体" w:hAnsi="宋体"/>
          <w:color w:val="auto"/>
          <w:sz w:val="24"/>
          <w:highlight w:val="none"/>
        </w:rPr>
        <w:t>发包人</w:t>
      </w:r>
      <w:r>
        <w:rPr>
          <w:rFonts w:hint="eastAsia" w:ascii="宋体" w:hAnsi="宋体"/>
          <w:color w:val="auto"/>
          <w:sz w:val="24"/>
          <w:highlight w:val="none"/>
          <w:lang w:val="en-US" w:eastAsia="zh-CN"/>
        </w:rPr>
        <w:t>应向承包人提供工程款支付担保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具体</w:t>
      </w:r>
      <w:r>
        <w:rPr>
          <w:rFonts w:hint="eastAsia" w:ascii="宋体" w:hAnsi="宋体"/>
          <w:color w:val="auto"/>
          <w:sz w:val="24"/>
          <w:highlight w:val="none"/>
        </w:rPr>
        <w:t>约定为：</w:t>
      </w:r>
      <w:r>
        <w:rPr>
          <w:rFonts w:ascii="宋体" w:hAnsi="宋体"/>
          <w:color w:val="auto"/>
          <w:sz w:val="24"/>
          <w:highlight w:val="none"/>
          <w:u w:val="single"/>
        </w:rPr>
        <w:t xml:space="preserve">                         </w:t>
      </w:r>
      <w:r>
        <w:rPr>
          <w:rFonts w:hint="eastAsia" w:ascii="宋体" w:hAnsi="宋体"/>
          <w:color w:val="auto"/>
          <w:sz w:val="24"/>
          <w:highlight w:val="none"/>
        </w:rPr>
        <w:t>。</w:t>
      </w:r>
    </w:p>
    <w:p w14:paraId="014B3B1B">
      <w:pPr>
        <w:pStyle w:val="5"/>
        <w:keepNext w:val="0"/>
        <w:keepLines w:val="0"/>
        <w:rPr>
          <w:rFonts w:hint="eastAsia" w:ascii="Arial" w:hAnsi="Arial"/>
          <w:b/>
          <w:color w:val="auto"/>
          <w:sz w:val="28"/>
          <w:szCs w:val="32"/>
          <w:highlight w:val="none"/>
        </w:rPr>
      </w:pPr>
      <w:bookmarkStart w:id="787" w:name="_Toc53685725"/>
      <w:r>
        <w:rPr>
          <w:rFonts w:hint="eastAsia" w:ascii="Arial" w:hAnsi="Arial"/>
          <w:b/>
          <w:color w:val="auto"/>
          <w:sz w:val="28"/>
          <w:szCs w:val="32"/>
          <w:highlight w:val="none"/>
          <w:lang w:val="en-US" w:eastAsia="zh-CN"/>
        </w:rPr>
        <w:t xml:space="preserve">3. </w:t>
      </w:r>
      <w:r>
        <w:rPr>
          <w:rFonts w:hint="eastAsia" w:ascii="Arial" w:hAnsi="Arial"/>
          <w:b/>
          <w:color w:val="auto"/>
          <w:sz w:val="28"/>
          <w:szCs w:val="32"/>
          <w:highlight w:val="none"/>
        </w:rPr>
        <w:t>监理人</w:t>
      </w:r>
      <w:bookmarkEnd w:id="787"/>
    </w:p>
    <w:p w14:paraId="328DC134">
      <w:pPr>
        <w:pStyle w:val="6"/>
        <w:jc w:val="left"/>
        <w:rPr>
          <w:rFonts w:hint="eastAsia" w:ascii="黑体" w:hAnsi="黑体" w:cs="黑体"/>
          <w:b w:val="0"/>
          <w:bCs w:val="0"/>
          <w:color w:val="auto"/>
          <w:sz w:val="28"/>
          <w:szCs w:val="32"/>
          <w:highlight w:val="none"/>
        </w:rPr>
      </w:pPr>
      <w:bookmarkStart w:id="788" w:name="_Toc53685726"/>
      <w:r>
        <w:rPr>
          <w:rFonts w:hint="eastAsia" w:ascii="黑体" w:hAnsi="黑体" w:cs="黑体"/>
          <w:b w:val="0"/>
          <w:bCs w:val="0"/>
          <w:color w:val="auto"/>
          <w:sz w:val="28"/>
          <w:szCs w:val="32"/>
          <w:highlight w:val="none"/>
        </w:rPr>
        <w:t>3.1</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监理人的职责和权力</w:t>
      </w:r>
      <w:bookmarkEnd w:id="788"/>
    </w:p>
    <w:p w14:paraId="22DFDFFB">
      <w:pPr>
        <w:pStyle w:val="27"/>
        <w:snapToGrid w:val="0"/>
        <w:spacing w:line="360" w:lineRule="auto"/>
        <w:ind w:firstLine="470" w:firstLineChars="196"/>
        <w:rPr>
          <w:rFonts w:hAnsi="宋体"/>
          <w:color w:val="auto"/>
          <w:sz w:val="24"/>
          <w:szCs w:val="24"/>
          <w:highlight w:val="none"/>
        </w:rPr>
      </w:pPr>
      <w:r>
        <w:rPr>
          <w:rFonts w:hint="eastAsia" w:hAnsi="宋体"/>
          <w:b w:val="0"/>
          <w:bCs/>
          <w:color w:val="auto"/>
          <w:sz w:val="24"/>
          <w:szCs w:val="24"/>
          <w:highlight w:val="none"/>
        </w:rPr>
        <w:t>第</w:t>
      </w:r>
      <w:r>
        <w:rPr>
          <w:rFonts w:hAnsi="宋体"/>
          <w:b w:val="0"/>
          <w:bCs/>
          <w:color w:val="auto"/>
          <w:sz w:val="24"/>
          <w:szCs w:val="24"/>
          <w:highlight w:val="none"/>
        </w:rPr>
        <w:t>3.1.1</w:t>
      </w:r>
      <w:r>
        <w:rPr>
          <w:rFonts w:hint="eastAsia" w:hAnsi="宋体"/>
          <w:b w:val="0"/>
          <w:bCs/>
          <w:color w:val="auto"/>
          <w:sz w:val="24"/>
          <w:szCs w:val="24"/>
          <w:highlight w:val="none"/>
        </w:rPr>
        <w:t>项</w:t>
      </w: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w:t>
      </w:r>
      <w:r>
        <w:rPr>
          <w:rFonts w:hint="eastAsia" w:ascii="宋体" w:hAnsi="宋体" w:eastAsia="宋体" w:cs="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）目约定为：</w:t>
      </w:r>
    </w:p>
    <w:p w14:paraId="4FB2CDE9">
      <w:pPr>
        <w:adjustRightInd w:val="0"/>
        <w:snapToGrid w:val="0"/>
        <w:spacing w:line="360" w:lineRule="auto"/>
        <w:ind w:firstLine="600" w:firstLineChars="250"/>
        <w:rPr>
          <w:rFonts w:ascii="宋体" w:hAnsi="宋体" w:cs="Arial"/>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）针对变更工程，监理人的权力范围：按照</w:t>
      </w:r>
      <w:r>
        <w:rPr>
          <w:rFonts w:hint="eastAsia" w:ascii="宋体" w:hAnsi="宋体" w:cs="Arial"/>
          <w:color w:val="auto"/>
          <w:sz w:val="24"/>
          <w:highlight w:val="none"/>
        </w:rPr>
        <w:t>交通运输部、四川省交通运输厅及合同约定执行。</w:t>
      </w:r>
    </w:p>
    <w:p w14:paraId="07534CB2">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7</w:t>
      </w:r>
      <w:r>
        <w:rPr>
          <w:rFonts w:hint="eastAsia" w:ascii="宋体" w:hAnsi="宋体" w:cs="Arial"/>
          <w:color w:val="auto"/>
          <w:sz w:val="24"/>
          <w:highlight w:val="none"/>
        </w:rPr>
        <w:t>）审查第</w:t>
      </w:r>
      <w:r>
        <w:rPr>
          <w:rFonts w:ascii="宋体" w:hAnsi="宋体" w:cs="Arial"/>
          <w:color w:val="auto"/>
          <w:sz w:val="24"/>
          <w:highlight w:val="none"/>
        </w:rPr>
        <w:t>15</w:t>
      </w:r>
      <w:r>
        <w:rPr>
          <w:rFonts w:ascii="宋体" w:hAnsi="宋体"/>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款下变更工作的单价。</w:t>
      </w:r>
    </w:p>
    <w:p w14:paraId="156D0F4F">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8</w:t>
      </w:r>
      <w:r>
        <w:rPr>
          <w:rFonts w:hint="eastAsia" w:ascii="宋体" w:hAnsi="宋体" w:cs="Arial"/>
          <w:color w:val="auto"/>
          <w:sz w:val="24"/>
          <w:highlight w:val="none"/>
        </w:rPr>
        <w:t>）按照第</w:t>
      </w:r>
      <w:r>
        <w:rPr>
          <w:rFonts w:ascii="宋体" w:hAnsi="宋体" w:cs="Arial"/>
          <w:color w:val="auto"/>
          <w:sz w:val="24"/>
          <w:highlight w:val="none"/>
        </w:rPr>
        <w:t>15</w:t>
      </w:r>
      <w:r>
        <w:rPr>
          <w:rFonts w:ascii="宋体" w:hAnsi="宋体"/>
          <w:color w:val="auto"/>
          <w:sz w:val="24"/>
          <w:highlight w:val="none"/>
        </w:rPr>
        <w:t>.6</w:t>
      </w:r>
      <w:r>
        <w:rPr>
          <w:rFonts w:hint="eastAsia" w:ascii="宋体" w:hAnsi="宋体" w:cs="Arial"/>
          <w:color w:val="auto"/>
          <w:sz w:val="24"/>
          <w:highlight w:val="none"/>
        </w:rPr>
        <w:t>款审查有关暂列金额的使用。</w:t>
      </w:r>
    </w:p>
    <w:p w14:paraId="70F2B19F">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9</w:t>
      </w:r>
      <w:r>
        <w:rPr>
          <w:rFonts w:hint="eastAsia" w:ascii="宋体" w:hAnsi="宋体" w:cs="Arial"/>
          <w:color w:val="auto"/>
          <w:sz w:val="24"/>
          <w:highlight w:val="none"/>
        </w:rPr>
        <w:t>）审查第</w:t>
      </w:r>
      <w:r>
        <w:rPr>
          <w:rFonts w:ascii="宋体" w:hAnsi="宋体" w:cs="Arial"/>
          <w:color w:val="auto"/>
          <w:sz w:val="24"/>
          <w:highlight w:val="none"/>
        </w:rPr>
        <w:t>15</w:t>
      </w:r>
      <w:r>
        <w:rPr>
          <w:rFonts w:ascii="宋体" w:hAnsi="宋体"/>
          <w:color w:val="auto"/>
          <w:sz w:val="24"/>
          <w:highlight w:val="none"/>
        </w:rPr>
        <w:t>.8</w:t>
      </w:r>
      <w:r>
        <w:rPr>
          <w:rFonts w:hint="eastAsia" w:ascii="宋体" w:hAnsi="宋体" w:cs="Arial"/>
          <w:color w:val="auto"/>
          <w:sz w:val="24"/>
          <w:highlight w:val="none"/>
        </w:rPr>
        <w:t>款下的暂估价金额。</w:t>
      </w:r>
    </w:p>
    <w:p w14:paraId="6562BA6E">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10</w:t>
      </w:r>
      <w:r>
        <w:rPr>
          <w:rFonts w:hint="eastAsia" w:ascii="宋体" w:hAnsi="宋体" w:cs="Arial"/>
          <w:color w:val="auto"/>
          <w:sz w:val="24"/>
          <w:highlight w:val="none"/>
        </w:rPr>
        <w:t>）审查第</w:t>
      </w:r>
      <w:r>
        <w:rPr>
          <w:rFonts w:ascii="宋体" w:hAnsi="宋体" w:cs="Arial"/>
          <w:color w:val="auto"/>
          <w:sz w:val="24"/>
          <w:highlight w:val="none"/>
        </w:rPr>
        <w:t>23</w:t>
      </w:r>
      <w:r>
        <w:rPr>
          <w:rFonts w:ascii="宋体" w:hAnsi="宋体"/>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款下的索赔金额。</w:t>
      </w:r>
    </w:p>
    <w:p w14:paraId="0E4FE5E1">
      <w:pPr>
        <w:pStyle w:val="5"/>
        <w:keepNext w:val="0"/>
        <w:keepLines w:val="0"/>
        <w:numPr>
          <w:ilvl w:val="-1"/>
          <w:numId w:val="0"/>
        </w:numPr>
        <w:rPr>
          <w:rFonts w:hint="eastAsia" w:ascii="Arial" w:hAnsi="Arial"/>
          <w:b/>
          <w:color w:val="auto"/>
          <w:sz w:val="28"/>
          <w:szCs w:val="32"/>
          <w:highlight w:val="none"/>
        </w:rPr>
      </w:pPr>
      <w:bookmarkStart w:id="789" w:name="_Toc53685727"/>
      <w:r>
        <w:rPr>
          <w:rFonts w:hint="eastAsia" w:ascii="Arial" w:hAnsi="Arial"/>
          <w:b/>
          <w:color w:val="auto"/>
          <w:sz w:val="28"/>
          <w:szCs w:val="32"/>
          <w:highlight w:val="none"/>
          <w:lang w:val="en-US" w:eastAsia="zh-CN"/>
        </w:rPr>
        <w:t xml:space="preserve">4. </w:t>
      </w:r>
      <w:r>
        <w:rPr>
          <w:rFonts w:hint="eastAsia" w:ascii="Arial" w:hAnsi="Arial"/>
          <w:b/>
          <w:color w:val="auto"/>
          <w:sz w:val="28"/>
          <w:szCs w:val="32"/>
          <w:highlight w:val="none"/>
        </w:rPr>
        <w:t>承包人</w:t>
      </w:r>
      <w:bookmarkEnd w:id="789"/>
    </w:p>
    <w:p w14:paraId="5A6B4D82">
      <w:pPr>
        <w:pStyle w:val="6"/>
        <w:jc w:val="left"/>
        <w:rPr>
          <w:rFonts w:hint="eastAsia" w:ascii="黑体" w:hAnsi="黑体" w:cs="黑体"/>
          <w:b w:val="0"/>
          <w:bCs w:val="0"/>
          <w:color w:val="auto"/>
          <w:sz w:val="28"/>
          <w:szCs w:val="32"/>
          <w:highlight w:val="none"/>
        </w:rPr>
      </w:pPr>
      <w:bookmarkStart w:id="790" w:name="_Toc53685728"/>
      <w:r>
        <w:rPr>
          <w:rFonts w:hint="eastAsia" w:ascii="黑体" w:hAnsi="黑体" w:cs="黑体"/>
          <w:b w:val="0"/>
          <w:bCs w:val="0"/>
          <w:color w:val="auto"/>
          <w:sz w:val="28"/>
          <w:szCs w:val="32"/>
          <w:highlight w:val="none"/>
        </w:rPr>
        <w:t>4.1</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承包人的一般义务</w:t>
      </w:r>
      <w:bookmarkEnd w:id="790"/>
    </w:p>
    <w:p w14:paraId="1DE3C78D">
      <w:pPr>
        <w:adjustRightInd w:val="0"/>
        <w:snapToGrid w:val="0"/>
        <w:spacing w:line="360" w:lineRule="auto"/>
        <w:ind w:firstLine="360" w:firstLineChars="150"/>
        <w:rPr>
          <w:rFonts w:ascii="黑体" w:hAnsi="黑体" w:eastAsia="黑体"/>
          <w:color w:val="auto"/>
          <w:sz w:val="24"/>
          <w:highlight w:val="none"/>
        </w:rPr>
      </w:pPr>
      <w:bookmarkStart w:id="791" w:name="_Hlk98673245"/>
      <w:r>
        <w:rPr>
          <w:rFonts w:ascii="黑体" w:hAnsi="黑体" w:eastAsia="黑体"/>
          <w:color w:val="auto"/>
          <w:sz w:val="24"/>
          <w:highlight w:val="none"/>
        </w:rPr>
        <w:t>4.1.1</w:t>
      </w:r>
      <w:r>
        <w:rPr>
          <w:rFonts w:hint="eastAsia" w:ascii="黑体" w:hAnsi="黑体" w:eastAsia="黑体"/>
          <w:color w:val="auto"/>
          <w:sz w:val="24"/>
          <w:highlight w:val="none"/>
        </w:rPr>
        <w:t>遵守法律</w:t>
      </w:r>
    </w:p>
    <w:p w14:paraId="1288927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本项补充：</w:t>
      </w:r>
      <w:r>
        <w:rPr>
          <w:rFonts w:ascii="宋体" w:hAnsi="宋体"/>
          <w:color w:val="auto"/>
          <w:sz w:val="24"/>
          <w:highlight w:val="none"/>
        </w:rPr>
        <w:t xml:space="preserve"> </w:t>
      </w:r>
    </w:p>
    <w:p w14:paraId="37EE35A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）承包人应遵守现行的所有法律，不论是国家、省、市</w:t>
      </w:r>
      <w:r>
        <w:rPr>
          <w:rFonts w:hint="eastAsia" w:ascii="宋体" w:hAnsi="宋体"/>
          <w:color w:val="auto"/>
          <w:sz w:val="24"/>
          <w:highlight w:val="none"/>
          <w:lang w:val="en-US" w:eastAsia="zh-CN"/>
        </w:rPr>
        <w:t>的</w:t>
      </w:r>
      <w:r>
        <w:rPr>
          <w:rFonts w:hint="eastAsia" w:ascii="宋体" w:hAnsi="宋体"/>
          <w:color w:val="auto"/>
          <w:sz w:val="24"/>
          <w:highlight w:val="none"/>
        </w:rPr>
        <w:t>还是影响合同执行并对承包人有约束的法律。如果因承包人或其派遣人员违反了这些法律，从而导致债务、损失、索赔、罚金、处罚等费用，不论其性质如何，由承包人自行承担。</w:t>
      </w:r>
    </w:p>
    <w:p w14:paraId="15F9691A">
      <w:pPr>
        <w:adjustRightInd w:val="0"/>
        <w:snapToGrid w:val="0"/>
        <w:spacing w:line="360" w:lineRule="auto"/>
        <w:ind w:firstLine="480" w:firstLineChars="200"/>
        <w:rPr>
          <w:rFonts w:asciiTheme="minorEastAsia" w:hAnsiTheme="minorEastAsia" w:eastAsiaTheme="minorEastAsia"/>
          <w:b/>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）承包人应保护和保障发包人免于承担由于承包人的疏忽不当行为造成的所有索赔、诉讼、损害赔偿、诉讼费、收费及其他的责任。</w:t>
      </w:r>
    </w:p>
    <w:p w14:paraId="2AC90D79">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4.1.2</w:t>
      </w:r>
      <w:r>
        <w:rPr>
          <w:rFonts w:hint="eastAsia" w:ascii="黑体" w:hAnsi="黑体" w:eastAsia="黑体"/>
          <w:color w:val="auto"/>
          <w:sz w:val="24"/>
          <w:highlight w:val="none"/>
        </w:rPr>
        <w:t>依法纳税</w:t>
      </w:r>
    </w:p>
    <w:p w14:paraId="78B4BA95">
      <w:pPr>
        <w:pStyle w:val="27"/>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本项细化为：</w:t>
      </w:r>
      <w:bookmarkStart w:id="792" w:name="_Hlk98429633"/>
    </w:p>
    <w:p w14:paraId="6C108B2F">
      <w:pPr>
        <w:pStyle w:val="27"/>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承包人应按照有关法律法规规定缴纳一切税、费，应缴纳的税、费包含在其合同价格内。</w:t>
      </w:r>
      <w:r>
        <w:rPr>
          <w:rFonts w:hint="eastAsia" w:hAnsi="宋体"/>
          <w:color w:val="auto"/>
          <w:sz w:val="24"/>
          <w:highlight w:val="none"/>
        </w:rPr>
        <w:t>工程量清单相关子目单价、总额价和投标总报价均为包括增值税及各种附加在内的全部税、费</w:t>
      </w:r>
      <w:bookmarkEnd w:id="792"/>
      <w:r>
        <w:rPr>
          <w:rFonts w:hint="eastAsia" w:hAnsi="宋体"/>
          <w:color w:val="auto"/>
          <w:sz w:val="24"/>
          <w:highlight w:val="none"/>
        </w:rPr>
        <w:t>。</w:t>
      </w:r>
    </w:p>
    <w:p w14:paraId="750364F0">
      <w:pPr>
        <w:adjustRightInd w:val="0"/>
        <w:snapToGrid w:val="0"/>
        <w:spacing w:line="360" w:lineRule="auto"/>
        <w:ind w:firstLine="480" w:firstLineChars="200"/>
        <w:rPr>
          <w:rFonts w:hint="eastAsia" w:hAnsi="宋体"/>
          <w:color w:val="auto"/>
          <w:sz w:val="24"/>
          <w:highlight w:val="none"/>
        </w:rPr>
      </w:pPr>
      <w:bookmarkStart w:id="793" w:name="_Hlk98429648"/>
      <w:r>
        <w:rPr>
          <w:rFonts w:hint="eastAsia" w:hAnsi="宋体"/>
          <w:color w:val="auto"/>
          <w:sz w:val="24"/>
          <w:highlight w:val="none"/>
        </w:rPr>
        <w:t>承包人按照税务机关认定的计税方法向发包人提供合规的增值税发票后，发包人才向承包人支付工程价款。如承包人提供的增值税专用发票不规范、不合法或涉嫌虚开，承包人须承担赔偿责任，同时不免除其开具合法增值税专用发票的义务</w:t>
      </w:r>
      <w:bookmarkEnd w:id="791"/>
      <w:r>
        <w:rPr>
          <w:rFonts w:hint="eastAsia" w:hAnsi="宋体"/>
          <w:color w:val="auto"/>
          <w:sz w:val="24"/>
          <w:highlight w:val="none"/>
        </w:rPr>
        <w:t>。</w:t>
      </w:r>
    </w:p>
    <w:p w14:paraId="04150F2A">
      <w:pPr>
        <w:adjustRightInd w:val="0"/>
        <w:snapToGrid w:val="0"/>
        <w:spacing w:line="360" w:lineRule="auto"/>
        <w:ind w:firstLine="480" w:firstLineChars="200"/>
        <w:rPr>
          <w:rFonts w:hint="eastAsia" w:hAnsi="宋体"/>
          <w:color w:val="auto"/>
          <w:sz w:val="24"/>
          <w:highlight w:val="none"/>
        </w:rPr>
      </w:pPr>
      <w:r>
        <w:rPr>
          <w:rFonts w:hint="eastAsia" w:ascii="宋体" w:hAnsi="宋体" w:cs="宋体"/>
          <w:color w:val="auto"/>
          <w:sz w:val="24"/>
          <w:highlight w:val="none"/>
          <w:lang w:val="en-US" w:eastAsia="zh-CN"/>
        </w:rPr>
        <w:t>一般情形下</w:t>
      </w:r>
      <w:r>
        <w:rPr>
          <w:rFonts w:hint="eastAsia" w:ascii="宋体" w:hAnsi="宋体" w:cs="宋体"/>
          <w:color w:val="auto"/>
          <w:sz w:val="24"/>
          <w:highlight w:val="none"/>
        </w:rPr>
        <w:t>增值</w:t>
      </w:r>
      <w:r>
        <w:rPr>
          <w:rFonts w:hint="eastAsia" w:hAnsi="宋体"/>
          <w:color w:val="auto"/>
          <w:sz w:val="24"/>
          <w:highlight w:val="none"/>
        </w:rPr>
        <w:t>税调整</w:t>
      </w:r>
      <w:r>
        <w:rPr>
          <w:rFonts w:hint="eastAsia" w:hAnsi="宋体"/>
          <w:color w:val="auto"/>
          <w:sz w:val="24"/>
          <w:highlight w:val="none"/>
          <w:lang w:val="en-US" w:eastAsia="zh-CN"/>
        </w:rPr>
        <w:t>的</w:t>
      </w:r>
      <w:r>
        <w:rPr>
          <w:rFonts w:hint="eastAsia" w:hAnsi="宋体"/>
          <w:color w:val="auto"/>
          <w:sz w:val="24"/>
          <w:highlight w:val="none"/>
        </w:rPr>
        <w:t>，合同价格不进行调整。</w:t>
      </w:r>
      <w:r>
        <w:rPr>
          <w:rFonts w:hint="eastAsia" w:hAnsi="宋体"/>
          <w:color w:val="auto"/>
          <w:sz w:val="24"/>
          <w:highlight w:val="none"/>
          <w:lang w:val="en-US" w:eastAsia="zh-CN"/>
        </w:rPr>
        <w:t>发包人若有特别约定的，具体约定</w:t>
      </w:r>
      <w:r>
        <w:rPr>
          <w:rFonts w:hint="eastAsia" w:hAnsi="宋体"/>
          <w:color w:val="auto"/>
          <w:sz w:val="24"/>
          <w:highlight w:val="none"/>
        </w:rPr>
        <w:t>为：</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Ansi="宋体"/>
          <w:color w:val="auto"/>
          <w:sz w:val="24"/>
          <w:highlight w:val="none"/>
          <w:u w:val="single"/>
        </w:rPr>
        <w:t xml:space="preserve"> </w:t>
      </w:r>
      <w:r>
        <w:rPr>
          <w:rFonts w:hint="eastAsia" w:hAnsi="宋体"/>
          <w:color w:val="auto"/>
          <w:sz w:val="24"/>
          <w:highlight w:val="none"/>
        </w:rPr>
        <w:t>。</w:t>
      </w:r>
    </w:p>
    <w:bookmarkEnd w:id="793"/>
    <w:p w14:paraId="202C7E6E">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4.1.8</w:t>
      </w:r>
      <w:r>
        <w:rPr>
          <w:rFonts w:hint="eastAsia" w:ascii="黑体" w:hAnsi="黑体" w:eastAsia="黑体"/>
          <w:color w:val="auto"/>
          <w:sz w:val="24"/>
          <w:highlight w:val="none"/>
        </w:rPr>
        <w:t>为他人提供方便</w:t>
      </w:r>
    </w:p>
    <w:p w14:paraId="46416A98">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本项补充：</w:t>
      </w:r>
    </w:p>
    <w:p w14:paraId="0C41EF6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1）承包人除按合同规定承担本工程实施、完成及修复缺陷外，还应配合经发</w:t>
      </w:r>
      <w:r>
        <w:rPr>
          <w:rFonts w:hint="eastAsia" w:ascii="宋体" w:hAnsi="宋体"/>
          <w:color w:val="auto"/>
          <w:sz w:val="24"/>
          <w:highlight w:val="none"/>
        </w:rPr>
        <w:t>包人接受的其他承包人的施工，对施工有交叉、有衔接的施工项目，承包人应按监理人、发包人要求做好配合工作。若出现矛盾或纠纷，承包人应无条件服从监理人或发包人的安排协调，由此产生的费用由承包人自行承担。若承包人在配合工作中，由于自身原因造成已实施工程损坏的，承包人应承担全部责任和费用。</w:t>
      </w:r>
    </w:p>
    <w:p w14:paraId="3050D6C9">
      <w:pPr>
        <w:adjustRightInd w:val="0"/>
        <w:snapToGrid w:val="0"/>
        <w:spacing w:line="360" w:lineRule="auto"/>
        <w:ind w:firstLine="422"/>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）与第三方</w:t>
      </w:r>
      <w:r>
        <w:rPr>
          <w:rFonts w:ascii="宋体" w:hAnsi="宋体"/>
          <w:color w:val="auto"/>
          <w:sz w:val="24"/>
          <w:highlight w:val="none"/>
        </w:rPr>
        <w:t>单位（</w:t>
      </w:r>
      <w:r>
        <w:rPr>
          <w:rFonts w:hint="eastAsia" w:ascii="宋体" w:hAnsi="宋体"/>
          <w:color w:val="auto"/>
          <w:sz w:val="24"/>
          <w:highlight w:val="none"/>
        </w:rPr>
        <w:t>包括检测、监控、科研单位等</w:t>
      </w:r>
      <w:r>
        <w:rPr>
          <w:rFonts w:ascii="宋体" w:hAnsi="宋体"/>
          <w:color w:val="auto"/>
          <w:sz w:val="24"/>
          <w:highlight w:val="none"/>
        </w:rPr>
        <w:t>）的配合</w:t>
      </w:r>
      <w:r>
        <w:rPr>
          <w:rFonts w:hint="eastAsia" w:ascii="宋体" w:hAnsi="宋体"/>
          <w:color w:val="auto"/>
          <w:sz w:val="24"/>
          <w:highlight w:val="none"/>
        </w:rPr>
        <w:t>（如有）</w:t>
      </w:r>
      <w:r>
        <w:rPr>
          <w:rFonts w:hint="eastAsia" w:ascii="宋体" w:hAnsi="宋体"/>
          <w:color w:val="auto"/>
          <w:sz w:val="24"/>
          <w:highlight w:val="none"/>
          <w:lang w:eastAsia="zh-CN"/>
        </w:rPr>
        <w:t>：</w:t>
      </w:r>
    </w:p>
    <w:p w14:paraId="6FBE6837">
      <w:pPr>
        <w:adjustRightInd w:val="0"/>
        <w:snapToGrid w:val="0"/>
        <w:spacing w:line="360" w:lineRule="auto"/>
        <w:ind w:firstLine="472" w:firstLineChars="197"/>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承包人应协助本项目</w:t>
      </w:r>
      <w:r>
        <w:rPr>
          <w:rFonts w:ascii="宋体" w:hAnsi="宋体"/>
          <w:color w:val="auto"/>
          <w:sz w:val="24"/>
          <w:highlight w:val="none"/>
        </w:rPr>
        <w:t>施工有关的</w:t>
      </w:r>
      <w:r>
        <w:rPr>
          <w:rFonts w:hint="eastAsia" w:ascii="宋体" w:hAnsi="宋体"/>
          <w:color w:val="auto"/>
          <w:sz w:val="24"/>
          <w:highlight w:val="none"/>
        </w:rPr>
        <w:t>第三方单位的工作，委派专人积极做好配合工作；</w:t>
      </w:r>
    </w:p>
    <w:p w14:paraId="42E87398">
      <w:pPr>
        <w:adjustRightInd w:val="0"/>
        <w:snapToGrid w:val="0"/>
        <w:spacing w:line="360" w:lineRule="auto"/>
        <w:ind w:firstLine="472" w:firstLineChars="197"/>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2 \* GB3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hint="eastAsia" w:ascii="宋体" w:hAnsi="宋体"/>
          <w:color w:val="auto"/>
          <w:sz w:val="24"/>
          <w:highlight w:val="none"/>
        </w:rPr>
        <w:t>承包人应熟悉第三方单位的检测、监控、科研实施方案和流程，对此提出相应的配合工作方案，并须经监理人审批同意；</w:t>
      </w:r>
    </w:p>
    <w:p w14:paraId="7F7D0BC6">
      <w:pPr>
        <w:adjustRightInd w:val="0"/>
        <w:snapToGrid w:val="0"/>
        <w:spacing w:line="360" w:lineRule="auto"/>
        <w:ind w:firstLine="472" w:firstLineChars="197"/>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3 \* GB3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hint="eastAsia" w:ascii="宋体" w:hAnsi="宋体"/>
          <w:color w:val="auto"/>
          <w:sz w:val="24"/>
          <w:highlight w:val="none"/>
        </w:rPr>
        <w:t>施工检测、监控、科研过程中，在监理人的统一调配下，承包人应尽可能地提供人员、材料、设备的便利，以便施工检测、监控、科研工作顺利地进行；</w:t>
      </w:r>
    </w:p>
    <w:p w14:paraId="4A33C04D">
      <w:pPr>
        <w:adjustRightInd w:val="0"/>
        <w:snapToGrid w:val="0"/>
        <w:spacing w:line="360" w:lineRule="auto"/>
        <w:ind w:firstLine="472" w:firstLineChars="197"/>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4 \* GB3 </w:instrText>
      </w:r>
      <w:r>
        <w:rPr>
          <w:rFonts w:ascii="宋体" w:hAnsi="宋体"/>
          <w:color w:val="auto"/>
          <w:sz w:val="24"/>
          <w:highlight w:val="none"/>
        </w:rPr>
        <w:fldChar w:fldCharType="separate"/>
      </w:r>
      <w:r>
        <w:rPr>
          <w:rFonts w:hint="eastAsia" w:ascii="宋体" w:hAnsi="宋体"/>
          <w:color w:val="auto"/>
          <w:sz w:val="24"/>
          <w:highlight w:val="none"/>
        </w:rPr>
        <w:t>④</w:t>
      </w:r>
      <w:r>
        <w:rPr>
          <w:rFonts w:ascii="宋体" w:hAnsi="宋体"/>
          <w:color w:val="auto"/>
          <w:sz w:val="24"/>
          <w:highlight w:val="none"/>
        </w:rPr>
        <w:fldChar w:fldCharType="end"/>
      </w:r>
      <w:r>
        <w:rPr>
          <w:rFonts w:hint="eastAsia" w:ascii="宋体" w:hAnsi="宋体"/>
          <w:color w:val="auto"/>
          <w:sz w:val="24"/>
          <w:highlight w:val="none"/>
        </w:rPr>
        <w:t>承包人应参与检测、监控、科研资料的总结与分析工作；</w:t>
      </w:r>
    </w:p>
    <w:p w14:paraId="45A5BC4C">
      <w:pPr>
        <w:adjustRightInd w:val="0"/>
        <w:snapToGrid w:val="0"/>
        <w:spacing w:line="360" w:lineRule="auto"/>
        <w:ind w:firstLine="472" w:firstLineChars="197"/>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5 \* GB3 </w:instrText>
      </w:r>
      <w:r>
        <w:rPr>
          <w:rFonts w:ascii="宋体" w:hAnsi="宋体"/>
          <w:color w:val="auto"/>
          <w:sz w:val="24"/>
          <w:highlight w:val="none"/>
        </w:rPr>
        <w:fldChar w:fldCharType="separate"/>
      </w:r>
      <w:r>
        <w:rPr>
          <w:rFonts w:hint="eastAsia" w:ascii="宋体" w:hAnsi="宋体"/>
          <w:color w:val="auto"/>
          <w:sz w:val="24"/>
          <w:highlight w:val="none"/>
        </w:rPr>
        <w:t>⑤</w:t>
      </w:r>
      <w:r>
        <w:rPr>
          <w:rFonts w:ascii="宋体" w:hAnsi="宋体"/>
          <w:color w:val="auto"/>
          <w:sz w:val="24"/>
          <w:highlight w:val="none"/>
        </w:rPr>
        <w:fldChar w:fldCharType="end"/>
      </w:r>
      <w:r>
        <w:rPr>
          <w:rFonts w:hint="eastAsia" w:ascii="宋体" w:hAnsi="宋体"/>
          <w:color w:val="auto"/>
          <w:sz w:val="24"/>
          <w:highlight w:val="none"/>
        </w:rPr>
        <w:t>承包人对科研项目进行辅助、协调、配合工作，所发生的关于科研项目辅助、协调、配合工作的工作量及费用</w:t>
      </w:r>
      <w:bookmarkStart w:id="794" w:name="_Hlk98429738"/>
      <w:r>
        <w:rPr>
          <w:rFonts w:hint="eastAsia" w:ascii="宋体" w:hAnsi="宋体"/>
          <w:color w:val="auto"/>
          <w:sz w:val="24"/>
          <w:highlight w:val="none"/>
        </w:rPr>
        <w:t>约定为：</w:t>
      </w:r>
      <w:r>
        <w:rPr>
          <w:rFonts w:ascii="宋体" w:hAnsi="宋体"/>
          <w:color w:val="auto"/>
          <w:sz w:val="24"/>
          <w:highlight w:val="none"/>
          <w:u w:val="single"/>
        </w:rPr>
        <w:t xml:space="preserve">          </w:t>
      </w:r>
      <w:r>
        <w:rPr>
          <w:rFonts w:hint="eastAsia" w:ascii="宋体" w:hAnsi="宋体"/>
          <w:color w:val="auto"/>
          <w:sz w:val="24"/>
          <w:highlight w:val="none"/>
        </w:rPr>
        <w:t>。</w:t>
      </w:r>
      <w:bookmarkEnd w:id="794"/>
    </w:p>
    <w:p w14:paraId="60A050DF">
      <w:pPr>
        <w:adjustRightInd w:val="0"/>
        <w:snapToGrid w:val="0"/>
        <w:spacing w:line="360" w:lineRule="auto"/>
        <w:ind w:firstLine="472" w:firstLineChars="197"/>
        <w:rPr>
          <w:rFonts w:ascii="宋体" w:hAnsi="宋体"/>
          <w:color w:val="auto"/>
          <w:sz w:val="24"/>
          <w:highlight w:val="none"/>
        </w:rPr>
      </w:pPr>
      <w:bookmarkStart w:id="795" w:name="_Hlk98429756"/>
      <w:r>
        <w:rPr>
          <w:rFonts w:hint="eastAsia" w:ascii="宋体" w:hAnsi="宋体"/>
          <w:color w:val="auto"/>
          <w:sz w:val="24"/>
          <w:highlight w:val="none"/>
        </w:rPr>
        <w:t>承包人须充分认识和考虑由于科研项目造成其施工作业的暂时中断或者产生相关费用对承包人的影响，承包人不得以此作为工期、费用的索赔依据。</w:t>
      </w:r>
      <w:bookmarkEnd w:id="795"/>
    </w:p>
    <w:p w14:paraId="4CF40FE4">
      <w:pPr>
        <w:adjustRightInd w:val="0"/>
        <w:snapToGrid w:val="0"/>
        <w:spacing w:line="360" w:lineRule="auto"/>
        <w:ind w:firstLine="472" w:firstLineChars="197"/>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）与</w:t>
      </w:r>
      <w:r>
        <w:rPr>
          <w:rFonts w:ascii="宋体" w:hAnsi="宋体"/>
          <w:color w:val="auto"/>
          <w:sz w:val="24"/>
          <w:highlight w:val="none"/>
        </w:rPr>
        <w:t>项目审计（</w:t>
      </w:r>
      <w:r>
        <w:rPr>
          <w:rFonts w:hint="eastAsia" w:ascii="宋体" w:hAnsi="宋体"/>
          <w:color w:val="auto"/>
          <w:sz w:val="24"/>
          <w:highlight w:val="none"/>
        </w:rPr>
        <w:t>含跟踪审计</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稽查</w:t>
      </w:r>
      <w:r>
        <w:rPr>
          <w:rFonts w:hint="eastAsia" w:ascii="宋体" w:hAnsi="宋体"/>
          <w:color w:val="auto"/>
          <w:sz w:val="24"/>
          <w:highlight w:val="none"/>
        </w:rPr>
        <w:t>、</w:t>
      </w:r>
      <w:r>
        <w:rPr>
          <w:rFonts w:ascii="宋体" w:hAnsi="宋体"/>
          <w:color w:val="auto"/>
          <w:sz w:val="24"/>
          <w:highlight w:val="none"/>
        </w:rPr>
        <w:t>检查、汇报等的</w:t>
      </w:r>
      <w:r>
        <w:rPr>
          <w:rFonts w:hint="eastAsia" w:ascii="宋体" w:hAnsi="宋体"/>
          <w:color w:val="auto"/>
          <w:sz w:val="24"/>
          <w:highlight w:val="none"/>
        </w:rPr>
        <w:t>配合</w:t>
      </w:r>
      <w:r>
        <w:rPr>
          <w:rFonts w:hint="eastAsia" w:ascii="宋体" w:hAnsi="宋体"/>
          <w:color w:val="auto"/>
          <w:sz w:val="24"/>
          <w:highlight w:val="none"/>
          <w:lang w:eastAsia="zh-CN"/>
        </w:rPr>
        <w:t>：</w:t>
      </w:r>
    </w:p>
    <w:p w14:paraId="4C78BE57">
      <w:pPr>
        <w:tabs>
          <w:tab w:val="left" w:pos="700"/>
        </w:tabs>
        <w:adjustRightInd w:val="0"/>
        <w:snapToGrid w:val="0"/>
        <w:spacing w:line="360" w:lineRule="auto"/>
        <w:ind w:firstLine="480" w:firstLineChars="200"/>
        <w:rPr>
          <w:color w:val="auto"/>
          <w:sz w:val="24"/>
          <w:highlight w:val="none"/>
        </w:rPr>
      </w:pPr>
      <w:r>
        <w:rPr>
          <w:color w:val="auto"/>
          <w:sz w:val="24"/>
          <w:highlight w:val="none"/>
        </w:rPr>
        <w:fldChar w:fldCharType="begin"/>
      </w:r>
      <w:r>
        <w:rPr>
          <w:color w:val="auto"/>
          <w:sz w:val="24"/>
          <w:highlight w:val="none"/>
        </w:rPr>
        <w:instrText xml:space="preserve"> = 1 \* GB3 </w:instrText>
      </w:r>
      <w:r>
        <w:rPr>
          <w:color w:val="auto"/>
          <w:sz w:val="24"/>
          <w:highlight w:val="none"/>
        </w:rPr>
        <w:fldChar w:fldCharType="separate"/>
      </w:r>
      <w:r>
        <w:rPr>
          <w:rFonts w:hint="eastAsia"/>
          <w:color w:val="auto"/>
          <w:sz w:val="24"/>
          <w:highlight w:val="none"/>
        </w:rPr>
        <w:t>①</w:t>
      </w:r>
      <w:r>
        <w:rPr>
          <w:color w:val="auto"/>
          <w:sz w:val="24"/>
          <w:highlight w:val="none"/>
        </w:rPr>
        <w:fldChar w:fldCharType="end"/>
      </w:r>
      <w:r>
        <w:rPr>
          <w:rFonts w:hint="eastAsia"/>
          <w:color w:val="auto"/>
          <w:sz w:val="24"/>
          <w:highlight w:val="none"/>
        </w:rPr>
        <w:t>与项目相关的审计和稽查，承包人应高度重视并委派专人积极予以配合、服从；</w:t>
      </w:r>
    </w:p>
    <w:p w14:paraId="0386E4C1">
      <w:pPr>
        <w:tabs>
          <w:tab w:val="left" w:pos="700"/>
        </w:tabs>
        <w:adjustRightInd w:val="0"/>
        <w:snapToGrid w:val="0"/>
        <w:spacing w:line="360" w:lineRule="auto"/>
        <w:ind w:firstLine="480" w:firstLineChars="200"/>
        <w:rPr>
          <w:color w:val="auto"/>
          <w:sz w:val="24"/>
          <w:highlight w:val="none"/>
        </w:rPr>
      </w:pPr>
      <w:r>
        <w:rPr>
          <w:color w:val="auto"/>
          <w:sz w:val="24"/>
          <w:highlight w:val="none"/>
        </w:rPr>
        <w:fldChar w:fldCharType="begin"/>
      </w:r>
      <w:r>
        <w:rPr>
          <w:color w:val="auto"/>
          <w:sz w:val="24"/>
          <w:highlight w:val="none"/>
        </w:rPr>
        <w:instrText xml:space="preserve"> = 2 \* GB3 </w:instrText>
      </w:r>
      <w:r>
        <w:rPr>
          <w:color w:val="auto"/>
          <w:sz w:val="24"/>
          <w:highlight w:val="none"/>
        </w:rPr>
        <w:fldChar w:fldCharType="separate"/>
      </w:r>
      <w:r>
        <w:rPr>
          <w:rFonts w:hint="eastAsia"/>
          <w:color w:val="auto"/>
          <w:sz w:val="24"/>
          <w:highlight w:val="none"/>
        </w:rPr>
        <w:t>②</w:t>
      </w:r>
      <w:r>
        <w:rPr>
          <w:color w:val="auto"/>
          <w:sz w:val="24"/>
          <w:highlight w:val="none"/>
        </w:rPr>
        <w:fldChar w:fldCharType="end"/>
      </w:r>
      <w:r>
        <w:rPr>
          <w:rFonts w:hint="eastAsia"/>
          <w:color w:val="auto"/>
          <w:sz w:val="24"/>
          <w:highlight w:val="none"/>
        </w:rPr>
        <w:t>项目有关的各类统计报表、汇报材料包括交（竣）工验收和项目后评价报告等，承包人有义务配合发包人做好编制工作并提供相应的资料；</w:t>
      </w:r>
    </w:p>
    <w:p w14:paraId="7B1D92F8">
      <w:pPr>
        <w:tabs>
          <w:tab w:val="left" w:pos="700"/>
        </w:tabs>
        <w:adjustRightInd w:val="0"/>
        <w:snapToGrid w:val="0"/>
        <w:spacing w:line="360" w:lineRule="auto"/>
        <w:ind w:firstLine="480" w:firstLineChars="200"/>
        <w:rPr>
          <w:color w:val="auto"/>
          <w:sz w:val="24"/>
          <w:highlight w:val="none"/>
        </w:rPr>
      </w:pPr>
      <w:r>
        <w:rPr>
          <w:color w:val="auto"/>
          <w:sz w:val="24"/>
          <w:highlight w:val="none"/>
        </w:rPr>
        <w:fldChar w:fldCharType="begin"/>
      </w:r>
      <w:r>
        <w:rPr>
          <w:color w:val="auto"/>
          <w:sz w:val="24"/>
          <w:highlight w:val="none"/>
        </w:rPr>
        <w:instrText xml:space="preserve"> = 3 \* GB3 </w:instrText>
      </w:r>
      <w:r>
        <w:rPr>
          <w:color w:val="auto"/>
          <w:sz w:val="24"/>
          <w:highlight w:val="none"/>
        </w:rPr>
        <w:fldChar w:fldCharType="separate"/>
      </w:r>
      <w:r>
        <w:rPr>
          <w:rFonts w:hint="eastAsia"/>
          <w:color w:val="auto"/>
          <w:sz w:val="24"/>
          <w:highlight w:val="none"/>
        </w:rPr>
        <w:t>③</w:t>
      </w:r>
      <w:r>
        <w:rPr>
          <w:color w:val="auto"/>
          <w:sz w:val="24"/>
          <w:highlight w:val="none"/>
        </w:rPr>
        <w:fldChar w:fldCharType="end"/>
      </w:r>
      <w:r>
        <w:rPr>
          <w:rFonts w:hint="eastAsia"/>
          <w:color w:val="auto"/>
          <w:sz w:val="24"/>
          <w:highlight w:val="none"/>
        </w:rPr>
        <w:t>承</w:t>
      </w:r>
      <w:bookmarkStart w:id="796" w:name="_Hlk98429784"/>
      <w:r>
        <w:rPr>
          <w:rFonts w:hint="eastAsia"/>
          <w:color w:val="auto"/>
          <w:sz w:val="24"/>
          <w:highlight w:val="none"/>
        </w:rPr>
        <w:t>包人应按发包人、监理人和有关文件要求，建立相应的计量、支付和变更台</w:t>
      </w:r>
      <w:r>
        <w:rPr>
          <w:rFonts w:hint="eastAsia"/>
          <w:color w:val="auto"/>
          <w:sz w:val="24"/>
          <w:highlight w:val="none"/>
          <w:lang w:val="en-US" w:eastAsia="zh-CN"/>
        </w:rPr>
        <w:t>账</w:t>
      </w:r>
      <w:r>
        <w:rPr>
          <w:rFonts w:hint="eastAsia"/>
          <w:color w:val="auto"/>
          <w:sz w:val="24"/>
          <w:highlight w:val="none"/>
        </w:rPr>
        <w:t>，并保持其持续有效直至工程决算完成</w:t>
      </w:r>
      <w:bookmarkEnd w:id="796"/>
      <w:r>
        <w:rPr>
          <w:rFonts w:hint="eastAsia"/>
          <w:color w:val="auto"/>
          <w:sz w:val="24"/>
          <w:highlight w:val="none"/>
        </w:rPr>
        <w:t>；</w:t>
      </w:r>
    </w:p>
    <w:p w14:paraId="6A6243A2">
      <w:pPr>
        <w:adjustRightInd w:val="0"/>
        <w:snapToGrid w:val="0"/>
        <w:spacing w:line="360" w:lineRule="auto"/>
        <w:ind w:firstLine="480" w:firstLineChars="200"/>
        <w:rPr>
          <w:rFonts w:asciiTheme="minorEastAsia" w:hAnsiTheme="minorEastAsia" w:eastAsiaTheme="minorEastAsia"/>
          <w:b/>
          <w:color w:val="auto"/>
          <w:sz w:val="24"/>
          <w:highlight w:val="none"/>
        </w:rPr>
      </w:pPr>
      <w:r>
        <w:rPr>
          <w:color w:val="auto"/>
          <w:sz w:val="24"/>
          <w:highlight w:val="none"/>
        </w:rPr>
        <w:fldChar w:fldCharType="begin"/>
      </w:r>
      <w:r>
        <w:rPr>
          <w:color w:val="auto"/>
          <w:sz w:val="24"/>
          <w:highlight w:val="none"/>
        </w:rPr>
        <w:instrText xml:space="preserve"> = 4 \* GB3 </w:instrText>
      </w:r>
      <w:r>
        <w:rPr>
          <w:color w:val="auto"/>
          <w:sz w:val="24"/>
          <w:highlight w:val="none"/>
        </w:rPr>
        <w:fldChar w:fldCharType="separate"/>
      </w:r>
      <w:r>
        <w:rPr>
          <w:rFonts w:hint="eastAsia"/>
          <w:color w:val="auto"/>
          <w:sz w:val="24"/>
          <w:highlight w:val="none"/>
        </w:rPr>
        <w:t>④</w:t>
      </w:r>
      <w:r>
        <w:rPr>
          <w:color w:val="auto"/>
          <w:sz w:val="24"/>
          <w:highlight w:val="none"/>
        </w:rPr>
        <w:fldChar w:fldCharType="end"/>
      </w:r>
      <w:bookmarkStart w:id="797" w:name="_Hlk98429812"/>
      <w:r>
        <w:rPr>
          <w:rFonts w:hint="eastAsia"/>
          <w:color w:val="auto"/>
          <w:sz w:val="24"/>
          <w:highlight w:val="none"/>
        </w:rPr>
        <w:t>承包人应按发包人要求将本合同工程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bookmarkEnd w:id="797"/>
      <w:r>
        <w:rPr>
          <w:rFonts w:hint="eastAsia"/>
          <w:color w:val="auto"/>
          <w:sz w:val="24"/>
          <w:highlight w:val="none"/>
        </w:rPr>
        <w:t>。</w:t>
      </w:r>
    </w:p>
    <w:p w14:paraId="5E54EE58">
      <w:pPr>
        <w:adjustRightInd w:val="0"/>
        <w:snapToGrid w:val="0"/>
        <w:spacing w:line="360" w:lineRule="auto"/>
        <w:ind w:firstLine="480" w:firstLineChars="200"/>
        <w:rPr>
          <w:rFonts w:asciiTheme="minorEastAsia" w:hAnsiTheme="minorEastAsia" w:eastAsiaTheme="minorEastAsia"/>
          <w:b/>
          <w:color w:val="auto"/>
          <w:sz w:val="24"/>
          <w:highlight w:val="none"/>
        </w:rPr>
      </w:pPr>
      <w:r>
        <w:rPr>
          <w:rFonts w:hint="eastAsia" w:ascii="黑体" w:hAnsi="黑体" w:eastAsia="黑体"/>
          <w:color w:val="auto"/>
          <w:sz w:val="24"/>
          <w:highlight w:val="none"/>
        </w:rPr>
        <w:t>4.1.10 其他义务</w:t>
      </w:r>
    </w:p>
    <w:p w14:paraId="121A1A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w:t>
      </w:r>
      <w:r>
        <w:rPr>
          <w:rFonts w:hint="eastAsia" w:ascii="宋体" w:hAnsi="宋体"/>
          <w:color w:val="auto"/>
          <w:sz w:val="24"/>
          <w:highlight w:val="none"/>
          <w:lang w:val="en-US" w:eastAsia="zh-CN"/>
        </w:rPr>
        <w:t>第</w:t>
      </w:r>
      <w:r>
        <w:rPr>
          <w:rFonts w:hint="eastAsia" w:ascii="宋体" w:hAnsi="宋体"/>
          <w:color w:val="auto"/>
          <w:sz w:val="24"/>
          <w:highlight w:val="none"/>
        </w:rPr>
        <w:t>（</w:t>
      </w:r>
      <w:r>
        <w:rPr>
          <w:rFonts w:ascii="宋体" w:hAnsi="宋体"/>
          <w:color w:val="auto"/>
          <w:sz w:val="24"/>
          <w:highlight w:val="none"/>
        </w:rPr>
        <w:t>1）目中</w:t>
      </w:r>
      <w:r>
        <w:rPr>
          <w:rFonts w:hint="eastAsia" w:ascii="宋体" w:hAnsi="宋体"/>
          <w:color w:val="auto"/>
          <w:sz w:val="24"/>
          <w:highlight w:val="none"/>
          <w:lang w:eastAsia="zh-CN"/>
        </w:rPr>
        <w:t>“</w:t>
      </w:r>
      <w:r>
        <w:rPr>
          <w:rFonts w:ascii="宋体" w:hAnsi="宋体"/>
          <w:color w:val="auto"/>
          <w:sz w:val="24"/>
          <w:highlight w:val="none"/>
        </w:rPr>
        <w:t>临时占地的退还</w:t>
      </w:r>
      <w:r>
        <w:rPr>
          <w:rFonts w:hint="eastAsia" w:ascii="宋体" w:hAnsi="宋体"/>
          <w:color w:val="auto"/>
          <w:sz w:val="24"/>
          <w:highlight w:val="none"/>
          <w:lang w:eastAsia="zh-CN"/>
        </w:rPr>
        <w:t>”</w:t>
      </w:r>
      <w:r>
        <w:rPr>
          <w:rFonts w:ascii="宋体" w:hAnsi="宋体"/>
          <w:color w:val="auto"/>
          <w:sz w:val="24"/>
          <w:highlight w:val="none"/>
        </w:rPr>
        <w:t>约定为：</w:t>
      </w:r>
    </w:p>
    <w:p w14:paraId="2CAB207C">
      <w:pPr>
        <w:adjustRightInd w:val="0"/>
        <w:snapToGrid w:val="0"/>
        <w:spacing w:line="360" w:lineRule="auto"/>
        <w:ind w:firstLine="472" w:firstLineChars="197"/>
        <w:rPr>
          <w:rFonts w:ascii="宋体" w:hAnsi="宋体"/>
          <w:color w:val="auto"/>
          <w:sz w:val="24"/>
          <w:highlight w:val="none"/>
        </w:rPr>
      </w:pPr>
      <w:r>
        <w:rPr>
          <w:rFonts w:hint="eastAsia" w:ascii="宋体" w:hAnsi="宋体"/>
          <w:color w:val="auto"/>
          <w:sz w:val="24"/>
          <w:highlight w:val="none"/>
        </w:rPr>
        <w:t>临时占地退还前，承包人应自费恢复和处理，与当地政府办理权属移交手续，并将移交协议等报发包人备案。如因承包人撤离后未按要求对临时占地进行恢复或虽进行了恢复但未达到标准的，将由发包人委托第三方对其恢复，在不解除本合同规定的承包人责任和义务的同时，承包人应承担因此所增加的一切费用。</w:t>
      </w:r>
    </w:p>
    <w:p w14:paraId="3C182F98">
      <w:pPr>
        <w:adjustRightInd w:val="0"/>
        <w:snapToGrid w:val="0"/>
        <w:spacing w:line="360" w:lineRule="auto"/>
        <w:ind w:firstLine="472" w:firstLineChars="197"/>
        <w:rPr>
          <w:rFonts w:ascii="宋体" w:hAnsi="宋体"/>
          <w:color w:val="auto"/>
          <w:sz w:val="24"/>
          <w:highlight w:val="none"/>
        </w:rPr>
      </w:pPr>
      <w:r>
        <w:rPr>
          <w:rFonts w:hint="eastAsia" w:ascii="宋体" w:hAnsi="宋体"/>
          <w:color w:val="auto"/>
          <w:sz w:val="24"/>
          <w:highlight w:val="none"/>
          <w:lang w:val="en-US" w:eastAsia="zh-CN"/>
        </w:rPr>
        <w:t>第</w:t>
      </w: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ascii="宋体" w:hAnsi="宋体"/>
          <w:color w:val="auto"/>
          <w:sz w:val="24"/>
          <w:highlight w:val="none"/>
        </w:rPr>
        <w:t>）</w:t>
      </w:r>
      <w:r>
        <w:rPr>
          <w:rFonts w:hint="eastAsia" w:ascii="宋体" w:hAnsi="宋体"/>
          <w:color w:val="auto"/>
          <w:sz w:val="24"/>
          <w:highlight w:val="none"/>
          <w:lang w:val="en-US" w:eastAsia="zh-CN"/>
        </w:rPr>
        <w:t>目细化为：</w:t>
      </w:r>
    </w:p>
    <w:p w14:paraId="5443B0EF">
      <w:pPr>
        <w:numPr>
          <w:ilvl w:val="-1"/>
          <w:numId w:val="0"/>
        </w:num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未经发包人事先批准，承包人不得在任何报纸、商业或技术文献上刊登或披露任何与本合同或与本工程有关的详细资料。承包人不应在现场或施工设施上展示或允许展示任何贸易和商业性广告。在工地现场张贴广告，应事先得到</w:t>
      </w:r>
      <w:r>
        <w:rPr>
          <w:rFonts w:hint="eastAsia" w:ascii="宋体" w:hAnsi="宋体"/>
          <w:color w:val="auto"/>
          <w:sz w:val="24"/>
          <w:highlight w:val="none"/>
          <w:lang w:val="en-US" w:eastAsia="zh-CN"/>
        </w:rPr>
        <w:t>发包人、</w:t>
      </w:r>
      <w:r>
        <w:rPr>
          <w:rFonts w:hint="eastAsia" w:ascii="宋体" w:hAnsi="宋体"/>
          <w:color w:val="auto"/>
          <w:sz w:val="24"/>
          <w:highlight w:val="none"/>
        </w:rPr>
        <w:t>监理人的批准，当</w:t>
      </w:r>
      <w:r>
        <w:rPr>
          <w:rFonts w:hint="eastAsia" w:ascii="宋体" w:hAnsi="宋体"/>
          <w:color w:val="auto"/>
          <w:sz w:val="24"/>
          <w:highlight w:val="none"/>
          <w:lang w:val="en-US" w:eastAsia="zh-CN"/>
        </w:rPr>
        <w:t>发包人、</w:t>
      </w:r>
      <w:r>
        <w:rPr>
          <w:rFonts w:hint="eastAsia" w:ascii="宋体" w:hAnsi="宋体"/>
          <w:color w:val="auto"/>
          <w:sz w:val="24"/>
          <w:highlight w:val="none"/>
        </w:rPr>
        <w:t>监理人指示撤除时，应立即执行。</w:t>
      </w:r>
    </w:p>
    <w:p w14:paraId="53B74DE1">
      <w:pPr>
        <w:adjustRightInd w:val="0"/>
        <w:snapToGrid w:val="0"/>
        <w:spacing w:line="360" w:lineRule="auto"/>
        <w:ind w:firstLine="472" w:firstLineChars="197"/>
        <w:rPr>
          <w:rFonts w:hint="eastAsia" w:ascii="宋体" w:hAnsi="宋体"/>
          <w:bCs/>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ascii="宋体" w:hAnsi="宋体"/>
          <w:color w:val="auto"/>
          <w:sz w:val="24"/>
          <w:highlight w:val="none"/>
        </w:rPr>
        <w:t>承包人应履行的其他义务</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bookmarkStart w:id="798" w:name="_Toc53685729"/>
    </w:p>
    <w:p w14:paraId="40A2F1A8">
      <w:pPr>
        <w:adjustRightInd w:val="0"/>
        <w:snapToGrid w:val="0"/>
        <w:spacing w:line="360" w:lineRule="auto"/>
        <w:ind w:firstLine="472" w:firstLineChars="197"/>
        <w:rPr>
          <w:rFonts w:ascii="宋体" w:hAnsi="宋体"/>
          <w:bCs/>
          <w:color w:val="auto"/>
          <w:sz w:val="24"/>
          <w:highlight w:val="none"/>
        </w:rPr>
      </w:pPr>
      <w:r>
        <w:rPr>
          <w:rFonts w:hint="eastAsia" w:ascii="宋体" w:hAnsi="宋体"/>
          <w:bCs/>
          <w:color w:val="auto"/>
          <w:sz w:val="24"/>
          <w:highlight w:val="none"/>
          <w:lang w:val="en-US" w:eastAsia="zh-CN"/>
        </w:rPr>
        <w:t>本款</w:t>
      </w:r>
      <w:r>
        <w:rPr>
          <w:rFonts w:hint="eastAsia" w:ascii="宋体" w:hAnsi="宋体"/>
          <w:bCs/>
          <w:color w:val="auto"/>
          <w:sz w:val="24"/>
          <w:highlight w:val="none"/>
        </w:rPr>
        <w:t>补充第</w:t>
      </w:r>
      <w:r>
        <w:rPr>
          <w:rFonts w:ascii="宋体" w:hAnsi="宋体"/>
          <w:bCs/>
          <w:color w:val="auto"/>
          <w:sz w:val="24"/>
          <w:highlight w:val="none"/>
        </w:rPr>
        <w:t>4.1.11项～第4.1.13项</w:t>
      </w:r>
      <w:r>
        <w:rPr>
          <w:rFonts w:hint="eastAsia" w:ascii="宋体" w:hAnsi="宋体"/>
          <w:bCs/>
          <w:color w:val="auto"/>
          <w:sz w:val="24"/>
          <w:highlight w:val="none"/>
        </w:rPr>
        <w:t>：</w:t>
      </w:r>
    </w:p>
    <w:p w14:paraId="57AA6D72">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4.1.11</w:t>
      </w:r>
      <w:r>
        <w:rPr>
          <w:rFonts w:hint="eastAsia" w:ascii="黑体" w:hAnsi="黑体" w:eastAsia="黑体"/>
          <w:color w:val="auto"/>
          <w:sz w:val="24"/>
          <w:highlight w:val="none"/>
        </w:rPr>
        <w:t>品质工程及“五化”建设要求</w:t>
      </w:r>
    </w:p>
    <w:p w14:paraId="6FA36036">
      <w:pPr>
        <w:adjustRightInd w:val="0"/>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在</w:t>
      </w:r>
      <w:r>
        <w:rPr>
          <w:rFonts w:hint="eastAsia" w:ascii="宋体" w:hAnsi="宋体"/>
          <w:color w:val="auto"/>
          <w:kern w:val="0"/>
          <w:sz w:val="24"/>
          <w:highlight w:val="none"/>
        </w:rPr>
        <w:t>项目实施过程中，参建各方应认真贯彻落实</w:t>
      </w:r>
      <w:bookmarkStart w:id="799" w:name="_Hlk94017535"/>
      <w:r>
        <w:rPr>
          <w:rFonts w:hint="eastAsia" w:ascii="宋体" w:hAnsi="宋体"/>
          <w:color w:val="auto"/>
          <w:kern w:val="0"/>
          <w:sz w:val="24"/>
          <w:highlight w:val="none"/>
        </w:rPr>
        <w:t>交通运输部“品质工程”指导意见、</w:t>
      </w:r>
      <w:bookmarkStart w:id="800" w:name="_Hlk93915170"/>
      <w:r>
        <w:rPr>
          <w:rFonts w:ascii="宋体" w:hAnsi="宋体"/>
          <w:color w:val="auto"/>
          <w:kern w:val="0"/>
          <w:sz w:val="24"/>
          <w:highlight w:val="none"/>
        </w:rPr>
        <w:t>四川省交通运输厅</w:t>
      </w:r>
      <w:r>
        <w:rPr>
          <w:rFonts w:hint="eastAsia" w:ascii="宋体" w:hAnsi="宋体"/>
          <w:color w:val="auto"/>
          <w:kern w:val="0"/>
          <w:sz w:val="24"/>
          <w:highlight w:val="none"/>
        </w:rPr>
        <w:t>“品质工程”建设实施意见</w:t>
      </w:r>
      <w:bookmarkEnd w:id="800"/>
      <w:r>
        <w:rPr>
          <w:rFonts w:hint="eastAsia" w:ascii="宋体" w:hAnsi="宋体"/>
          <w:color w:val="auto"/>
          <w:kern w:val="0"/>
          <w:sz w:val="24"/>
          <w:highlight w:val="none"/>
        </w:rPr>
        <w:t>、上级主管部门出台的相关标准化</w:t>
      </w:r>
      <w:r>
        <w:rPr>
          <w:rFonts w:ascii="宋体" w:hAnsi="宋体"/>
          <w:color w:val="auto"/>
          <w:kern w:val="0"/>
          <w:sz w:val="24"/>
          <w:highlight w:val="none"/>
        </w:rPr>
        <w:t>建设</w:t>
      </w:r>
      <w:r>
        <w:rPr>
          <w:rFonts w:hint="eastAsia" w:ascii="宋体" w:hAnsi="宋体"/>
          <w:color w:val="auto"/>
          <w:kern w:val="0"/>
          <w:sz w:val="24"/>
          <w:highlight w:val="none"/>
        </w:rPr>
        <w:t>和</w:t>
      </w:r>
      <w:r>
        <w:rPr>
          <w:rFonts w:ascii="宋体" w:hAnsi="宋体"/>
          <w:color w:val="auto"/>
          <w:kern w:val="0"/>
          <w:sz w:val="24"/>
          <w:highlight w:val="none"/>
        </w:rPr>
        <w:t>品质工程</w:t>
      </w:r>
      <w:r>
        <w:rPr>
          <w:rFonts w:hint="eastAsia" w:ascii="宋体" w:hAnsi="宋体"/>
          <w:color w:val="auto"/>
          <w:kern w:val="0"/>
          <w:sz w:val="24"/>
          <w:highlight w:val="none"/>
        </w:rPr>
        <w:t>以及发包人制定的相关管理办法要求。</w:t>
      </w:r>
      <w:bookmarkEnd w:id="799"/>
    </w:p>
    <w:p w14:paraId="3170993A">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w:t>
      </w:r>
      <w:r>
        <w:rPr>
          <w:rFonts w:hint="eastAsia" w:ascii="宋体" w:hAnsi="宋体"/>
          <w:bCs/>
          <w:color w:val="auto"/>
          <w:sz w:val="24"/>
          <w:highlight w:val="none"/>
          <w:lang w:eastAsia="zh-CN"/>
        </w:rPr>
        <w:t>）</w:t>
      </w:r>
      <w:r>
        <w:rPr>
          <w:rFonts w:hint="eastAsia" w:ascii="宋体" w:hAnsi="宋体" w:eastAsia="宋体"/>
          <w:bCs/>
          <w:color w:val="auto"/>
          <w:sz w:val="24"/>
          <w:szCs w:val="24"/>
          <w:highlight w:val="none"/>
        </w:rPr>
        <w:t>项目管理专业化</w:t>
      </w:r>
    </w:p>
    <w:p w14:paraId="163CC69E">
      <w:pPr>
        <w:adjustRightInd w:val="0"/>
        <w:snapToGrid w:val="0"/>
        <w:spacing w:line="360" w:lineRule="auto"/>
        <w:ind w:firstLine="480" w:firstLineChars="200"/>
        <w:rPr>
          <w:rFonts w:ascii="宋体" w:hAnsi="宋体"/>
          <w:bCs/>
          <w:color w:val="auto"/>
          <w:sz w:val="24"/>
          <w:highlight w:val="none"/>
        </w:rPr>
      </w:pPr>
      <w:r>
        <w:rPr>
          <w:rFonts w:hint="eastAsia" w:ascii="宋体" w:hAnsi="宋体" w:cs="Times New Roman"/>
          <w:bCs/>
          <w:color w:val="auto"/>
          <w:sz w:val="24"/>
          <w:highlight w:val="none"/>
          <w:shd w:val="clear" w:color="auto" w:fill="auto"/>
        </w:rPr>
        <w:t>组建</w:t>
      </w:r>
      <w:r>
        <w:rPr>
          <w:rFonts w:ascii="宋体" w:hAnsi="宋体" w:cs="Times New Roman"/>
          <w:bCs/>
          <w:color w:val="auto"/>
          <w:sz w:val="24"/>
          <w:highlight w:val="none"/>
          <w:shd w:val="clear" w:color="auto" w:fill="auto"/>
        </w:rPr>
        <w:t>专业的管理人员、专业的施工队伍、专业的施工设备，</w:t>
      </w:r>
      <w:r>
        <w:rPr>
          <w:rFonts w:hint="eastAsia" w:ascii="宋体" w:hAnsi="宋体"/>
          <w:bCs/>
          <w:color w:val="auto"/>
          <w:sz w:val="24"/>
          <w:highlight w:val="none"/>
          <w:shd w:val="clear" w:color="auto" w:fill="auto"/>
        </w:rPr>
        <w:t>提高专业化施工能力。</w:t>
      </w:r>
      <w:r>
        <w:rPr>
          <w:rFonts w:ascii="宋体" w:hAnsi="宋体"/>
          <w:bCs/>
          <w:color w:val="auto"/>
          <w:spacing w:val="0"/>
          <w:sz w:val="24"/>
          <w:highlight w:val="none"/>
          <w:shd w:val="clear" w:color="auto" w:fill="auto"/>
        </w:rPr>
        <w:t>配备具有项目管理、技术管理、施工组织等方面成熟经验的人员参与到现场管理</w:t>
      </w:r>
      <w:r>
        <w:rPr>
          <w:rFonts w:hint="eastAsia" w:ascii="宋体" w:hAnsi="宋体"/>
          <w:bCs/>
          <w:color w:val="auto"/>
          <w:spacing w:val="0"/>
          <w:sz w:val="24"/>
          <w:highlight w:val="none"/>
          <w:shd w:val="clear" w:color="auto" w:fill="auto"/>
        </w:rPr>
        <w:t>；组建</w:t>
      </w:r>
      <w:r>
        <w:rPr>
          <w:rFonts w:hint="eastAsia" w:ascii="宋体" w:hAnsi="宋体"/>
          <w:bCs/>
          <w:color w:val="auto"/>
          <w:sz w:val="24"/>
          <w:highlight w:val="none"/>
        </w:rPr>
        <w:t>不同专业特长的专业化队伍分工协作，实行专业化施工；要加大施工设备的投入，</w:t>
      </w:r>
      <w:r>
        <w:rPr>
          <w:rFonts w:ascii="宋体" w:hAnsi="宋体" w:cs="Times New Roman"/>
          <w:bCs/>
          <w:color w:val="auto"/>
          <w:sz w:val="24"/>
          <w:highlight w:val="none"/>
          <w:shd w:val="clear" w:color="auto" w:fill="auto"/>
        </w:rPr>
        <w:t>实现“工厂化生产、流水化作业</w:t>
      </w:r>
      <w:r>
        <w:rPr>
          <w:rFonts w:hint="eastAsia" w:ascii="宋体" w:hAnsi="宋体" w:cs="Times New Roman"/>
          <w:bCs/>
          <w:color w:val="auto"/>
          <w:sz w:val="24"/>
          <w:highlight w:val="none"/>
          <w:shd w:val="clear" w:color="auto" w:fill="auto"/>
          <w:lang w:eastAsia="zh-CN"/>
        </w:rPr>
        <w:t>”</w:t>
      </w:r>
      <w:r>
        <w:rPr>
          <w:rFonts w:ascii="宋体" w:hAnsi="宋体" w:cs="Times New Roman"/>
          <w:bCs/>
          <w:color w:val="auto"/>
          <w:sz w:val="24"/>
          <w:highlight w:val="none"/>
          <w:shd w:val="clear" w:color="auto" w:fill="auto"/>
        </w:rPr>
        <w:t>。</w:t>
      </w:r>
    </w:p>
    <w:p w14:paraId="50F03C0D">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lang w:eastAsia="zh-CN"/>
        </w:rPr>
        <w:t>）</w:t>
      </w:r>
      <w:r>
        <w:rPr>
          <w:rFonts w:hint="eastAsia" w:ascii="宋体" w:hAnsi="宋体"/>
          <w:bCs/>
          <w:color w:val="auto"/>
          <w:sz w:val="24"/>
          <w:highlight w:val="none"/>
        </w:rPr>
        <w:t>项目施工标准化</w:t>
      </w:r>
    </w:p>
    <w:p w14:paraId="735B68AF">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承包人应本着以人为本的理念，减少人工作业，提高机械化施工程度；切实关心参建人员，重视劳务用工权益保障，</w:t>
      </w:r>
      <w:r>
        <w:rPr>
          <w:rFonts w:ascii="宋体" w:hAnsi="宋体"/>
          <w:bCs/>
          <w:color w:val="auto"/>
          <w:sz w:val="24"/>
          <w:highlight w:val="none"/>
        </w:rPr>
        <w:t>做到施工工艺标准化</w:t>
      </w:r>
      <w:r>
        <w:rPr>
          <w:rFonts w:hint="eastAsia" w:ascii="宋体" w:hAnsi="宋体"/>
          <w:bCs/>
          <w:color w:val="auto"/>
          <w:sz w:val="24"/>
          <w:highlight w:val="none"/>
        </w:rPr>
        <w:t>。</w:t>
      </w:r>
    </w:p>
    <w:p w14:paraId="21792413">
      <w:pPr>
        <w:widowControl/>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1 \* GB3 \* MERGEFORMAT </w:instrText>
      </w:r>
      <w:r>
        <w:rPr>
          <w:rFonts w:hint="eastAsia" w:ascii="宋体" w:hAnsi="宋体"/>
          <w:bCs/>
          <w:color w:val="auto"/>
          <w:sz w:val="24"/>
          <w:highlight w:val="none"/>
        </w:rPr>
        <w:fldChar w:fldCharType="separate"/>
      </w:r>
      <w:r>
        <w:rPr>
          <w:color w:val="auto"/>
          <w:highlight w:val="none"/>
        </w:rPr>
        <w:t>①</w:t>
      </w:r>
      <w:r>
        <w:rPr>
          <w:rFonts w:hint="eastAsia" w:ascii="宋体" w:hAnsi="宋体"/>
          <w:bCs/>
          <w:color w:val="auto"/>
          <w:sz w:val="24"/>
          <w:highlight w:val="none"/>
        </w:rPr>
        <w:fldChar w:fldCharType="end"/>
      </w:r>
      <w:r>
        <w:rPr>
          <w:rFonts w:hint="eastAsia" w:ascii="宋体" w:hAnsi="宋体"/>
          <w:bCs/>
          <w:color w:val="auto"/>
          <w:sz w:val="24"/>
          <w:highlight w:val="none"/>
        </w:rPr>
        <w:t>为进一步提升项目</w:t>
      </w:r>
      <w:r>
        <w:rPr>
          <w:rFonts w:hint="eastAsia" w:ascii="宋体" w:hAnsi="宋体"/>
          <w:bCs/>
          <w:color w:val="auto"/>
          <w:sz w:val="24"/>
          <w:highlight w:val="none"/>
          <w:lang w:val="en-US" w:eastAsia="zh-CN"/>
        </w:rPr>
        <w:t>公路</w:t>
      </w:r>
      <w:r>
        <w:rPr>
          <w:rFonts w:hint="eastAsia" w:ascii="宋体" w:hAnsi="宋体"/>
          <w:bCs/>
          <w:color w:val="auto"/>
          <w:sz w:val="24"/>
          <w:highlight w:val="none"/>
        </w:rPr>
        <w:t>施工标准化程度，强化工程质量管理工作。依据四川省交通运输厅《关于推行钢筋数控集中加工等四项施工标准化专项技术的通知》（川交函〔</w:t>
      </w:r>
      <w:r>
        <w:rPr>
          <w:rFonts w:ascii="宋体" w:hAnsi="宋体"/>
          <w:bCs/>
          <w:color w:val="auto"/>
          <w:sz w:val="24"/>
          <w:highlight w:val="none"/>
        </w:rPr>
        <w:t>2015</w:t>
      </w:r>
      <w:r>
        <w:rPr>
          <w:rFonts w:hint="eastAsia" w:ascii="宋体" w:hAnsi="宋体"/>
          <w:bCs/>
          <w:color w:val="auto"/>
          <w:sz w:val="24"/>
          <w:highlight w:val="none"/>
        </w:rPr>
        <w:t>〕</w:t>
      </w:r>
      <w:r>
        <w:rPr>
          <w:rFonts w:ascii="宋体" w:hAnsi="宋体"/>
          <w:bCs/>
          <w:color w:val="auto"/>
          <w:sz w:val="24"/>
          <w:highlight w:val="none"/>
        </w:rPr>
        <w:t>349</w:t>
      </w:r>
      <w:r>
        <w:rPr>
          <w:rFonts w:hint="eastAsia" w:ascii="宋体" w:hAnsi="宋体"/>
          <w:bCs/>
          <w:color w:val="auto"/>
          <w:sz w:val="24"/>
          <w:highlight w:val="none"/>
        </w:rPr>
        <w:t>号）、《</w:t>
      </w:r>
      <w:r>
        <w:rPr>
          <w:rFonts w:ascii="宋体" w:hAnsi="宋体"/>
          <w:bCs/>
          <w:color w:val="auto"/>
          <w:sz w:val="24"/>
          <w:highlight w:val="none"/>
        </w:rPr>
        <w:t>四川省交通运输厅</w:t>
      </w:r>
      <w:r>
        <w:rPr>
          <w:rFonts w:hint="eastAsia" w:ascii="宋体" w:hAnsi="宋体"/>
          <w:bCs/>
          <w:color w:val="auto"/>
          <w:sz w:val="24"/>
          <w:highlight w:val="none"/>
        </w:rPr>
        <w:t>关于加快推进公路水运“品质工程”建设的实施意见》（川交函〔</w:t>
      </w:r>
      <w:r>
        <w:rPr>
          <w:rFonts w:ascii="宋体" w:hAnsi="宋体"/>
          <w:bCs/>
          <w:color w:val="auto"/>
          <w:sz w:val="24"/>
          <w:highlight w:val="none"/>
        </w:rPr>
        <w:t>2018〕184</w:t>
      </w:r>
      <w:r>
        <w:rPr>
          <w:rFonts w:hint="eastAsia" w:ascii="宋体" w:hAnsi="宋体"/>
          <w:bCs/>
          <w:color w:val="auto"/>
          <w:sz w:val="24"/>
          <w:highlight w:val="none"/>
        </w:rPr>
        <w:t>号）等要求进行建设管理。同时建设期间，执行发包人根据建设需要推行的标准化建设管理的新标准、新要求以及推广“四新技术”，全面落实“四新技术”。</w:t>
      </w:r>
    </w:p>
    <w:p w14:paraId="681693C0">
      <w:pPr>
        <w:widowControl/>
        <w:snapToGrid w:val="0"/>
        <w:spacing w:line="360" w:lineRule="auto"/>
        <w:ind w:firstLine="480" w:firstLineChars="200"/>
        <w:rPr>
          <w:rFonts w:ascii="宋体" w:hAnsi="宋体"/>
          <w:bCs/>
          <w:color w:val="auto"/>
          <w:szCs w:val="21"/>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2 \* GB3 \* MERGEFORMAT </w:instrText>
      </w:r>
      <w:r>
        <w:rPr>
          <w:rFonts w:hint="eastAsia" w:ascii="宋体" w:hAnsi="宋体"/>
          <w:bCs/>
          <w:color w:val="auto"/>
          <w:sz w:val="24"/>
          <w:highlight w:val="none"/>
        </w:rPr>
        <w:fldChar w:fldCharType="separate"/>
      </w:r>
      <w:r>
        <w:rPr>
          <w:color w:val="auto"/>
          <w:highlight w:val="none"/>
        </w:rPr>
        <w:t>②</w:t>
      </w:r>
      <w:r>
        <w:rPr>
          <w:rFonts w:hint="eastAsia" w:ascii="宋体" w:hAnsi="宋体"/>
          <w:bCs/>
          <w:color w:val="auto"/>
          <w:sz w:val="24"/>
          <w:highlight w:val="none"/>
        </w:rPr>
        <w:fldChar w:fldCharType="end"/>
      </w:r>
      <w:r>
        <w:rPr>
          <w:rFonts w:hint="eastAsia" w:ascii="宋体" w:hAnsi="宋体"/>
          <w:bCs/>
          <w:color w:val="auto"/>
          <w:sz w:val="24"/>
          <w:highlight w:val="none"/>
        </w:rPr>
        <w:t>实施</w:t>
      </w:r>
      <w:r>
        <w:rPr>
          <w:rFonts w:hint="eastAsia"/>
          <w:color w:val="auto"/>
          <w:kern w:val="0"/>
          <w:sz w:val="24"/>
          <w:highlight w:val="none"/>
        </w:rPr>
        <w:t>首件工程认可制（包括工艺流程、技术指标、验收标准），通过首件工程认可的工程才能进行全段、大规模的推广建设。</w:t>
      </w:r>
    </w:p>
    <w:p w14:paraId="4F2004E6">
      <w:pPr>
        <w:adjustRightInd w:val="0"/>
        <w:snapToGrid w:val="0"/>
        <w:spacing w:line="360" w:lineRule="auto"/>
        <w:ind w:firstLine="42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3 \* GB3 \* MERGEFORMAT </w:instrText>
      </w:r>
      <w:r>
        <w:rPr>
          <w:rFonts w:hint="eastAsia" w:ascii="宋体" w:hAnsi="宋体"/>
          <w:bCs/>
          <w:color w:val="auto"/>
          <w:sz w:val="24"/>
          <w:highlight w:val="none"/>
        </w:rPr>
        <w:fldChar w:fldCharType="separate"/>
      </w:r>
      <w:r>
        <w:rPr>
          <w:color w:val="auto"/>
          <w:highlight w:val="none"/>
        </w:rPr>
        <w:t>③</w:t>
      </w:r>
      <w:r>
        <w:rPr>
          <w:rFonts w:hint="eastAsia" w:ascii="宋体" w:hAnsi="宋体"/>
          <w:bCs/>
          <w:color w:val="auto"/>
          <w:sz w:val="24"/>
          <w:highlight w:val="none"/>
        </w:rPr>
        <w:fldChar w:fldCharType="end"/>
      </w:r>
      <w:r>
        <w:rPr>
          <w:rFonts w:hint="eastAsia" w:ascii="宋体" w:hAnsi="宋体"/>
          <w:bCs/>
          <w:color w:val="auto"/>
          <w:sz w:val="24"/>
          <w:highlight w:val="none"/>
        </w:rPr>
        <w:t>强化原材料与产品质量管理，承包人应加强原材料料源、材质、加工工艺、生产能力、稳定性、保管、运管、仓管、质检等环节的控制。对工程项目中使用的主要材料严把材料或产品的质检关，加强原材料或产品的自检及抽检工作，所有进场材料</w:t>
      </w:r>
      <w:r>
        <w:rPr>
          <w:rFonts w:ascii="宋体" w:hAnsi="宋体"/>
          <w:bCs/>
          <w:color w:val="auto"/>
          <w:sz w:val="24"/>
          <w:highlight w:val="none"/>
        </w:rPr>
        <w:t>都应分批次进行检验</w:t>
      </w:r>
      <w:r>
        <w:rPr>
          <w:rFonts w:hint="eastAsia" w:ascii="宋体" w:hAnsi="宋体"/>
          <w:bCs/>
          <w:color w:val="auto"/>
          <w:sz w:val="24"/>
          <w:highlight w:val="none"/>
        </w:rPr>
        <w:t>，在源头杜绝伪劣、低劣、不合格材料或产品进入工程实体。</w:t>
      </w:r>
    </w:p>
    <w:p w14:paraId="34455DEE">
      <w:pPr>
        <w:adjustRightInd w:val="0"/>
        <w:snapToGrid w:val="0"/>
        <w:spacing w:line="360" w:lineRule="auto"/>
        <w:ind w:firstLine="42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4 \* GB3 \* MERGEFORMAT </w:instrText>
      </w:r>
      <w:r>
        <w:rPr>
          <w:rFonts w:hint="eastAsia" w:ascii="宋体" w:hAnsi="宋体"/>
          <w:bCs/>
          <w:color w:val="auto"/>
          <w:sz w:val="24"/>
          <w:highlight w:val="none"/>
        </w:rPr>
        <w:fldChar w:fldCharType="separate"/>
      </w:r>
      <w:r>
        <w:rPr>
          <w:color w:val="auto"/>
          <w:highlight w:val="none"/>
        </w:rPr>
        <w:t>④</w:t>
      </w:r>
      <w:r>
        <w:rPr>
          <w:rFonts w:hint="eastAsia" w:ascii="宋体" w:hAnsi="宋体"/>
          <w:bCs/>
          <w:color w:val="auto"/>
          <w:sz w:val="24"/>
          <w:highlight w:val="none"/>
        </w:rPr>
        <w:fldChar w:fldCharType="end"/>
      </w:r>
      <w:r>
        <w:rPr>
          <w:rFonts w:hint="eastAsia" w:ascii="宋体" w:hAnsi="宋体"/>
          <w:bCs/>
          <w:color w:val="auto"/>
          <w:sz w:val="24"/>
          <w:highlight w:val="none"/>
        </w:rPr>
        <w:t>承包人应加强全员、全方位、全过程安全管理，加强安全生产技术的调研及创新，做到安全生产标准化建设的规范化和制度化，切实提升其安全管理水平。对于危险作业“机械化换人、自动化减人”，安全防护设备设施工具化、定型化、装配化。</w:t>
      </w:r>
      <w:r>
        <w:rPr>
          <w:rFonts w:hint="eastAsia" w:ascii="宋体" w:hAnsi="宋体"/>
          <w:bCs/>
          <w:color w:val="auto"/>
          <w:sz w:val="24"/>
          <w:highlight w:val="none"/>
          <w:lang w:val="en-US" w:eastAsia="zh-CN"/>
        </w:rPr>
        <w:t>承包人</w:t>
      </w:r>
      <w:r>
        <w:rPr>
          <w:rFonts w:hint="eastAsia" w:ascii="宋体" w:hAnsi="宋体"/>
          <w:bCs/>
          <w:color w:val="auto"/>
          <w:sz w:val="24"/>
          <w:highlight w:val="none"/>
        </w:rPr>
        <w:t>工地建设“两区三</w:t>
      </w:r>
      <w:r>
        <w:rPr>
          <w:rFonts w:hint="eastAsia" w:ascii="宋体" w:hAnsi="宋体"/>
          <w:bCs/>
          <w:color w:val="auto"/>
          <w:sz w:val="24"/>
          <w:highlight w:val="none"/>
          <w:lang w:val="en-US" w:eastAsia="zh-CN"/>
        </w:rPr>
        <w:t>场</w:t>
      </w:r>
      <w:r>
        <w:rPr>
          <w:rFonts w:hint="eastAsia" w:ascii="宋体" w:hAnsi="宋体"/>
          <w:bCs/>
          <w:color w:val="auto"/>
          <w:sz w:val="24"/>
          <w:highlight w:val="none"/>
        </w:rPr>
        <w:t>”（生活区、办公区、钢筋加工场、拌</w:t>
      </w:r>
      <w:r>
        <w:rPr>
          <w:rFonts w:hint="eastAsia" w:ascii="宋体" w:hAnsi="宋体"/>
          <w:bCs/>
          <w:color w:val="auto"/>
          <w:sz w:val="24"/>
          <w:highlight w:val="none"/>
          <w:lang w:val="en-US" w:eastAsia="zh-CN"/>
        </w:rPr>
        <w:t>和场</w:t>
      </w:r>
      <w:r>
        <w:rPr>
          <w:rFonts w:hint="eastAsia" w:ascii="宋体" w:hAnsi="宋体"/>
          <w:bCs/>
          <w:color w:val="auto"/>
          <w:sz w:val="24"/>
          <w:highlight w:val="none"/>
        </w:rPr>
        <w:t>、预制场）</w:t>
      </w:r>
      <w:r>
        <w:rPr>
          <w:rFonts w:hint="eastAsia" w:ascii="宋体" w:hAnsi="宋体"/>
          <w:bCs/>
          <w:color w:val="auto"/>
          <w:sz w:val="24"/>
          <w:highlight w:val="none"/>
          <w:lang w:val="en-US" w:eastAsia="zh-CN"/>
        </w:rPr>
        <w:t>须</w:t>
      </w:r>
      <w:r>
        <w:rPr>
          <w:rFonts w:hint="eastAsia" w:ascii="宋体" w:hAnsi="宋体"/>
          <w:bCs/>
          <w:color w:val="auto"/>
          <w:sz w:val="24"/>
          <w:highlight w:val="none"/>
        </w:rPr>
        <w:t>满足</w:t>
      </w:r>
      <w:r>
        <w:rPr>
          <w:rFonts w:hint="eastAsia" w:ascii="宋体" w:hAnsi="宋体"/>
          <w:bCs/>
          <w:color w:val="auto"/>
          <w:sz w:val="24"/>
          <w:highlight w:val="none"/>
          <w:lang w:val="en-US" w:eastAsia="zh-CN"/>
        </w:rPr>
        <w:t>相关生产安全的法律法规、规章及交通运输主管部门、发包人上级主管部门的规定，且须进行专项安全评估，符合要求后才能进场使用。</w:t>
      </w:r>
    </w:p>
    <w:p w14:paraId="2E4FC572">
      <w:pPr>
        <w:adjustRightInd w:val="0"/>
        <w:snapToGrid w:val="0"/>
        <w:spacing w:line="360" w:lineRule="auto"/>
        <w:ind w:firstLine="42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5 \* GB3 \* MERGEFORMAT </w:instrText>
      </w:r>
      <w:r>
        <w:rPr>
          <w:rFonts w:hint="eastAsia" w:ascii="宋体" w:hAnsi="宋体"/>
          <w:bCs/>
          <w:color w:val="auto"/>
          <w:sz w:val="24"/>
          <w:highlight w:val="none"/>
        </w:rPr>
        <w:fldChar w:fldCharType="separate"/>
      </w:r>
      <w:r>
        <w:rPr>
          <w:color w:val="auto"/>
          <w:highlight w:val="none"/>
        </w:rPr>
        <w:t>⑤</w:t>
      </w:r>
      <w:r>
        <w:rPr>
          <w:rFonts w:hint="eastAsia" w:ascii="宋体" w:hAnsi="宋体"/>
          <w:bCs/>
          <w:color w:val="auto"/>
          <w:sz w:val="24"/>
          <w:highlight w:val="none"/>
        </w:rPr>
        <w:fldChar w:fldCharType="end"/>
      </w:r>
      <w:r>
        <w:rPr>
          <w:rFonts w:hint="eastAsia" w:ascii="宋体" w:hAnsi="宋体"/>
          <w:bCs/>
          <w:color w:val="auto"/>
          <w:sz w:val="24"/>
          <w:highlight w:val="none"/>
        </w:rPr>
        <w:t>承包人应从项目人员管理、施工现场作业、施工设施设备等方面采取文明施工的相关措施，加强施工环保管理。做好临时工程的规划和选址，统筹布设施工临时便道、驻地、预制场等，工地建设“两区三</w:t>
      </w:r>
      <w:r>
        <w:rPr>
          <w:rFonts w:hint="eastAsia" w:ascii="宋体" w:hAnsi="宋体"/>
          <w:bCs/>
          <w:color w:val="auto"/>
          <w:sz w:val="24"/>
          <w:highlight w:val="none"/>
          <w:lang w:val="en-US" w:eastAsia="zh-CN"/>
        </w:rPr>
        <w:t>场</w:t>
      </w:r>
      <w:r>
        <w:rPr>
          <w:rFonts w:hint="eastAsia" w:ascii="宋体" w:hAnsi="宋体"/>
          <w:bCs/>
          <w:color w:val="auto"/>
          <w:sz w:val="24"/>
          <w:highlight w:val="none"/>
        </w:rPr>
        <w:t>”（生活区、办公区、钢筋加工场、拌</w:t>
      </w:r>
      <w:r>
        <w:rPr>
          <w:rFonts w:hint="eastAsia" w:ascii="宋体" w:hAnsi="宋体"/>
          <w:bCs/>
          <w:color w:val="auto"/>
          <w:sz w:val="24"/>
          <w:highlight w:val="none"/>
          <w:lang w:val="en-US" w:eastAsia="zh-CN"/>
        </w:rPr>
        <w:t>和场</w:t>
      </w:r>
      <w:r>
        <w:rPr>
          <w:rFonts w:hint="eastAsia" w:ascii="宋体" w:hAnsi="宋体"/>
          <w:bCs/>
          <w:color w:val="auto"/>
          <w:sz w:val="24"/>
          <w:highlight w:val="none"/>
        </w:rPr>
        <w:t>、预制场）标准化，充分利用、减少重复建设，减少对周边环境破坏。严格落实环境保护，采取必要的水、气、声、渣控制措施，降低施工现场环境污染，营造文明施工良好环境。</w:t>
      </w:r>
    </w:p>
    <w:p w14:paraId="3624C1A6">
      <w:pPr>
        <w:adjustRightInd w:val="0"/>
        <w:snapToGrid w:val="0"/>
        <w:spacing w:line="360" w:lineRule="auto"/>
        <w:ind w:firstLine="420" w:firstLineChars="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w:t>
      </w:r>
      <w:r>
        <w:rPr>
          <w:rFonts w:hint="eastAsia" w:ascii="宋体" w:hAnsi="宋体"/>
          <w:bCs/>
          <w:color w:val="auto"/>
          <w:sz w:val="24"/>
          <w:highlight w:val="none"/>
        </w:rPr>
        <w:t>工程管理</w:t>
      </w:r>
      <w:r>
        <w:rPr>
          <w:rFonts w:ascii="宋体" w:hAnsi="宋体"/>
          <w:bCs/>
          <w:color w:val="auto"/>
          <w:sz w:val="24"/>
          <w:highlight w:val="none"/>
        </w:rPr>
        <w:t>精细化</w:t>
      </w:r>
    </w:p>
    <w:p w14:paraId="3943FE13">
      <w:pPr>
        <w:widowControl/>
        <w:adjustRightInd w:val="0"/>
        <w:snapToGrid w:val="0"/>
        <w:spacing w:line="360" w:lineRule="auto"/>
        <w:ind w:firstLine="420" w:firstLineChars="0"/>
        <w:jc w:val="left"/>
        <w:rPr>
          <w:rFonts w:ascii="宋体" w:hAnsi="宋体"/>
          <w:bCs/>
          <w:color w:val="auto"/>
          <w:kern w:val="2"/>
          <w:sz w:val="24"/>
          <w:highlight w:val="none"/>
        </w:rPr>
      </w:pPr>
      <w:r>
        <w:rPr>
          <w:rFonts w:hint="eastAsia" w:ascii="宋体" w:hAnsi="宋体"/>
          <w:bCs/>
          <w:color w:val="auto"/>
          <w:sz w:val="24"/>
          <w:highlight w:val="none"/>
          <w:shd w:val="clear" w:color="auto" w:fill="auto"/>
        </w:rPr>
        <w:t>倡导工程全寿命周期集成化管理，强化施工精细化管理，推动实施精益建造，提升工程整体质量。建立“实施有标准、操作有程序、过程有控制、结果有考核”的标准化管理体系。</w:t>
      </w:r>
      <w:r>
        <w:rPr>
          <w:rFonts w:ascii="宋体" w:hAnsi="宋体" w:cs="Times New Roman"/>
          <w:bCs/>
          <w:color w:val="auto"/>
          <w:sz w:val="24"/>
          <w:highlight w:val="none"/>
          <w:shd w:val="clear" w:color="auto" w:fill="auto"/>
        </w:rPr>
        <w:t>保证每个施工环节受控，每个施工细节都符合标准。</w:t>
      </w:r>
    </w:p>
    <w:p w14:paraId="75FFDFB6">
      <w:pPr>
        <w:widowControl/>
        <w:adjustRightInd w:val="0"/>
        <w:snapToGrid w:val="0"/>
        <w:spacing w:line="360" w:lineRule="auto"/>
        <w:ind w:firstLine="420" w:firstLineChars="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w:t>
      </w:r>
      <w:r>
        <w:rPr>
          <w:rFonts w:hint="eastAsia" w:ascii="宋体" w:hAnsi="宋体"/>
          <w:bCs/>
          <w:color w:val="auto"/>
          <w:sz w:val="24"/>
          <w:highlight w:val="none"/>
        </w:rPr>
        <w:t>项目管理信息化</w:t>
      </w:r>
    </w:p>
    <w:p w14:paraId="547E05F8">
      <w:pPr>
        <w:adjustRightInd w:val="0"/>
        <w:snapToGrid w:val="0"/>
        <w:spacing w:line="360" w:lineRule="auto"/>
        <w:ind w:firstLine="42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1 \* GB3 \* MERGEFORMAT </w:instrText>
      </w:r>
      <w:r>
        <w:rPr>
          <w:rFonts w:hint="eastAsia" w:ascii="宋体" w:hAnsi="宋体"/>
          <w:bCs/>
          <w:color w:val="auto"/>
          <w:sz w:val="24"/>
          <w:highlight w:val="none"/>
        </w:rPr>
        <w:fldChar w:fldCharType="separate"/>
      </w:r>
      <w:r>
        <w:rPr>
          <w:color w:val="auto"/>
          <w:highlight w:val="none"/>
        </w:rPr>
        <w:t>①</w:t>
      </w:r>
      <w:r>
        <w:rPr>
          <w:rFonts w:hint="eastAsia" w:ascii="宋体" w:hAnsi="宋体"/>
          <w:bCs/>
          <w:color w:val="auto"/>
          <w:sz w:val="24"/>
          <w:highlight w:val="none"/>
        </w:rPr>
        <w:fldChar w:fldCharType="end"/>
      </w:r>
      <w:r>
        <w:rPr>
          <w:rFonts w:hint="eastAsia" w:ascii="宋体" w:hAnsi="宋体"/>
          <w:bCs/>
          <w:color w:val="auto"/>
          <w:sz w:val="24"/>
          <w:highlight w:val="none"/>
        </w:rPr>
        <w:t>项目采用信息管理系统进行信息化管理。承包人应安排专人负责配合发包人完善和维护该系统，及时办理各类文件的编制、审核、归档，同时还应将建设期间有关的基础资料、数据及图纸录入发包人指定的系统。</w:t>
      </w:r>
      <w:r>
        <w:rPr>
          <w:rFonts w:ascii="宋体" w:hAnsi="宋体"/>
          <w:bCs/>
          <w:color w:val="auto"/>
          <w:sz w:val="24"/>
          <w:highlight w:val="none"/>
        </w:rPr>
        <w:t xml:space="preserve"> </w:t>
      </w:r>
    </w:p>
    <w:p w14:paraId="691698F5">
      <w:pPr>
        <w:adjustRightInd w:val="0"/>
        <w:snapToGrid w:val="0"/>
        <w:spacing w:line="360" w:lineRule="auto"/>
        <w:ind w:firstLine="42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2 \* GB3 \* MERGEFORMAT </w:instrText>
      </w:r>
      <w:r>
        <w:rPr>
          <w:rFonts w:hint="eastAsia" w:ascii="宋体" w:hAnsi="宋体"/>
          <w:bCs/>
          <w:color w:val="auto"/>
          <w:sz w:val="24"/>
          <w:highlight w:val="none"/>
        </w:rPr>
        <w:fldChar w:fldCharType="separate"/>
      </w:r>
      <w:r>
        <w:rPr>
          <w:color w:val="auto"/>
          <w:highlight w:val="none"/>
        </w:rPr>
        <w:t>②</w:t>
      </w:r>
      <w:r>
        <w:rPr>
          <w:rFonts w:hint="eastAsia" w:ascii="宋体" w:hAnsi="宋体"/>
          <w:bCs/>
          <w:color w:val="auto"/>
          <w:sz w:val="24"/>
          <w:highlight w:val="none"/>
        </w:rPr>
        <w:fldChar w:fldCharType="end"/>
      </w:r>
      <w:r>
        <w:rPr>
          <w:rFonts w:hint="eastAsia" w:ascii="宋体" w:hAnsi="宋体"/>
          <w:bCs/>
          <w:color w:val="auto"/>
          <w:sz w:val="24"/>
          <w:highlight w:val="none"/>
        </w:rPr>
        <w:t>发包人搭建基于BIM技术的项目管理平台，改进技术复杂工程项目各参建单位的技术交流方式，压缩管理层次，提升管理效率，提高管理水平。为后期养护、运营管理工作提供数据和技术支撑。</w:t>
      </w:r>
      <w:r>
        <w:rPr>
          <w:rFonts w:ascii="宋体" w:hAnsi="宋体"/>
          <w:bCs/>
          <w:color w:val="auto"/>
          <w:sz w:val="24"/>
          <w:highlight w:val="none"/>
        </w:rPr>
        <w:t xml:space="preserve"> </w:t>
      </w:r>
    </w:p>
    <w:p w14:paraId="13B0B4AB">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3 \* GB3 \* MERGEFORMAT </w:instrText>
      </w:r>
      <w:r>
        <w:rPr>
          <w:rFonts w:hint="eastAsia" w:ascii="宋体" w:hAnsi="宋体"/>
          <w:bCs/>
          <w:color w:val="auto"/>
          <w:sz w:val="24"/>
          <w:highlight w:val="none"/>
        </w:rPr>
        <w:fldChar w:fldCharType="separate"/>
      </w:r>
      <w:r>
        <w:rPr>
          <w:color w:val="auto"/>
          <w:highlight w:val="none"/>
        </w:rPr>
        <w:t>③</w:t>
      </w:r>
      <w:r>
        <w:rPr>
          <w:rFonts w:hint="eastAsia" w:ascii="宋体" w:hAnsi="宋体"/>
          <w:bCs/>
          <w:color w:val="auto"/>
          <w:sz w:val="24"/>
          <w:highlight w:val="none"/>
        </w:rPr>
        <w:fldChar w:fldCharType="end"/>
      </w:r>
      <w:r>
        <w:rPr>
          <w:rFonts w:hint="eastAsia" w:ascii="宋体" w:hAnsi="宋体"/>
          <w:bCs/>
          <w:color w:val="auto"/>
          <w:sz w:val="24"/>
          <w:highlight w:val="none"/>
        </w:rPr>
        <w:t>严格落实拌</w:t>
      </w:r>
      <w:r>
        <w:rPr>
          <w:rFonts w:hint="eastAsia" w:ascii="宋体" w:hAnsi="宋体"/>
          <w:bCs/>
          <w:color w:val="auto"/>
          <w:sz w:val="24"/>
          <w:highlight w:val="none"/>
          <w:lang w:val="en-US" w:eastAsia="zh-CN"/>
        </w:rPr>
        <w:t>和场</w:t>
      </w:r>
      <w:r>
        <w:rPr>
          <w:rFonts w:hint="eastAsia" w:ascii="宋体" w:hAnsi="宋体"/>
          <w:bCs/>
          <w:color w:val="auto"/>
          <w:sz w:val="24"/>
          <w:highlight w:val="none"/>
        </w:rPr>
        <w:t>、工地试验室等试验数据</w:t>
      </w:r>
      <w:r>
        <w:rPr>
          <w:rFonts w:hint="eastAsia" w:ascii="宋体" w:hAnsi="宋体"/>
          <w:bCs/>
          <w:color w:val="auto"/>
          <w:sz w:val="24"/>
          <w:highlight w:val="none"/>
          <w:lang w:eastAsia="zh-CN"/>
        </w:rPr>
        <w:t>实时</w:t>
      </w:r>
      <w:r>
        <w:rPr>
          <w:rFonts w:hint="eastAsia" w:ascii="宋体" w:hAnsi="宋体"/>
          <w:bCs/>
          <w:color w:val="auto"/>
          <w:sz w:val="24"/>
          <w:highlight w:val="none"/>
        </w:rPr>
        <w:t>上传，重点工点远程视频监控等技术。</w:t>
      </w:r>
    </w:p>
    <w:p w14:paraId="78BCE90B">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4 \* GB3 \* MERGEFORMAT </w:instrText>
      </w:r>
      <w:r>
        <w:rPr>
          <w:rFonts w:hint="eastAsia" w:ascii="宋体" w:hAnsi="宋体"/>
          <w:bCs/>
          <w:color w:val="auto"/>
          <w:sz w:val="24"/>
          <w:highlight w:val="none"/>
        </w:rPr>
        <w:fldChar w:fldCharType="separate"/>
      </w:r>
      <w:r>
        <w:rPr>
          <w:color w:val="auto"/>
          <w:highlight w:val="none"/>
        </w:rPr>
        <w:t>④</w:t>
      </w:r>
      <w:r>
        <w:rPr>
          <w:rFonts w:hint="eastAsia" w:ascii="宋体" w:hAnsi="宋体"/>
          <w:bCs/>
          <w:color w:val="auto"/>
          <w:sz w:val="24"/>
          <w:highlight w:val="none"/>
        </w:rPr>
        <w:fldChar w:fldCharType="end"/>
      </w:r>
      <w:r>
        <w:rPr>
          <w:rFonts w:hint="eastAsia" w:ascii="宋体" w:hAnsi="宋体"/>
          <w:bCs/>
          <w:color w:val="auto"/>
          <w:sz w:val="24"/>
          <w:highlight w:val="none"/>
        </w:rPr>
        <w:t>项目将对重要质量把控环节（路基试验室、路面试验室、桥梁预应力智能张拉、循环压浆、混凝土拌合站、数字化</w:t>
      </w:r>
      <w:r>
        <w:rPr>
          <w:rFonts w:ascii="宋体" w:hAnsi="宋体"/>
          <w:bCs/>
          <w:color w:val="auto"/>
          <w:sz w:val="24"/>
          <w:highlight w:val="none"/>
        </w:rPr>
        <w:t>软基处理</w:t>
      </w:r>
      <w:r>
        <w:rPr>
          <w:rFonts w:hint="eastAsia" w:ascii="宋体" w:hAnsi="宋体"/>
          <w:bCs/>
          <w:color w:val="auto"/>
          <w:sz w:val="24"/>
          <w:highlight w:val="none"/>
        </w:rPr>
        <w:t>、隧道掘进施工等）等进行实时质量管控，实现过程透明化，确保产品质量，承包人自购的各类质量智能管控产品必须满足相关规范要求及发包人整体需求，并将质量管控数据接入发包人建设管理系统。</w:t>
      </w:r>
      <w:r>
        <w:rPr>
          <w:rFonts w:ascii="宋体" w:hAnsi="宋体"/>
          <w:bCs/>
          <w:color w:val="auto"/>
          <w:sz w:val="24"/>
          <w:highlight w:val="none"/>
        </w:rPr>
        <w:t xml:space="preserve"> </w:t>
      </w:r>
    </w:p>
    <w:p w14:paraId="37BE8E95">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5</w:t>
      </w:r>
      <w:r>
        <w:rPr>
          <w:rFonts w:hint="eastAsia" w:ascii="宋体" w:hAnsi="宋体"/>
          <w:bCs/>
          <w:color w:val="auto"/>
          <w:sz w:val="24"/>
          <w:highlight w:val="none"/>
          <w:lang w:eastAsia="zh-CN"/>
        </w:rPr>
        <w:t>）</w:t>
      </w:r>
      <w:r>
        <w:rPr>
          <w:rFonts w:hint="eastAsia" w:ascii="宋体" w:hAnsi="宋体"/>
          <w:bCs/>
          <w:color w:val="auto"/>
          <w:sz w:val="24"/>
          <w:highlight w:val="none"/>
        </w:rPr>
        <w:t>班组管理规范化</w:t>
      </w:r>
    </w:p>
    <w:p w14:paraId="3A185D2A">
      <w:pPr>
        <w:adjustRightInd w:val="0"/>
        <w:snapToGrid w:val="0"/>
        <w:spacing w:line="360" w:lineRule="auto"/>
        <w:ind w:firstLine="480" w:firstLineChars="200"/>
        <w:rPr>
          <w:rFonts w:ascii="黑体"/>
          <w:b w:val="0"/>
          <w:color w:val="auto"/>
          <w:sz w:val="24"/>
          <w:szCs w:val="24"/>
          <w:highlight w:val="none"/>
        </w:rPr>
      </w:pPr>
      <w:r>
        <w:rPr>
          <w:rFonts w:hint="eastAsia" w:hAnsi="宋体"/>
          <w:color w:val="auto"/>
          <w:sz w:val="24"/>
          <w:szCs w:val="24"/>
          <w:highlight w:val="none"/>
        </w:rPr>
        <w:t>贯彻</w:t>
      </w:r>
      <w:r>
        <w:rPr>
          <w:rFonts w:hAnsi="宋体"/>
          <w:color w:val="auto"/>
          <w:sz w:val="24"/>
          <w:szCs w:val="24"/>
          <w:highlight w:val="none"/>
        </w:rPr>
        <w:t>落实</w:t>
      </w:r>
      <w:r>
        <w:rPr>
          <w:rFonts w:hint="eastAsia" w:hAnsi="宋体"/>
          <w:color w:val="auto"/>
          <w:sz w:val="24"/>
          <w:szCs w:val="24"/>
          <w:highlight w:val="none"/>
        </w:rPr>
        <w:t>《</w:t>
      </w:r>
      <w:r>
        <w:rPr>
          <w:rFonts w:hAnsi="宋体"/>
          <w:color w:val="auto"/>
          <w:sz w:val="24"/>
          <w:szCs w:val="24"/>
          <w:highlight w:val="none"/>
        </w:rPr>
        <w:t>四川省交通运输厅关于在全省</w:t>
      </w:r>
      <w:r>
        <w:rPr>
          <w:rFonts w:hint="eastAsia" w:hAnsi="宋体"/>
          <w:color w:val="auto"/>
          <w:sz w:val="24"/>
          <w:szCs w:val="24"/>
          <w:highlight w:val="none"/>
        </w:rPr>
        <w:t>重点交通</w:t>
      </w:r>
      <w:r>
        <w:rPr>
          <w:rFonts w:hAnsi="宋体"/>
          <w:color w:val="auto"/>
          <w:sz w:val="24"/>
          <w:szCs w:val="24"/>
          <w:highlight w:val="none"/>
        </w:rPr>
        <w:t>建设</w:t>
      </w:r>
      <w:r>
        <w:rPr>
          <w:rFonts w:hint="eastAsia" w:hAnsi="宋体"/>
          <w:color w:val="auto"/>
          <w:sz w:val="24"/>
          <w:szCs w:val="24"/>
          <w:highlight w:val="none"/>
        </w:rPr>
        <w:t>领域</w:t>
      </w:r>
      <w:r>
        <w:rPr>
          <w:rFonts w:hAnsi="宋体"/>
          <w:color w:val="auto"/>
          <w:sz w:val="24"/>
          <w:szCs w:val="24"/>
          <w:highlight w:val="none"/>
        </w:rPr>
        <w:t>推行施工班组规范化管理的</w:t>
      </w:r>
      <w:r>
        <w:rPr>
          <w:rFonts w:hint="eastAsia" w:hAnsi="宋体"/>
          <w:color w:val="auto"/>
          <w:sz w:val="24"/>
          <w:szCs w:val="24"/>
          <w:highlight w:val="none"/>
        </w:rPr>
        <w:t>指导</w:t>
      </w:r>
      <w:r>
        <w:rPr>
          <w:rFonts w:hAnsi="宋体"/>
          <w:color w:val="auto"/>
          <w:sz w:val="24"/>
          <w:szCs w:val="24"/>
          <w:highlight w:val="none"/>
        </w:rPr>
        <w:t>意见</w:t>
      </w:r>
      <w:r>
        <w:rPr>
          <w:rFonts w:hint="eastAsia" w:hAnsi="宋体"/>
          <w:color w:val="auto"/>
          <w:sz w:val="24"/>
          <w:szCs w:val="24"/>
          <w:highlight w:val="none"/>
        </w:rPr>
        <w:t>》（川交函</w:t>
      </w:r>
      <w:r>
        <w:rPr>
          <w:rFonts w:hAnsi="宋体"/>
          <w:color w:val="auto"/>
          <w:sz w:val="24"/>
          <w:szCs w:val="24"/>
          <w:highlight w:val="none"/>
        </w:rPr>
        <w:t>〔2018〕185号），建立健全施工班组管理制度，落实全员班组化</w:t>
      </w:r>
      <w:r>
        <w:rPr>
          <w:rFonts w:hint="eastAsia" w:hAnsi="宋体"/>
          <w:color w:val="auto"/>
          <w:sz w:val="24"/>
          <w:szCs w:val="24"/>
          <w:highlight w:val="none"/>
        </w:rPr>
        <w:t>，推行班组作业信息化，</w:t>
      </w:r>
      <w:r>
        <w:rPr>
          <w:rFonts w:hAnsi="宋体"/>
          <w:color w:val="auto"/>
          <w:sz w:val="24"/>
          <w:szCs w:val="24"/>
          <w:highlight w:val="none"/>
        </w:rPr>
        <w:t>严格履行班组准入制</w:t>
      </w:r>
      <w:r>
        <w:rPr>
          <w:rFonts w:hint="eastAsia" w:hAnsi="宋体"/>
          <w:color w:val="auto"/>
          <w:sz w:val="24"/>
          <w:szCs w:val="24"/>
          <w:highlight w:val="none"/>
        </w:rPr>
        <w:t>，</w:t>
      </w:r>
      <w:r>
        <w:rPr>
          <w:rFonts w:hAnsi="宋体"/>
          <w:color w:val="auto"/>
          <w:sz w:val="24"/>
          <w:szCs w:val="24"/>
          <w:highlight w:val="none"/>
        </w:rPr>
        <w:t>强化班组长负责制</w:t>
      </w:r>
      <w:r>
        <w:rPr>
          <w:rFonts w:hint="eastAsia" w:hAnsi="宋体"/>
          <w:color w:val="auto"/>
          <w:sz w:val="24"/>
          <w:szCs w:val="24"/>
          <w:highlight w:val="none"/>
        </w:rPr>
        <w:t>，落实</w:t>
      </w:r>
      <w:r>
        <w:rPr>
          <w:rFonts w:hAnsi="宋体"/>
          <w:color w:val="auto"/>
          <w:sz w:val="24"/>
          <w:highlight w:val="none"/>
        </w:rPr>
        <w:t>农民工全员班组化</w:t>
      </w:r>
      <w:r>
        <w:rPr>
          <w:rFonts w:hint="eastAsia" w:hAnsi="宋体"/>
          <w:color w:val="auto"/>
          <w:sz w:val="24"/>
          <w:highlight w:val="none"/>
        </w:rPr>
        <w:t>，</w:t>
      </w:r>
      <w:r>
        <w:rPr>
          <w:rFonts w:hint="eastAsia" w:hAnsi="宋体"/>
          <w:color w:val="auto"/>
          <w:sz w:val="24"/>
          <w:szCs w:val="24"/>
          <w:highlight w:val="none"/>
        </w:rPr>
        <w:t>实行</w:t>
      </w:r>
      <w:r>
        <w:rPr>
          <w:rFonts w:hAnsi="宋体"/>
          <w:color w:val="auto"/>
          <w:sz w:val="24"/>
          <w:szCs w:val="24"/>
          <w:highlight w:val="none"/>
        </w:rPr>
        <w:t>班组日常作业标准化</w:t>
      </w:r>
      <w:r>
        <w:rPr>
          <w:rFonts w:hint="eastAsia" w:hAnsi="宋体"/>
          <w:color w:val="auto"/>
          <w:sz w:val="24"/>
          <w:szCs w:val="24"/>
          <w:highlight w:val="none"/>
        </w:rPr>
        <w:t>，夯实基层基础工作。承包人应定期对班组员工开展</w:t>
      </w:r>
      <w:r>
        <w:rPr>
          <w:rFonts w:hAnsi="宋体"/>
          <w:color w:val="auto"/>
          <w:sz w:val="24"/>
          <w:highlight w:val="none"/>
        </w:rPr>
        <w:t>培训教育</w:t>
      </w:r>
      <w:r>
        <w:rPr>
          <w:rFonts w:hint="eastAsia" w:hAnsi="宋体"/>
          <w:color w:val="auto"/>
          <w:sz w:val="24"/>
          <w:highlight w:val="none"/>
        </w:rPr>
        <w:t>，</w:t>
      </w:r>
      <w:r>
        <w:rPr>
          <w:rFonts w:hAnsi="宋体"/>
          <w:color w:val="auto"/>
          <w:sz w:val="24"/>
          <w:highlight w:val="none"/>
        </w:rPr>
        <w:t>提升班组员工知识素养。</w:t>
      </w:r>
      <w:r>
        <w:rPr>
          <w:rFonts w:hint="eastAsia" w:hAnsi="宋体"/>
          <w:color w:val="auto"/>
          <w:sz w:val="24"/>
          <w:highlight w:val="none"/>
        </w:rPr>
        <w:t>实施管理规范化的核心内容</w:t>
      </w:r>
      <w:r>
        <w:rPr>
          <w:rFonts w:hint="eastAsia" w:hAnsi="宋体"/>
          <w:color w:val="auto"/>
          <w:sz w:val="24"/>
          <w:highlight w:val="none"/>
          <w:lang w:val="en-US" w:eastAsia="zh-CN"/>
        </w:rPr>
        <w:t>之一</w:t>
      </w:r>
      <w:r>
        <w:rPr>
          <w:rFonts w:hint="eastAsia" w:hAnsi="宋体"/>
          <w:color w:val="auto"/>
          <w:sz w:val="24"/>
          <w:highlight w:val="none"/>
        </w:rPr>
        <w:t>就是打造</w:t>
      </w:r>
      <w:r>
        <w:rPr>
          <w:rFonts w:hAnsi="宋体"/>
          <w:color w:val="auto"/>
          <w:sz w:val="24"/>
          <w:highlight w:val="none"/>
        </w:rPr>
        <w:t>班组文化</w:t>
      </w:r>
      <w:r>
        <w:rPr>
          <w:rFonts w:hint="eastAsia" w:hAnsi="宋体"/>
          <w:color w:val="auto"/>
          <w:sz w:val="24"/>
          <w:highlight w:val="none"/>
        </w:rPr>
        <w:t>，</w:t>
      </w:r>
      <w:r>
        <w:rPr>
          <w:rFonts w:ascii="宋体" w:hAnsi="宋体"/>
          <w:color w:val="auto"/>
          <w:sz w:val="24"/>
          <w:highlight w:val="none"/>
        </w:rPr>
        <w:t>增强班组凝聚力和归属感。定期对各班组的管理、教育、施工安全</w:t>
      </w:r>
      <w:r>
        <w:rPr>
          <w:rFonts w:hint="eastAsia" w:ascii="宋体" w:hAnsi="宋体"/>
          <w:color w:val="auto"/>
          <w:sz w:val="24"/>
          <w:highlight w:val="none"/>
        </w:rPr>
        <w:t>、</w:t>
      </w:r>
      <w:r>
        <w:rPr>
          <w:rFonts w:ascii="宋体" w:hAnsi="宋体"/>
          <w:color w:val="auto"/>
          <w:sz w:val="24"/>
          <w:highlight w:val="none"/>
        </w:rPr>
        <w:t>质量等进行考核，鼓励施工班组和一线人员开展工艺、设备、工法、管理等“微创新</w:t>
      </w:r>
      <w:r>
        <w:rPr>
          <w:rFonts w:hint="eastAsia" w:ascii="宋体" w:hAnsi="宋体"/>
          <w:color w:val="auto"/>
          <w:sz w:val="24"/>
          <w:highlight w:val="none"/>
          <w:lang w:eastAsia="zh-CN"/>
        </w:rPr>
        <w:t>”</w:t>
      </w:r>
      <w:r>
        <w:rPr>
          <w:rFonts w:ascii="宋体" w:hAnsi="宋体"/>
          <w:color w:val="auto"/>
          <w:sz w:val="24"/>
          <w:highlight w:val="none"/>
        </w:rPr>
        <w:t>。</w:t>
      </w:r>
    </w:p>
    <w:p w14:paraId="15D8277E">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4.1.12</w:t>
      </w:r>
      <w:r>
        <w:rPr>
          <w:rFonts w:hint="eastAsia" w:ascii="黑体" w:hAnsi="黑体" w:eastAsia="黑体"/>
          <w:color w:val="auto"/>
          <w:sz w:val="24"/>
          <w:highlight w:val="none"/>
        </w:rPr>
        <w:t>绿色交通建设</w:t>
      </w:r>
    </w:p>
    <w:p w14:paraId="5500C2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为践行绿色交通，推进绿色公路建设，实现公路建设健康可持续发展，承包人应按照《交通运输部关于实施绿色公路建设的指导意见》</w:t>
      </w:r>
      <w:r>
        <w:rPr>
          <w:rFonts w:hint="eastAsia" w:ascii="宋体" w:hAnsi="宋体"/>
          <w:color w:val="auto"/>
          <w:sz w:val="24"/>
          <w:highlight w:val="none"/>
          <w:lang w:eastAsia="zh-CN"/>
        </w:rPr>
        <w:t>（</w:t>
      </w:r>
      <w:r>
        <w:rPr>
          <w:rFonts w:hint="eastAsia" w:ascii="宋体" w:hAnsi="宋体" w:cs="宋体"/>
          <w:color w:val="auto"/>
          <w:sz w:val="24"/>
          <w:highlight w:val="none"/>
          <w:lang w:val="en-US" w:eastAsia="zh-CN"/>
        </w:rPr>
        <w:t>交办公路〔</w:t>
      </w:r>
      <w:r>
        <w:rPr>
          <w:rFonts w:hint="eastAsia" w:ascii="宋体" w:hAnsi="宋体" w:eastAsia="宋体" w:cs="宋体"/>
          <w:color w:val="auto"/>
          <w:sz w:val="24"/>
          <w:highlight w:val="none"/>
          <w:lang w:val="en-US" w:eastAsia="zh-CN"/>
        </w:rPr>
        <w:t>2016</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93号</w:t>
      </w:r>
      <w:r>
        <w:rPr>
          <w:rFonts w:hint="eastAsia" w:ascii="宋体" w:hAnsi="宋体"/>
          <w:color w:val="auto"/>
          <w:sz w:val="24"/>
          <w:highlight w:val="none"/>
          <w:lang w:eastAsia="zh-CN"/>
        </w:rPr>
        <w:t>）</w:t>
      </w:r>
      <w:r>
        <w:rPr>
          <w:rFonts w:hint="eastAsia" w:ascii="宋体" w:hAnsi="宋体"/>
          <w:color w:val="auto"/>
          <w:sz w:val="24"/>
          <w:highlight w:val="none"/>
        </w:rPr>
        <w:t>，坚持可持续发展、统筹协调、创新驱动、因地制宜，建设绿色公路。</w:t>
      </w:r>
    </w:p>
    <w:p w14:paraId="4178821B">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4.1.13工程收尾</w:t>
      </w:r>
    </w:p>
    <w:p w14:paraId="530CCF04">
      <w:pPr>
        <w:adjustRightInd w:val="0"/>
        <w:snapToGrid w:val="0"/>
        <w:spacing w:line="360" w:lineRule="auto"/>
        <w:ind w:firstLine="480" w:firstLineChars="200"/>
        <w:rPr>
          <w:rFonts w:ascii="黑体"/>
          <w:b w:val="0"/>
          <w:color w:val="auto"/>
          <w:sz w:val="24"/>
          <w:szCs w:val="24"/>
          <w:highlight w:val="none"/>
        </w:rPr>
      </w:pPr>
      <w:r>
        <w:rPr>
          <w:rFonts w:hint="eastAsia" w:ascii="宋体" w:hAnsi="宋体"/>
          <w:bCs/>
          <w:color w:val="auto"/>
          <w:sz w:val="24"/>
          <w:highlight w:val="none"/>
        </w:rPr>
        <w:t>工程实施末期，承包人应积极主动地处理和解决所在标段收尾的问题（如劳务用工工资、零星扫尾工程、临时设施的拆除及完工机械设备的撤场、影响沿线群众生产生活等）。</w:t>
      </w:r>
      <w:r>
        <w:rPr>
          <w:rFonts w:ascii="宋体" w:hAnsi="宋体"/>
          <w:bCs/>
          <w:color w:val="auto"/>
          <w:sz w:val="24"/>
          <w:highlight w:val="none"/>
        </w:rPr>
        <w:t>属</w:t>
      </w:r>
      <w:r>
        <w:rPr>
          <w:rFonts w:hint="eastAsia" w:ascii="宋体" w:hAnsi="宋体"/>
          <w:bCs/>
          <w:color w:val="auto"/>
          <w:sz w:val="24"/>
          <w:highlight w:val="none"/>
        </w:rPr>
        <w:t>承包人</w:t>
      </w:r>
      <w:r>
        <w:rPr>
          <w:rFonts w:ascii="宋体" w:hAnsi="宋体"/>
          <w:bCs/>
          <w:color w:val="auto"/>
          <w:sz w:val="24"/>
          <w:highlight w:val="none"/>
        </w:rPr>
        <w:t>责任的，</w:t>
      </w:r>
      <w:r>
        <w:rPr>
          <w:rFonts w:hint="eastAsia" w:ascii="宋体" w:hAnsi="宋体"/>
          <w:bCs/>
          <w:color w:val="auto"/>
          <w:sz w:val="24"/>
          <w:highlight w:val="none"/>
        </w:rPr>
        <w:t>相关费用由</w:t>
      </w:r>
      <w:r>
        <w:rPr>
          <w:rFonts w:ascii="宋体" w:hAnsi="宋体"/>
          <w:bCs/>
          <w:color w:val="auto"/>
          <w:sz w:val="24"/>
          <w:highlight w:val="none"/>
        </w:rPr>
        <w:t>承包人承担</w:t>
      </w:r>
      <w:r>
        <w:rPr>
          <w:rFonts w:hint="eastAsia" w:ascii="宋体" w:hAnsi="宋体"/>
          <w:bCs/>
          <w:color w:val="auto"/>
          <w:sz w:val="24"/>
          <w:highlight w:val="none"/>
        </w:rPr>
        <w:t>。若承包人在发包人规定的期限内不能妥善处理上述问题，监理人</w:t>
      </w:r>
      <w:r>
        <w:rPr>
          <w:rFonts w:hint="eastAsia" w:ascii="宋体" w:hAnsi="宋体"/>
          <w:bCs/>
          <w:color w:val="auto"/>
          <w:sz w:val="24"/>
          <w:highlight w:val="none"/>
          <w:lang w:val="en-US" w:eastAsia="zh-CN"/>
        </w:rPr>
        <w:t>应</w:t>
      </w:r>
      <w:r>
        <w:rPr>
          <w:rFonts w:hint="eastAsia" w:ascii="宋体" w:hAnsi="宋体"/>
          <w:bCs/>
          <w:color w:val="auto"/>
          <w:sz w:val="24"/>
          <w:highlight w:val="none"/>
        </w:rPr>
        <w:t>对</w:t>
      </w:r>
      <w:r>
        <w:rPr>
          <w:rFonts w:hint="eastAsia" w:ascii="宋体" w:hAnsi="宋体"/>
          <w:bCs/>
          <w:color w:val="auto"/>
          <w:sz w:val="24"/>
          <w:highlight w:val="none"/>
          <w:lang w:val="en-US" w:eastAsia="zh-CN"/>
        </w:rPr>
        <w:t>此提出</w:t>
      </w:r>
      <w:r>
        <w:rPr>
          <w:rFonts w:hint="eastAsia" w:ascii="宋体" w:hAnsi="宋体"/>
          <w:bCs/>
          <w:color w:val="auto"/>
          <w:sz w:val="24"/>
          <w:highlight w:val="none"/>
        </w:rPr>
        <w:t>处理</w:t>
      </w:r>
      <w:r>
        <w:rPr>
          <w:rFonts w:hint="eastAsia" w:ascii="宋体" w:hAnsi="宋体"/>
          <w:bCs/>
          <w:color w:val="auto"/>
          <w:sz w:val="24"/>
          <w:highlight w:val="none"/>
          <w:lang w:val="en-US" w:eastAsia="zh-CN"/>
        </w:rPr>
        <w:t>意见，</w:t>
      </w:r>
      <w:r>
        <w:rPr>
          <w:rFonts w:hint="eastAsia" w:ascii="宋体" w:hAnsi="宋体"/>
          <w:bCs/>
          <w:color w:val="auto"/>
          <w:sz w:val="24"/>
          <w:highlight w:val="none"/>
        </w:rPr>
        <w:t>发包人</w:t>
      </w:r>
      <w:r>
        <w:rPr>
          <w:rFonts w:hint="eastAsia" w:ascii="宋体" w:hAnsi="宋体"/>
          <w:bCs/>
          <w:color w:val="auto"/>
          <w:sz w:val="24"/>
          <w:highlight w:val="none"/>
          <w:lang w:val="en-US" w:eastAsia="zh-CN"/>
        </w:rPr>
        <w:t>可将</w:t>
      </w:r>
      <w:r>
        <w:rPr>
          <w:rFonts w:hint="eastAsia" w:ascii="宋体" w:hAnsi="宋体"/>
          <w:bCs/>
          <w:color w:val="auto"/>
          <w:sz w:val="24"/>
          <w:highlight w:val="none"/>
        </w:rPr>
        <w:t>发生的费用从应付或到期应付给承包人的任何款项中或采用其他方法扣除。</w:t>
      </w:r>
    </w:p>
    <w:p w14:paraId="621D3F2A">
      <w:pPr>
        <w:pStyle w:val="6"/>
        <w:jc w:val="left"/>
        <w:rPr>
          <w:rFonts w:hint="eastAsia" w:ascii="黑体" w:hAnsi="黑体" w:cs="黑体"/>
          <w:b w:val="0"/>
          <w:bCs w:val="0"/>
          <w:color w:val="auto"/>
          <w:sz w:val="28"/>
          <w:szCs w:val="32"/>
          <w:highlight w:val="none"/>
        </w:rPr>
      </w:pPr>
      <w:r>
        <w:rPr>
          <w:rFonts w:hint="eastAsia" w:ascii="黑体" w:hAnsi="黑体" w:cs="黑体"/>
          <w:b w:val="0"/>
          <w:bCs w:val="0"/>
          <w:color w:val="auto"/>
          <w:sz w:val="28"/>
          <w:szCs w:val="32"/>
          <w:highlight w:val="none"/>
        </w:rPr>
        <w:t>4.2</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履约保证金</w:t>
      </w:r>
      <w:bookmarkEnd w:id="798"/>
    </w:p>
    <w:p w14:paraId="431AE97E">
      <w:pPr>
        <w:adjustRightInd w:val="0"/>
        <w:snapToGrid w:val="0"/>
        <w:spacing w:line="360" w:lineRule="auto"/>
        <w:ind w:firstLine="480" w:firstLineChars="200"/>
        <w:rPr>
          <w:rFonts w:ascii="宋体" w:hAnsi="宋体"/>
          <w:b w:val="0"/>
          <w:bCs/>
          <w:color w:val="auto"/>
          <w:sz w:val="24"/>
          <w:highlight w:val="none"/>
        </w:rPr>
      </w:pPr>
      <w:r>
        <w:rPr>
          <w:rFonts w:hint="eastAsia" w:ascii="宋体" w:hAnsi="宋体"/>
          <w:b w:val="0"/>
          <w:bCs/>
          <w:color w:val="auto"/>
          <w:sz w:val="24"/>
          <w:highlight w:val="none"/>
        </w:rPr>
        <w:t>本款补充：</w:t>
      </w:r>
    </w:p>
    <w:p w14:paraId="43CDB3D6">
      <w:pPr>
        <w:adjustRightInd w:val="0"/>
        <w:snapToGrid w:val="0"/>
        <w:spacing w:line="360" w:lineRule="auto"/>
        <w:ind w:firstLine="360" w:firstLineChars="150"/>
        <w:rPr>
          <w:rFonts w:ascii="宋体" w:hAnsi="宋体" w:cs="宋体"/>
          <w:color w:val="auto"/>
          <w:spacing w:val="-4"/>
          <w:sz w:val="24"/>
          <w:highlight w:val="none"/>
        </w:rPr>
      </w:pPr>
      <w:r>
        <w:rPr>
          <w:rFonts w:hint="eastAsia" w:ascii="宋体" w:hAnsi="宋体" w:cs="宋体"/>
          <w:color w:val="auto"/>
          <w:sz w:val="24"/>
          <w:highlight w:val="none"/>
        </w:rPr>
        <w:t>（</w:t>
      </w:r>
      <w:r>
        <w:rPr>
          <w:rFonts w:ascii="宋体" w:hAnsi="宋体" w:cs="宋体"/>
          <w:color w:val="auto"/>
          <w:sz w:val="24"/>
          <w:highlight w:val="none"/>
        </w:rPr>
        <w:t>1）承包人的履约现金担保（若有）应由发包人设立银行专户储存，履约现金担保所产生的活期存款利息归承包人所有</w:t>
      </w:r>
      <w:r>
        <w:rPr>
          <w:rFonts w:hint="eastAsia" w:ascii="宋体" w:hAnsi="宋体" w:cs="宋体"/>
          <w:color w:val="auto"/>
          <w:spacing w:val="-4"/>
          <w:sz w:val="24"/>
          <w:highlight w:val="none"/>
        </w:rPr>
        <w:t>。</w:t>
      </w:r>
    </w:p>
    <w:p w14:paraId="0AC69FD2">
      <w:pPr>
        <w:adjustRightInd w:val="0"/>
        <w:snapToGrid w:val="0"/>
        <w:spacing w:line="360" w:lineRule="auto"/>
        <w:ind w:firstLine="360" w:firstLineChars="150"/>
        <w:rPr>
          <w:rFonts w:ascii="宋体" w:hAnsi="宋体" w:cs="宋体"/>
          <w:color w:val="auto"/>
          <w:spacing w:val="-4"/>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pacing w:val="-4"/>
          <w:sz w:val="24"/>
          <w:highlight w:val="none"/>
        </w:rPr>
        <w:t>如果该承包人在本工程项目中不严格履行合同，根据监理人建议，发包人可动用履约保证金解决对发包人利益可能带来风险的有关问题。</w:t>
      </w:r>
    </w:p>
    <w:p w14:paraId="3EEC744B">
      <w:pPr>
        <w:adjustRightInd w:val="0"/>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3）当承包人在工程实施过程中，因安全、质量、进度、环保、农民工工资等问</w:t>
      </w:r>
      <w:r>
        <w:rPr>
          <w:rFonts w:hint="eastAsia" w:ascii="宋体" w:hAnsi="宋体" w:cs="宋体"/>
          <w:color w:val="auto"/>
          <w:sz w:val="24"/>
          <w:highlight w:val="none"/>
        </w:rPr>
        <w:t>题发生，</w:t>
      </w:r>
      <w:r>
        <w:rPr>
          <w:rFonts w:hint="eastAsia" w:ascii="宋体" w:hAnsi="宋体" w:cs="宋体"/>
          <w:color w:val="auto"/>
          <w:spacing w:val="-4"/>
          <w:sz w:val="24"/>
          <w:highlight w:val="none"/>
        </w:rPr>
        <w:t>根据监理人建议，</w:t>
      </w:r>
      <w:r>
        <w:rPr>
          <w:rFonts w:hint="eastAsia" w:ascii="宋体" w:hAnsi="宋体" w:cs="宋体"/>
          <w:color w:val="auto"/>
          <w:sz w:val="24"/>
          <w:highlight w:val="none"/>
        </w:rPr>
        <w:t>发包人可动用承包人履约保证金督促承包人采取措施完成合同。</w:t>
      </w:r>
    </w:p>
    <w:p w14:paraId="72BD0D2A">
      <w:pPr>
        <w:adjustRightInd w:val="0"/>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4）承包人应保证其</w:t>
      </w:r>
      <w:r>
        <w:rPr>
          <w:rFonts w:hint="eastAsia" w:ascii="宋体" w:hAnsi="宋体" w:cs="宋体"/>
          <w:color w:val="auto"/>
          <w:sz w:val="24"/>
          <w:highlight w:val="none"/>
        </w:rPr>
        <w:t>履约保证金（保函）在发包人颁发工程交工证书前一直有效。</w:t>
      </w:r>
    </w:p>
    <w:p w14:paraId="09B3E453">
      <w:pPr>
        <w:adjustRightInd w:val="0"/>
        <w:snapToGrid w:val="0"/>
        <w:spacing w:line="360" w:lineRule="auto"/>
        <w:ind w:firstLine="360" w:firstLineChars="150"/>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5）履约保证金的退还</w:t>
      </w:r>
      <w:r>
        <w:rPr>
          <w:rStyle w:val="59"/>
          <w:rFonts w:ascii="宋体" w:hAnsi="宋体" w:cs="宋体"/>
          <w:color w:val="auto"/>
          <w:sz w:val="24"/>
          <w:highlight w:val="none"/>
        </w:rPr>
        <w:footnoteReference w:id="226"/>
      </w:r>
      <w:r>
        <w:rPr>
          <w:rFonts w:ascii="宋体" w:hAnsi="宋体" w:cs="宋体"/>
          <w:color w:val="auto"/>
          <w:sz w:val="24"/>
          <w:highlight w:val="none"/>
        </w:rPr>
        <w:t>：</w:t>
      </w:r>
      <w:r>
        <w:rPr>
          <w:rFonts w:hint="eastAsia" w:hAnsi="宋体"/>
          <w:color w:val="auto"/>
          <w:sz w:val="24"/>
          <w:highlight w:val="none"/>
          <w:u w:val="single"/>
          <w:lang w:val="en-US" w:eastAsia="zh-CN"/>
        </w:rPr>
        <w:t xml:space="preserve">                     </w:t>
      </w:r>
      <w:r>
        <w:rPr>
          <w:rFonts w:ascii="宋体" w:hAnsi="宋体" w:cs="宋体"/>
          <w:color w:val="auto"/>
          <w:sz w:val="24"/>
          <w:highlight w:val="none"/>
          <w:u w:val="none"/>
        </w:rPr>
        <w:t>。</w:t>
      </w:r>
    </w:p>
    <w:p w14:paraId="4CAA4244">
      <w:pPr>
        <w:pStyle w:val="6"/>
        <w:jc w:val="left"/>
        <w:rPr>
          <w:rFonts w:hint="eastAsia" w:ascii="黑体" w:hAnsi="黑体" w:cs="黑体"/>
          <w:b w:val="0"/>
          <w:bCs w:val="0"/>
          <w:color w:val="auto"/>
          <w:sz w:val="28"/>
          <w:szCs w:val="32"/>
          <w:highlight w:val="none"/>
        </w:rPr>
      </w:pPr>
      <w:bookmarkStart w:id="801" w:name="_Toc53685730"/>
      <w:r>
        <w:rPr>
          <w:rFonts w:hint="eastAsia" w:ascii="黑体" w:hAnsi="黑体" w:cs="黑体"/>
          <w:b w:val="0"/>
          <w:bCs w:val="0"/>
          <w:color w:val="auto"/>
          <w:sz w:val="28"/>
          <w:szCs w:val="32"/>
          <w:highlight w:val="none"/>
        </w:rPr>
        <w:t>4.3</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分包</w:t>
      </w:r>
      <w:bookmarkEnd w:id="801"/>
    </w:p>
    <w:p w14:paraId="12B20EDB">
      <w:pPr>
        <w:adjustRightInd w:val="0"/>
        <w:snapToGrid w:val="0"/>
        <w:spacing w:line="360" w:lineRule="auto"/>
        <w:ind w:firstLine="470" w:firstLineChars="196"/>
        <w:rPr>
          <w:rFonts w:hint="eastAsia" w:ascii="宋体" w:hAnsi="宋体"/>
          <w:b w:val="0"/>
          <w:bCs/>
          <w:color w:val="auto"/>
          <w:sz w:val="24"/>
          <w:highlight w:val="none"/>
        </w:rPr>
      </w:pPr>
      <w:r>
        <w:rPr>
          <w:rFonts w:hint="eastAsia" w:ascii="宋体" w:hAnsi="宋体"/>
          <w:b w:val="0"/>
          <w:bCs/>
          <w:color w:val="auto"/>
          <w:sz w:val="24"/>
          <w:highlight w:val="none"/>
          <w:lang w:val="en-US" w:eastAsia="zh-CN"/>
        </w:rPr>
        <w:t>第</w:t>
      </w:r>
      <w:r>
        <w:rPr>
          <w:rFonts w:ascii="宋体" w:hAnsi="宋体"/>
          <w:b w:val="0"/>
          <w:bCs/>
          <w:color w:val="auto"/>
          <w:sz w:val="24"/>
          <w:highlight w:val="none"/>
        </w:rPr>
        <w:t>4.3.7</w:t>
      </w:r>
      <w:r>
        <w:rPr>
          <w:rFonts w:hint="eastAsia" w:ascii="宋体" w:hAnsi="宋体"/>
          <w:b w:val="0"/>
          <w:bCs/>
          <w:color w:val="auto"/>
          <w:sz w:val="24"/>
          <w:highlight w:val="none"/>
          <w:lang w:val="en-US" w:eastAsia="zh-CN"/>
        </w:rPr>
        <w:t>项</w:t>
      </w:r>
      <w:r>
        <w:rPr>
          <w:rFonts w:hint="eastAsia" w:ascii="宋体" w:hAnsi="宋体"/>
          <w:b w:val="0"/>
          <w:bCs/>
          <w:color w:val="auto"/>
          <w:sz w:val="24"/>
          <w:highlight w:val="none"/>
        </w:rPr>
        <w:t>细化为：</w:t>
      </w:r>
    </w:p>
    <w:p w14:paraId="6D03D55C">
      <w:pPr>
        <w:adjustRightInd w:val="0"/>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的各项分包工作均应遵守</w:t>
      </w:r>
      <w:r>
        <w:rPr>
          <w:rFonts w:hint="default" w:ascii="宋体" w:hAnsi="宋体" w:cs="Times New Roman"/>
          <w:color w:val="auto"/>
          <w:sz w:val="24"/>
          <w:highlight w:val="none"/>
        </w:rPr>
        <w:t>《交通运输部关于修订</w:t>
      </w:r>
      <w:r>
        <w:rPr>
          <w:rFonts w:hint="eastAsia" w:ascii="宋体" w:hAnsi="宋体" w:cs="Times New Roman"/>
          <w:color w:val="auto"/>
          <w:sz w:val="24"/>
          <w:highlight w:val="none"/>
          <w:lang w:eastAsia="zh-CN"/>
        </w:rPr>
        <w:t>〈</w:t>
      </w:r>
      <w:r>
        <w:rPr>
          <w:rFonts w:hint="default" w:ascii="宋体" w:hAnsi="宋体" w:cs="Times New Roman"/>
          <w:color w:val="auto"/>
          <w:sz w:val="24"/>
          <w:highlight w:val="none"/>
        </w:rPr>
        <w:t>公路工程施工分包管理办法</w:t>
      </w:r>
      <w:r>
        <w:rPr>
          <w:rFonts w:hint="eastAsia" w:ascii="宋体" w:hAnsi="宋体" w:cs="Times New Roman"/>
          <w:color w:val="auto"/>
          <w:sz w:val="24"/>
          <w:highlight w:val="none"/>
          <w:lang w:eastAsia="zh-CN"/>
        </w:rPr>
        <w:t>〉</w:t>
      </w:r>
      <w:r>
        <w:rPr>
          <w:rFonts w:hint="default" w:ascii="宋体" w:hAnsi="宋体" w:cs="Times New Roman"/>
          <w:color w:val="auto"/>
          <w:sz w:val="24"/>
          <w:highlight w:val="none"/>
        </w:rPr>
        <w:t>的通知》（交公路规〔202</w:t>
      </w:r>
      <w:r>
        <w:rPr>
          <w:rFonts w:hint="default" w:ascii="宋体" w:hAnsi="宋体" w:cs="Times New Roman"/>
          <w:color w:val="auto"/>
          <w:sz w:val="24"/>
          <w:highlight w:val="none"/>
          <w:lang w:val="en-US" w:eastAsia="zh-CN"/>
        </w:rPr>
        <w:t>4</w:t>
      </w:r>
      <w:r>
        <w:rPr>
          <w:rFonts w:hint="default" w:ascii="宋体" w:hAnsi="宋体" w:cs="Times New Roman"/>
          <w:color w:val="auto"/>
          <w:sz w:val="24"/>
          <w:highlight w:val="none"/>
        </w:rPr>
        <w:t>〕</w:t>
      </w:r>
      <w:r>
        <w:rPr>
          <w:rFonts w:hint="default" w:ascii="宋体" w:hAnsi="宋体" w:cs="Times New Roman"/>
          <w:color w:val="auto"/>
          <w:sz w:val="24"/>
          <w:highlight w:val="none"/>
          <w:lang w:val="en-US" w:eastAsia="zh-CN"/>
        </w:rPr>
        <w:t>2</w:t>
      </w:r>
      <w:r>
        <w:rPr>
          <w:rFonts w:hint="default" w:ascii="宋体" w:hAnsi="宋体" w:cs="Times New Roman"/>
          <w:color w:val="auto"/>
          <w:sz w:val="24"/>
          <w:highlight w:val="none"/>
        </w:rPr>
        <w:t>号）</w:t>
      </w:r>
      <w:r>
        <w:rPr>
          <w:rFonts w:hint="default" w:ascii="宋体" w:hAnsi="宋体" w:cs="Times New Roman"/>
          <w:color w:val="auto"/>
          <w:sz w:val="24"/>
          <w:highlight w:val="none"/>
          <w:lang w:eastAsia="zh-CN"/>
        </w:rPr>
        <w:t>、《</w:t>
      </w:r>
      <w:r>
        <w:rPr>
          <w:rFonts w:hint="default" w:ascii="宋体" w:hAnsi="宋体" w:cs="Times New Roman"/>
          <w:color w:val="auto"/>
          <w:sz w:val="24"/>
          <w:highlight w:val="none"/>
          <w:lang w:val="en-US" w:eastAsia="zh-CN"/>
        </w:rPr>
        <w:t>交通运输部办公厅关于印发</w:t>
      </w:r>
      <w:r>
        <w:rPr>
          <w:rFonts w:hint="eastAsia" w:ascii="宋体" w:hAnsi="宋体" w:cs="Times New Roman"/>
          <w:color w:val="auto"/>
          <w:sz w:val="24"/>
          <w:highlight w:val="none"/>
          <w:lang w:val="en-US" w:eastAsia="zh-CN"/>
        </w:rPr>
        <w:t>〈</w:t>
      </w:r>
      <w:r>
        <w:rPr>
          <w:rFonts w:hint="default" w:ascii="宋体" w:hAnsi="宋体" w:cs="Times New Roman"/>
          <w:color w:val="auto"/>
          <w:sz w:val="24"/>
          <w:highlight w:val="none"/>
          <w:lang w:val="en-US" w:eastAsia="zh-CN"/>
        </w:rPr>
        <w:t>公路工程施工分包负面清单</w:t>
      </w:r>
      <w:r>
        <w:rPr>
          <w:rFonts w:hint="eastAsia" w:ascii="宋体" w:hAnsi="宋体" w:cs="Times New Roman"/>
          <w:color w:val="auto"/>
          <w:sz w:val="24"/>
          <w:highlight w:val="none"/>
          <w:lang w:val="en-US" w:eastAsia="zh-CN"/>
        </w:rPr>
        <w:t>（2024年版）〉的通知</w:t>
      </w:r>
      <w:r>
        <w:rPr>
          <w:rFonts w:hint="default" w:ascii="宋体" w:hAnsi="宋体" w:cs="Times New Roman"/>
          <w:color w:val="auto"/>
          <w:sz w:val="24"/>
          <w:highlight w:val="none"/>
          <w:lang w:eastAsia="zh-CN"/>
        </w:rPr>
        <w:t>》</w:t>
      </w:r>
      <w:r>
        <w:rPr>
          <w:rFonts w:hint="default" w:ascii="宋体" w:hAnsi="宋体" w:cs="Times New Roman"/>
          <w:color w:val="auto"/>
          <w:sz w:val="24"/>
          <w:highlight w:val="none"/>
        </w:rPr>
        <w:t>（交</w:t>
      </w:r>
      <w:r>
        <w:rPr>
          <w:rFonts w:hint="default" w:ascii="宋体" w:hAnsi="宋体" w:cs="Times New Roman"/>
          <w:color w:val="auto"/>
          <w:sz w:val="24"/>
          <w:highlight w:val="none"/>
          <w:lang w:val="en-US" w:eastAsia="zh-CN"/>
        </w:rPr>
        <w:t>办公</w:t>
      </w:r>
      <w:r>
        <w:rPr>
          <w:rFonts w:hint="default" w:ascii="宋体" w:hAnsi="宋体" w:cs="Times New Roman"/>
          <w:color w:val="auto"/>
          <w:sz w:val="24"/>
          <w:highlight w:val="none"/>
        </w:rPr>
        <w:t>规〔202</w:t>
      </w:r>
      <w:r>
        <w:rPr>
          <w:rFonts w:hint="default" w:ascii="宋体" w:hAnsi="宋体" w:cs="Times New Roman"/>
          <w:color w:val="auto"/>
          <w:sz w:val="24"/>
          <w:highlight w:val="none"/>
          <w:lang w:val="en-US" w:eastAsia="zh-CN"/>
        </w:rPr>
        <w:t>4</w:t>
      </w:r>
      <w:r>
        <w:rPr>
          <w:rFonts w:hint="default" w:ascii="宋体" w:hAnsi="宋体" w:cs="Times New Roman"/>
          <w:color w:val="auto"/>
          <w:sz w:val="24"/>
          <w:highlight w:val="none"/>
        </w:rPr>
        <w:t>〕</w:t>
      </w:r>
      <w:r>
        <w:rPr>
          <w:rFonts w:hint="default" w:ascii="宋体" w:hAnsi="宋体" w:cs="Times New Roman"/>
          <w:color w:val="auto"/>
          <w:sz w:val="24"/>
          <w:highlight w:val="none"/>
          <w:lang w:val="en-US" w:eastAsia="zh-CN"/>
        </w:rPr>
        <w:t>6</w:t>
      </w:r>
      <w:r>
        <w:rPr>
          <w:rFonts w:hint="default" w:ascii="宋体" w:hAnsi="宋体" w:cs="Times New Roman"/>
          <w:color w:val="auto"/>
          <w:sz w:val="24"/>
          <w:highlight w:val="none"/>
        </w:rPr>
        <w:t>号）</w:t>
      </w:r>
      <w:r>
        <w:rPr>
          <w:rFonts w:hint="eastAsia" w:ascii="宋体" w:hAnsi="宋体" w:cs="Times New Roman"/>
          <w:color w:val="auto"/>
          <w:sz w:val="24"/>
          <w:highlight w:val="none"/>
          <w:lang w:val="en-US" w:eastAsia="zh-CN"/>
        </w:rPr>
        <w:t>及</w:t>
      </w:r>
      <w:r>
        <w:rPr>
          <w:rFonts w:hint="eastAsia" w:ascii="宋体" w:hAnsi="宋体"/>
          <w:color w:val="auto"/>
          <w:sz w:val="24"/>
          <w:highlight w:val="none"/>
          <w:lang w:eastAsia="zh-CN"/>
        </w:rPr>
        <w:t>四川交通运输厅</w:t>
      </w:r>
      <w:r>
        <w:rPr>
          <w:rFonts w:hint="eastAsia" w:ascii="宋体" w:hAnsi="宋体"/>
          <w:color w:val="auto"/>
          <w:sz w:val="24"/>
          <w:highlight w:val="none"/>
        </w:rPr>
        <w:t>《关于</w:t>
      </w:r>
      <w:r>
        <w:rPr>
          <w:rFonts w:ascii="宋体" w:hAnsi="宋体"/>
          <w:color w:val="auto"/>
          <w:sz w:val="24"/>
          <w:highlight w:val="none"/>
        </w:rPr>
        <w:t>印发</w:t>
      </w:r>
      <w:r>
        <w:rPr>
          <w:rFonts w:hint="eastAsia" w:ascii="宋体" w:hAnsi="宋体"/>
          <w:color w:val="auto"/>
          <w:sz w:val="24"/>
          <w:highlight w:val="none"/>
        </w:rPr>
        <w:t>〈四川省公路工程施工分包和</w:t>
      </w:r>
      <w:r>
        <w:rPr>
          <w:rFonts w:ascii="宋体" w:hAnsi="宋体"/>
          <w:color w:val="auto"/>
          <w:sz w:val="24"/>
          <w:highlight w:val="none"/>
        </w:rPr>
        <w:t>劳务合作管理实施细则</w:t>
      </w:r>
      <w:r>
        <w:rPr>
          <w:rFonts w:hint="eastAsia" w:ascii="宋体" w:hAnsi="宋体"/>
          <w:color w:val="auto"/>
          <w:sz w:val="24"/>
          <w:highlight w:val="none"/>
        </w:rPr>
        <w:t>〉的通知》（川交</w:t>
      </w:r>
      <w:r>
        <w:rPr>
          <w:rFonts w:hint="eastAsia" w:ascii="宋体" w:hAnsi="宋体"/>
          <w:color w:val="auto"/>
          <w:sz w:val="24"/>
          <w:highlight w:val="none"/>
          <w:lang w:val="en-US" w:eastAsia="zh-CN"/>
        </w:rPr>
        <w:t>规</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20</w:t>
      </w: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rPr>
        <w:t>号）的</w:t>
      </w:r>
      <w:r>
        <w:rPr>
          <w:rFonts w:ascii="宋体" w:hAnsi="宋体"/>
          <w:color w:val="auto"/>
          <w:sz w:val="24"/>
          <w:highlight w:val="none"/>
        </w:rPr>
        <w:t>有关规定。</w:t>
      </w:r>
    </w:p>
    <w:p w14:paraId="23E20212">
      <w:pPr>
        <w:pStyle w:val="6"/>
        <w:jc w:val="left"/>
        <w:rPr>
          <w:rFonts w:hint="eastAsia" w:ascii="黑体" w:hAnsi="黑体" w:cs="黑体"/>
          <w:b w:val="0"/>
          <w:bCs w:val="0"/>
          <w:color w:val="auto"/>
          <w:sz w:val="28"/>
          <w:szCs w:val="32"/>
          <w:highlight w:val="none"/>
        </w:rPr>
      </w:pPr>
      <w:bookmarkStart w:id="802" w:name="_Toc53685731"/>
      <w:r>
        <w:rPr>
          <w:rFonts w:hint="eastAsia" w:ascii="黑体" w:hAnsi="黑体" w:cs="黑体"/>
          <w:b w:val="0"/>
          <w:bCs w:val="0"/>
          <w:color w:val="auto"/>
          <w:sz w:val="28"/>
          <w:szCs w:val="32"/>
          <w:highlight w:val="none"/>
        </w:rPr>
        <w:t>4.6</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承包人人员的管理</w:t>
      </w:r>
      <w:bookmarkEnd w:id="802"/>
    </w:p>
    <w:p w14:paraId="1542585C">
      <w:pPr>
        <w:adjustRightInd w:val="0"/>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4.6.3</w:t>
      </w:r>
      <w:r>
        <w:rPr>
          <w:rFonts w:hint="eastAsia" w:ascii="宋体" w:hAnsi="宋体"/>
          <w:bCs/>
          <w:color w:val="auto"/>
          <w:sz w:val="24"/>
          <w:highlight w:val="none"/>
        </w:rPr>
        <w:t>项补充：</w:t>
      </w:r>
    </w:p>
    <w:p w14:paraId="130720F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承包人</w:t>
      </w:r>
      <w:r>
        <w:rPr>
          <w:rFonts w:hint="eastAsia" w:ascii="宋体" w:hAnsi="宋体"/>
          <w:color w:val="auto"/>
          <w:sz w:val="24"/>
          <w:highlight w:val="none"/>
          <w:lang w:val="en-US" w:eastAsia="zh-CN"/>
        </w:rPr>
        <w:t>派驻到项目所在地履行合同的</w:t>
      </w:r>
      <w:r>
        <w:rPr>
          <w:rFonts w:hint="eastAsia" w:ascii="宋体" w:hAnsi="宋体"/>
          <w:color w:val="auto"/>
          <w:sz w:val="24"/>
          <w:highlight w:val="none"/>
        </w:rPr>
        <w:t>主要管理人员及技术人员</w:t>
      </w:r>
      <w:r>
        <w:rPr>
          <w:rFonts w:hint="eastAsia" w:ascii="宋体" w:hAnsi="宋体"/>
          <w:color w:val="auto"/>
          <w:sz w:val="24"/>
          <w:highlight w:val="none"/>
          <w:lang w:val="en-US" w:eastAsia="zh-CN"/>
        </w:rPr>
        <w:t>应与投标文件的承诺和合同协议书的</w:t>
      </w:r>
      <w:r>
        <w:rPr>
          <w:rFonts w:hint="eastAsia" w:ascii="宋体" w:hAnsi="宋体"/>
          <w:color w:val="auto"/>
          <w:sz w:val="24"/>
          <w:highlight w:val="none"/>
        </w:rPr>
        <w:t>约定</w:t>
      </w:r>
      <w:r>
        <w:rPr>
          <w:rFonts w:hint="default" w:ascii="宋体" w:hAnsi="宋体"/>
          <w:color w:val="auto"/>
          <w:sz w:val="24"/>
          <w:highlight w:val="none"/>
        </w:rPr>
        <w:t>一致</w:t>
      </w:r>
      <w:r>
        <w:rPr>
          <w:rFonts w:hint="eastAsia" w:ascii="宋体" w:hAnsi="宋体"/>
          <w:color w:val="auto"/>
          <w:sz w:val="24"/>
          <w:highlight w:val="none"/>
          <w:lang w:val="en-US" w:eastAsia="zh-CN"/>
        </w:rPr>
        <w:t>。</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承包人</w:t>
      </w:r>
      <w:r>
        <w:rPr>
          <w:rFonts w:hint="eastAsia" w:ascii="宋体" w:hAnsi="宋体"/>
          <w:color w:val="auto"/>
          <w:sz w:val="24"/>
          <w:highlight w:val="none"/>
        </w:rPr>
        <w:t>更换主要人员，需报请发包人批准，替换者应有与原</w:t>
      </w:r>
      <w:r>
        <w:rPr>
          <w:rFonts w:hint="eastAsia" w:ascii="宋体" w:hAnsi="宋体"/>
          <w:color w:val="auto"/>
          <w:sz w:val="24"/>
          <w:highlight w:val="none"/>
          <w:lang w:val="en-US" w:eastAsia="zh-CN"/>
        </w:rPr>
        <w:t>人员</w:t>
      </w:r>
      <w:r>
        <w:rPr>
          <w:rFonts w:hint="eastAsia" w:ascii="宋体" w:hAnsi="宋体"/>
          <w:color w:val="auto"/>
          <w:sz w:val="24"/>
          <w:highlight w:val="none"/>
        </w:rPr>
        <w:t>相当或更好的资格和经历。承包人更换主要人员</w:t>
      </w:r>
      <w:r>
        <w:rPr>
          <w:rFonts w:hint="eastAsia" w:ascii="宋体" w:hAnsi="宋体"/>
          <w:color w:val="auto"/>
          <w:sz w:val="24"/>
          <w:highlight w:val="none"/>
          <w:lang w:val="en-US" w:eastAsia="zh-CN"/>
        </w:rPr>
        <w:t>的，发包人按违约处理，同时</w:t>
      </w:r>
      <w:r>
        <w:rPr>
          <w:rFonts w:hint="eastAsia" w:ascii="宋体" w:hAnsi="宋体"/>
          <w:color w:val="auto"/>
          <w:sz w:val="24"/>
          <w:highlight w:val="none"/>
        </w:rPr>
        <w:t>将</w:t>
      </w:r>
      <w:r>
        <w:rPr>
          <w:rFonts w:hint="eastAsia" w:ascii="宋体" w:hAnsi="宋体"/>
          <w:color w:val="auto"/>
          <w:sz w:val="24"/>
          <w:highlight w:val="none"/>
          <w:lang w:val="en-US" w:eastAsia="zh-CN"/>
        </w:rPr>
        <w:t>上报交通运输行政主管部门按</w:t>
      </w:r>
      <w:r>
        <w:rPr>
          <w:rFonts w:hint="eastAsia" w:ascii="宋体" w:hAnsi="宋体"/>
          <w:color w:val="auto"/>
          <w:sz w:val="24"/>
          <w:highlight w:val="none"/>
          <w:u w:val="none"/>
        </w:rPr>
        <w:t>信用管理办法</w:t>
      </w:r>
      <w:r>
        <w:rPr>
          <w:rFonts w:hint="eastAsia" w:ascii="宋体" w:hAnsi="宋体"/>
          <w:color w:val="auto"/>
          <w:sz w:val="24"/>
          <w:highlight w:val="none"/>
        </w:rPr>
        <w:t>处理。</w:t>
      </w:r>
    </w:p>
    <w:p w14:paraId="00AB73B9">
      <w:pPr>
        <w:pStyle w:val="6"/>
        <w:jc w:val="left"/>
        <w:rPr>
          <w:rFonts w:hint="eastAsia" w:ascii="黑体" w:hAnsi="黑体" w:cs="黑体"/>
          <w:b w:val="0"/>
          <w:bCs w:val="0"/>
          <w:color w:val="auto"/>
          <w:sz w:val="28"/>
          <w:szCs w:val="32"/>
          <w:highlight w:val="none"/>
        </w:rPr>
      </w:pPr>
      <w:bookmarkStart w:id="803" w:name="_Toc53685732"/>
      <w:bookmarkStart w:id="804" w:name="_Toc53685736"/>
      <w:r>
        <w:rPr>
          <w:rFonts w:hint="eastAsia" w:ascii="黑体" w:hAnsi="黑体" w:cs="黑体"/>
          <w:b w:val="0"/>
          <w:bCs w:val="0"/>
          <w:color w:val="auto"/>
          <w:sz w:val="28"/>
          <w:szCs w:val="32"/>
          <w:highlight w:val="none"/>
        </w:rPr>
        <w:t>4.7 撤换承包人项目</w:t>
      </w:r>
      <w:r>
        <w:rPr>
          <w:rFonts w:hint="eastAsia" w:ascii="黑体" w:hAnsi="黑体" w:cs="黑体"/>
          <w:b w:val="0"/>
          <w:bCs w:val="0"/>
          <w:color w:val="auto"/>
          <w:sz w:val="28"/>
          <w:szCs w:val="32"/>
          <w:highlight w:val="none"/>
          <w:lang w:val="en-US" w:eastAsia="zh-CN"/>
        </w:rPr>
        <w:t>经理</w:t>
      </w:r>
      <w:r>
        <w:rPr>
          <w:rFonts w:hint="eastAsia" w:ascii="黑体" w:hAnsi="黑体" w:cs="黑体"/>
          <w:b w:val="0"/>
          <w:bCs w:val="0"/>
          <w:color w:val="auto"/>
          <w:sz w:val="28"/>
          <w:szCs w:val="32"/>
          <w:highlight w:val="none"/>
        </w:rPr>
        <w:t>和其他人员</w:t>
      </w:r>
      <w:bookmarkEnd w:id="803"/>
    </w:p>
    <w:p w14:paraId="4B85E897">
      <w:pPr>
        <w:keepNext w:val="0"/>
        <w:keepLines w:val="0"/>
        <w:adjustRightInd w:val="0"/>
        <w:snapToGrid w:val="0"/>
        <w:spacing w:before="0" w:after="0"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本款补充：</w:t>
      </w:r>
    </w:p>
    <w:p w14:paraId="0DE66006">
      <w:pPr>
        <w:keepNext w:val="0"/>
        <w:keepLines w:val="0"/>
        <w:adjustRightInd w:val="0"/>
        <w:snapToGrid w:val="0"/>
        <w:spacing w:before="0" w:after="0" w:line="360" w:lineRule="auto"/>
        <w:ind w:firstLine="480" w:firstLineChars="200"/>
        <w:outlineLvl w:val="9"/>
        <w:rPr>
          <w:rFonts w:ascii="黑体" w:eastAsia="黑体"/>
          <w:bCs/>
          <w:color w:val="auto"/>
          <w:kern w:val="44"/>
          <w:sz w:val="24"/>
          <w:highlight w:val="none"/>
        </w:rPr>
      </w:pPr>
      <w:r>
        <w:rPr>
          <w:rFonts w:hint="eastAsia" w:ascii="宋体" w:hAnsi="宋体"/>
          <w:color w:val="auto"/>
          <w:sz w:val="24"/>
          <w:highlight w:val="none"/>
        </w:rPr>
        <w:t>因上述原因撤换承包人</w:t>
      </w:r>
      <w:r>
        <w:rPr>
          <w:rFonts w:hint="eastAsia" w:ascii="宋体" w:hAnsi="宋体"/>
          <w:color w:val="auto"/>
          <w:sz w:val="24"/>
          <w:highlight w:val="none"/>
          <w:lang w:val="en-US" w:eastAsia="zh-CN"/>
        </w:rPr>
        <w:t>项目经理和其他</w:t>
      </w:r>
      <w:r>
        <w:rPr>
          <w:rFonts w:hint="eastAsia" w:ascii="宋体" w:hAnsi="宋体"/>
          <w:color w:val="auto"/>
          <w:sz w:val="24"/>
          <w:highlight w:val="none"/>
        </w:rPr>
        <w:t>主要人员的，将按违约处理，具体在第22.1款中约定。</w:t>
      </w:r>
    </w:p>
    <w:p w14:paraId="6E63D134">
      <w:pPr>
        <w:pStyle w:val="6"/>
        <w:jc w:val="left"/>
        <w:rPr>
          <w:rFonts w:hint="eastAsia" w:ascii="黑体" w:hAnsi="黑体" w:eastAsia="黑体" w:cs="黑体"/>
          <w:b w:val="0"/>
          <w:bCs w:val="0"/>
          <w:color w:val="auto"/>
          <w:kern w:val="0"/>
          <w:sz w:val="28"/>
          <w:highlight w:val="none"/>
        </w:rPr>
      </w:pPr>
      <w:r>
        <w:rPr>
          <w:rFonts w:hint="eastAsia" w:ascii="黑体" w:hAnsi="黑体" w:eastAsia="黑体" w:cs="黑体"/>
          <w:b w:val="0"/>
          <w:bCs w:val="0"/>
          <w:color w:val="auto"/>
          <w:kern w:val="0"/>
          <w:sz w:val="28"/>
          <w:highlight w:val="none"/>
        </w:rPr>
        <w:t>4.8 保障承包人人员的合法权益</w:t>
      </w:r>
    </w:p>
    <w:p w14:paraId="2F279CD8">
      <w:pPr>
        <w:keepLines w:val="0"/>
        <w:adjustRightInd w:val="0"/>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lang w:val="en-US" w:eastAsia="zh-CN"/>
        </w:rPr>
        <w:t>本款</w:t>
      </w:r>
      <w:r>
        <w:rPr>
          <w:rFonts w:hint="eastAsia" w:ascii="宋体" w:hAnsi="宋体"/>
          <w:color w:val="auto"/>
          <w:sz w:val="24"/>
          <w:highlight w:val="none"/>
        </w:rPr>
        <w:t>补充</w:t>
      </w:r>
      <w:r>
        <w:rPr>
          <w:rFonts w:hint="eastAsia" w:ascii="宋体" w:hAnsi="宋体"/>
          <w:color w:val="auto"/>
          <w:sz w:val="24"/>
          <w:highlight w:val="none"/>
          <w:lang w:val="en-US" w:eastAsia="zh-CN"/>
        </w:rPr>
        <w:t>第</w:t>
      </w:r>
      <w:r>
        <w:rPr>
          <w:rFonts w:hint="eastAsia" w:ascii="宋体" w:hAnsi="宋体"/>
          <w:color w:val="auto"/>
          <w:sz w:val="24"/>
          <w:highlight w:val="none"/>
        </w:rPr>
        <w:t>4.8.7项：</w:t>
      </w:r>
    </w:p>
    <w:p w14:paraId="403B64ED">
      <w:pPr>
        <w:keepLines w:val="0"/>
        <w:adjustRightInd w:val="0"/>
        <w:snapToGrid w:val="0"/>
        <w:spacing w:line="360" w:lineRule="auto"/>
        <w:ind w:firstLine="470" w:firstLineChars="196"/>
        <w:rPr>
          <w:rFonts w:ascii="宋体" w:hAnsi="宋体"/>
          <w:b/>
          <w:color w:val="auto"/>
          <w:sz w:val="24"/>
          <w:highlight w:val="none"/>
        </w:rPr>
      </w:pPr>
      <w:r>
        <w:rPr>
          <w:rFonts w:hint="eastAsia" w:ascii="黑体" w:hAnsi="黑体" w:eastAsia="黑体"/>
          <w:b w:val="0"/>
          <w:color w:val="auto"/>
          <w:sz w:val="24"/>
          <w:highlight w:val="none"/>
        </w:rPr>
        <w:t>4.8.7农民工管理</w:t>
      </w:r>
    </w:p>
    <w:p w14:paraId="04FBBDA0">
      <w:pPr>
        <w:keepLines w:val="0"/>
        <w:widowControl w:val="0"/>
        <w:pBdr>
          <w:top w:val="none" w:color="auto" w:sz="0" w:space="0"/>
          <w:left w:val="none" w:color="auto" w:sz="0" w:space="0"/>
          <w:bottom w:val="none" w:color="auto" w:sz="0" w:space="0"/>
          <w:right w:val="none" w:color="auto" w:sz="0" w:space="0"/>
        </w:pBdr>
        <w:adjustRightInd w:val="0"/>
        <w:snapToGrid w:val="0"/>
        <w:spacing w:line="360" w:lineRule="auto"/>
        <w:ind w:firstLine="480" w:firstLineChars="200"/>
        <w:jc w:val="left"/>
        <w:rPr>
          <w:rFonts w:hint="eastAsia" w:ascii="宋体" w:hAnsi="宋体" w:eastAsia="宋体"/>
          <w:b w:val="0"/>
          <w:bCs w:val="0"/>
          <w:color w:val="auto"/>
          <w:kern w:val="2"/>
          <w:sz w:val="24"/>
          <w:szCs w:val="24"/>
          <w:highlight w:val="none"/>
          <w:lang w:val="en-US" w:eastAsia="zh-CN"/>
        </w:rPr>
      </w:pPr>
      <w:r>
        <w:rPr>
          <w:rFonts w:hint="eastAsia" w:ascii="宋体" w:hAnsi="宋体"/>
          <w:b w:val="0"/>
          <w:bCs/>
          <w:color w:val="auto"/>
          <w:sz w:val="24"/>
          <w:highlight w:val="none"/>
        </w:rPr>
        <w:t>承包人必须</w:t>
      </w:r>
      <w:r>
        <w:rPr>
          <w:rFonts w:ascii="宋体" w:hAnsi="宋体" w:cs="宋体"/>
          <w:b w:val="0"/>
          <w:bCs/>
          <w:color w:val="auto"/>
          <w:sz w:val="24"/>
          <w:highlight w:val="none"/>
        </w:rPr>
        <w:t>在工程项目部配备劳资专管员，</w:t>
      </w:r>
      <w:r>
        <w:rPr>
          <w:rFonts w:hint="eastAsia" w:ascii="宋体" w:hAnsi="宋体"/>
          <w:b w:val="0"/>
          <w:bCs/>
          <w:color w:val="auto"/>
          <w:sz w:val="24"/>
          <w:highlight w:val="none"/>
        </w:rPr>
        <w:t>对参与项目建设的农民工进行全面管理。承包人对其所管理的农民工行为向发包人承担全部责任，监理人负责对农民工</w:t>
      </w:r>
      <w:r>
        <w:rPr>
          <w:rFonts w:hint="eastAsia" w:ascii="宋体" w:hAnsi="宋体"/>
          <w:color w:val="auto"/>
          <w:sz w:val="24"/>
          <w:highlight w:val="none"/>
        </w:rPr>
        <w:t>合法权益的监督管理。</w:t>
      </w:r>
      <w:r>
        <w:rPr>
          <w:rFonts w:hint="eastAsia" w:ascii="宋体" w:hAnsi="宋体" w:eastAsia="宋体"/>
          <w:b w:val="0"/>
          <w:color w:val="auto"/>
          <w:kern w:val="2"/>
          <w:sz w:val="24"/>
          <w:szCs w:val="24"/>
          <w:highlight w:val="none"/>
          <w:lang w:val="en-US" w:eastAsia="zh-CN"/>
        </w:rPr>
        <w:t>同时应积极推广《</w:t>
      </w:r>
      <w:r>
        <w:rPr>
          <w:rFonts w:hint="eastAsia" w:ascii="宋体" w:hAnsi="宋体" w:eastAsia="宋体" w:cs="Times New Roman"/>
          <w:b w:val="0"/>
          <w:bCs/>
          <w:i w:val="0"/>
          <w:iCs w:val="0"/>
          <w:caps w:val="0"/>
          <w:color w:val="auto"/>
          <w:spacing w:val="0"/>
          <w:kern w:val="2"/>
          <w:sz w:val="24"/>
          <w:szCs w:val="24"/>
          <w:highlight w:val="none"/>
        </w:rPr>
        <w:t>交通运输部办公厅</w:t>
      </w:r>
      <w:r>
        <w:rPr>
          <w:rFonts w:hint="eastAsia" w:ascii="宋体" w:hAnsi="宋体" w:cs="Times New Roman"/>
          <w:b w:val="0"/>
          <w:bCs/>
          <w:i w:val="0"/>
          <w:iCs w:val="0"/>
          <w:caps w:val="0"/>
          <w:color w:val="auto"/>
          <w:spacing w:val="0"/>
          <w:kern w:val="2"/>
          <w:sz w:val="24"/>
          <w:szCs w:val="24"/>
          <w:highlight w:val="none"/>
          <w:lang w:eastAsia="zh-CN"/>
        </w:rPr>
        <w:t>〈</w:t>
      </w:r>
      <w:r>
        <w:rPr>
          <w:rFonts w:hint="eastAsia" w:ascii="宋体" w:hAnsi="宋体" w:eastAsia="宋体" w:cs="Times New Roman"/>
          <w:b w:val="0"/>
          <w:bCs/>
          <w:i w:val="0"/>
          <w:iCs w:val="0"/>
          <w:caps w:val="0"/>
          <w:color w:val="auto"/>
          <w:spacing w:val="0"/>
          <w:kern w:val="2"/>
          <w:sz w:val="24"/>
          <w:szCs w:val="24"/>
          <w:highlight w:val="none"/>
        </w:rPr>
        <w:t>关于做好交通运输基础设施建设和管护领域推广以工代赈工作</w:t>
      </w:r>
      <w:r>
        <w:rPr>
          <w:rFonts w:hint="eastAsia" w:ascii="宋体" w:hAnsi="宋体" w:cs="Times New Roman"/>
          <w:b w:val="0"/>
          <w:bCs/>
          <w:i w:val="0"/>
          <w:iCs w:val="0"/>
          <w:caps w:val="0"/>
          <w:color w:val="auto"/>
          <w:spacing w:val="0"/>
          <w:kern w:val="2"/>
          <w:sz w:val="24"/>
          <w:szCs w:val="24"/>
          <w:highlight w:val="none"/>
          <w:lang w:eastAsia="zh-CN"/>
        </w:rPr>
        <w:t>〉</w:t>
      </w:r>
      <w:r>
        <w:rPr>
          <w:rFonts w:hint="eastAsia" w:ascii="宋体" w:hAnsi="宋体" w:eastAsia="宋体" w:cs="Times New Roman"/>
          <w:b w:val="0"/>
          <w:bCs/>
          <w:i w:val="0"/>
          <w:iCs w:val="0"/>
          <w:caps w:val="0"/>
          <w:color w:val="auto"/>
          <w:spacing w:val="0"/>
          <w:kern w:val="2"/>
          <w:sz w:val="24"/>
          <w:szCs w:val="24"/>
          <w:highlight w:val="none"/>
        </w:rPr>
        <w:t>的通知</w:t>
      </w:r>
      <w:r>
        <w:rPr>
          <w:rFonts w:hint="eastAsia" w:ascii="宋体" w:hAnsi="宋体" w:eastAsia="宋体"/>
          <w:b w:val="0"/>
          <w:color w:val="auto"/>
          <w:kern w:val="2"/>
          <w:sz w:val="24"/>
          <w:szCs w:val="24"/>
          <w:highlight w:val="none"/>
          <w:lang w:val="en-US" w:eastAsia="zh-CN"/>
        </w:rPr>
        <w:t>》</w:t>
      </w:r>
      <w:r>
        <w:rPr>
          <w:rFonts w:hint="eastAsia" w:ascii="宋体" w:hAnsi="宋体" w:eastAsia="宋体" w:cs="Times New Roman"/>
          <w:b w:val="0"/>
          <w:bCs/>
          <w:i w:val="0"/>
          <w:iCs w:val="0"/>
          <w:caps w:val="0"/>
          <w:color w:val="auto"/>
          <w:spacing w:val="0"/>
          <w:kern w:val="2"/>
          <w:sz w:val="24"/>
          <w:szCs w:val="24"/>
          <w:highlight w:val="none"/>
          <w:shd w:val="clear" w:fill="FFFFFF"/>
        </w:rPr>
        <w:t>(交</w:t>
      </w:r>
      <w:r>
        <w:rPr>
          <w:rFonts w:hint="eastAsia" w:ascii="宋体" w:hAnsi="宋体" w:eastAsia="宋体" w:cs="Times New Roman"/>
          <w:b w:val="0"/>
          <w:bCs/>
          <w:i w:val="0"/>
          <w:iCs w:val="0"/>
          <w:caps w:val="0"/>
          <w:color w:val="auto"/>
          <w:spacing w:val="0"/>
          <w:kern w:val="2"/>
          <w:sz w:val="24"/>
          <w:szCs w:val="24"/>
          <w:highlight w:val="none"/>
          <w:shd w:val="clear" w:fill="FFFFFF"/>
          <w:lang w:val="en-US" w:eastAsia="zh-CN"/>
        </w:rPr>
        <w:t>公路规</w:t>
      </w:r>
      <w:r>
        <w:rPr>
          <w:rFonts w:hint="eastAsia" w:ascii="宋体" w:hAnsi="宋体" w:eastAsia="宋体" w:cs="Times New Roman"/>
          <w:b w:val="0"/>
          <w:bCs/>
          <w:i w:val="0"/>
          <w:iCs w:val="0"/>
          <w:caps w:val="0"/>
          <w:color w:val="auto"/>
          <w:spacing w:val="0"/>
          <w:kern w:val="2"/>
          <w:sz w:val="24"/>
          <w:szCs w:val="24"/>
          <w:highlight w:val="none"/>
          <w:shd w:val="clear" w:fill="FFFFFF"/>
        </w:rPr>
        <w:t>〔20</w:t>
      </w:r>
      <w:r>
        <w:rPr>
          <w:rFonts w:hint="eastAsia" w:ascii="宋体" w:hAnsi="宋体" w:eastAsia="宋体" w:cs="Times New Roman"/>
          <w:b w:val="0"/>
          <w:bCs/>
          <w:i w:val="0"/>
          <w:iCs w:val="0"/>
          <w:caps w:val="0"/>
          <w:color w:val="auto"/>
          <w:spacing w:val="0"/>
          <w:kern w:val="2"/>
          <w:sz w:val="24"/>
          <w:szCs w:val="24"/>
          <w:highlight w:val="none"/>
          <w:shd w:val="clear" w:fill="FFFFFF"/>
          <w:lang w:val="en-US" w:eastAsia="zh-CN"/>
        </w:rPr>
        <w:t>22</w:t>
      </w:r>
      <w:r>
        <w:rPr>
          <w:rFonts w:hint="eastAsia" w:ascii="宋体" w:hAnsi="宋体" w:eastAsia="宋体" w:cs="Times New Roman"/>
          <w:b w:val="0"/>
          <w:bCs/>
          <w:i w:val="0"/>
          <w:iCs w:val="0"/>
          <w:caps w:val="0"/>
          <w:color w:val="auto"/>
          <w:spacing w:val="0"/>
          <w:kern w:val="2"/>
          <w:sz w:val="24"/>
          <w:szCs w:val="24"/>
          <w:highlight w:val="none"/>
          <w:shd w:val="clear" w:fill="FFFFFF"/>
        </w:rPr>
        <w:t>〕</w:t>
      </w:r>
      <w:r>
        <w:rPr>
          <w:rFonts w:hint="eastAsia" w:ascii="宋体" w:hAnsi="宋体" w:eastAsia="宋体" w:cs="Times New Roman"/>
          <w:b w:val="0"/>
          <w:bCs/>
          <w:i w:val="0"/>
          <w:iCs w:val="0"/>
          <w:caps w:val="0"/>
          <w:color w:val="auto"/>
          <w:spacing w:val="0"/>
          <w:kern w:val="2"/>
          <w:sz w:val="24"/>
          <w:szCs w:val="24"/>
          <w:highlight w:val="none"/>
          <w:shd w:val="clear" w:fill="FFFFFF"/>
          <w:lang w:val="en-US" w:eastAsia="zh-CN"/>
        </w:rPr>
        <w:t>35</w:t>
      </w:r>
      <w:r>
        <w:rPr>
          <w:rFonts w:hint="eastAsia" w:ascii="宋体" w:hAnsi="宋体" w:eastAsia="宋体" w:cs="Times New Roman"/>
          <w:b w:val="0"/>
          <w:bCs/>
          <w:i w:val="0"/>
          <w:iCs w:val="0"/>
          <w:caps w:val="0"/>
          <w:color w:val="auto"/>
          <w:spacing w:val="0"/>
          <w:kern w:val="2"/>
          <w:sz w:val="24"/>
          <w:szCs w:val="24"/>
          <w:highlight w:val="none"/>
          <w:shd w:val="clear" w:fill="FFFFFF"/>
        </w:rPr>
        <w:t>号)</w:t>
      </w:r>
      <w:r>
        <w:rPr>
          <w:rFonts w:hint="eastAsia" w:ascii="宋体" w:hAnsi="宋体" w:eastAsia="宋体" w:cs="Times New Roman"/>
          <w:b w:val="0"/>
          <w:bCs/>
          <w:i w:val="0"/>
          <w:iCs w:val="0"/>
          <w:caps w:val="0"/>
          <w:color w:val="auto"/>
          <w:spacing w:val="0"/>
          <w:kern w:val="2"/>
          <w:sz w:val="24"/>
          <w:szCs w:val="24"/>
          <w:highlight w:val="none"/>
          <w:shd w:val="clear"/>
          <w:lang w:val="en-US" w:eastAsia="zh-CN"/>
        </w:rPr>
        <w:t>的精神。</w:t>
      </w:r>
      <w:r>
        <w:rPr>
          <w:rFonts w:hint="eastAsia" w:ascii="宋体" w:hAnsi="宋体" w:eastAsia="宋体" w:cs="Times New Roman"/>
          <w:b w:val="0"/>
          <w:i w:val="0"/>
          <w:iCs w:val="0"/>
          <w:caps w:val="0"/>
          <w:color w:val="auto"/>
          <w:spacing w:val="0"/>
          <w:kern w:val="2"/>
          <w:sz w:val="24"/>
          <w:szCs w:val="24"/>
          <w:highlight w:val="none"/>
          <w:shd w:val="clear" w:fill="FFFFFF"/>
        </w:rPr>
        <w:t>在确保工程质量安全和符合进度要求等前提下</w:t>
      </w:r>
      <w:r>
        <w:rPr>
          <w:rFonts w:hint="eastAsia" w:ascii="宋体" w:hAnsi="宋体" w:eastAsia="宋体" w:cs="Times New Roman"/>
          <w:b w:val="0"/>
          <w:i w:val="0"/>
          <w:iCs w:val="0"/>
          <w:caps w:val="0"/>
          <w:color w:val="auto"/>
          <w:spacing w:val="0"/>
          <w:kern w:val="2"/>
          <w:sz w:val="24"/>
          <w:szCs w:val="24"/>
          <w:highlight w:val="none"/>
          <w:shd w:val="clear" w:fill="FFFFFF"/>
          <w:lang w:eastAsia="zh-CN"/>
        </w:rPr>
        <w:t>，</w:t>
      </w:r>
      <w:r>
        <w:rPr>
          <w:rFonts w:hint="eastAsia" w:ascii="宋体" w:hAnsi="宋体" w:eastAsia="宋体" w:cs="Times New Roman"/>
          <w:b w:val="0"/>
          <w:i w:val="0"/>
          <w:iCs w:val="0"/>
          <w:caps w:val="0"/>
          <w:color w:val="auto"/>
          <w:spacing w:val="0"/>
          <w:kern w:val="2"/>
          <w:sz w:val="24"/>
          <w:szCs w:val="24"/>
          <w:highlight w:val="none"/>
          <w:shd w:val="clear" w:fill="FFFFFF"/>
        </w:rPr>
        <w:t>要充分挖掘工程建设等方面用工潜力，平衡好建设劳动合同制用工和以工代赈劳务用工之间关系，</w:t>
      </w:r>
      <w:r>
        <w:rPr>
          <w:rFonts w:hint="eastAsia" w:ascii="宋体" w:hAnsi="宋体" w:cs="Times New Roman"/>
          <w:b w:val="0"/>
          <w:i w:val="0"/>
          <w:iCs w:val="0"/>
          <w:caps w:val="0"/>
          <w:color w:val="auto"/>
          <w:spacing w:val="0"/>
          <w:kern w:val="2"/>
          <w:sz w:val="24"/>
          <w:szCs w:val="24"/>
          <w:highlight w:val="none"/>
          <w:shd w:val="clear" w:fill="FFFFFF"/>
          <w:lang w:val="en-US" w:eastAsia="zh-CN"/>
        </w:rPr>
        <w:t xml:space="preserve"> </w:t>
      </w:r>
      <w:r>
        <w:rPr>
          <w:rFonts w:hint="eastAsia" w:ascii="宋体" w:hAnsi="宋体" w:eastAsia="宋体" w:cs="Times New Roman"/>
          <w:b w:val="0"/>
          <w:i w:val="0"/>
          <w:iCs w:val="0"/>
          <w:caps w:val="0"/>
          <w:color w:val="auto"/>
          <w:spacing w:val="0"/>
          <w:kern w:val="2"/>
          <w:sz w:val="24"/>
          <w:szCs w:val="24"/>
          <w:highlight w:val="none"/>
          <w:shd w:val="clear" w:fill="FFFFFF"/>
        </w:rPr>
        <w:t>尽可能多地通过以工代赈方式吸纳当地群众参与</w:t>
      </w:r>
      <w:r>
        <w:rPr>
          <w:rFonts w:hint="eastAsia" w:ascii="宋体" w:hAnsi="宋体" w:eastAsia="宋体" w:cs="Times New Roman"/>
          <w:b w:val="0"/>
          <w:bCs w:val="0"/>
          <w:i w:val="0"/>
          <w:iCs w:val="0"/>
          <w:caps w:val="0"/>
          <w:color w:val="auto"/>
          <w:spacing w:val="0"/>
          <w:kern w:val="2"/>
          <w:sz w:val="24"/>
          <w:szCs w:val="24"/>
          <w:highlight w:val="none"/>
          <w:shd w:val="clear" w:fill="FFFFFF"/>
        </w:rPr>
        <w:t>工程建设。</w:t>
      </w:r>
      <w:r>
        <w:rPr>
          <w:rFonts w:hint="eastAsia" w:ascii="宋体" w:hAnsi="宋体" w:eastAsia="宋体"/>
          <w:b w:val="0"/>
          <w:bCs w:val="0"/>
          <w:color w:val="auto"/>
          <w:kern w:val="2"/>
          <w:sz w:val="24"/>
          <w:szCs w:val="24"/>
          <w:highlight w:val="none"/>
          <w:lang w:val="en-US" w:eastAsia="zh-CN"/>
        </w:rPr>
        <w:t>在施工组织阶段，要压紧压实有关项目建设、施工、监理单位的责任，明确各方以工代赈服务工作人员质量安全培训、现场管理和权益保障等方面的职责。</w:t>
      </w:r>
      <w:r>
        <w:rPr>
          <w:rFonts w:hint="eastAsia" w:ascii="宋体" w:hAnsi="宋体" w:eastAsia="宋体" w:cs="Times New Roman"/>
          <w:b w:val="0"/>
          <w:bCs w:val="0"/>
          <w:i w:val="0"/>
          <w:iCs w:val="0"/>
          <w:caps w:val="0"/>
          <w:color w:val="auto"/>
          <w:spacing w:val="0"/>
          <w:kern w:val="2"/>
          <w:sz w:val="24"/>
          <w:szCs w:val="24"/>
          <w:highlight w:val="none"/>
          <w:shd w:val="clear" w:fill="FFFFFF"/>
        </w:rPr>
        <w:t>采取以工代赈方式实施的项目要合理确定劳务报酬标准，尽可能增加劳务报酬发放规模并及时足额发放，建立统一规范的用工名册和劳务报酬发放台账，送县级相关部门备案，并加强劳务报酬发放的监管，坚决杜绝劳务报酬发放过程中拖欠克扣、弄虚作假等行为</w:t>
      </w:r>
      <w:r>
        <w:rPr>
          <w:rFonts w:hint="eastAsia" w:ascii="宋体" w:hAnsi="宋体" w:eastAsia="宋体" w:cs="Times New Roman"/>
          <w:b w:val="0"/>
          <w:bCs w:val="0"/>
          <w:i w:val="0"/>
          <w:iCs w:val="0"/>
          <w:caps w:val="0"/>
          <w:color w:val="auto"/>
          <w:spacing w:val="0"/>
          <w:kern w:val="2"/>
          <w:sz w:val="24"/>
          <w:szCs w:val="24"/>
          <w:highlight w:val="none"/>
          <w:shd w:val="clear"/>
          <w:lang w:eastAsia="zh-CN"/>
        </w:rPr>
        <w:t>。</w:t>
      </w:r>
    </w:p>
    <w:p w14:paraId="59BD66F9">
      <w:pPr>
        <w:adjustRightInd w:val="0"/>
        <w:snapToGrid w:val="0"/>
        <w:spacing w:line="360" w:lineRule="auto"/>
        <w:ind w:firstLine="464" w:firstLineChars="200"/>
        <w:rPr>
          <w:rFonts w:hint="eastAsia" w:ascii="宋体" w:hAnsi="宋体" w:cs="宋体"/>
          <w:color w:val="auto"/>
          <w:spacing w:val="-4"/>
          <w:sz w:val="24"/>
          <w:highlight w:val="none"/>
        </w:rPr>
      </w:pP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lang w:val="en-US" w:eastAsia="zh-CN"/>
        </w:rPr>
        <w:t>1</w:t>
      </w: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rPr>
        <w:t>农民工信息化管理</w:t>
      </w:r>
    </w:p>
    <w:p w14:paraId="442A93E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1 \* GB3 \* MERGEFORMAT </w:instrText>
      </w:r>
      <w:r>
        <w:rPr>
          <w:rFonts w:hint="eastAsia" w:ascii="宋体" w:hAnsi="宋体"/>
          <w:color w:val="auto"/>
          <w:sz w:val="24"/>
          <w:highlight w:val="none"/>
        </w:rPr>
        <w:fldChar w:fldCharType="separate"/>
      </w:r>
      <w:r>
        <w:rPr>
          <w:color w:val="auto"/>
          <w:highlight w:val="none"/>
        </w:rPr>
        <w:t>①</w:t>
      </w:r>
      <w:r>
        <w:rPr>
          <w:rFonts w:hint="eastAsia" w:ascii="宋体" w:hAnsi="宋体"/>
          <w:color w:val="auto"/>
          <w:sz w:val="24"/>
          <w:highlight w:val="none"/>
        </w:rPr>
        <w:fldChar w:fldCharType="end"/>
      </w:r>
      <w:r>
        <w:rPr>
          <w:rFonts w:ascii="宋体" w:hAnsi="宋体"/>
          <w:color w:val="auto"/>
          <w:sz w:val="24"/>
          <w:highlight w:val="none"/>
        </w:rPr>
        <w:t>合同制管理制度：承包人、分包单位（如有）或其劳务合作单位应依法与招用的农民工按照</w:t>
      </w:r>
      <w:r>
        <w:rPr>
          <w:rFonts w:hint="eastAsia" w:ascii="宋体" w:hAnsi="宋体"/>
          <w:color w:val="auto"/>
          <w:sz w:val="24"/>
          <w:highlight w:val="none"/>
        </w:rPr>
        <w:t>“先考核合格再</w:t>
      </w:r>
      <w:r>
        <w:rPr>
          <w:rFonts w:ascii="宋体" w:hAnsi="宋体"/>
          <w:color w:val="auto"/>
          <w:sz w:val="24"/>
          <w:highlight w:val="none"/>
        </w:rPr>
        <w:t>签订劳动合同后进场施工</w:t>
      </w:r>
      <w:r>
        <w:rPr>
          <w:rFonts w:hint="eastAsia" w:ascii="宋体" w:hAnsi="宋体"/>
          <w:color w:val="auto"/>
          <w:sz w:val="24"/>
          <w:highlight w:val="none"/>
        </w:rPr>
        <w:t>”的程序</w:t>
      </w:r>
      <w:r>
        <w:rPr>
          <w:rFonts w:ascii="宋体" w:hAnsi="宋体"/>
          <w:color w:val="auto"/>
          <w:sz w:val="24"/>
          <w:highlight w:val="none"/>
        </w:rPr>
        <w:t>，与考核合格的农民工本人或劳务</w:t>
      </w:r>
      <w:r>
        <w:rPr>
          <w:rFonts w:hint="eastAsia" w:ascii="宋体" w:hAnsi="宋体"/>
          <w:color w:val="auto"/>
          <w:sz w:val="24"/>
          <w:highlight w:val="none"/>
        </w:rPr>
        <w:t>合作</w:t>
      </w:r>
      <w:r>
        <w:rPr>
          <w:rFonts w:ascii="宋体" w:hAnsi="宋体"/>
          <w:color w:val="auto"/>
          <w:sz w:val="24"/>
          <w:highlight w:val="none"/>
        </w:rPr>
        <w:t>单位签订合同</w:t>
      </w:r>
      <w:r>
        <w:rPr>
          <w:rFonts w:hint="eastAsia" w:ascii="宋体" w:hAnsi="宋体"/>
          <w:color w:val="auto"/>
          <w:sz w:val="24"/>
          <w:highlight w:val="none"/>
        </w:rPr>
        <w:t>，</w:t>
      </w:r>
      <w:r>
        <w:rPr>
          <w:rFonts w:ascii="宋体" w:hAnsi="宋体"/>
          <w:color w:val="auto"/>
          <w:sz w:val="24"/>
          <w:highlight w:val="none"/>
        </w:rPr>
        <w:t>并依合同约定要求劳务</w:t>
      </w:r>
      <w:r>
        <w:rPr>
          <w:rFonts w:hint="eastAsia" w:ascii="宋体" w:hAnsi="宋体"/>
          <w:color w:val="auto"/>
          <w:sz w:val="24"/>
          <w:highlight w:val="none"/>
        </w:rPr>
        <w:t>合作</w:t>
      </w:r>
      <w:r>
        <w:rPr>
          <w:rFonts w:ascii="宋体" w:hAnsi="宋体"/>
          <w:color w:val="auto"/>
          <w:sz w:val="24"/>
          <w:highlight w:val="none"/>
        </w:rPr>
        <w:t>单位与每一名农民工签订劳动合同，约定工资标准（工日单价或计量单价</w:t>
      </w:r>
      <w:r>
        <w:rPr>
          <w:rFonts w:hint="eastAsia" w:ascii="宋体" w:hAnsi="宋体"/>
          <w:color w:val="auto"/>
          <w:sz w:val="24"/>
          <w:highlight w:val="none"/>
        </w:rPr>
        <w:t>、</w:t>
      </w:r>
      <w:r>
        <w:rPr>
          <w:rFonts w:ascii="宋体" w:hAnsi="宋体"/>
          <w:color w:val="auto"/>
          <w:sz w:val="24"/>
          <w:highlight w:val="none"/>
        </w:rPr>
        <w:t>计件单价等）和支付方式等。承包人临时或短期聘用的农民工应签订短期临时合同，坚持先签合同后进场。</w:t>
      </w:r>
    </w:p>
    <w:p w14:paraId="0656800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农民工合同需由承包人统一按照班组名称统一编号后，报监理人审批同意核备后，报发包人备案。建设期间，承包人应就农民工变动情况，每月清查梳理后，就变动情况报监理人审批同意核备后，</w:t>
      </w:r>
      <w:r>
        <w:rPr>
          <w:rFonts w:hint="eastAsia" w:ascii="宋体" w:hAnsi="宋体"/>
          <w:color w:val="auto"/>
          <w:sz w:val="24"/>
          <w:highlight w:val="none"/>
          <w:lang w:eastAsia="zh-CN"/>
        </w:rPr>
        <w:t>再</w:t>
      </w:r>
      <w:r>
        <w:rPr>
          <w:rFonts w:hint="eastAsia" w:ascii="宋体" w:hAnsi="宋体"/>
          <w:color w:val="auto"/>
          <w:sz w:val="24"/>
          <w:highlight w:val="none"/>
        </w:rPr>
        <w:t>报发包人备案。</w:t>
      </w:r>
    </w:p>
    <w:p w14:paraId="68C0C9A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2 \* GB3 \* MERGEFORMAT </w:instrText>
      </w:r>
      <w:r>
        <w:rPr>
          <w:rFonts w:hint="eastAsia" w:ascii="宋体" w:hAnsi="宋体"/>
          <w:color w:val="auto"/>
          <w:sz w:val="24"/>
          <w:highlight w:val="none"/>
        </w:rPr>
        <w:fldChar w:fldCharType="separate"/>
      </w:r>
      <w:r>
        <w:rPr>
          <w:color w:val="auto"/>
          <w:highlight w:val="none"/>
        </w:rPr>
        <w:t>②</w:t>
      </w:r>
      <w:r>
        <w:rPr>
          <w:rFonts w:hint="eastAsia" w:ascii="宋体" w:hAnsi="宋体"/>
          <w:color w:val="auto"/>
          <w:sz w:val="24"/>
          <w:highlight w:val="none"/>
        </w:rPr>
        <w:fldChar w:fldCharType="end"/>
      </w:r>
      <w:r>
        <w:rPr>
          <w:rFonts w:ascii="宋体" w:hAnsi="宋体"/>
          <w:color w:val="auto"/>
          <w:sz w:val="24"/>
          <w:highlight w:val="none"/>
        </w:rPr>
        <w:t>实名制及备案管理制度</w:t>
      </w:r>
      <w:r>
        <w:rPr>
          <w:rFonts w:hint="eastAsia" w:ascii="宋体" w:hAnsi="宋体"/>
          <w:color w:val="auto"/>
          <w:sz w:val="24"/>
          <w:highlight w:val="none"/>
        </w:rPr>
        <w:t>：</w:t>
      </w:r>
      <w:r>
        <w:rPr>
          <w:rFonts w:ascii="宋体" w:hAnsi="宋体"/>
          <w:color w:val="auto"/>
          <w:sz w:val="24"/>
          <w:highlight w:val="none"/>
        </w:rPr>
        <w:t>承包人要建立农民工名册、考勤记录、工资发放等实名管理台账</w:t>
      </w:r>
      <w:r>
        <w:rPr>
          <w:rFonts w:hint="eastAsia" w:ascii="宋体" w:hAnsi="宋体"/>
          <w:color w:val="auto"/>
          <w:sz w:val="24"/>
          <w:highlight w:val="none"/>
        </w:rPr>
        <w:t>。</w:t>
      </w:r>
      <w:r>
        <w:rPr>
          <w:rFonts w:ascii="宋体" w:hAnsi="宋体"/>
          <w:color w:val="auto"/>
          <w:sz w:val="24"/>
          <w:highlight w:val="none"/>
        </w:rPr>
        <w:t>农民工台账反映农民工姓名、籍贯、身份证号、工种、进场时间、出勤情况、退场时间、工资卡号、工资发放等基本信息。</w:t>
      </w:r>
    </w:p>
    <w:p w14:paraId="10402109">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承包人应督促分包企业和劳务单位做好农民工实名制管理，将分包企业和劳务单位的农民工管理并入承包人实名台账管理，并对分包企业农民工管理负总责。</w:t>
      </w:r>
    </w:p>
    <w:p w14:paraId="56406F85">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承包人应将承包合同段内的全部农民工（包括分包企业和劳务单位）基本信息汇总后报监理人</w:t>
      </w:r>
      <w:r>
        <w:rPr>
          <w:rFonts w:hint="eastAsia" w:ascii="宋体" w:hAnsi="宋体"/>
          <w:color w:val="auto"/>
          <w:sz w:val="24"/>
          <w:highlight w:val="none"/>
        </w:rPr>
        <w:t>、发包人、地方派出所、所在县级人力资源和社会保障局</w:t>
      </w:r>
      <w:r>
        <w:rPr>
          <w:rFonts w:ascii="宋体" w:hAnsi="宋体"/>
          <w:color w:val="auto"/>
          <w:sz w:val="24"/>
          <w:highlight w:val="none"/>
        </w:rPr>
        <w:t>备案。建设期间</w:t>
      </w:r>
      <w:r>
        <w:rPr>
          <w:rFonts w:hint="eastAsia" w:ascii="宋体" w:hAnsi="宋体"/>
          <w:color w:val="auto"/>
          <w:sz w:val="24"/>
          <w:highlight w:val="none"/>
        </w:rPr>
        <w:t>，</w:t>
      </w:r>
      <w:r>
        <w:rPr>
          <w:rFonts w:ascii="宋体" w:hAnsi="宋体"/>
          <w:color w:val="auto"/>
          <w:sz w:val="24"/>
          <w:highlight w:val="none"/>
        </w:rPr>
        <w:t>承包人应每月对民工变动情况进行清查梳理</w:t>
      </w:r>
      <w:r>
        <w:rPr>
          <w:rFonts w:hint="eastAsia" w:ascii="宋体" w:hAnsi="宋体"/>
          <w:color w:val="auto"/>
          <w:sz w:val="24"/>
          <w:highlight w:val="none"/>
        </w:rPr>
        <w:t>，</w:t>
      </w:r>
      <w:r>
        <w:rPr>
          <w:rFonts w:ascii="宋体" w:hAnsi="宋体"/>
          <w:color w:val="auto"/>
          <w:sz w:val="24"/>
          <w:highlight w:val="none"/>
        </w:rPr>
        <w:t>更新基本信息台账后</w:t>
      </w:r>
      <w:r>
        <w:rPr>
          <w:rFonts w:hint="eastAsia" w:ascii="宋体" w:hAnsi="宋体"/>
          <w:color w:val="auto"/>
          <w:sz w:val="24"/>
          <w:highlight w:val="none"/>
        </w:rPr>
        <w:t>，</w:t>
      </w:r>
      <w:r>
        <w:rPr>
          <w:rFonts w:ascii="宋体" w:hAnsi="宋体"/>
          <w:color w:val="auto"/>
          <w:sz w:val="24"/>
          <w:highlight w:val="none"/>
        </w:rPr>
        <w:t>报上述单位备案</w:t>
      </w:r>
      <w:r>
        <w:rPr>
          <w:rFonts w:hint="eastAsia" w:ascii="宋体" w:hAnsi="宋体"/>
          <w:color w:val="auto"/>
          <w:sz w:val="24"/>
          <w:highlight w:val="none"/>
        </w:rPr>
        <w:t>。</w:t>
      </w:r>
    </w:p>
    <w:p w14:paraId="0D16390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承包人</w:t>
      </w:r>
      <w:r>
        <w:rPr>
          <w:rFonts w:ascii="宋体" w:hAnsi="宋体"/>
          <w:color w:val="auto"/>
          <w:sz w:val="24"/>
          <w:highlight w:val="none"/>
        </w:rPr>
        <w:t>和分包企业</w:t>
      </w:r>
      <w:r>
        <w:rPr>
          <w:rFonts w:hint="eastAsia" w:ascii="宋体" w:hAnsi="宋体"/>
          <w:color w:val="auto"/>
          <w:sz w:val="24"/>
          <w:highlight w:val="none"/>
        </w:rPr>
        <w:t>或劳务合作企业</w:t>
      </w:r>
      <w:r>
        <w:rPr>
          <w:rFonts w:ascii="宋体" w:hAnsi="宋体"/>
          <w:color w:val="auto"/>
          <w:sz w:val="24"/>
          <w:highlight w:val="none"/>
        </w:rPr>
        <w:t>应将经农民工本人签字确认的工资支付书面记录保存</w:t>
      </w:r>
      <w:r>
        <w:rPr>
          <w:rFonts w:hint="eastAsia" w:ascii="宋体" w:hAnsi="宋体"/>
          <w:color w:val="auto"/>
          <w:sz w:val="24"/>
          <w:highlight w:val="none"/>
        </w:rPr>
        <w:t>至</w:t>
      </w:r>
      <w:r>
        <w:rPr>
          <w:rFonts w:ascii="宋体" w:hAnsi="宋体"/>
          <w:color w:val="auto"/>
          <w:sz w:val="24"/>
          <w:highlight w:val="none"/>
        </w:rPr>
        <w:t>项目竣工验收后5年以上备查。</w:t>
      </w:r>
    </w:p>
    <w:p w14:paraId="28D91F7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3 \* GB3 \* MERGEFORMAT </w:instrText>
      </w:r>
      <w:r>
        <w:rPr>
          <w:rFonts w:hint="eastAsia" w:ascii="宋体" w:hAnsi="宋体"/>
          <w:color w:val="auto"/>
          <w:sz w:val="24"/>
          <w:highlight w:val="none"/>
        </w:rPr>
        <w:fldChar w:fldCharType="separate"/>
      </w:r>
      <w:r>
        <w:rPr>
          <w:color w:val="auto"/>
          <w:highlight w:val="none"/>
        </w:rPr>
        <w:t>③</w:t>
      </w:r>
      <w:r>
        <w:rPr>
          <w:rFonts w:hint="eastAsia" w:ascii="宋体" w:hAnsi="宋体"/>
          <w:color w:val="auto"/>
          <w:sz w:val="24"/>
          <w:highlight w:val="none"/>
        </w:rPr>
        <w:fldChar w:fldCharType="end"/>
      </w:r>
      <w:r>
        <w:rPr>
          <w:rFonts w:ascii="宋体" w:hAnsi="宋体"/>
          <w:color w:val="auto"/>
          <w:sz w:val="24"/>
          <w:highlight w:val="none"/>
        </w:rPr>
        <w:t>现场信息管理制度：农民工进场后，承包人应及时向农民工人员颁发含有姓名、性别、年龄、照片、家庭住址、身份证号码、班</w:t>
      </w:r>
      <w:r>
        <w:rPr>
          <w:rFonts w:hint="eastAsia" w:ascii="宋体" w:hAnsi="宋体" w:cs="宋体"/>
          <w:color w:val="auto"/>
          <w:sz w:val="24"/>
          <w:highlight w:val="none"/>
        </w:rPr>
        <w:t>组、工种、进出场时间等信息并加盖承包人项目部公章的农民工身份证明。进场农民工实行挂牌上岗制度，统一着装。</w:t>
      </w:r>
    </w:p>
    <w:p w14:paraId="6E44862B">
      <w:pPr>
        <w:adjustRightInd w:val="0"/>
        <w:snapToGrid w:val="0"/>
        <w:spacing w:line="360" w:lineRule="auto"/>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对未纳入监理人审批同意核备、发包人核备或派出所及人力资源和社会保障局备案的人员，不管其在项目有无务工事实的，发包人、监理人及承包人均不认同其农民工身份，不纳入项目农民工管理范畴；同时，</w:t>
      </w:r>
      <w:r>
        <w:rPr>
          <w:rFonts w:hint="eastAsia" w:ascii="宋体" w:hAnsi="宋体" w:cs="宋体"/>
          <w:color w:val="auto"/>
          <w:sz w:val="24"/>
          <w:highlight w:val="none"/>
          <w:lang w:val="en-US" w:eastAsia="zh-CN"/>
        </w:rPr>
        <w:t>存在</w:t>
      </w:r>
      <w:r>
        <w:rPr>
          <w:rFonts w:hint="eastAsia" w:ascii="宋体" w:hAnsi="宋体" w:cs="宋体"/>
          <w:color w:val="auto"/>
          <w:sz w:val="24"/>
          <w:highlight w:val="none"/>
        </w:rPr>
        <w:t>无农民工身份在项目有务工事实的</w:t>
      </w:r>
      <w:r>
        <w:rPr>
          <w:rFonts w:hint="eastAsia" w:ascii="宋体" w:hAnsi="宋体" w:cs="宋体"/>
          <w:color w:val="auto"/>
          <w:sz w:val="24"/>
          <w:highlight w:val="none"/>
          <w:lang w:val="en-US" w:eastAsia="zh-CN"/>
        </w:rPr>
        <w:t>情形</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将</w:t>
      </w:r>
      <w:r>
        <w:rPr>
          <w:rFonts w:ascii="宋体" w:hAnsi="宋体" w:cs="宋体"/>
          <w:color w:val="auto"/>
          <w:sz w:val="24"/>
          <w:highlight w:val="none"/>
        </w:rPr>
        <w:t>对承包人进行违约处理，承包人缴纳违约金并不能</w:t>
      </w:r>
      <w:r>
        <w:rPr>
          <w:rFonts w:hint="eastAsia" w:ascii="宋体" w:hAnsi="宋体" w:cs="宋体"/>
          <w:color w:val="auto"/>
          <w:sz w:val="24"/>
          <w:highlight w:val="none"/>
        </w:rPr>
        <w:t>使违</w:t>
      </w:r>
      <w:r>
        <w:rPr>
          <w:rFonts w:hint="eastAsia" w:ascii="宋体" w:hAnsi="宋体"/>
          <w:color w:val="auto"/>
          <w:sz w:val="24"/>
          <w:highlight w:val="none"/>
        </w:rPr>
        <w:t>约行为</w:t>
      </w:r>
      <w:r>
        <w:rPr>
          <w:rFonts w:hint="eastAsia"/>
          <w:color w:val="auto"/>
          <w:sz w:val="24"/>
          <w:highlight w:val="none"/>
        </w:rPr>
        <w:t>合法化，承包人应继续纠正，且应承担相应法律责任。</w:t>
      </w:r>
      <w:r>
        <w:rPr>
          <w:rFonts w:ascii="宋体" w:hAnsi="宋体" w:cs="宋体"/>
          <w:color w:val="auto"/>
          <w:spacing w:val="-4"/>
          <w:sz w:val="24"/>
          <w:highlight w:val="none"/>
        </w:rPr>
        <w:t xml:space="preserve">   </w:t>
      </w:r>
    </w:p>
    <w:p w14:paraId="6AF0CAB9">
      <w:pPr>
        <w:adjustRightInd w:val="0"/>
        <w:snapToGrid w:val="0"/>
        <w:spacing w:line="360" w:lineRule="auto"/>
        <w:ind w:firstLine="348" w:firstLineChars="150"/>
        <w:rPr>
          <w:rFonts w:hint="eastAsia" w:ascii="宋体" w:hAnsi="宋体" w:cs="宋体"/>
          <w:color w:val="auto"/>
          <w:spacing w:val="-4"/>
          <w:sz w:val="24"/>
          <w:highlight w:val="none"/>
        </w:rPr>
      </w:pP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lang w:val="en-US" w:eastAsia="zh-CN"/>
        </w:rPr>
        <w:t>2</w:t>
      </w: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rPr>
        <w:t>农民工工资管理</w:t>
      </w:r>
    </w:p>
    <w:p w14:paraId="0412332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严格执行《保障农民工</w:t>
      </w:r>
      <w:r>
        <w:rPr>
          <w:rFonts w:ascii="宋体" w:hAnsi="宋体"/>
          <w:color w:val="auto"/>
          <w:sz w:val="24"/>
          <w:highlight w:val="none"/>
        </w:rPr>
        <w:t>工资</w:t>
      </w:r>
      <w:r>
        <w:rPr>
          <w:rFonts w:hint="eastAsia" w:ascii="宋体" w:hAnsi="宋体"/>
          <w:color w:val="auto"/>
          <w:sz w:val="24"/>
          <w:highlight w:val="none"/>
        </w:rPr>
        <w:t>支付条例》</w:t>
      </w:r>
      <w:r>
        <w:rPr>
          <w:rFonts w:hint="eastAsia" w:ascii="宋体" w:hAnsi="宋体"/>
          <w:color w:val="auto"/>
          <w:sz w:val="24"/>
          <w:highlight w:val="none"/>
          <w:lang w:eastAsia="zh-CN"/>
        </w:rPr>
        <w:t>（</w:t>
      </w:r>
      <w:r>
        <w:rPr>
          <w:rFonts w:hint="eastAsia" w:ascii="宋体" w:hAnsi="宋体"/>
          <w:color w:val="auto"/>
          <w:sz w:val="24"/>
          <w:highlight w:val="none"/>
        </w:rPr>
        <w:t>国务院</w:t>
      </w:r>
      <w:r>
        <w:rPr>
          <w:rFonts w:ascii="宋体" w:hAnsi="宋体"/>
          <w:color w:val="auto"/>
          <w:sz w:val="24"/>
          <w:highlight w:val="none"/>
        </w:rPr>
        <w:t>令</w:t>
      </w:r>
      <w:r>
        <w:rPr>
          <w:rFonts w:hint="eastAsia" w:ascii="宋体" w:hAnsi="宋体"/>
          <w:color w:val="auto"/>
          <w:sz w:val="24"/>
          <w:highlight w:val="none"/>
        </w:rPr>
        <w:t>第</w:t>
      </w:r>
      <w:r>
        <w:rPr>
          <w:rFonts w:ascii="宋体" w:hAnsi="宋体"/>
          <w:color w:val="auto"/>
          <w:sz w:val="24"/>
          <w:highlight w:val="none"/>
        </w:rPr>
        <w:t>724</w:t>
      </w:r>
      <w:r>
        <w:rPr>
          <w:rFonts w:hint="eastAsia" w:ascii="宋体" w:hAnsi="宋体"/>
          <w:color w:val="auto"/>
          <w:sz w:val="24"/>
          <w:highlight w:val="none"/>
        </w:rPr>
        <w:t>号</w:t>
      </w:r>
      <w:r>
        <w:rPr>
          <w:rFonts w:hint="eastAsia" w:ascii="宋体" w:hAnsi="宋体"/>
          <w:color w:val="auto"/>
          <w:sz w:val="24"/>
          <w:highlight w:val="none"/>
          <w:lang w:eastAsia="zh-CN"/>
        </w:rPr>
        <w:t>）</w:t>
      </w:r>
      <w:r>
        <w:rPr>
          <w:rFonts w:ascii="宋体" w:hAnsi="宋体"/>
          <w:color w:val="auto"/>
          <w:sz w:val="24"/>
          <w:highlight w:val="none"/>
        </w:rPr>
        <w:t>、</w:t>
      </w:r>
      <w:r>
        <w:rPr>
          <w:rFonts w:hint="eastAsia" w:ascii="宋体" w:hAnsi="宋体"/>
          <w:color w:val="auto"/>
          <w:sz w:val="24"/>
          <w:highlight w:val="none"/>
        </w:rPr>
        <w:t>《国务院办公厅关于全面治理拖欠农民工工资问题的意见》（国办发</w:t>
      </w:r>
      <w:r>
        <w:rPr>
          <w:rFonts w:ascii="宋体" w:hAnsi="宋体"/>
          <w:color w:val="auto"/>
          <w:sz w:val="24"/>
          <w:highlight w:val="none"/>
        </w:rPr>
        <w:t>〔2016〕1号）、</w:t>
      </w:r>
      <w:r>
        <w:rPr>
          <w:rFonts w:hint="eastAsia" w:ascii="宋体" w:hAnsi="宋体"/>
          <w:color w:val="auto"/>
          <w:sz w:val="24"/>
          <w:highlight w:val="none"/>
        </w:rPr>
        <w:t>《工程建设领域农民工工资保证金规定》（人社部发</w:t>
      </w:r>
      <w:r>
        <w:rPr>
          <w:rFonts w:ascii="宋体" w:hAnsi="宋体"/>
          <w:color w:val="auto"/>
          <w:sz w:val="24"/>
          <w:highlight w:val="none"/>
        </w:rPr>
        <w:t>〔2021〕65号）</w:t>
      </w:r>
      <w:r>
        <w:rPr>
          <w:rFonts w:hint="eastAsia" w:ascii="宋体" w:hAnsi="宋体"/>
          <w:color w:val="auto"/>
          <w:sz w:val="24"/>
          <w:highlight w:val="none"/>
        </w:rPr>
        <w:t>、</w:t>
      </w:r>
      <w:r>
        <w:rPr>
          <w:rFonts w:ascii="宋体" w:hAnsi="宋体"/>
          <w:color w:val="auto"/>
          <w:sz w:val="24"/>
          <w:highlight w:val="none"/>
        </w:rPr>
        <w:t>《四川省人民政府办公厅关于全面治理拖欠农民工工资问题的实施意见》（川办发〔2016〕63号）、《四川省解决企业拖欠工资问题联席会议关于在工程建设领域全面落实农民工工资专用账户制度的通知》（川人社办发〔2018〕180号）、</w:t>
      </w:r>
      <w:r>
        <w:rPr>
          <w:rFonts w:hint="eastAsia" w:ascii="宋体" w:hAnsi="宋体" w:cs="宋体"/>
          <w:color w:val="auto"/>
          <w:sz w:val="24"/>
          <w:highlight w:val="none"/>
        </w:rPr>
        <w:t>《四川省交通运输厅关于印发</w:t>
      </w:r>
      <w:r>
        <w:rPr>
          <w:rFonts w:hint="eastAsia" w:ascii="宋体" w:hAnsi="宋体" w:cs="宋体"/>
          <w:color w:val="auto"/>
          <w:sz w:val="24"/>
          <w:highlight w:val="none"/>
          <w:lang w:eastAsia="zh-CN"/>
        </w:rPr>
        <w:t>〈</w:t>
      </w:r>
      <w:r>
        <w:rPr>
          <w:rFonts w:hint="eastAsia" w:ascii="宋体" w:hAnsi="宋体" w:cs="宋体"/>
          <w:color w:val="auto"/>
          <w:sz w:val="24"/>
          <w:highlight w:val="none"/>
        </w:rPr>
        <w:t>四川省公路水运工程建设项目保证金管理办法</w:t>
      </w:r>
      <w:r>
        <w:rPr>
          <w:rFonts w:hint="eastAsia" w:ascii="宋体" w:hAnsi="宋体" w:cs="宋体"/>
          <w:color w:val="auto"/>
          <w:sz w:val="24"/>
          <w:highlight w:val="none"/>
          <w:lang w:eastAsia="zh-CN"/>
        </w:rPr>
        <w:t>〉</w:t>
      </w:r>
      <w:r>
        <w:rPr>
          <w:rFonts w:hint="eastAsia" w:ascii="宋体" w:hAnsi="宋体" w:cs="宋体"/>
          <w:color w:val="auto"/>
          <w:sz w:val="24"/>
          <w:highlight w:val="none"/>
        </w:rPr>
        <w:t>的通知》</w:t>
      </w:r>
      <w:r>
        <w:rPr>
          <w:rFonts w:hint="eastAsia" w:ascii="宋体" w:hAnsi="宋体" w:eastAsia="宋体" w:cs="宋体"/>
          <w:color w:val="auto"/>
          <w:sz w:val="24"/>
          <w:szCs w:val="24"/>
          <w:highlight w:val="none"/>
          <w:lang w:val="en-US" w:eastAsia="zh-CN"/>
        </w:rPr>
        <w:t>（川交规〔2022〕13号）</w:t>
      </w:r>
      <w:r>
        <w:rPr>
          <w:rFonts w:hint="eastAsia" w:ascii="宋体" w:hAnsi="宋体" w:cs="宋体"/>
          <w:color w:val="auto"/>
          <w:sz w:val="24"/>
          <w:szCs w:val="24"/>
          <w:highlight w:val="none"/>
          <w:lang w:val="en-US" w:eastAsia="zh-CN"/>
        </w:rPr>
        <w:t>、</w:t>
      </w:r>
      <w:r>
        <w:rPr>
          <w:rFonts w:ascii="宋体" w:hAnsi="宋体"/>
          <w:color w:val="auto"/>
          <w:sz w:val="24"/>
          <w:highlight w:val="none"/>
        </w:rPr>
        <w:t>《四川省交通运输厅关于印发</w:t>
      </w:r>
      <w:r>
        <w:rPr>
          <w:rFonts w:hint="eastAsia" w:ascii="宋体" w:hAnsi="宋体"/>
          <w:color w:val="auto"/>
          <w:sz w:val="24"/>
          <w:highlight w:val="none"/>
          <w:lang w:eastAsia="zh-CN"/>
        </w:rPr>
        <w:t>〈</w:t>
      </w:r>
      <w:r>
        <w:rPr>
          <w:rFonts w:ascii="宋体" w:hAnsi="宋体"/>
          <w:color w:val="auto"/>
          <w:sz w:val="24"/>
          <w:highlight w:val="none"/>
        </w:rPr>
        <w:t>四川省交通运输工程建设领域农民工工资支付与管理工作实施意见</w:t>
      </w:r>
      <w:r>
        <w:rPr>
          <w:rFonts w:hint="eastAsia" w:ascii="宋体" w:hAnsi="宋体"/>
          <w:color w:val="auto"/>
          <w:sz w:val="24"/>
          <w:highlight w:val="none"/>
          <w:lang w:eastAsia="zh-CN"/>
        </w:rPr>
        <w:t>〉</w:t>
      </w:r>
      <w:r>
        <w:rPr>
          <w:rFonts w:ascii="宋体" w:hAnsi="宋体"/>
          <w:color w:val="auto"/>
          <w:sz w:val="24"/>
          <w:highlight w:val="none"/>
        </w:rPr>
        <w:t>的通知》（川交发〔2013〕128号）、《四川省交通运输厅关于切实做好交通建设领域治理拖欠农民工工资有关工作的通知》（川交函〔2017〕49号）等文件及在项目建设结束期间，国家、省及交通</w:t>
      </w:r>
      <w:r>
        <w:rPr>
          <w:rFonts w:hint="eastAsia" w:ascii="宋体" w:hAnsi="宋体"/>
          <w:color w:val="auto"/>
          <w:sz w:val="24"/>
          <w:highlight w:val="none"/>
          <w:lang w:val="en-US" w:eastAsia="zh-CN"/>
        </w:rPr>
        <w:t>运输</w:t>
      </w:r>
      <w:r>
        <w:rPr>
          <w:rFonts w:ascii="宋体" w:hAnsi="宋体"/>
          <w:color w:val="auto"/>
          <w:sz w:val="24"/>
          <w:highlight w:val="none"/>
        </w:rPr>
        <w:t>主管部门印发的涉及农民工工资问题处理的相关文件精神</w:t>
      </w:r>
      <w:r>
        <w:rPr>
          <w:rFonts w:hint="eastAsia" w:ascii="宋体" w:hAnsi="宋体" w:cs="宋体"/>
          <w:color w:val="auto"/>
          <w:sz w:val="24"/>
          <w:highlight w:val="none"/>
        </w:rPr>
        <w:t>。</w:t>
      </w:r>
    </w:p>
    <w:p w14:paraId="5FA4172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1 \* GB3 \* MERGEFORMAT </w:instrText>
      </w:r>
      <w:r>
        <w:rPr>
          <w:rFonts w:hint="eastAsia" w:ascii="宋体" w:hAnsi="宋体"/>
          <w:color w:val="auto"/>
          <w:sz w:val="24"/>
          <w:highlight w:val="none"/>
        </w:rPr>
        <w:fldChar w:fldCharType="separate"/>
      </w:r>
      <w:r>
        <w:rPr>
          <w:color w:val="auto"/>
          <w:highlight w:val="none"/>
        </w:rPr>
        <w:t>①</w:t>
      </w:r>
      <w:r>
        <w:rPr>
          <w:rFonts w:hint="eastAsia" w:ascii="宋体" w:hAnsi="宋体"/>
          <w:color w:val="auto"/>
          <w:sz w:val="24"/>
          <w:highlight w:val="none"/>
        </w:rPr>
        <w:fldChar w:fldCharType="end"/>
      </w:r>
      <w:r>
        <w:rPr>
          <w:rFonts w:ascii="宋体" w:hAnsi="宋体"/>
          <w:color w:val="auto"/>
          <w:sz w:val="24"/>
          <w:highlight w:val="none"/>
        </w:rPr>
        <w:t>发包人应向</w:t>
      </w:r>
      <w:r>
        <w:rPr>
          <w:rFonts w:hint="eastAsia" w:ascii="宋体" w:hAnsi="宋体"/>
          <w:color w:val="auto"/>
          <w:sz w:val="24"/>
          <w:highlight w:val="none"/>
        </w:rPr>
        <w:t>承包人</w:t>
      </w:r>
      <w:r>
        <w:rPr>
          <w:rFonts w:ascii="宋体" w:hAnsi="宋体"/>
          <w:color w:val="auto"/>
          <w:sz w:val="24"/>
          <w:highlight w:val="none"/>
        </w:rPr>
        <w:t>提供工程款支付担保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具体见合同条款第2.6款</w:t>
      </w:r>
      <w:r>
        <w:rPr>
          <w:rFonts w:ascii="宋体" w:hAnsi="宋体"/>
          <w:color w:val="auto"/>
          <w:sz w:val="24"/>
          <w:highlight w:val="none"/>
        </w:rPr>
        <w:t>。</w:t>
      </w:r>
    </w:p>
    <w:p w14:paraId="64E25C8B">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2 \* GB3 \* MERGEFORMAT </w:instrText>
      </w:r>
      <w:r>
        <w:rPr>
          <w:rFonts w:hint="eastAsia" w:ascii="宋体" w:hAnsi="宋体"/>
          <w:color w:val="auto"/>
          <w:sz w:val="24"/>
          <w:highlight w:val="none"/>
        </w:rPr>
        <w:fldChar w:fldCharType="separate"/>
      </w:r>
      <w:r>
        <w:rPr>
          <w:color w:val="auto"/>
          <w:highlight w:val="none"/>
        </w:rPr>
        <w:t>②</w:t>
      </w:r>
      <w:r>
        <w:rPr>
          <w:rFonts w:hint="eastAsia" w:ascii="宋体" w:hAnsi="宋体"/>
          <w:color w:val="auto"/>
          <w:sz w:val="24"/>
          <w:highlight w:val="none"/>
        </w:rPr>
        <w:fldChar w:fldCharType="end"/>
      </w:r>
      <w:r>
        <w:rPr>
          <w:rFonts w:ascii="宋体" w:hAnsi="宋体"/>
          <w:color w:val="auto"/>
          <w:sz w:val="24"/>
          <w:highlight w:val="none"/>
        </w:rPr>
        <w:t>发包人应保障农民工工资按时足额支付</w:t>
      </w:r>
      <w:r>
        <w:rPr>
          <w:rFonts w:hint="eastAsia" w:ascii="宋体" w:hAnsi="宋体"/>
          <w:color w:val="auto"/>
          <w:sz w:val="24"/>
          <w:highlight w:val="none"/>
        </w:rPr>
        <w:t>，</w:t>
      </w:r>
      <w:r>
        <w:rPr>
          <w:rFonts w:ascii="宋体" w:hAnsi="宋体"/>
          <w:color w:val="auto"/>
          <w:sz w:val="24"/>
          <w:highlight w:val="none"/>
        </w:rPr>
        <w:t>人工费用</w:t>
      </w:r>
      <w:r>
        <w:rPr>
          <w:rFonts w:hint="eastAsia" w:ascii="宋体" w:hAnsi="宋体"/>
          <w:color w:val="auto"/>
          <w:sz w:val="24"/>
          <w:highlight w:val="none"/>
        </w:rPr>
        <w:t>的</w:t>
      </w:r>
      <w:r>
        <w:rPr>
          <w:rFonts w:ascii="宋体" w:hAnsi="宋体"/>
          <w:color w:val="auto"/>
          <w:sz w:val="24"/>
          <w:highlight w:val="none"/>
        </w:rPr>
        <w:t>拨付</w:t>
      </w:r>
      <w:r>
        <w:rPr>
          <w:rFonts w:hint="eastAsia" w:ascii="宋体" w:hAnsi="宋体"/>
          <w:color w:val="auto"/>
          <w:sz w:val="24"/>
          <w:highlight w:val="none"/>
        </w:rPr>
        <w:t>不受第</w:t>
      </w:r>
      <w:r>
        <w:rPr>
          <w:rFonts w:ascii="宋体" w:hAnsi="宋体"/>
          <w:color w:val="auto"/>
          <w:sz w:val="24"/>
          <w:highlight w:val="none"/>
        </w:rPr>
        <w:t>17.3.</w:t>
      </w:r>
      <w:r>
        <w:rPr>
          <w:rFonts w:hint="eastAsia" w:ascii="宋体" w:hAnsi="宋体"/>
          <w:color w:val="auto"/>
          <w:sz w:val="24"/>
          <w:highlight w:val="none"/>
          <w:lang w:val="en-US" w:eastAsia="zh-CN"/>
        </w:rPr>
        <w:t>3项</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目所要求的最低额度的限制</w:t>
      </w:r>
      <w:r>
        <w:rPr>
          <w:rFonts w:ascii="宋体" w:hAnsi="宋体"/>
          <w:color w:val="auto"/>
          <w:sz w:val="24"/>
          <w:highlight w:val="none"/>
        </w:rPr>
        <w:t>。</w:t>
      </w:r>
    </w:p>
    <w:p w14:paraId="57E8DC7B">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3 \* GB3 \* MERGEFORMAT </w:instrText>
      </w:r>
      <w:r>
        <w:rPr>
          <w:rFonts w:hint="eastAsia" w:ascii="宋体" w:hAnsi="宋体"/>
          <w:color w:val="auto"/>
          <w:sz w:val="24"/>
          <w:highlight w:val="none"/>
        </w:rPr>
        <w:fldChar w:fldCharType="separate"/>
      </w:r>
      <w:r>
        <w:rPr>
          <w:color w:val="auto"/>
          <w:highlight w:val="none"/>
        </w:rPr>
        <w:t>③</w:t>
      </w:r>
      <w:r>
        <w:rPr>
          <w:rFonts w:hint="eastAsia" w:ascii="宋体" w:hAnsi="宋体"/>
          <w:color w:val="auto"/>
          <w:sz w:val="24"/>
          <w:highlight w:val="none"/>
        </w:rPr>
        <w:fldChar w:fldCharType="end"/>
      </w:r>
      <w:r>
        <w:rPr>
          <w:rFonts w:ascii="宋体" w:hAnsi="宋体"/>
          <w:color w:val="auto"/>
          <w:sz w:val="24"/>
          <w:highlight w:val="none"/>
        </w:rPr>
        <w:t>发包人应当按照合同约定及时拨付工程款，并将人工费用及时足额拨付至农民工工资专用账户，加强对</w:t>
      </w:r>
      <w:r>
        <w:rPr>
          <w:rFonts w:hint="eastAsia" w:ascii="宋体" w:hAnsi="宋体"/>
          <w:color w:val="auto"/>
          <w:sz w:val="24"/>
          <w:highlight w:val="none"/>
        </w:rPr>
        <w:t>承包人</w:t>
      </w:r>
      <w:r>
        <w:rPr>
          <w:rFonts w:ascii="宋体" w:hAnsi="宋体"/>
          <w:color w:val="auto"/>
          <w:sz w:val="24"/>
          <w:highlight w:val="none"/>
        </w:rPr>
        <w:t>按时足额支付农民工工资的监督。</w:t>
      </w:r>
    </w:p>
    <w:p w14:paraId="509D3962">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4 \* GB3 \* MERGEFORMAT </w:instrText>
      </w:r>
      <w:r>
        <w:rPr>
          <w:rFonts w:hint="eastAsia" w:ascii="宋体" w:hAnsi="宋体"/>
          <w:color w:val="auto"/>
          <w:sz w:val="24"/>
          <w:highlight w:val="none"/>
        </w:rPr>
        <w:fldChar w:fldCharType="separate"/>
      </w:r>
      <w:r>
        <w:rPr>
          <w:color w:val="auto"/>
          <w:highlight w:val="none"/>
        </w:rPr>
        <w:t>④</w:t>
      </w:r>
      <w:r>
        <w:rPr>
          <w:rFonts w:hint="eastAsia" w:ascii="宋体" w:hAnsi="宋体"/>
          <w:color w:val="auto"/>
          <w:sz w:val="24"/>
          <w:highlight w:val="none"/>
        </w:rPr>
        <w:fldChar w:fldCharType="end"/>
      </w:r>
      <w:r>
        <w:rPr>
          <w:rFonts w:ascii="宋体" w:hAnsi="宋体"/>
          <w:color w:val="auto"/>
          <w:sz w:val="24"/>
          <w:highlight w:val="none"/>
        </w:rPr>
        <w:t>因</w:t>
      </w:r>
      <w:r>
        <w:rPr>
          <w:rFonts w:hint="eastAsia" w:ascii="宋体" w:hAnsi="宋体"/>
          <w:color w:val="auto"/>
          <w:sz w:val="24"/>
          <w:highlight w:val="none"/>
        </w:rPr>
        <w:t>发包人</w:t>
      </w:r>
      <w:r>
        <w:rPr>
          <w:rFonts w:ascii="宋体" w:hAnsi="宋体"/>
          <w:color w:val="auto"/>
          <w:sz w:val="24"/>
          <w:highlight w:val="none"/>
        </w:rPr>
        <w:t>未按照合同约定及时拨付工程款导致农民工工资拖欠的，</w:t>
      </w:r>
      <w:r>
        <w:rPr>
          <w:rFonts w:hint="eastAsia" w:ascii="宋体" w:hAnsi="宋体"/>
          <w:color w:val="auto"/>
          <w:sz w:val="24"/>
          <w:highlight w:val="none"/>
        </w:rPr>
        <w:t>发包人</w:t>
      </w:r>
      <w:r>
        <w:rPr>
          <w:rFonts w:ascii="宋体" w:hAnsi="宋体"/>
          <w:color w:val="auto"/>
          <w:sz w:val="24"/>
          <w:highlight w:val="none"/>
        </w:rPr>
        <w:t>应当以未结清的工程款为限先行垫付被拖欠的农民工工资。</w:t>
      </w:r>
    </w:p>
    <w:p w14:paraId="3AFD3FD8">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5 \* GB3 \* MERGEFORMAT </w:instrText>
      </w:r>
      <w:r>
        <w:rPr>
          <w:rFonts w:hint="eastAsia" w:ascii="宋体" w:hAnsi="宋体"/>
          <w:color w:val="auto"/>
          <w:sz w:val="24"/>
          <w:highlight w:val="none"/>
        </w:rPr>
        <w:fldChar w:fldCharType="separate"/>
      </w:r>
      <w:r>
        <w:rPr>
          <w:color w:val="auto"/>
          <w:highlight w:val="none"/>
        </w:rPr>
        <w:t>⑤</w:t>
      </w:r>
      <w:r>
        <w:rPr>
          <w:rFonts w:hint="eastAsia" w:ascii="宋体" w:hAnsi="宋体"/>
          <w:color w:val="auto"/>
          <w:sz w:val="24"/>
          <w:highlight w:val="none"/>
        </w:rPr>
        <w:fldChar w:fldCharType="end"/>
      </w:r>
      <w:r>
        <w:rPr>
          <w:rFonts w:hint="eastAsia" w:ascii="宋体" w:hAnsi="宋体"/>
          <w:color w:val="auto"/>
          <w:sz w:val="24"/>
          <w:highlight w:val="none"/>
        </w:rPr>
        <w:t>发包人</w:t>
      </w:r>
      <w:r>
        <w:rPr>
          <w:rFonts w:ascii="宋体" w:hAnsi="宋体"/>
          <w:color w:val="auto"/>
          <w:sz w:val="24"/>
          <w:highlight w:val="none"/>
        </w:rPr>
        <w:t>应当建立保障农民工工资支付协调机制和工资拖欠预防机制，督促</w:t>
      </w:r>
      <w:r>
        <w:rPr>
          <w:rFonts w:hint="eastAsia" w:ascii="宋体" w:hAnsi="宋体"/>
          <w:color w:val="auto"/>
          <w:sz w:val="24"/>
          <w:highlight w:val="none"/>
        </w:rPr>
        <w:t>承包人</w:t>
      </w:r>
      <w:r>
        <w:rPr>
          <w:rFonts w:ascii="宋体" w:hAnsi="宋体"/>
          <w:color w:val="auto"/>
          <w:sz w:val="24"/>
          <w:highlight w:val="none"/>
        </w:rPr>
        <w:t>加强劳动用工管理，妥善处理与农民工工资支付相关的矛盾纠纷。发生农民工集体讨薪事件的，</w:t>
      </w:r>
      <w:r>
        <w:rPr>
          <w:rFonts w:hint="eastAsia" w:ascii="宋体" w:hAnsi="宋体"/>
          <w:color w:val="auto"/>
          <w:sz w:val="24"/>
          <w:highlight w:val="none"/>
        </w:rPr>
        <w:t>发包人</w:t>
      </w:r>
      <w:r>
        <w:rPr>
          <w:rFonts w:ascii="宋体" w:hAnsi="宋体"/>
          <w:color w:val="auto"/>
          <w:sz w:val="24"/>
          <w:highlight w:val="none"/>
        </w:rPr>
        <w:t>应当会同</w:t>
      </w:r>
      <w:r>
        <w:rPr>
          <w:rFonts w:hint="eastAsia" w:ascii="宋体" w:hAnsi="宋体"/>
          <w:color w:val="auto"/>
          <w:sz w:val="24"/>
          <w:highlight w:val="none"/>
        </w:rPr>
        <w:t>承包人</w:t>
      </w:r>
      <w:r>
        <w:rPr>
          <w:rFonts w:ascii="宋体" w:hAnsi="宋体"/>
          <w:color w:val="auto"/>
          <w:sz w:val="24"/>
          <w:highlight w:val="none"/>
        </w:rPr>
        <w:t>及时处理，并向项目所在地人力资源社会保障行政部门和相关行业工程建设主管部门报告有关情况。</w:t>
      </w:r>
    </w:p>
    <w:p w14:paraId="79F789F0">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6 \* GB3 \* MERGEFORMAT </w:instrText>
      </w:r>
      <w:r>
        <w:rPr>
          <w:rFonts w:hint="eastAsia" w:ascii="宋体" w:hAnsi="宋体"/>
          <w:color w:val="auto"/>
          <w:sz w:val="24"/>
          <w:highlight w:val="none"/>
        </w:rPr>
        <w:fldChar w:fldCharType="separate"/>
      </w:r>
      <w:r>
        <w:rPr>
          <w:color w:val="auto"/>
          <w:highlight w:val="none"/>
        </w:rPr>
        <w:t>⑥</w:t>
      </w:r>
      <w:r>
        <w:rPr>
          <w:rFonts w:hint="eastAsia" w:ascii="宋体" w:hAnsi="宋体"/>
          <w:color w:val="auto"/>
          <w:sz w:val="24"/>
          <w:highlight w:val="none"/>
        </w:rPr>
        <w:fldChar w:fldCharType="end"/>
      </w:r>
      <w:r>
        <w:rPr>
          <w:rFonts w:ascii="宋体" w:hAnsi="宋体"/>
          <w:color w:val="auto"/>
          <w:sz w:val="24"/>
          <w:highlight w:val="none"/>
        </w:rPr>
        <w:t>承包人与分包单位</w:t>
      </w:r>
      <w:r>
        <w:rPr>
          <w:rFonts w:hint="eastAsia" w:ascii="宋体" w:hAnsi="宋体"/>
          <w:color w:val="auto"/>
          <w:sz w:val="24"/>
          <w:highlight w:val="none"/>
        </w:rPr>
        <w:t>（如有）、劳务合作单位</w:t>
      </w:r>
      <w:r>
        <w:rPr>
          <w:rFonts w:ascii="宋体" w:hAnsi="宋体"/>
          <w:color w:val="auto"/>
          <w:sz w:val="24"/>
          <w:highlight w:val="none"/>
        </w:rPr>
        <w:t>依法订立书面分包合同，应当约定工程款计量周期、工程款进度结算办法。分包单位对所招用农民工的实名制管理和工资支付负直接责任。</w:t>
      </w:r>
      <w:r>
        <w:rPr>
          <w:rFonts w:hint="eastAsia" w:ascii="宋体" w:hAnsi="宋体"/>
          <w:color w:val="auto"/>
          <w:sz w:val="24"/>
          <w:highlight w:val="none"/>
        </w:rPr>
        <w:t>承包人</w:t>
      </w:r>
      <w:r>
        <w:rPr>
          <w:rFonts w:ascii="宋体" w:hAnsi="宋体"/>
          <w:color w:val="auto"/>
          <w:sz w:val="24"/>
          <w:highlight w:val="none"/>
        </w:rPr>
        <w:t>对分包单位劳动用工和工资发放等情况进行监督。分包单位拖欠农民工工资的，由</w:t>
      </w:r>
      <w:r>
        <w:rPr>
          <w:rFonts w:hint="eastAsia" w:ascii="宋体" w:hAnsi="宋体"/>
          <w:color w:val="auto"/>
          <w:sz w:val="24"/>
          <w:highlight w:val="none"/>
        </w:rPr>
        <w:t>承包人</w:t>
      </w:r>
      <w:r>
        <w:rPr>
          <w:rFonts w:ascii="宋体" w:hAnsi="宋体"/>
          <w:color w:val="auto"/>
          <w:sz w:val="24"/>
          <w:highlight w:val="none"/>
        </w:rPr>
        <w:t>先行清偿，再依法进行追偿。工程建设项目转包，拖欠农民工工资的，由</w:t>
      </w:r>
      <w:r>
        <w:rPr>
          <w:rFonts w:hint="eastAsia" w:ascii="宋体" w:hAnsi="宋体"/>
          <w:color w:val="auto"/>
          <w:sz w:val="24"/>
          <w:highlight w:val="none"/>
        </w:rPr>
        <w:t>承包人</w:t>
      </w:r>
      <w:r>
        <w:rPr>
          <w:rFonts w:ascii="宋体" w:hAnsi="宋体"/>
          <w:color w:val="auto"/>
          <w:sz w:val="24"/>
          <w:highlight w:val="none"/>
        </w:rPr>
        <w:t>先行清偿，再依法进行追偿。</w:t>
      </w:r>
    </w:p>
    <w:p w14:paraId="32B1287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7 \* GB3 \* MERGEFORMAT </w:instrText>
      </w:r>
      <w:r>
        <w:rPr>
          <w:rFonts w:hint="eastAsia" w:ascii="宋体" w:hAnsi="宋体"/>
          <w:color w:val="auto"/>
          <w:sz w:val="24"/>
          <w:highlight w:val="none"/>
        </w:rPr>
        <w:fldChar w:fldCharType="separate"/>
      </w:r>
      <w:r>
        <w:rPr>
          <w:color w:val="auto"/>
          <w:highlight w:val="none"/>
        </w:rPr>
        <w:t>⑦</w:t>
      </w:r>
      <w:r>
        <w:rPr>
          <w:rFonts w:hint="eastAsia" w:ascii="宋体" w:hAnsi="宋体"/>
          <w:color w:val="auto"/>
          <w:sz w:val="24"/>
          <w:highlight w:val="none"/>
        </w:rPr>
        <w:fldChar w:fldCharType="end"/>
      </w:r>
      <w:r>
        <w:rPr>
          <w:rFonts w:ascii="宋体" w:hAnsi="宋体"/>
          <w:color w:val="auto"/>
          <w:sz w:val="24"/>
          <w:highlight w:val="none"/>
        </w:rPr>
        <w:t>发包人按照</w:t>
      </w:r>
      <w:r>
        <w:rPr>
          <w:rFonts w:hint="eastAsia" w:ascii="宋体" w:hAnsi="宋体"/>
          <w:color w:val="auto"/>
          <w:sz w:val="24"/>
          <w:highlight w:val="none"/>
          <w:lang w:val="en-US" w:eastAsia="zh-CN"/>
        </w:rPr>
        <w:t>现行相关规定</w:t>
      </w:r>
      <w:r>
        <w:rPr>
          <w:rFonts w:ascii="宋体" w:hAnsi="宋体"/>
          <w:color w:val="auto"/>
          <w:sz w:val="24"/>
          <w:highlight w:val="none"/>
        </w:rPr>
        <w:t>，将应付工程款中的人工费单独拨付到承包人开设的农民工工资专用账户。</w:t>
      </w:r>
    </w:p>
    <w:p w14:paraId="2B7862B4">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开设、使用农民工工资专用账户有关资料应当由</w:t>
      </w:r>
      <w:r>
        <w:rPr>
          <w:rFonts w:hint="eastAsia" w:ascii="宋体" w:hAnsi="宋体"/>
          <w:color w:val="auto"/>
          <w:sz w:val="24"/>
          <w:highlight w:val="none"/>
        </w:rPr>
        <w:t>承包人</w:t>
      </w:r>
      <w:r>
        <w:rPr>
          <w:rFonts w:ascii="宋体" w:hAnsi="宋体"/>
          <w:color w:val="auto"/>
          <w:sz w:val="24"/>
          <w:highlight w:val="none"/>
        </w:rPr>
        <w:t>妥善保存备查。</w:t>
      </w:r>
    </w:p>
    <w:p w14:paraId="41251B48">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承包人农民工工资专用账户设立后</w:t>
      </w:r>
      <w:r>
        <w:rPr>
          <w:rFonts w:hint="eastAsia" w:ascii="宋体" w:hAnsi="宋体"/>
          <w:color w:val="auto"/>
          <w:sz w:val="24"/>
          <w:highlight w:val="none"/>
        </w:rPr>
        <w:t>，须</w:t>
      </w:r>
      <w:r>
        <w:rPr>
          <w:rFonts w:ascii="宋体" w:hAnsi="宋体"/>
          <w:color w:val="auto"/>
          <w:sz w:val="24"/>
          <w:highlight w:val="none"/>
        </w:rPr>
        <w:t>向</w:t>
      </w:r>
      <w:r>
        <w:rPr>
          <w:rFonts w:hint="eastAsia" w:ascii="宋体" w:hAnsi="宋体"/>
          <w:color w:val="auto"/>
          <w:sz w:val="24"/>
          <w:highlight w:val="none"/>
        </w:rPr>
        <w:t>监理人、</w:t>
      </w:r>
      <w:r>
        <w:rPr>
          <w:rFonts w:ascii="宋体" w:hAnsi="宋体"/>
          <w:color w:val="auto"/>
          <w:sz w:val="24"/>
          <w:highlight w:val="none"/>
        </w:rPr>
        <w:t>发包人</w:t>
      </w:r>
      <w:r>
        <w:rPr>
          <w:rFonts w:hint="eastAsia" w:ascii="宋体" w:hAnsi="宋体"/>
          <w:color w:val="auto"/>
          <w:sz w:val="24"/>
          <w:highlight w:val="none"/>
        </w:rPr>
        <w:t>、</w:t>
      </w:r>
      <w:r>
        <w:rPr>
          <w:rFonts w:ascii="宋体" w:hAnsi="宋体"/>
          <w:color w:val="auto"/>
          <w:sz w:val="24"/>
          <w:highlight w:val="none"/>
        </w:rPr>
        <w:t>地方协调部门</w:t>
      </w:r>
      <w:r>
        <w:rPr>
          <w:rFonts w:hint="eastAsia" w:ascii="宋体" w:hAnsi="宋体"/>
          <w:color w:val="auto"/>
          <w:sz w:val="24"/>
          <w:highlight w:val="none"/>
        </w:rPr>
        <w:t>、</w:t>
      </w:r>
      <w:r>
        <w:rPr>
          <w:rFonts w:ascii="宋体" w:hAnsi="宋体"/>
          <w:color w:val="auto"/>
          <w:sz w:val="24"/>
          <w:highlight w:val="none"/>
        </w:rPr>
        <w:t>交通建设项目主管部门备案，并由发包人委托开户银行负责日常监管，确保专款专用。</w:t>
      </w:r>
    </w:p>
    <w:p w14:paraId="2751F2A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8 \* GB3 \* MERGEFORMAT </w:instrText>
      </w:r>
      <w:r>
        <w:rPr>
          <w:rFonts w:hint="eastAsia" w:ascii="宋体" w:hAnsi="宋体"/>
          <w:color w:val="auto"/>
          <w:sz w:val="24"/>
          <w:highlight w:val="none"/>
        </w:rPr>
        <w:fldChar w:fldCharType="separate"/>
      </w:r>
      <w:r>
        <w:rPr>
          <w:color w:val="auto"/>
          <w:highlight w:val="none"/>
        </w:rPr>
        <w:t>⑧</w:t>
      </w:r>
      <w:r>
        <w:rPr>
          <w:rFonts w:hint="eastAsia" w:ascii="宋体" w:hAnsi="宋体"/>
          <w:color w:val="auto"/>
          <w:sz w:val="24"/>
          <w:highlight w:val="none"/>
        </w:rPr>
        <w:fldChar w:fldCharType="end"/>
      </w:r>
      <w:r>
        <w:rPr>
          <w:rFonts w:hint="eastAsia" w:ascii="宋体" w:hAnsi="宋体"/>
          <w:color w:val="auto"/>
          <w:sz w:val="24"/>
          <w:highlight w:val="none"/>
        </w:rPr>
        <w:t>农民工工资专用账户</w:t>
      </w:r>
      <w:r>
        <w:rPr>
          <w:rFonts w:ascii="宋体" w:hAnsi="宋体"/>
          <w:color w:val="auto"/>
          <w:sz w:val="24"/>
          <w:highlight w:val="none"/>
        </w:rPr>
        <w:t>开户银行应当优化农民工工资专用账户开设服务流程，做好农民工工资专用账户的日常管理工作；发现资金未按约定拨付等情况的，及时通知</w:t>
      </w:r>
      <w:r>
        <w:rPr>
          <w:rFonts w:hint="eastAsia" w:ascii="宋体" w:hAnsi="宋体"/>
          <w:color w:val="auto"/>
          <w:sz w:val="24"/>
          <w:highlight w:val="none"/>
        </w:rPr>
        <w:t>发包人</w:t>
      </w:r>
      <w:r>
        <w:rPr>
          <w:rFonts w:ascii="宋体" w:hAnsi="宋体"/>
          <w:color w:val="auto"/>
          <w:sz w:val="24"/>
          <w:highlight w:val="none"/>
        </w:rPr>
        <w:t>或承包人，由</w:t>
      </w:r>
      <w:r>
        <w:rPr>
          <w:rFonts w:hint="eastAsia" w:ascii="宋体" w:hAnsi="宋体"/>
          <w:color w:val="auto"/>
          <w:sz w:val="24"/>
          <w:highlight w:val="none"/>
        </w:rPr>
        <w:t>发包人或</w:t>
      </w:r>
      <w:r>
        <w:rPr>
          <w:rFonts w:ascii="宋体" w:hAnsi="宋体"/>
          <w:color w:val="auto"/>
          <w:sz w:val="24"/>
          <w:highlight w:val="none"/>
        </w:rPr>
        <w:t>承包人报告人力资源社会保障行政部门和相关行业工程建设主管部门，并纳入欠薪预警系统。</w:t>
      </w:r>
    </w:p>
    <w:p w14:paraId="269C6434">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工程完工且未拖欠农民工工资的，承包人公示30日后，可以申请注销农民工工资专用账户，账户内余额归承包人所有。</w:t>
      </w:r>
    </w:p>
    <w:p w14:paraId="624A632F">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9 \* GB3 \* MERGEFORMAT </w:instrText>
      </w:r>
      <w:r>
        <w:rPr>
          <w:rFonts w:hint="eastAsia" w:ascii="宋体" w:hAnsi="宋体"/>
          <w:color w:val="auto"/>
          <w:sz w:val="24"/>
          <w:highlight w:val="none"/>
        </w:rPr>
        <w:fldChar w:fldCharType="separate"/>
      </w:r>
      <w:r>
        <w:rPr>
          <w:color w:val="auto"/>
          <w:highlight w:val="none"/>
        </w:rPr>
        <w:t>⑨</w:t>
      </w:r>
      <w:r>
        <w:rPr>
          <w:rFonts w:hint="eastAsia" w:ascii="宋体" w:hAnsi="宋体"/>
          <w:color w:val="auto"/>
          <w:sz w:val="24"/>
          <w:highlight w:val="none"/>
        </w:rPr>
        <w:fldChar w:fldCharType="end"/>
      </w:r>
      <w:r>
        <w:rPr>
          <w:rFonts w:hint="eastAsia" w:ascii="宋体" w:hAnsi="宋体"/>
          <w:color w:val="auto"/>
          <w:sz w:val="24"/>
          <w:highlight w:val="none"/>
        </w:rPr>
        <w:t>承包人</w:t>
      </w:r>
      <w:r>
        <w:rPr>
          <w:rFonts w:ascii="宋体" w:hAnsi="宋体"/>
          <w:color w:val="auto"/>
          <w:sz w:val="24"/>
          <w:highlight w:val="none"/>
        </w:rPr>
        <w:t>应当按照工资支付周期编制书面工资支付台账，并至少保存3年。书面工资支付台账应当包括用人单位名称，支付周期，支付日期，支付对象姓名、身份证号码、联系方式，工作时间，应发工资项目及数额，代扣、代缴、扣除项目和数额，实发工资数额，银行代发工资凭证或者农民工签字等内容</w:t>
      </w:r>
      <w:r>
        <w:rPr>
          <w:rFonts w:hint="eastAsia" w:ascii="宋体" w:hAnsi="宋体"/>
          <w:color w:val="auto"/>
          <w:sz w:val="24"/>
          <w:highlight w:val="none"/>
        </w:rPr>
        <w:t>。承包人</w:t>
      </w:r>
      <w:r>
        <w:rPr>
          <w:rFonts w:ascii="宋体" w:hAnsi="宋体"/>
          <w:color w:val="auto"/>
          <w:sz w:val="24"/>
          <w:highlight w:val="none"/>
        </w:rPr>
        <w:t>向农民工支付工资时，应当提供农民工本人的工资清单。</w:t>
      </w:r>
    </w:p>
    <w:p w14:paraId="435C8174">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10 \* GB3 \* MERGEFORMAT </w:instrText>
      </w:r>
      <w:r>
        <w:rPr>
          <w:rFonts w:hint="eastAsia" w:ascii="宋体" w:hAnsi="宋体"/>
          <w:color w:val="auto"/>
          <w:sz w:val="24"/>
          <w:highlight w:val="none"/>
        </w:rPr>
        <w:fldChar w:fldCharType="separate"/>
      </w:r>
      <w:r>
        <w:rPr>
          <w:color w:val="auto"/>
          <w:highlight w:val="none"/>
        </w:rPr>
        <w:t>⑩</w:t>
      </w:r>
      <w:r>
        <w:rPr>
          <w:rFonts w:hint="eastAsia" w:ascii="宋体" w:hAnsi="宋体"/>
          <w:color w:val="auto"/>
          <w:sz w:val="24"/>
          <w:highlight w:val="none"/>
        </w:rPr>
        <w:fldChar w:fldCharType="end"/>
      </w:r>
      <w:r>
        <w:rPr>
          <w:rFonts w:hint="eastAsia" w:ascii="宋体" w:hAnsi="宋体"/>
          <w:color w:val="auto"/>
          <w:sz w:val="24"/>
          <w:highlight w:val="none"/>
        </w:rPr>
        <w:t>承包人支付农民工工资</w:t>
      </w:r>
      <w:r>
        <w:rPr>
          <w:rFonts w:ascii="宋体" w:hAnsi="宋体"/>
          <w:color w:val="auto"/>
          <w:sz w:val="24"/>
          <w:highlight w:val="none"/>
        </w:rPr>
        <w:t>具体支付日期遇法定节假日或者休息日的，应当在法定节假日或者休息日前支付。因不可抗力未能在支付日期支付工资的，应当在不可抗力消除后及时支付。</w:t>
      </w:r>
    </w:p>
    <w:p w14:paraId="293B0E0E">
      <w:pPr>
        <w:adjustRightInd w:val="0"/>
        <w:snapToGrid w:val="0"/>
        <w:spacing w:line="360" w:lineRule="auto"/>
        <w:ind w:firstLine="480" w:firstLineChars="200"/>
        <w:rPr>
          <w:rFonts w:ascii="宋体" w:hAnsi="宋体"/>
          <w:color w:val="auto"/>
          <w:sz w:val="24"/>
          <w:highlight w:val="none"/>
        </w:rPr>
      </w:pPr>
      <w:r>
        <w:rPr>
          <w:rFonts w:hint="default" w:ascii="宋体" w:hAnsi="宋体"/>
          <w:color w:val="auto"/>
          <w:sz w:val="24"/>
          <w:highlight w:val="none"/>
          <w:lang w:val="en-US"/>
        </w:rPr>
        <w:fldChar w:fldCharType="begin"/>
      </w:r>
      <w:r>
        <w:rPr>
          <w:rFonts w:hint="default" w:ascii="宋体" w:hAnsi="宋体"/>
          <w:color w:val="auto"/>
          <w:sz w:val="24"/>
          <w:highlight w:val="none"/>
          <w:lang w:val="en-US"/>
        </w:rPr>
        <w:instrText xml:space="preserve"> EQ \o\ac(○,</w:instrText>
      </w:r>
      <w:r>
        <w:rPr>
          <w:rFonts w:hint="default" w:ascii="宋体" w:hAnsi="宋体"/>
          <w:color w:val="auto"/>
          <w:position w:val="3"/>
          <w:sz w:val="16"/>
          <w:highlight w:val="none"/>
          <w:lang w:val="en-US"/>
        </w:rPr>
        <w:instrText xml:space="preserve">11</w:instrText>
      </w:r>
      <w:r>
        <w:rPr>
          <w:rFonts w:hint="default" w:ascii="宋体" w:hAnsi="宋体"/>
          <w:color w:val="auto"/>
          <w:sz w:val="24"/>
          <w:highlight w:val="none"/>
          <w:lang w:val="en-US"/>
        </w:rPr>
        <w:instrText xml:space="preserve">)</w:instrText>
      </w:r>
      <w:r>
        <w:rPr>
          <w:rFonts w:hint="default" w:ascii="宋体" w:hAnsi="宋体"/>
          <w:color w:val="auto"/>
          <w:sz w:val="24"/>
          <w:highlight w:val="none"/>
          <w:lang w:val="en-US"/>
        </w:rPr>
        <w:fldChar w:fldCharType="end"/>
      </w:r>
      <w:r>
        <w:rPr>
          <w:rFonts w:ascii="宋体" w:hAnsi="宋体"/>
          <w:color w:val="auto"/>
          <w:sz w:val="24"/>
          <w:highlight w:val="none"/>
        </w:rPr>
        <w:t>承包人应当在施工现场醒目位置设立维权信息告示牌，明示下列事项：</w:t>
      </w:r>
    </w:p>
    <w:p w14:paraId="075A129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a.</w:t>
      </w:r>
      <w:r>
        <w:rPr>
          <w:rFonts w:hint="eastAsia" w:ascii="宋体" w:hAnsi="宋体"/>
          <w:color w:val="auto"/>
          <w:sz w:val="24"/>
          <w:highlight w:val="none"/>
        </w:rPr>
        <w:t>发包人</w:t>
      </w:r>
      <w:r>
        <w:rPr>
          <w:rFonts w:ascii="宋体" w:hAnsi="宋体"/>
          <w:color w:val="auto"/>
          <w:sz w:val="24"/>
          <w:highlight w:val="none"/>
        </w:rPr>
        <w:t>、施工</w:t>
      </w:r>
      <w:r>
        <w:rPr>
          <w:rFonts w:hint="eastAsia" w:ascii="宋体" w:hAnsi="宋体"/>
          <w:color w:val="auto"/>
          <w:sz w:val="24"/>
          <w:highlight w:val="none"/>
        </w:rPr>
        <w:t>承包人</w:t>
      </w:r>
      <w:r>
        <w:rPr>
          <w:rFonts w:ascii="宋体" w:hAnsi="宋体"/>
          <w:color w:val="auto"/>
          <w:sz w:val="24"/>
          <w:highlight w:val="none"/>
        </w:rPr>
        <w:t>及所在项目部、分包单位、相关行业工程建设主管部门、劳资专管员等基本信息；</w:t>
      </w:r>
    </w:p>
    <w:p w14:paraId="1AE5EE54">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b.</w:t>
      </w:r>
      <w:r>
        <w:rPr>
          <w:rFonts w:ascii="宋体" w:hAnsi="宋体"/>
          <w:color w:val="auto"/>
          <w:sz w:val="24"/>
          <w:highlight w:val="none"/>
        </w:rPr>
        <w:t>当地最低工资标准、工资支付日期等基本信息；</w:t>
      </w:r>
    </w:p>
    <w:p w14:paraId="7C9E0AD4">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c.</w:t>
      </w:r>
      <w:r>
        <w:rPr>
          <w:rFonts w:ascii="宋体" w:hAnsi="宋体"/>
          <w:color w:val="auto"/>
          <w:sz w:val="24"/>
          <w:highlight w:val="none"/>
        </w:rPr>
        <w:t>相关行业工程建设主管部门和劳动保障监察投诉举报电话、劳动争议调解仲裁申请渠道、法律援助申请渠道、公共法律服务热线等信息。</w:t>
      </w:r>
    </w:p>
    <w:p w14:paraId="18F4256A">
      <w:pPr>
        <w:adjustRightInd w:val="0"/>
        <w:snapToGrid w:val="0"/>
        <w:spacing w:line="360" w:lineRule="auto"/>
        <w:ind w:firstLine="480" w:firstLineChars="200"/>
        <w:rPr>
          <w:rFonts w:ascii="宋体" w:hAnsi="宋体"/>
          <w:color w:val="auto"/>
          <w:sz w:val="24"/>
          <w:highlight w:val="none"/>
        </w:rPr>
      </w:pPr>
      <w:r>
        <w:rPr>
          <w:rFonts w:hint="default" w:ascii="宋体" w:hAnsi="宋体"/>
          <w:color w:val="auto"/>
          <w:sz w:val="24"/>
          <w:highlight w:val="none"/>
          <w:lang w:val="en-US"/>
        </w:rPr>
        <w:fldChar w:fldCharType="begin"/>
      </w:r>
      <w:r>
        <w:rPr>
          <w:rFonts w:hint="default" w:ascii="宋体" w:hAnsi="宋体"/>
          <w:color w:val="auto"/>
          <w:sz w:val="24"/>
          <w:highlight w:val="none"/>
          <w:lang w:val="en-US"/>
        </w:rPr>
        <w:instrText xml:space="preserve"> EQ \o\ac(○,</w:instrText>
      </w:r>
      <w:r>
        <w:rPr>
          <w:rFonts w:hint="default" w:ascii="宋体" w:hAnsi="宋体"/>
          <w:color w:val="auto"/>
          <w:position w:val="3"/>
          <w:sz w:val="16"/>
          <w:highlight w:val="none"/>
          <w:lang w:val="en-US"/>
        </w:rPr>
        <w:instrText xml:space="preserve">12</w:instrText>
      </w:r>
      <w:r>
        <w:rPr>
          <w:rFonts w:hint="default" w:ascii="宋体" w:hAnsi="宋体"/>
          <w:color w:val="auto"/>
          <w:sz w:val="24"/>
          <w:highlight w:val="none"/>
          <w:lang w:val="en-US"/>
        </w:rPr>
        <w:instrText xml:space="preserve">)</w:instrText>
      </w:r>
      <w:r>
        <w:rPr>
          <w:rFonts w:hint="default" w:ascii="宋体" w:hAnsi="宋体"/>
          <w:color w:val="auto"/>
          <w:sz w:val="24"/>
          <w:highlight w:val="none"/>
          <w:lang w:val="en-US"/>
        </w:rPr>
        <w:fldChar w:fldCharType="end"/>
      </w:r>
      <w:r>
        <w:rPr>
          <w:rFonts w:ascii="宋体" w:hAnsi="宋体"/>
          <w:color w:val="auto"/>
          <w:sz w:val="24"/>
          <w:highlight w:val="none"/>
        </w:rPr>
        <w:t>发包人与</w:t>
      </w:r>
      <w:r>
        <w:rPr>
          <w:rFonts w:hint="eastAsia" w:ascii="宋体" w:hAnsi="宋体"/>
          <w:color w:val="auto"/>
          <w:sz w:val="24"/>
          <w:highlight w:val="none"/>
        </w:rPr>
        <w:t>承包人</w:t>
      </w:r>
      <w:r>
        <w:rPr>
          <w:rFonts w:ascii="宋体" w:hAnsi="宋体"/>
          <w:color w:val="auto"/>
          <w:sz w:val="24"/>
          <w:highlight w:val="none"/>
        </w:rPr>
        <w:t>或者承包</w:t>
      </w:r>
      <w:r>
        <w:rPr>
          <w:rFonts w:hint="eastAsia" w:ascii="宋体" w:hAnsi="宋体"/>
          <w:color w:val="auto"/>
          <w:sz w:val="24"/>
          <w:highlight w:val="none"/>
        </w:rPr>
        <w:t>人</w:t>
      </w:r>
      <w:r>
        <w:rPr>
          <w:rFonts w:ascii="宋体" w:hAnsi="宋体"/>
          <w:color w:val="auto"/>
          <w:sz w:val="24"/>
          <w:highlight w:val="none"/>
        </w:rPr>
        <w:t>与分包单位</w:t>
      </w:r>
      <w:r>
        <w:rPr>
          <w:rFonts w:hint="eastAsia" w:ascii="宋体" w:hAnsi="宋体"/>
          <w:color w:val="auto"/>
          <w:sz w:val="24"/>
          <w:highlight w:val="none"/>
        </w:rPr>
        <w:t>（如有）</w:t>
      </w:r>
      <w:r>
        <w:rPr>
          <w:rFonts w:ascii="宋体" w:hAnsi="宋体"/>
          <w:color w:val="auto"/>
          <w:sz w:val="24"/>
          <w:highlight w:val="none"/>
        </w:rPr>
        <w:t>因工程数量、质量、造价等产生争议的，</w:t>
      </w:r>
      <w:r>
        <w:rPr>
          <w:rFonts w:hint="eastAsia" w:ascii="宋体" w:hAnsi="宋体"/>
          <w:color w:val="auto"/>
          <w:sz w:val="24"/>
          <w:highlight w:val="none"/>
        </w:rPr>
        <w:t>发包人</w:t>
      </w:r>
      <w:r>
        <w:rPr>
          <w:rFonts w:ascii="宋体" w:hAnsi="宋体"/>
          <w:color w:val="auto"/>
          <w:sz w:val="24"/>
          <w:highlight w:val="none"/>
        </w:rPr>
        <w:t>不得因争议不按照</w:t>
      </w:r>
      <w:r>
        <w:rPr>
          <w:rFonts w:hint="eastAsia" w:ascii="宋体" w:hAnsi="宋体"/>
          <w:color w:val="auto"/>
          <w:sz w:val="24"/>
          <w:highlight w:val="none"/>
        </w:rPr>
        <w:t>合同约定</w:t>
      </w:r>
      <w:r>
        <w:rPr>
          <w:rFonts w:ascii="宋体" w:hAnsi="宋体"/>
          <w:color w:val="auto"/>
          <w:sz w:val="24"/>
          <w:highlight w:val="none"/>
        </w:rPr>
        <w:t>的规定拨付工程款中的人工费用，</w:t>
      </w:r>
      <w:r>
        <w:rPr>
          <w:rFonts w:hint="eastAsia" w:ascii="宋体" w:hAnsi="宋体"/>
          <w:color w:val="auto"/>
          <w:sz w:val="24"/>
          <w:highlight w:val="none"/>
        </w:rPr>
        <w:t>承包人</w:t>
      </w:r>
      <w:r>
        <w:rPr>
          <w:rFonts w:ascii="宋体" w:hAnsi="宋体"/>
          <w:color w:val="auto"/>
          <w:sz w:val="24"/>
          <w:highlight w:val="none"/>
        </w:rPr>
        <w:t>也不得因争议不按照规定代发工资。</w:t>
      </w:r>
    </w:p>
    <w:p w14:paraId="06ACEB0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EQ \o\ac(○,</w:instrText>
      </w:r>
      <w:r>
        <w:rPr>
          <w:rFonts w:hint="eastAsia" w:ascii="宋体" w:hAnsi="宋体"/>
          <w:color w:val="auto"/>
          <w:position w:val="3"/>
          <w:sz w:val="16"/>
          <w:highlight w:val="none"/>
        </w:rPr>
        <w:instrText xml:space="preserve">13</w:instrText>
      </w:r>
      <w:r>
        <w:rPr>
          <w:rFonts w:hint="eastAsia" w:ascii="宋体" w:hAnsi="宋体"/>
          <w:color w:val="auto"/>
          <w:sz w:val="24"/>
          <w:highlight w:val="none"/>
        </w:rPr>
        <w:instrText xml:space="preserve">)</w:instrText>
      </w:r>
      <w:r>
        <w:rPr>
          <w:rFonts w:hint="eastAsia" w:ascii="宋体" w:hAnsi="宋体"/>
          <w:color w:val="auto"/>
          <w:sz w:val="24"/>
          <w:highlight w:val="none"/>
        </w:rPr>
        <w:fldChar w:fldCharType="end"/>
      </w:r>
      <w:r>
        <w:rPr>
          <w:rFonts w:hint="eastAsia" w:ascii="宋体" w:hAnsi="宋体"/>
          <w:color w:val="auto"/>
          <w:sz w:val="24"/>
          <w:highlight w:val="none"/>
        </w:rPr>
        <w:t>承包人</w:t>
      </w:r>
      <w:r>
        <w:rPr>
          <w:rFonts w:ascii="宋体" w:hAnsi="宋体"/>
          <w:color w:val="auto"/>
          <w:sz w:val="24"/>
          <w:highlight w:val="none"/>
        </w:rPr>
        <w:t>拖欠农民工工资，情节严重或者造成严重不良社会影响的，有关部门应当将该</w:t>
      </w:r>
      <w:r>
        <w:rPr>
          <w:rFonts w:hint="eastAsia" w:ascii="宋体" w:hAnsi="宋体"/>
          <w:color w:val="auto"/>
          <w:sz w:val="24"/>
          <w:highlight w:val="none"/>
        </w:rPr>
        <w:t>承包人</w:t>
      </w:r>
      <w:r>
        <w:rPr>
          <w:rFonts w:ascii="宋体" w:hAnsi="宋体"/>
          <w:color w:val="auto"/>
          <w:sz w:val="24"/>
          <w:highlight w:val="none"/>
        </w:rPr>
        <w:t>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14:paraId="05CD5C1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EQ \o\ac(○,</w:instrText>
      </w:r>
      <w:r>
        <w:rPr>
          <w:rFonts w:hint="eastAsia" w:ascii="宋体" w:hAnsi="宋体"/>
          <w:color w:val="auto"/>
          <w:position w:val="3"/>
          <w:sz w:val="16"/>
          <w:highlight w:val="none"/>
        </w:rPr>
        <w:instrText xml:space="preserve">14</w:instrText>
      </w:r>
      <w:r>
        <w:rPr>
          <w:rFonts w:hint="eastAsia" w:ascii="宋体" w:hAnsi="宋体"/>
          <w:color w:val="auto"/>
          <w:sz w:val="24"/>
          <w:highlight w:val="none"/>
        </w:rPr>
        <w:instrText xml:space="preserve">)</w:instrText>
      </w:r>
      <w:r>
        <w:rPr>
          <w:rFonts w:hint="eastAsia" w:ascii="宋体" w:hAnsi="宋体"/>
          <w:color w:val="auto"/>
          <w:sz w:val="24"/>
          <w:highlight w:val="none"/>
        </w:rPr>
        <w:fldChar w:fldCharType="end"/>
      </w:r>
      <w:r>
        <w:rPr>
          <w:rFonts w:hint="eastAsia" w:ascii="宋体" w:hAnsi="宋体"/>
          <w:color w:val="auto"/>
          <w:sz w:val="24"/>
          <w:highlight w:val="none"/>
        </w:rPr>
        <w:t>发包人</w:t>
      </w:r>
      <w:r>
        <w:rPr>
          <w:rFonts w:ascii="宋体" w:hAnsi="宋体"/>
          <w:color w:val="auto"/>
          <w:sz w:val="24"/>
          <w:highlight w:val="none"/>
        </w:rPr>
        <w:t>未依法提供工程款支付担保或者政府投资项目拖欠工程款，导致拖欠农民工工资的，县级以上地方人民政府应当限制其新建项目，并记入信用记录，纳入国家信用信息系统进行公示。</w:t>
      </w:r>
    </w:p>
    <w:p w14:paraId="7ACFCFD9">
      <w:pPr>
        <w:adjustRightInd w:val="0"/>
        <w:snapToGrid w:val="0"/>
        <w:spacing w:line="360" w:lineRule="auto"/>
        <w:ind w:firstLine="480" w:firstLineChars="200"/>
        <w:rPr>
          <w:rFonts w:hint="eastAsia" w:ascii="宋体" w:hAnsi="宋体" w:cs="宋体"/>
          <w:color w:val="auto"/>
          <w:spacing w:val="-4"/>
          <w:sz w:val="24"/>
          <w:highlight w:val="none"/>
        </w:rPr>
      </w:pPr>
      <w:r>
        <w:rPr>
          <w:rFonts w:hint="default" w:ascii="宋体" w:hAnsi="宋体"/>
          <w:color w:val="auto"/>
          <w:sz w:val="24"/>
          <w:highlight w:val="none"/>
          <w:lang w:val="en-US"/>
        </w:rPr>
        <w:fldChar w:fldCharType="begin"/>
      </w:r>
      <w:r>
        <w:rPr>
          <w:rFonts w:hint="default" w:ascii="宋体" w:hAnsi="宋体"/>
          <w:color w:val="auto"/>
          <w:sz w:val="24"/>
          <w:highlight w:val="none"/>
          <w:lang w:val="en-US"/>
        </w:rPr>
        <w:instrText xml:space="preserve"> EQ \o\ac(○,</w:instrText>
      </w:r>
      <w:r>
        <w:rPr>
          <w:rFonts w:hint="default" w:ascii="宋体" w:hAnsi="宋体"/>
          <w:color w:val="auto"/>
          <w:position w:val="3"/>
          <w:sz w:val="16"/>
          <w:highlight w:val="none"/>
          <w:lang w:val="en-US"/>
        </w:rPr>
        <w:instrText xml:space="preserve">15</w:instrText>
      </w:r>
      <w:r>
        <w:rPr>
          <w:rFonts w:hint="default" w:ascii="宋体" w:hAnsi="宋体"/>
          <w:color w:val="auto"/>
          <w:sz w:val="24"/>
          <w:highlight w:val="none"/>
          <w:lang w:val="en-US"/>
        </w:rPr>
        <w:instrText xml:space="preserve">)</w:instrText>
      </w:r>
      <w:r>
        <w:rPr>
          <w:rFonts w:hint="default" w:ascii="宋体" w:hAnsi="宋体"/>
          <w:color w:val="auto"/>
          <w:sz w:val="24"/>
          <w:highlight w:val="none"/>
          <w:lang w:val="en-US"/>
        </w:rPr>
        <w:fldChar w:fldCharType="end"/>
      </w:r>
      <w:r>
        <w:rPr>
          <w:rFonts w:hint="eastAsia" w:ascii="宋体" w:hAnsi="宋体"/>
          <w:color w:val="auto"/>
          <w:sz w:val="24"/>
          <w:highlight w:val="none"/>
        </w:rPr>
        <w:t>承包人违反农民工用工规定的情形，按国家有关法律法规进行处理。</w:t>
      </w:r>
    </w:p>
    <w:p w14:paraId="7237E68C">
      <w:pPr>
        <w:adjustRightInd w:val="0"/>
        <w:snapToGrid w:val="0"/>
        <w:spacing w:line="360" w:lineRule="auto"/>
        <w:ind w:firstLine="348" w:firstLineChars="150"/>
        <w:rPr>
          <w:rFonts w:hint="eastAsia" w:ascii="宋体" w:hAnsi="宋体" w:cs="宋体"/>
          <w:color w:val="auto"/>
          <w:spacing w:val="-4"/>
          <w:sz w:val="24"/>
          <w:highlight w:val="none"/>
        </w:rPr>
      </w:pPr>
      <w:r>
        <w:rPr>
          <w:rFonts w:hint="eastAsia" w:ascii="宋体" w:hAnsi="宋体" w:cs="宋体"/>
          <w:color w:val="auto"/>
          <w:spacing w:val="-4"/>
          <w:sz w:val="24"/>
          <w:highlight w:val="none"/>
          <w:lang w:val="en-US" w:eastAsia="zh-CN"/>
        </w:rPr>
        <w:t>（3）</w:t>
      </w:r>
      <w:r>
        <w:rPr>
          <w:rFonts w:hint="eastAsia" w:ascii="宋体" w:hAnsi="宋体" w:cs="宋体"/>
          <w:color w:val="auto"/>
          <w:spacing w:val="-4"/>
          <w:sz w:val="24"/>
          <w:highlight w:val="none"/>
        </w:rPr>
        <w:t>农民工工资银行直付制度</w:t>
      </w:r>
    </w:p>
    <w:p w14:paraId="5CCEB327">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承包人应为每一位农民工办理个人工资账户和银行卡，</w:t>
      </w:r>
      <w:r>
        <w:rPr>
          <w:rFonts w:hint="eastAsia" w:ascii="宋体" w:hAnsi="宋体" w:cs="宋体"/>
          <w:color w:val="auto"/>
          <w:sz w:val="24"/>
          <w:highlight w:val="none"/>
        </w:rPr>
        <w:t>项目实行</w:t>
      </w:r>
      <w:r>
        <w:rPr>
          <w:rFonts w:ascii="宋体" w:hAnsi="宋体" w:cs="宋体"/>
          <w:color w:val="auto"/>
          <w:sz w:val="24"/>
          <w:highlight w:val="none"/>
        </w:rPr>
        <w:t>银行直付工资的管理方式。办理的银行卡，必须严格发放到农民工个人手上，并保存卡片彩印件</w:t>
      </w:r>
      <w:r>
        <w:rPr>
          <w:rFonts w:hint="eastAsia" w:ascii="宋体" w:hAnsi="宋体" w:cs="宋体"/>
          <w:color w:val="auto"/>
          <w:sz w:val="24"/>
          <w:highlight w:val="none"/>
        </w:rPr>
        <w:t>、</w:t>
      </w:r>
      <w:r>
        <w:rPr>
          <w:rFonts w:ascii="宋体" w:hAnsi="宋体" w:cs="宋体"/>
          <w:color w:val="auto"/>
          <w:sz w:val="24"/>
          <w:highlight w:val="none"/>
        </w:rPr>
        <w:t>现场发卡记录。</w:t>
      </w:r>
    </w:p>
    <w:p w14:paraId="54A1E499">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承包人在每期计量后</w:t>
      </w:r>
      <w:r>
        <w:rPr>
          <w:rFonts w:hint="eastAsia" w:ascii="宋体" w:hAnsi="宋体" w:cs="宋体"/>
          <w:color w:val="auto"/>
          <w:sz w:val="24"/>
          <w:highlight w:val="none"/>
        </w:rPr>
        <w:t>，</w:t>
      </w:r>
      <w:r>
        <w:rPr>
          <w:rFonts w:ascii="宋体" w:hAnsi="宋体" w:cs="宋体"/>
          <w:color w:val="auto"/>
          <w:sz w:val="24"/>
          <w:highlight w:val="none"/>
        </w:rPr>
        <w:t>委托银行将农民工工资按工资表统一发至农民工工资专用卡上，发放记录报</w:t>
      </w:r>
      <w:r>
        <w:rPr>
          <w:rFonts w:hint="eastAsia" w:ascii="宋体" w:hAnsi="宋体" w:cs="宋体"/>
          <w:color w:val="auto"/>
          <w:sz w:val="24"/>
          <w:highlight w:val="none"/>
        </w:rPr>
        <w:t>监理人、</w:t>
      </w:r>
      <w:r>
        <w:rPr>
          <w:rFonts w:ascii="宋体" w:hAnsi="宋体" w:cs="宋体"/>
          <w:color w:val="auto"/>
          <w:sz w:val="24"/>
          <w:highlight w:val="none"/>
        </w:rPr>
        <w:t>承包人备查。</w:t>
      </w:r>
    </w:p>
    <w:p w14:paraId="21D67E9F">
      <w:pPr>
        <w:adjustRightInd w:val="0"/>
        <w:snapToGrid w:val="0"/>
        <w:spacing w:line="360" w:lineRule="auto"/>
        <w:ind w:firstLine="360" w:firstLineChars="150"/>
        <w:rPr>
          <w:rFonts w:ascii="宋体" w:hAnsi="宋体" w:cs="宋体"/>
          <w:color w:val="auto"/>
          <w:sz w:val="24"/>
          <w:highlight w:val="none"/>
        </w:rPr>
      </w:pPr>
      <w:r>
        <w:rPr>
          <w:rFonts w:ascii="宋体" w:hAnsi="宋体" w:cs="宋体"/>
          <w:color w:val="auto"/>
          <w:sz w:val="24"/>
          <w:highlight w:val="none"/>
        </w:rPr>
        <w:t>临时或短期聘用的农民工工资可采用现金支付，</w:t>
      </w:r>
      <w:r>
        <w:rPr>
          <w:rFonts w:hint="eastAsia" w:ascii="Helvetica" w:hAnsi="Helvetica"/>
          <w:color w:val="auto"/>
          <w:spacing w:val="8"/>
          <w:sz w:val="24"/>
          <w:highlight w:val="none"/>
        </w:rPr>
        <w:t>实行月、周、日、小时工资制的，按照月、周、日、小时为周期支付工资；实行计件工资制的，工资支付周期由双方依法约定。</w:t>
      </w:r>
      <w:r>
        <w:rPr>
          <w:rFonts w:ascii="宋体" w:hAnsi="宋体" w:cs="宋体"/>
          <w:color w:val="auto"/>
          <w:sz w:val="24"/>
          <w:highlight w:val="none"/>
        </w:rPr>
        <w:t>支付时农民工本人应在工资册上实名签字，不得代签。</w:t>
      </w:r>
      <w:r>
        <w:rPr>
          <w:rFonts w:hint="eastAsia" w:ascii="宋体" w:hAnsi="宋体" w:cs="宋体"/>
          <w:color w:val="auto"/>
          <w:sz w:val="24"/>
          <w:highlight w:val="none"/>
        </w:rPr>
        <w:t>承包人</w:t>
      </w:r>
      <w:r>
        <w:rPr>
          <w:rFonts w:ascii="宋体" w:hAnsi="宋体" w:cs="宋体"/>
          <w:color w:val="auto"/>
          <w:sz w:val="24"/>
          <w:highlight w:val="none"/>
        </w:rPr>
        <w:t>做好发放情况现场记录</w:t>
      </w:r>
      <w:r>
        <w:rPr>
          <w:rFonts w:hint="eastAsia" w:ascii="宋体" w:hAnsi="宋体" w:cs="宋体"/>
          <w:color w:val="auto"/>
          <w:sz w:val="24"/>
          <w:highlight w:val="none"/>
        </w:rPr>
        <w:t>、</w:t>
      </w:r>
      <w:r>
        <w:rPr>
          <w:rFonts w:ascii="宋体" w:hAnsi="宋体" w:cs="宋体"/>
          <w:color w:val="auto"/>
          <w:sz w:val="24"/>
          <w:highlight w:val="none"/>
        </w:rPr>
        <w:t>监理人对此进行监督</w:t>
      </w:r>
      <w:r>
        <w:rPr>
          <w:rFonts w:hint="eastAsia" w:ascii="宋体" w:hAnsi="宋体" w:cs="宋体"/>
          <w:color w:val="auto"/>
          <w:sz w:val="24"/>
          <w:highlight w:val="none"/>
        </w:rPr>
        <w:t>、</w:t>
      </w:r>
      <w:r>
        <w:rPr>
          <w:rFonts w:ascii="宋体" w:hAnsi="宋体" w:cs="宋体"/>
          <w:color w:val="auto"/>
          <w:sz w:val="24"/>
          <w:highlight w:val="none"/>
        </w:rPr>
        <w:t>发包人对此进行督办。</w:t>
      </w:r>
    </w:p>
    <w:p w14:paraId="1988E892">
      <w:pPr>
        <w:adjustRightInd w:val="0"/>
        <w:snapToGrid w:val="0"/>
        <w:spacing w:line="360" w:lineRule="auto"/>
        <w:ind w:firstLine="348" w:firstLineChars="150"/>
        <w:rPr>
          <w:rFonts w:hint="eastAsia" w:ascii="宋体" w:hAnsi="宋体" w:cs="宋体"/>
          <w:color w:val="auto"/>
          <w:spacing w:val="-4"/>
          <w:sz w:val="24"/>
          <w:highlight w:val="none"/>
        </w:rPr>
      </w:pP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lang w:val="en-US" w:eastAsia="zh-CN"/>
        </w:rPr>
        <w:t>4</w:t>
      </w:r>
      <w:r>
        <w:rPr>
          <w:rFonts w:hint="eastAsia" w:ascii="宋体" w:hAnsi="宋体" w:cs="宋体"/>
          <w:color w:val="auto"/>
          <w:spacing w:val="-4"/>
          <w:sz w:val="24"/>
          <w:highlight w:val="none"/>
          <w:lang w:eastAsia="zh-CN"/>
        </w:rPr>
        <w:t>）</w:t>
      </w:r>
      <w:r>
        <w:rPr>
          <w:rFonts w:ascii="宋体" w:hAnsi="宋体" w:cs="宋体"/>
          <w:color w:val="auto"/>
          <w:spacing w:val="-4"/>
          <w:sz w:val="24"/>
          <w:highlight w:val="none"/>
        </w:rPr>
        <w:t>农民工</w:t>
      </w:r>
      <w:r>
        <w:rPr>
          <w:rFonts w:hint="eastAsia" w:ascii="宋体" w:hAnsi="宋体" w:cs="宋体"/>
          <w:color w:val="auto"/>
          <w:spacing w:val="-4"/>
          <w:sz w:val="24"/>
          <w:highlight w:val="none"/>
        </w:rPr>
        <w:t>工资</w:t>
      </w:r>
      <w:r>
        <w:rPr>
          <w:rFonts w:hint="eastAsia" w:ascii="宋体" w:hAnsi="宋体" w:cs="宋体"/>
          <w:color w:val="auto"/>
          <w:spacing w:val="-4"/>
          <w:sz w:val="24"/>
          <w:highlight w:val="none"/>
          <w:lang w:eastAsia="zh-CN"/>
        </w:rPr>
        <w:t>保证</w:t>
      </w:r>
      <w:r>
        <w:rPr>
          <w:rFonts w:hint="eastAsia" w:ascii="宋体" w:hAnsi="宋体" w:cs="宋体"/>
          <w:color w:val="auto"/>
          <w:spacing w:val="-4"/>
          <w:sz w:val="24"/>
          <w:highlight w:val="none"/>
        </w:rPr>
        <w:t>金</w:t>
      </w:r>
    </w:p>
    <w:p w14:paraId="4BC92665">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 1 \* GB3 \* MERGEFORMAT </w:instrText>
      </w:r>
      <w:r>
        <w:rPr>
          <w:rFonts w:ascii="宋体" w:hAnsi="宋体" w:cs="宋体"/>
          <w:color w:val="auto"/>
          <w:sz w:val="24"/>
          <w:highlight w:val="none"/>
        </w:rPr>
        <w:fldChar w:fldCharType="separate"/>
      </w:r>
      <w:r>
        <w:rPr>
          <w:color w:val="auto"/>
          <w:highlight w:val="none"/>
        </w:rPr>
        <w:t>①</w:t>
      </w:r>
      <w:r>
        <w:rPr>
          <w:rFonts w:ascii="宋体" w:hAnsi="宋体" w:cs="宋体"/>
          <w:color w:val="auto"/>
          <w:sz w:val="24"/>
          <w:highlight w:val="none"/>
        </w:rPr>
        <w:fldChar w:fldCharType="end"/>
      </w:r>
      <w:r>
        <w:rPr>
          <w:rFonts w:hint="eastAsia"/>
          <w:color w:val="auto"/>
          <w:spacing w:val="0"/>
          <w:kern w:val="0"/>
          <w:sz w:val="24"/>
          <w:highlight w:val="none"/>
        </w:rPr>
        <w:t>承包人应当在工程所在地的银行存储工资保证金或申请开立银行保函。</w:t>
      </w:r>
    </w:p>
    <w:p w14:paraId="50B2E2F8">
      <w:pPr>
        <w:adjustRightInd w:val="0"/>
        <w:snapToGrid w:val="0"/>
        <w:spacing w:line="360" w:lineRule="auto"/>
        <w:ind w:firstLine="480" w:firstLineChars="200"/>
        <w:rPr>
          <w:rFonts w:ascii="宋体" w:hAnsi="宋体" w:cs="宋体"/>
          <w:color w:val="auto"/>
          <w:sz w:val="24"/>
          <w:highlight w:val="none"/>
        </w:rPr>
      </w:pPr>
      <w:r>
        <w:rPr>
          <w:rFonts w:hint="eastAsia"/>
          <w:color w:val="auto"/>
          <w:spacing w:val="0"/>
          <w:kern w:val="0"/>
          <w:sz w:val="24"/>
          <w:highlight w:val="none"/>
        </w:rPr>
        <w:fldChar w:fldCharType="begin"/>
      </w:r>
      <w:r>
        <w:rPr>
          <w:rFonts w:hint="eastAsia"/>
          <w:color w:val="auto"/>
          <w:spacing w:val="0"/>
          <w:kern w:val="0"/>
          <w:sz w:val="24"/>
          <w:highlight w:val="none"/>
        </w:rPr>
        <w:instrText xml:space="preserve"> = 2 \* GB3 \* MERGEFORMAT </w:instrText>
      </w:r>
      <w:r>
        <w:rPr>
          <w:rFonts w:hint="eastAsia"/>
          <w:color w:val="auto"/>
          <w:spacing w:val="0"/>
          <w:kern w:val="0"/>
          <w:sz w:val="24"/>
          <w:highlight w:val="none"/>
        </w:rPr>
        <w:fldChar w:fldCharType="separate"/>
      </w:r>
      <w:r>
        <w:rPr>
          <w:color w:val="auto"/>
          <w:highlight w:val="none"/>
        </w:rPr>
        <w:t>②</w:t>
      </w:r>
      <w:r>
        <w:rPr>
          <w:rFonts w:hint="eastAsia"/>
          <w:color w:val="auto"/>
          <w:spacing w:val="0"/>
          <w:kern w:val="0"/>
          <w:sz w:val="24"/>
          <w:highlight w:val="none"/>
        </w:rPr>
        <w:fldChar w:fldCharType="end"/>
      </w:r>
      <w:r>
        <w:rPr>
          <w:rFonts w:hint="eastAsia"/>
          <w:color w:val="auto"/>
          <w:spacing w:val="0"/>
          <w:kern w:val="0"/>
          <w:sz w:val="24"/>
          <w:highlight w:val="none"/>
        </w:rPr>
        <w:t>承包人应当自工程取得施工许可证（开工报告批复）之日起</w:t>
      </w:r>
      <w:r>
        <w:rPr>
          <w:color w:val="auto"/>
          <w:spacing w:val="0"/>
          <w:kern w:val="0"/>
          <w:sz w:val="24"/>
          <w:highlight w:val="none"/>
        </w:rPr>
        <w:t>20</w:t>
      </w:r>
      <w:r>
        <w:rPr>
          <w:rFonts w:hint="eastAsia"/>
          <w:color w:val="auto"/>
          <w:spacing w:val="0"/>
          <w:kern w:val="0"/>
          <w:sz w:val="24"/>
          <w:highlight w:val="none"/>
        </w:rPr>
        <w:t>个工作日内（依法不需要办理施工许可证或批准开工报告的工程自签订施工合同之日起</w:t>
      </w:r>
      <w:r>
        <w:rPr>
          <w:color w:val="auto"/>
          <w:spacing w:val="0"/>
          <w:kern w:val="0"/>
          <w:sz w:val="24"/>
          <w:highlight w:val="none"/>
        </w:rPr>
        <w:t>20</w:t>
      </w:r>
      <w:r>
        <w:rPr>
          <w:rFonts w:hint="eastAsia"/>
          <w:color w:val="auto"/>
          <w:spacing w:val="0"/>
          <w:kern w:val="0"/>
          <w:sz w:val="24"/>
          <w:highlight w:val="none"/>
        </w:rPr>
        <w:t>个工作日之内），持营业执照副本、与建设单位签订的施工合同在经办银行开立工资保证金专门账户存储工资保证金。</w:t>
      </w:r>
    </w:p>
    <w:p w14:paraId="1F0CD497">
      <w:pPr>
        <w:adjustRightInd w:val="0"/>
        <w:snapToGrid w:val="0"/>
        <w:spacing w:line="360" w:lineRule="auto"/>
        <w:ind w:firstLine="480" w:firstLineChars="200"/>
        <w:rPr>
          <w:rFonts w:hAnsi="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color w:val="auto"/>
          <w:highlight w:val="none"/>
        </w:rPr>
        <w:t>③</w:t>
      </w:r>
      <w:r>
        <w:rPr>
          <w:rFonts w:hint="eastAsia" w:ascii="宋体" w:hAnsi="宋体" w:cs="宋体"/>
          <w:color w:val="auto"/>
          <w:sz w:val="24"/>
          <w:highlight w:val="none"/>
        </w:rPr>
        <w:fldChar w:fldCharType="end"/>
      </w:r>
      <w:r>
        <w:rPr>
          <w:rFonts w:hint="eastAsia"/>
          <w:color w:val="auto"/>
          <w:spacing w:val="0"/>
          <w:kern w:val="0"/>
          <w:sz w:val="24"/>
          <w:highlight w:val="none"/>
        </w:rPr>
        <w:t>存储工资保证金的承包人应与经办银行签订《农民工工资保证金存款协议书》，并将协议书副本送属地人力资源社会保障行政部门备案。</w:t>
      </w:r>
    </w:p>
    <w:p w14:paraId="01A0C41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color w:val="auto"/>
          <w:highlight w:val="none"/>
        </w:rPr>
        <w:t>④</w:t>
      </w:r>
      <w:r>
        <w:rPr>
          <w:rFonts w:hint="eastAsia" w:ascii="宋体" w:hAnsi="宋体" w:cs="宋体"/>
          <w:color w:val="auto"/>
          <w:sz w:val="24"/>
          <w:highlight w:val="none"/>
        </w:rPr>
        <w:fldChar w:fldCharType="end"/>
      </w:r>
      <w:r>
        <w:rPr>
          <w:rFonts w:ascii="宋体" w:hAnsi="宋体" w:cs="宋体"/>
          <w:color w:val="auto"/>
          <w:sz w:val="24"/>
          <w:highlight w:val="none"/>
        </w:rPr>
        <w:t>农民工工资</w:t>
      </w:r>
      <w:r>
        <w:rPr>
          <w:rFonts w:hint="eastAsia" w:ascii="宋体" w:hAnsi="宋体" w:cs="宋体"/>
          <w:color w:val="auto"/>
          <w:sz w:val="24"/>
          <w:highlight w:val="none"/>
        </w:rPr>
        <w:t>保证金为施工合同额</w:t>
      </w:r>
      <w:r>
        <w:rPr>
          <w:rFonts w:ascii="宋体" w:hAnsi="宋体" w:cs="宋体"/>
          <w:color w:val="auto"/>
          <w:sz w:val="24"/>
          <w:highlight w:val="none"/>
        </w:rPr>
        <w:t>的</w:t>
      </w:r>
      <w:r>
        <w:rPr>
          <w:rFonts w:ascii="宋体" w:hAnsi="宋体" w:cs="宋体"/>
          <w:color w:val="auto"/>
          <w:sz w:val="24"/>
          <w:highlight w:val="none"/>
          <w:u w:val="single"/>
        </w:rPr>
        <w:t xml:space="preserve">    </w:t>
      </w:r>
      <w:r>
        <w:rPr>
          <w:rFonts w:ascii="宋体" w:hAnsi="宋体" w:cs="宋体"/>
          <w:color w:val="auto"/>
          <w:sz w:val="24"/>
          <w:highlight w:val="none"/>
        </w:rPr>
        <w:t>%</w:t>
      </w:r>
      <w:r>
        <w:rPr>
          <w:rStyle w:val="59"/>
          <w:rFonts w:ascii="宋体" w:hAnsi="宋体" w:cs="宋体"/>
          <w:color w:val="auto"/>
          <w:sz w:val="24"/>
          <w:highlight w:val="none"/>
        </w:rPr>
        <w:footnoteReference w:id="227"/>
      </w:r>
      <w:r>
        <w:rPr>
          <w:rFonts w:hint="eastAsia" w:ascii="宋体" w:hAnsi="宋体" w:cs="宋体"/>
          <w:color w:val="auto"/>
          <w:sz w:val="24"/>
          <w:highlight w:val="none"/>
        </w:rPr>
        <w:t>。</w:t>
      </w:r>
    </w:p>
    <w:p w14:paraId="2173322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color w:val="auto"/>
          <w:spacing w:val="0"/>
          <w:kern w:val="0"/>
          <w:sz w:val="24"/>
          <w:highlight w:val="none"/>
        </w:rPr>
        <w:t>属地人力资源社会保障行政部门应当将存储工资保证金或开立银行保函的承包人名单及对应的工程名称向社会公布，承包人应当将本工程落实工资保证金制度情况纳入维权信息告示牌内容。</w:t>
      </w:r>
    </w:p>
    <w:p w14:paraId="5F6DF45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6 \* GB3 \* MERGEFORMAT </w:instrText>
      </w:r>
      <w:r>
        <w:rPr>
          <w:rFonts w:hint="eastAsia" w:ascii="宋体" w:hAnsi="宋体" w:cs="宋体"/>
          <w:color w:val="auto"/>
          <w:sz w:val="24"/>
          <w:highlight w:val="none"/>
        </w:rPr>
        <w:fldChar w:fldCharType="separate"/>
      </w:r>
      <w:r>
        <w:rPr>
          <w:color w:val="auto"/>
          <w:highlight w:val="none"/>
        </w:rPr>
        <w:t>⑥</w:t>
      </w:r>
      <w:r>
        <w:rPr>
          <w:rFonts w:hint="eastAsia" w:ascii="宋体" w:hAnsi="宋体" w:cs="宋体"/>
          <w:color w:val="auto"/>
          <w:sz w:val="24"/>
          <w:highlight w:val="none"/>
        </w:rPr>
        <w:fldChar w:fldCharType="end"/>
      </w:r>
      <w:r>
        <w:rPr>
          <w:rFonts w:hint="eastAsia" w:ascii="宋体" w:hAnsi="宋体" w:cs="宋体"/>
          <w:color w:val="auto"/>
          <w:sz w:val="24"/>
          <w:highlight w:val="none"/>
        </w:rPr>
        <w:t>农民工工资保证金的动用：</w:t>
      </w:r>
      <w:r>
        <w:rPr>
          <w:rFonts w:hint="eastAsia"/>
          <w:color w:val="auto"/>
          <w:spacing w:val="0"/>
          <w:kern w:val="0"/>
          <w:sz w:val="24"/>
          <w:highlight w:val="none"/>
        </w:rPr>
        <w:t>承包人所承包工程发生拖欠农民工工资的，经人力资源社会保障行政部门依法作出责令限期清偿或先行清偿的行政处理决定，承包人到期拒不履行的，属地人力资源社会保障行政部门可以向经办银行出具《农民工工资保证金支付通知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以下简称《支付通知书》</w:t>
      </w:r>
      <w:r>
        <w:rPr>
          <w:rFonts w:hint="eastAsia" w:ascii="宋体" w:hAnsi="宋体" w:cs="宋体"/>
          <w:color w:val="auto"/>
          <w:sz w:val="24"/>
          <w:highlight w:val="none"/>
          <w:lang w:eastAsia="zh-CN"/>
        </w:rPr>
        <w:t>）</w:t>
      </w:r>
      <w:r>
        <w:rPr>
          <w:rFonts w:hint="eastAsia"/>
          <w:color w:val="auto"/>
          <w:spacing w:val="0"/>
          <w:kern w:val="0"/>
          <w:sz w:val="24"/>
          <w:highlight w:val="none"/>
        </w:rPr>
        <w:t>，书面通知有关承包人和经办银行。经办银行应在收到《支付通知书》</w:t>
      </w:r>
      <w:r>
        <w:rPr>
          <w:color w:val="auto"/>
          <w:spacing w:val="0"/>
          <w:kern w:val="0"/>
          <w:sz w:val="24"/>
          <w:highlight w:val="none"/>
        </w:rPr>
        <w:t>5</w:t>
      </w:r>
      <w:r>
        <w:rPr>
          <w:rFonts w:hint="eastAsia"/>
          <w:color w:val="auto"/>
          <w:spacing w:val="0"/>
          <w:kern w:val="0"/>
          <w:sz w:val="24"/>
          <w:highlight w:val="none"/>
        </w:rPr>
        <w:t>个工作日内，从工资保证金账户中将相应数额的款项以银行转</w:t>
      </w:r>
      <w:r>
        <w:rPr>
          <w:rFonts w:hint="eastAsia"/>
          <w:color w:val="auto"/>
          <w:spacing w:val="0"/>
          <w:kern w:val="0"/>
          <w:sz w:val="24"/>
          <w:highlight w:val="none"/>
          <w:lang w:eastAsia="zh-CN"/>
        </w:rPr>
        <w:t>账方</w:t>
      </w:r>
      <w:r>
        <w:rPr>
          <w:rFonts w:hint="eastAsia"/>
          <w:color w:val="auto"/>
          <w:spacing w:val="0"/>
          <w:kern w:val="0"/>
          <w:sz w:val="24"/>
          <w:highlight w:val="none"/>
        </w:rPr>
        <w:t>式支付给属地人力资源社会保障行政部门指定的被拖欠工资农民工本人。承包人采用银行保函替代工资保证金，发生前</w:t>
      </w:r>
      <w:r>
        <w:rPr>
          <w:rFonts w:hint="eastAsia"/>
          <w:color w:val="auto"/>
          <w:spacing w:val="0"/>
          <w:kern w:val="0"/>
          <w:sz w:val="24"/>
          <w:highlight w:val="none"/>
          <w:lang w:val="en-US" w:eastAsia="zh-CN"/>
        </w:rPr>
        <w:t>述</w:t>
      </w:r>
      <w:r>
        <w:rPr>
          <w:rFonts w:hint="eastAsia"/>
          <w:color w:val="auto"/>
          <w:spacing w:val="0"/>
          <w:kern w:val="0"/>
          <w:sz w:val="24"/>
          <w:highlight w:val="none"/>
        </w:rPr>
        <w:t>情形的，提供银行保函的经办银行应在收到《支付通知书》</w:t>
      </w:r>
      <w:r>
        <w:rPr>
          <w:color w:val="auto"/>
          <w:spacing w:val="0"/>
          <w:kern w:val="0"/>
          <w:sz w:val="24"/>
          <w:highlight w:val="none"/>
        </w:rPr>
        <w:t>5</w:t>
      </w:r>
      <w:r>
        <w:rPr>
          <w:rFonts w:hint="eastAsia"/>
          <w:color w:val="auto"/>
          <w:spacing w:val="0"/>
          <w:kern w:val="0"/>
          <w:sz w:val="24"/>
          <w:highlight w:val="none"/>
        </w:rPr>
        <w:t>个工作日内，依照银行保函约定支付农民工工资。</w:t>
      </w:r>
    </w:p>
    <w:p w14:paraId="0336E106">
      <w:pPr>
        <w:adjustRightInd w:val="0"/>
        <w:snapToGrid w:val="0"/>
        <w:spacing w:line="360" w:lineRule="auto"/>
        <w:ind w:firstLine="480" w:firstLineChars="200"/>
        <w:rPr>
          <w:rFonts w:hAnsi="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7 \* GB3 \* MERGEFORMAT </w:instrText>
      </w:r>
      <w:r>
        <w:rPr>
          <w:rFonts w:hint="eastAsia" w:ascii="宋体" w:hAnsi="宋体" w:cs="宋体"/>
          <w:color w:val="auto"/>
          <w:sz w:val="24"/>
          <w:highlight w:val="none"/>
        </w:rPr>
        <w:fldChar w:fldCharType="separate"/>
      </w:r>
      <w:r>
        <w:rPr>
          <w:color w:val="auto"/>
          <w:highlight w:val="none"/>
        </w:rPr>
        <w:t>⑦</w:t>
      </w:r>
      <w:r>
        <w:rPr>
          <w:rFonts w:hint="eastAsia" w:ascii="宋体" w:hAnsi="宋体" w:cs="宋体"/>
          <w:color w:val="auto"/>
          <w:sz w:val="24"/>
          <w:highlight w:val="none"/>
        </w:rPr>
        <w:fldChar w:fldCharType="end"/>
      </w:r>
      <w:r>
        <w:rPr>
          <w:rFonts w:hint="eastAsia"/>
          <w:color w:val="auto"/>
          <w:spacing w:val="0"/>
          <w:kern w:val="0"/>
          <w:sz w:val="24"/>
          <w:highlight w:val="none"/>
        </w:rPr>
        <w:t>工资保证金使用后，承包人应当自使用之日起</w:t>
      </w:r>
      <w:r>
        <w:rPr>
          <w:color w:val="auto"/>
          <w:spacing w:val="0"/>
          <w:kern w:val="0"/>
          <w:sz w:val="24"/>
          <w:highlight w:val="none"/>
        </w:rPr>
        <w:t>10</w:t>
      </w:r>
      <w:r>
        <w:rPr>
          <w:rFonts w:hint="eastAsia"/>
          <w:color w:val="auto"/>
          <w:spacing w:val="0"/>
          <w:kern w:val="0"/>
          <w:sz w:val="24"/>
          <w:highlight w:val="none"/>
        </w:rPr>
        <w:t>个工作日内将工资保证金补足。采用银行保函替代工资保证金发生前</w:t>
      </w:r>
      <w:r>
        <w:rPr>
          <w:rFonts w:hint="eastAsia"/>
          <w:color w:val="auto"/>
          <w:spacing w:val="0"/>
          <w:kern w:val="0"/>
          <w:sz w:val="24"/>
          <w:highlight w:val="none"/>
          <w:lang w:val="en-US" w:eastAsia="zh-CN"/>
        </w:rPr>
        <w:t>述</w:t>
      </w:r>
      <w:r>
        <w:rPr>
          <w:rFonts w:hint="eastAsia"/>
          <w:color w:val="auto"/>
          <w:spacing w:val="0"/>
          <w:kern w:val="0"/>
          <w:sz w:val="24"/>
          <w:highlight w:val="none"/>
        </w:rPr>
        <w:t>情形的，承包人应在</w:t>
      </w:r>
      <w:r>
        <w:rPr>
          <w:color w:val="auto"/>
          <w:spacing w:val="0"/>
          <w:kern w:val="0"/>
          <w:sz w:val="24"/>
          <w:highlight w:val="none"/>
        </w:rPr>
        <w:t>10</w:t>
      </w:r>
      <w:r>
        <w:rPr>
          <w:rFonts w:hint="eastAsia"/>
          <w:color w:val="auto"/>
          <w:spacing w:val="0"/>
          <w:kern w:val="0"/>
          <w:sz w:val="24"/>
          <w:highlight w:val="none"/>
        </w:rPr>
        <w:t>个工作日内提供与原保函相同担保范围和担保金额的新保函。承包人开立新保函后，原保函即行失效。</w:t>
      </w:r>
    </w:p>
    <w:p w14:paraId="79B9FA3D">
      <w:pPr>
        <w:adjustRightInd w:val="0"/>
        <w:snapToGrid w:val="0"/>
        <w:spacing w:line="360" w:lineRule="auto"/>
        <w:ind w:firstLine="360" w:firstLineChars="150"/>
        <w:rPr>
          <w:rFonts w:ascii="宋体" w:hAnsi="宋体" w:cs="宋体"/>
          <w:color w:val="auto"/>
          <w:spacing w:val="0"/>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8 \* GB3 \* MERGEFORMAT </w:instrText>
      </w:r>
      <w:r>
        <w:rPr>
          <w:rFonts w:hint="eastAsia" w:ascii="宋体" w:hAnsi="宋体" w:cs="宋体"/>
          <w:color w:val="auto"/>
          <w:sz w:val="24"/>
          <w:highlight w:val="none"/>
        </w:rPr>
        <w:fldChar w:fldCharType="separate"/>
      </w:r>
      <w:r>
        <w:rPr>
          <w:color w:val="auto"/>
          <w:highlight w:val="none"/>
        </w:rPr>
        <w:t>⑧</w:t>
      </w:r>
      <w:r>
        <w:rPr>
          <w:rFonts w:hint="eastAsia" w:ascii="宋体" w:hAnsi="宋体" w:cs="宋体"/>
          <w:color w:val="auto"/>
          <w:sz w:val="24"/>
          <w:highlight w:val="none"/>
        </w:rPr>
        <w:fldChar w:fldCharType="end"/>
      </w:r>
      <w:r>
        <w:rPr>
          <w:rFonts w:hint="eastAsia" w:ascii="宋体" w:hAnsi="宋体" w:cs="宋体"/>
          <w:color w:val="auto"/>
          <w:sz w:val="24"/>
          <w:highlight w:val="none"/>
        </w:rPr>
        <w:t>农民工工资保证金的返还：工资保证金对应的</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"http://www.cngjg.com/"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工程</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完工，承包人作出书面承诺该工程不存在未解决的拖欠农民工工资问题，并在施工现场维权信息告示牌及属地人力资源社会保障行政部门门户网站公示30日后，可以申请返还工资保证金或银行保函正本。属地人力资源社会保障行政部门自承包人提交书面申请5个工作日内审核完毕，并在审核完毕3个工作日内向经办银行和承包人出具工资保证金返还（销户）确认书。经办银行收到确认书后，工资保证金账户解除监管，相应款项不再属于工资保证金，承包人可自由支配账户资金或办理账户销户。选择使用银行保函替代现金存储工资保证金并符合上述规定的，属地人力资源社会保障行政部门自承包人提交书面申请5个工作日内审核完毕，并在审核完毕3个工作日内返还银行保函正本。 </w:t>
      </w:r>
    </w:p>
    <w:p w14:paraId="332C1D25">
      <w:pPr>
        <w:adjustRightInd w:val="0"/>
        <w:snapToGrid w:val="0"/>
        <w:spacing w:line="360" w:lineRule="auto"/>
        <w:ind w:firstLine="360" w:firstLineChars="150"/>
        <w:rPr>
          <w:rFonts w:hint="eastAsia" w:ascii="宋体" w:hAnsi="宋体" w:cs="宋体"/>
          <w:color w:val="auto"/>
          <w:spacing w:val="0"/>
          <w:sz w:val="24"/>
          <w:highlight w:val="none"/>
        </w:rPr>
      </w:pP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lang w:val="en-US" w:eastAsia="zh-CN"/>
        </w:rPr>
        <w:t>5</w:t>
      </w: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rPr>
        <w:t>岗前教育、食宿、安全及保险</w:t>
      </w:r>
    </w:p>
    <w:p w14:paraId="0BCEEC34">
      <w:pPr>
        <w:adjustRightInd w:val="0"/>
        <w:snapToGrid w:val="0"/>
        <w:spacing w:line="360" w:lineRule="auto"/>
        <w:ind w:firstLine="480" w:firstLineChars="200"/>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 1 \* GB3 \* MERGEFORMAT </w:instrText>
      </w:r>
      <w:r>
        <w:rPr>
          <w:rFonts w:hint="eastAsia"/>
          <w:color w:val="auto"/>
          <w:sz w:val="24"/>
          <w:highlight w:val="none"/>
        </w:rPr>
        <w:fldChar w:fldCharType="separate"/>
      </w:r>
      <w:r>
        <w:rPr>
          <w:color w:val="auto"/>
          <w:highlight w:val="none"/>
        </w:rPr>
        <w:t>①</w:t>
      </w:r>
      <w:r>
        <w:rPr>
          <w:rFonts w:hint="eastAsia"/>
          <w:color w:val="auto"/>
          <w:sz w:val="24"/>
          <w:highlight w:val="none"/>
        </w:rPr>
        <w:fldChar w:fldCharType="end"/>
      </w:r>
      <w:r>
        <w:rPr>
          <w:rFonts w:hint="eastAsia"/>
          <w:color w:val="auto"/>
          <w:sz w:val="24"/>
          <w:highlight w:val="none"/>
        </w:rPr>
        <w:t>农民工到项目后，在务工前，承包人必须就项目基本情况、安全管理、农民工管理、质量控制、地方风俗、宗教信仰、相关政策及法律法规等内容，组织每位农民工参加不少于</w:t>
      </w:r>
      <w:r>
        <w:rPr>
          <w:color w:val="auto"/>
          <w:sz w:val="24"/>
          <w:highlight w:val="none"/>
        </w:rPr>
        <w:t>2</w:t>
      </w:r>
      <w:r>
        <w:rPr>
          <w:rFonts w:hint="eastAsia"/>
          <w:color w:val="auto"/>
          <w:sz w:val="24"/>
          <w:highlight w:val="none"/>
        </w:rPr>
        <w:t>天的岗前教育和培训，并做好相关文字、声像资料的收集工作。</w:t>
      </w:r>
    </w:p>
    <w:p w14:paraId="6BCCDFF2">
      <w:pPr>
        <w:adjustRightInd w:val="0"/>
        <w:snapToGrid w:val="0"/>
        <w:spacing w:line="360" w:lineRule="auto"/>
        <w:ind w:firstLine="480" w:firstLineChars="200"/>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 2 \* GB3 \* MERGEFORMAT </w:instrText>
      </w:r>
      <w:r>
        <w:rPr>
          <w:rFonts w:hint="eastAsia"/>
          <w:color w:val="auto"/>
          <w:sz w:val="24"/>
          <w:highlight w:val="none"/>
        </w:rPr>
        <w:fldChar w:fldCharType="separate"/>
      </w:r>
      <w:r>
        <w:rPr>
          <w:color w:val="auto"/>
          <w:highlight w:val="none"/>
        </w:rPr>
        <w:t>②</w:t>
      </w:r>
      <w:r>
        <w:rPr>
          <w:rFonts w:hint="eastAsia"/>
          <w:color w:val="auto"/>
          <w:sz w:val="24"/>
          <w:highlight w:val="none"/>
        </w:rPr>
        <w:fldChar w:fldCharType="end"/>
      </w:r>
      <w:r>
        <w:rPr>
          <w:rFonts w:hint="eastAsia"/>
          <w:color w:val="auto"/>
          <w:sz w:val="24"/>
          <w:highlight w:val="none"/>
        </w:rPr>
        <w:t>承包人应负责按照发包人要求为农民工安排食宿，提供各种必</w:t>
      </w:r>
      <w:r>
        <w:rPr>
          <w:rFonts w:hint="eastAsia"/>
          <w:color w:val="auto"/>
          <w:sz w:val="24"/>
          <w:highlight w:val="none"/>
          <w:lang w:val="en-US" w:eastAsia="zh-CN"/>
        </w:rPr>
        <w:t>需</w:t>
      </w:r>
      <w:r>
        <w:rPr>
          <w:rFonts w:hint="eastAsia"/>
          <w:color w:val="auto"/>
          <w:sz w:val="24"/>
          <w:highlight w:val="none"/>
        </w:rPr>
        <w:t>的生活设施，并应采取合理的卫生防护和安全措施，以保护农民工的健康和安全。对生病的农民工，承包人要妥善给予治疗，并不得安排其带病务工。</w:t>
      </w:r>
    </w:p>
    <w:p w14:paraId="7C68CC09">
      <w:pPr>
        <w:adjustRightInd w:val="0"/>
        <w:snapToGrid w:val="0"/>
        <w:spacing w:line="360" w:lineRule="auto"/>
        <w:ind w:firstLine="480" w:firstLineChars="200"/>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 3 \* GB3 \* MERGEFORMAT </w:instrText>
      </w:r>
      <w:r>
        <w:rPr>
          <w:rFonts w:hint="eastAsia"/>
          <w:color w:val="auto"/>
          <w:sz w:val="24"/>
          <w:highlight w:val="none"/>
        </w:rPr>
        <w:fldChar w:fldCharType="separate"/>
      </w:r>
      <w:r>
        <w:rPr>
          <w:color w:val="auto"/>
          <w:highlight w:val="none"/>
        </w:rPr>
        <w:t>③</w:t>
      </w:r>
      <w:r>
        <w:rPr>
          <w:rFonts w:hint="eastAsia"/>
          <w:color w:val="auto"/>
          <w:sz w:val="24"/>
          <w:highlight w:val="none"/>
        </w:rPr>
        <w:fldChar w:fldCharType="end"/>
      </w:r>
      <w:r>
        <w:rPr>
          <w:rFonts w:hint="eastAsia"/>
          <w:color w:val="auto"/>
          <w:sz w:val="24"/>
          <w:highlight w:val="none"/>
        </w:rPr>
        <w:t>承包人必须负责农民工的人身安全，并按照国家相关法律法规的规定，提供适宜的劳动保护。承包人对施工现场安全负总责，对于承包人或专业分包、劳务合作企业的任何农民工发生的安全事故，均不能免除承包人应负的责任。</w:t>
      </w:r>
    </w:p>
    <w:p w14:paraId="30CB23A4">
      <w:pPr>
        <w:adjustRightInd w:val="0"/>
        <w:snapToGrid w:val="0"/>
        <w:spacing w:line="360" w:lineRule="auto"/>
        <w:ind w:firstLine="360" w:firstLineChars="150"/>
        <w:rPr>
          <w:rFonts w:ascii="宋体" w:hAnsi="宋体" w:cs="宋体"/>
          <w:color w:val="auto"/>
          <w:spacing w:val="0"/>
          <w:sz w:val="24"/>
          <w:highlight w:val="none"/>
        </w:rPr>
      </w:pPr>
      <w:r>
        <w:rPr>
          <w:rFonts w:hint="eastAsia"/>
          <w:color w:val="auto"/>
          <w:sz w:val="24"/>
          <w:highlight w:val="none"/>
        </w:rPr>
        <w:fldChar w:fldCharType="begin"/>
      </w:r>
      <w:r>
        <w:rPr>
          <w:rFonts w:hint="eastAsia"/>
          <w:color w:val="auto"/>
          <w:sz w:val="24"/>
          <w:highlight w:val="none"/>
        </w:rPr>
        <w:instrText xml:space="preserve"> = 4 \* GB3 \* MERGEFORMAT </w:instrText>
      </w:r>
      <w:r>
        <w:rPr>
          <w:rFonts w:hint="eastAsia"/>
          <w:color w:val="auto"/>
          <w:sz w:val="24"/>
          <w:highlight w:val="none"/>
        </w:rPr>
        <w:fldChar w:fldCharType="separate"/>
      </w:r>
      <w:r>
        <w:rPr>
          <w:color w:val="auto"/>
          <w:highlight w:val="none"/>
        </w:rPr>
        <w:t>④</w:t>
      </w:r>
      <w:r>
        <w:rPr>
          <w:rFonts w:hint="eastAsia"/>
          <w:color w:val="auto"/>
          <w:sz w:val="24"/>
          <w:highlight w:val="none"/>
        </w:rPr>
        <w:fldChar w:fldCharType="end"/>
      </w:r>
      <w:r>
        <w:rPr>
          <w:rFonts w:hint="eastAsia"/>
          <w:color w:val="auto"/>
          <w:sz w:val="24"/>
          <w:highlight w:val="none"/>
        </w:rPr>
        <w:t>在工程实施过程中，承包人必须保证每一位在场的农民工</w:t>
      </w:r>
      <w:r>
        <w:rPr>
          <w:rFonts w:hint="eastAsia"/>
          <w:color w:val="auto"/>
          <w:sz w:val="24"/>
          <w:highlight w:val="none"/>
          <w:lang w:val="en-US" w:eastAsia="zh-CN"/>
        </w:rPr>
        <w:t>纳入</w:t>
      </w:r>
      <w:r>
        <w:rPr>
          <w:rFonts w:hint="eastAsia"/>
          <w:color w:val="auto"/>
          <w:sz w:val="24"/>
          <w:highlight w:val="none"/>
        </w:rPr>
        <w:t>工伤保险和人身意外伤害险范围内，否则视其为违约并课以</w:t>
      </w:r>
      <w:r>
        <w:rPr>
          <w:color w:val="auto"/>
          <w:sz w:val="24"/>
          <w:highlight w:val="none"/>
        </w:rPr>
        <w:t>200</w:t>
      </w:r>
      <w:r>
        <w:rPr>
          <w:rFonts w:hint="eastAsia"/>
          <w:color w:val="auto"/>
          <w:sz w:val="24"/>
          <w:highlight w:val="none"/>
        </w:rPr>
        <w:t>元</w:t>
      </w:r>
      <w:r>
        <w:rPr>
          <w:color w:val="auto"/>
          <w:sz w:val="24"/>
          <w:highlight w:val="none"/>
        </w:rPr>
        <w:t>/</w:t>
      </w:r>
      <w:r>
        <w:rPr>
          <w:rFonts w:hint="eastAsia"/>
          <w:color w:val="auto"/>
          <w:sz w:val="24"/>
          <w:highlight w:val="none"/>
        </w:rPr>
        <w:t>人违约金，承包人缴纳违约金并不能使其违约行为合法化，承包人应继续纠正，否则发包人有权课以加倍违约金直至终止合同。</w:t>
      </w:r>
      <w:r>
        <w:rPr>
          <w:rFonts w:ascii="宋体" w:hAnsi="宋体" w:cs="宋体"/>
          <w:color w:val="auto"/>
          <w:spacing w:val="0"/>
          <w:sz w:val="24"/>
          <w:highlight w:val="none"/>
        </w:rPr>
        <w:t xml:space="preserve"> </w:t>
      </w:r>
    </w:p>
    <w:p w14:paraId="5034C54A">
      <w:pPr>
        <w:adjustRightInd w:val="0"/>
        <w:snapToGrid w:val="0"/>
        <w:spacing w:line="360" w:lineRule="auto"/>
        <w:ind w:firstLine="360" w:firstLineChars="150"/>
        <w:rPr>
          <w:rFonts w:hint="eastAsia" w:ascii="宋体" w:hAnsi="宋体" w:cs="宋体"/>
          <w:color w:val="auto"/>
          <w:spacing w:val="0"/>
          <w:sz w:val="24"/>
          <w:highlight w:val="none"/>
        </w:rPr>
      </w:pP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lang w:val="en-US" w:eastAsia="zh-CN"/>
        </w:rPr>
        <w:t>6</w:t>
      </w: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rPr>
        <w:t>农民工合同纠纷处理</w:t>
      </w:r>
    </w:p>
    <w:p w14:paraId="6A2DC2DA">
      <w:pPr>
        <w:adjustRightInd w:val="0"/>
        <w:snapToGrid w:val="0"/>
        <w:spacing w:line="360" w:lineRule="auto"/>
        <w:ind w:firstLine="480" w:firstLineChars="200"/>
        <w:rPr>
          <w:rFonts w:ascii="宋体" w:hAnsi="宋体"/>
          <w:color w:val="auto"/>
          <w:sz w:val="24"/>
          <w:highlight w:val="none"/>
        </w:rPr>
      </w:pPr>
      <w:r>
        <w:rPr>
          <w:rFonts w:hint="eastAsia" w:ascii="宋体" w:hAnsi="宋体"/>
          <w:bCs/>
          <w:color w:val="auto"/>
          <w:spacing w:val="0"/>
          <w:sz w:val="24"/>
          <w:highlight w:val="none"/>
        </w:rPr>
        <w:t>项目建设期间，严格执行专用合同条款</w:t>
      </w:r>
      <w:r>
        <w:rPr>
          <w:rFonts w:ascii="宋体" w:hAnsi="宋体"/>
          <w:bCs/>
          <w:color w:val="auto"/>
          <w:spacing w:val="0"/>
          <w:sz w:val="24"/>
          <w:highlight w:val="none"/>
        </w:rPr>
        <w:t>第</w:t>
      </w:r>
      <w:r>
        <w:rPr>
          <w:rFonts w:ascii="宋体" w:hAnsi="宋体"/>
          <w:color w:val="auto"/>
          <w:sz w:val="24"/>
          <w:highlight w:val="none"/>
        </w:rPr>
        <w:t>4.8.7</w:t>
      </w:r>
      <w:r>
        <w:rPr>
          <w:rFonts w:hint="eastAsia" w:ascii="宋体" w:hAnsi="宋体"/>
          <w:color w:val="auto"/>
          <w:sz w:val="24"/>
          <w:highlight w:val="none"/>
          <w:lang w:val="en-US" w:eastAsia="zh-CN"/>
        </w:rPr>
        <w:t>项（</w:t>
      </w: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目的相关文件精神</w:t>
      </w:r>
      <w:r>
        <w:rPr>
          <w:rFonts w:hint="eastAsia" w:ascii="宋体" w:hAnsi="宋体"/>
          <w:color w:val="auto"/>
          <w:kern w:val="0"/>
          <w:sz w:val="24"/>
          <w:highlight w:val="none"/>
        </w:rPr>
        <w:t>。</w:t>
      </w:r>
    </w:p>
    <w:p w14:paraId="2E56763A">
      <w:pPr>
        <w:adjustRightInd w:val="0"/>
        <w:snapToGrid w:val="0"/>
        <w:spacing w:line="360" w:lineRule="auto"/>
        <w:ind w:firstLine="480" w:firstLineChars="200"/>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 1 \* GB3 \* MERGEFORMAT </w:instrText>
      </w:r>
      <w:r>
        <w:rPr>
          <w:rFonts w:hint="eastAsia"/>
          <w:color w:val="auto"/>
          <w:sz w:val="24"/>
          <w:highlight w:val="none"/>
        </w:rPr>
        <w:fldChar w:fldCharType="separate"/>
      </w:r>
      <w:r>
        <w:rPr>
          <w:color w:val="auto"/>
          <w:highlight w:val="none"/>
        </w:rPr>
        <w:t>①</w:t>
      </w:r>
      <w:r>
        <w:rPr>
          <w:rFonts w:hint="eastAsia"/>
          <w:color w:val="auto"/>
          <w:sz w:val="24"/>
          <w:highlight w:val="none"/>
        </w:rPr>
        <w:fldChar w:fldCharType="end"/>
      </w:r>
      <w:r>
        <w:rPr>
          <w:rFonts w:hint="eastAsia"/>
          <w:color w:val="auto"/>
          <w:sz w:val="24"/>
          <w:highlight w:val="none"/>
        </w:rPr>
        <w:t>按</w:t>
      </w:r>
      <w:r>
        <w:rPr>
          <w:rFonts w:hint="eastAsia" w:asciiTheme="minorEastAsia" w:hAnsiTheme="minorEastAsia" w:eastAsiaTheme="minorEastAsia"/>
          <w:color w:val="auto"/>
          <w:sz w:val="24"/>
          <w:highlight w:val="none"/>
        </w:rPr>
        <w:t>照</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谁承包，谁负责</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及</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谁管</w:t>
      </w:r>
      <w:r>
        <w:rPr>
          <w:rFonts w:hint="eastAsia"/>
          <w:color w:val="auto"/>
          <w:sz w:val="24"/>
          <w:highlight w:val="none"/>
        </w:rPr>
        <w:t>理工程、谁预防</w:t>
      </w:r>
      <w:r>
        <w:rPr>
          <w:rFonts w:hint="eastAsia" w:asciiTheme="minorEastAsia" w:hAnsiTheme="minorEastAsia" w:eastAsiaTheme="minorEastAsia"/>
          <w:color w:val="auto"/>
          <w:sz w:val="24"/>
          <w:highlight w:val="none"/>
        </w:rPr>
        <w:t>拖欠</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的</w:t>
      </w:r>
      <w:r>
        <w:rPr>
          <w:rFonts w:hint="eastAsia"/>
          <w:color w:val="auto"/>
          <w:sz w:val="24"/>
          <w:highlight w:val="none"/>
        </w:rPr>
        <w:t>原则，建立承包人、分包单位（如有）、劳务合作单位和发包人总负责的农民工工资预防拖欠责任机制。承包人应对专业分包和劳务合作单位农民工情况负管理责任和连带清偿责任。</w:t>
      </w:r>
    </w:p>
    <w:p w14:paraId="0A353C8E">
      <w:pPr>
        <w:adjustRightInd w:val="0"/>
        <w:snapToGrid w:val="0"/>
        <w:spacing w:line="360" w:lineRule="auto"/>
        <w:ind w:firstLine="480" w:firstLineChars="200"/>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 2 \* GB3 \* MERGEFORMAT </w:instrText>
      </w:r>
      <w:r>
        <w:rPr>
          <w:rFonts w:hint="eastAsia"/>
          <w:color w:val="auto"/>
          <w:sz w:val="24"/>
          <w:highlight w:val="none"/>
        </w:rPr>
        <w:fldChar w:fldCharType="separate"/>
      </w:r>
      <w:r>
        <w:rPr>
          <w:color w:val="auto"/>
          <w:highlight w:val="none"/>
        </w:rPr>
        <w:t>②</w:t>
      </w:r>
      <w:r>
        <w:rPr>
          <w:rFonts w:hint="eastAsia"/>
          <w:color w:val="auto"/>
          <w:sz w:val="24"/>
          <w:highlight w:val="none"/>
        </w:rPr>
        <w:fldChar w:fldCharType="end"/>
      </w:r>
      <w:r>
        <w:rPr>
          <w:rFonts w:hint="eastAsia"/>
          <w:color w:val="auto"/>
          <w:sz w:val="24"/>
          <w:highlight w:val="none"/>
        </w:rPr>
        <w:t>承包人依据与劳务合作单位签订的协议或与农民工签订的合同，确保按期足额支付农民工工资。如承包人不及时支付农民工工资，造成扰民、上访等影响社会稳定事件及合同纠纷，承包人必须承担相应责任。</w:t>
      </w:r>
    </w:p>
    <w:p w14:paraId="254009B4">
      <w:pPr>
        <w:adjustRightInd w:val="0"/>
        <w:snapToGrid w:val="0"/>
        <w:spacing w:line="360" w:lineRule="auto"/>
        <w:ind w:firstLine="480" w:firstLineChars="200"/>
        <w:rPr>
          <w:rFonts w:ascii="宋体" w:hAnsi="宋体"/>
          <w:b/>
          <w:color w:val="auto"/>
          <w:sz w:val="24"/>
          <w:highlight w:val="none"/>
        </w:rPr>
      </w:pPr>
      <w:r>
        <w:rPr>
          <w:rFonts w:hint="eastAsia"/>
          <w:bCs/>
          <w:color w:val="auto"/>
          <w:sz w:val="24"/>
          <w:highlight w:val="none"/>
        </w:rPr>
        <w:t>若劳务合作单位拖欠劳务工资的，由承包人先行垫付，双方结算时按合同约定予以抵扣；若承包人拖欠劳务合作单位劳务工资的，</w:t>
      </w:r>
      <w:bookmarkStart w:id="805" w:name="_Hlk100754927"/>
      <w:r>
        <w:rPr>
          <w:rFonts w:hint="eastAsia"/>
          <w:bCs/>
          <w:color w:val="auto"/>
          <w:sz w:val="24"/>
          <w:highlight w:val="none"/>
        </w:rPr>
        <w:t>将按照</w:t>
      </w:r>
      <w:r>
        <w:rPr>
          <w:rFonts w:hint="eastAsia" w:ascii="宋体" w:hAnsi="宋体"/>
          <w:color w:val="auto"/>
          <w:sz w:val="24"/>
          <w:highlight w:val="none"/>
        </w:rPr>
        <w:t>《保障农民工</w:t>
      </w:r>
      <w:r>
        <w:rPr>
          <w:rFonts w:ascii="宋体" w:hAnsi="宋体"/>
          <w:color w:val="auto"/>
          <w:sz w:val="24"/>
          <w:highlight w:val="none"/>
        </w:rPr>
        <w:t>工资</w:t>
      </w:r>
      <w:r>
        <w:rPr>
          <w:rFonts w:hint="eastAsia" w:ascii="宋体" w:hAnsi="宋体"/>
          <w:color w:val="auto"/>
          <w:sz w:val="24"/>
          <w:highlight w:val="none"/>
        </w:rPr>
        <w:t>支付条例》</w:t>
      </w:r>
      <w:r>
        <w:rPr>
          <w:rFonts w:hint="eastAsia" w:ascii="宋体" w:hAnsi="宋体"/>
          <w:color w:val="auto"/>
          <w:sz w:val="24"/>
          <w:highlight w:val="none"/>
          <w:lang w:eastAsia="zh-CN"/>
        </w:rPr>
        <w:t>（</w:t>
      </w:r>
      <w:r>
        <w:rPr>
          <w:rFonts w:hint="eastAsia" w:ascii="宋体" w:hAnsi="宋体"/>
          <w:color w:val="auto"/>
          <w:sz w:val="24"/>
          <w:highlight w:val="none"/>
        </w:rPr>
        <w:t>国务院</w:t>
      </w:r>
      <w:r>
        <w:rPr>
          <w:rFonts w:ascii="宋体" w:hAnsi="宋体"/>
          <w:color w:val="auto"/>
          <w:sz w:val="24"/>
          <w:highlight w:val="none"/>
        </w:rPr>
        <w:t>令</w:t>
      </w:r>
      <w:r>
        <w:rPr>
          <w:rFonts w:hint="eastAsia" w:ascii="宋体" w:hAnsi="宋体"/>
          <w:color w:val="auto"/>
          <w:sz w:val="24"/>
          <w:highlight w:val="none"/>
        </w:rPr>
        <w:t>第</w:t>
      </w:r>
      <w:r>
        <w:rPr>
          <w:rFonts w:ascii="宋体" w:hAnsi="宋体"/>
          <w:color w:val="auto"/>
          <w:sz w:val="24"/>
          <w:highlight w:val="none"/>
        </w:rPr>
        <w:t>724</w:t>
      </w:r>
      <w:r>
        <w:rPr>
          <w:rFonts w:hint="eastAsia" w:ascii="宋体" w:hAnsi="宋体"/>
          <w:color w:val="auto"/>
          <w:sz w:val="24"/>
          <w:highlight w:val="none"/>
        </w:rPr>
        <w:t>号</w:t>
      </w:r>
      <w:r>
        <w:rPr>
          <w:rFonts w:hint="eastAsia" w:ascii="宋体" w:hAnsi="宋体"/>
          <w:color w:val="auto"/>
          <w:sz w:val="24"/>
          <w:highlight w:val="none"/>
          <w:lang w:eastAsia="zh-CN"/>
        </w:rPr>
        <w:t>）</w:t>
      </w:r>
      <w:r>
        <w:rPr>
          <w:rFonts w:ascii="宋体" w:hAnsi="宋体"/>
          <w:color w:val="auto"/>
          <w:sz w:val="24"/>
          <w:highlight w:val="none"/>
        </w:rPr>
        <w:t>、</w:t>
      </w:r>
      <w:r>
        <w:rPr>
          <w:rFonts w:hint="eastAsia" w:ascii="宋体" w:hAnsi="宋体"/>
          <w:color w:val="auto"/>
          <w:sz w:val="24"/>
          <w:highlight w:val="none"/>
        </w:rPr>
        <w:t>《工程建设领域农民工工资保证金规定》（人社部发</w:t>
      </w:r>
      <w:r>
        <w:rPr>
          <w:rFonts w:ascii="宋体" w:hAnsi="宋体"/>
          <w:color w:val="auto"/>
          <w:sz w:val="24"/>
          <w:highlight w:val="none"/>
        </w:rPr>
        <w:t>〔2021〕65号）</w:t>
      </w:r>
      <w:r>
        <w:rPr>
          <w:rFonts w:hint="eastAsia" w:ascii="宋体" w:hAnsi="宋体"/>
          <w:color w:val="auto"/>
          <w:sz w:val="24"/>
          <w:highlight w:val="none"/>
        </w:rPr>
        <w:t>规定处理</w:t>
      </w:r>
      <w:r>
        <w:rPr>
          <w:rFonts w:hint="eastAsia"/>
          <w:bCs/>
          <w:color w:val="auto"/>
          <w:sz w:val="24"/>
          <w:highlight w:val="none"/>
        </w:rPr>
        <w:t>。</w:t>
      </w:r>
      <w:bookmarkEnd w:id="805"/>
    </w:p>
    <w:p w14:paraId="741BF3DB">
      <w:pPr>
        <w:adjustRightInd w:val="0"/>
        <w:snapToGrid w:val="0"/>
        <w:spacing w:line="360" w:lineRule="auto"/>
        <w:ind w:firstLine="480" w:firstLineChars="200"/>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 3 \* GB3 \* MERGEFORMAT </w:instrText>
      </w:r>
      <w:r>
        <w:rPr>
          <w:rFonts w:hint="eastAsia"/>
          <w:color w:val="auto"/>
          <w:sz w:val="24"/>
          <w:highlight w:val="none"/>
        </w:rPr>
        <w:fldChar w:fldCharType="separate"/>
      </w:r>
      <w:r>
        <w:rPr>
          <w:color w:val="auto"/>
          <w:highlight w:val="none"/>
        </w:rPr>
        <w:t>③</w:t>
      </w:r>
      <w:r>
        <w:rPr>
          <w:rFonts w:hint="eastAsia"/>
          <w:color w:val="auto"/>
          <w:sz w:val="24"/>
          <w:highlight w:val="none"/>
        </w:rPr>
        <w:fldChar w:fldCharType="end"/>
      </w:r>
      <w:r>
        <w:rPr>
          <w:rFonts w:hint="eastAsia"/>
          <w:color w:val="auto"/>
          <w:sz w:val="24"/>
          <w:highlight w:val="none"/>
        </w:rPr>
        <w:t>承包人</w:t>
      </w:r>
      <w:r>
        <w:rPr>
          <w:rFonts w:hint="eastAsia" w:ascii="宋体" w:hAnsi="宋体"/>
          <w:color w:val="auto"/>
          <w:sz w:val="24"/>
          <w:highlight w:val="none"/>
        </w:rPr>
        <w:t>与专业分包、</w:t>
      </w:r>
      <w:r>
        <w:rPr>
          <w:rFonts w:hint="eastAsia"/>
          <w:color w:val="auto"/>
          <w:sz w:val="24"/>
          <w:highlight w:val="none"/>
        </w:rPr>
        <w:t>劳务合作单位的农民工纠纷，按照双方合同约定处理。如双方未按合同约定达成一致意见，按照当地劳动监察部门的处理意见或劳动仲裁部门仲裁结果或司法机关判决结果执行。</w:t>
      </w:r>
    </w:p>
    <w:p w14:paraId="74FE3BE8">
      <w:pPr>
        <w:adjustRightInd w:val="0"/>
        <w:snapToGrid w:val="0"/>
        <w:spacing w:line="360" w:lineRule="auto"/>
        <w:ind w:firstLine="480" w:firstLineChars="200"/>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 4 \* GB3 \* MERGEFORMAT </w:instrText>
      </w:r>
      <w:r>
        <w:rPr>
          <w:rFonts w:hint="eastAsia"/>
          <w:color w:val="auto"/>
          <w:sz w:val="24"/>
          <w:highlight w:val="none"/>
        </w:rPr>
        <w:fldChar w:fldCharType="separate"/>
      </w:r>
      <w:r>
        <w:rPr>
          <w:color w:val="auto"/>
          <w:highlight w:val="none"/>
        </w:rPr>
        <w:t>④</w:t>
      </w:r>
      <w:r>
        <w:rPr>
          <w:rFonts w:hint="eastAsia"/>
          <w:color w:val="auto"/>
          <w:sz w:val="24"/>
          <w:highlight w:val="none"/>
        </w:rPr>
        <w:fldChar w:fldCharType="end"/>
      </w:r>
      <w:r>
        <w:rPr>
          <w:rFonts w:hint="eastAsia"/>
          <w:color w:val="auto"/>
          <w:sz w:val="24"/>
          <w:highlight w:val="none"/>
        </w:rPr>
        <w:t>对于承包人恶意拖欠农民工工资或未与农民工签订劳务合同或未给农民工购买保险等违约行为，发包人将</w:t>
      </w:r>
      <w:r>
        <w:rPr>
          <w:rFonts w:hint="eastAsia"/>
          <w:color w:val="auto"/>
          <w:sz w:val="24"/>
          <w:highlight w:val="none"/>
          <w:lang w:val="en-US" w:eastAsia="zh-CN"/>
        </w:rPr>
        <w:t>上报交通运输主管部门</w:t>
      </w:r>
      <w:r>
        <w:rPr>
          <w:rFonts w:hint="eastAsia"/>
          <w:color w:val="auto"/>
          <w:sz w:val="24"/>
          <w:highlight w:val="none"/>
        </w:rPr>
        <w:t>按照四川省交通运输</w:t>
      </w:r>
      <w:r>
        <w:rPr>
          <w:rFonts w:hint="eastAsia"/>
          <w:color w:val="auto"/>
          <w:sz w:val="24"/>
          <w:highlight w:val="none"/>
          <w:u w:val="none"/>
        </w:rPr>
        <w:t>厅信用管理办法</w:t>
      </w:r>
      <w:r>
        <w:rPr>
          <w:rFonts w:hint="eastAsia"/>
          <w:color w:val="auto"/>
          <w:sz w:val="24"/>
          <w:highlight w:val="none"/>
        </w:rPr>
        <w:t>进行信用评价。情节严重的，发包人有权解除合同。</w:t>
      </w:r>
    </w:p>
    <w:p w14:paraId="1250873D">
      <w:pPr>
        <w:adjustRightInd w:val="0"/>
        <w:snapToGrid w:val="0"/>
        <w:spacing w:line="360" w:lineRule="auto"/>
        <w:ind w:firstLine="480" w:firstLineChars="200"/>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 5 \* GB3 \* MERGEFORMAT </w:instrText>
      </w:r>
      <w:r>
        <w:rPr>
          <w:rFonts w:hint="eastAsia"/>
          <w:color w:val="auto"/>
          <w:sz w:val="24"/>
          <w:highlight w:val="none"/>
        </w:rPr>
        <w:fldChar w:fldCharType="separate"/>
      </w:r>
      <w:r>
        <w:rPr>
          <w:color w:val="auto"/>
          <w:highlight w:val="none"/>
        </w:rPr>
        <w:t>⑤</w:t>
      </w:r>
      <w:r>
        <w:rPr>
          <w:rFonts w:hint="eastAsia"/>
          <w:color w:val="auto"/>
          <w:sz w:val="24"/>
          <w:highlight w:val="none"/>
        </w:rPr>
        <w:fldChar w:fldCharType="end"/>
      </w:r>
      <w:r>
        <w:rPr>
          <w:rFonts w:hint="eastAsia"/>
          <w:color w:val="auto"/>
          <w:sz w:val="24"/>
          <w:highlight w:val="none"/>
        </w:rPr>
        <w:t>承包人因拖欠农民工工资引发重大群体性事件或造成严重社会影响的，发包人将及时上报省交通运输厅，根据信用管理规定对承包人实行市场禁入，并给予</w:t>
      </w:r>
      <w:r>
        <w:rPr>
          <w:color w:val="auto"/>
          <w:sz w:val="24"/>
          <w:highlight w:val="none"/>
        </w:rPr>
        <w:t>D</w:t>
      </w:r>
      <w:r>
        <w:rPr>
          <w:rFonts w:hint="eastAsia"/>
          <w:color w:val="auto"/>
          <w:sz w:val="24"/>
          <w:highlight w:val="none"/>
        </w:rPr>
        <w:t>级信用评价。</w:t>
      </w:r>
      <w:r>
        <w:rPr>
          <w:color w:val="auto"/>
          <w:sz w:val="24"/>
          <w:highlight w:val="none"/>
        </w:rPr>
        <w:t xml:space="preserve"> </w:t>
      </w:r>
    </w:p>
    <w:p w14:paraId="0144F013">
      <w:pPr>
        <w:adjustRightInd w:val="0"/>
        <w:snapToGrid w:val="0"/>
        <w:spacing w:line="360" w:lineRule="auto"/>
        <w:ind w:firstLine="480" w:firstLineChars="200"/>
        <w:rPr>
          <w:rFonts w:hint="eastAsia" w:ascii="宋体" w:hAnsi="宋体" w:cs="宋体"/>
          <w:color w:val="auto"/>
          <w:spacing w:val="0"/>
          <w:sz w:val="24"/>
          <w:highlight w:val="none"/>
        </w:rPr>
      </w:pPr>
      <w:r>
        <w:rPr>
          <w:rFonts w:hint="eastAsia"/>
          <w:color w:val="auto"/>
          <w:sz w:val="24"/>
          <w:highlight w:val="none"/>
        </w:rPr>
        <w:fldChar w:fldCharType="begin"/>
      </w:r>
      <w:r>
        <w:rPr>
          <w:rFonts w:hint="eastAsia"/>
          <w:color w:val="auto"/>
          <w:sz w:val="24"/>
          <w:highlight w:val="none"/>
        </w:rPr>
        <w:instrText xml:space="preserve"> = 6 \* GB3 \* MERGEFORMAT </w:instrText>
      </w:r>
      <w:r>
        <w:rPr>
          <w:rFonts w:hint="eastAsia"/>
          <w:color w:val="auto"/>
          <w:sz w:val="24"/>
          <w:highlight w:val="none"/>
        </w:rPr>
        <w:fldChar w:fldCharType="separate"/>
      </w:r>
      <w:r>
        <w:rPr>
          <w:color w:val="auto"/>
          <w:highlight w:val="none"/>
        </w:rPr>
        <w:t>⑥</w:t>
      </w:r>
      <w:r>
        <w:rPr>
          <w:rFonts w:hint="eastAsia"/>
          <w:color w:val="auto"/>
          <w:sz w:val="24"/>
          <w:highlight w:val="none"/>
        </w:rPr>
        <w:fldChar w:fldCharType="end"/>
      </w:r>
      <w:r>
        <w:rPr>
          <w:rFonts w:hint="eastAsia"/>
          <w:color w:val="auto"/>
          <w:sz w:val="24"/>
          <w:highlight w:val="none"/>
        </w:rPr>
        <w:t>对农民工班组、农民工个人以农民工工资拖欠名义讹诈工程款、胁迫解决合同纠纷的恶劣行为；对采取非法手段（围堵工点、收费站；聚众扰乱机关企事业单位办公）讨薪或以讨要拖欠工资为名讨要工程款的行为，如查明系承包人</w:t>
      </w:r>
      <w:r>
        <w:rPr>
          <w:rFonts w:hint="eastAsia"/>
          <w:color w:val="auto"/>
          <w:sz w:val="24"/>
          <w:highlight w:val="none"/>
          <w:lang w:val="en-US" w:eastAsia="zh-CN"/>
        </w:rPr>
        <w:t>为</w:t>
      </w:r>
      <w:r>
        <w:rPr>
          <w:rFonts w:hint="eastAsia"/>
          <w:color w:val="auto"/>
          <w:sz w:val="24"/>
          <w:highlight w:val="none"/>
        </w:rPr>
        <w:t>转嫁或规避责任而指使、</w:t>
      </w:r>
      <w:r>
        <w:rPr>
          <w:rFonts w:hint="eastAsia"/>
          <w:color w:val="auto"/>
          <w:sz w:val="24"/>
          <w:highlight w:val="none"/>
          <w:lang w:val="en-US" w:eastAsia="zh-CN"/>
        </w:rPr>
        <w:t>怂恿农</w:t>
      </w:r>
      <w:r>
        <w:rPr>
          <w:rFonts w:hint="eastAsia"/>
          <w:color w:val="auto"/>
          <w:sz w:val="24"/>
          <w:highlight w:val="none"/>
        </w:rPr>
        <w:t>民工班组或</w:t>
      </w:r>
      <w:r>
        <w:rPr>
          <w:rFonts w:hint="eastAsia"/>
          <w:color w:val="auto"/>
          <w:sz w:val="24"/>
          <w:highlight w:val="none"/>
          <w:lang w:val="en-US" w:eastAsia="zh-CN"/>
        </w:rPr>
        <w:t>农</w:t>
      </w:r>
      <w:r>
        <w:rPr>
          <w:rFonts w:hint="eastAsia"/>
          <w:color w:val="auto"/>
          <w:sz w:val="24"/>
          <w:highlight w:val="none"/>
        </w:rPr>
        <w:t>民工个人作出上述行为的，发包人将及时上报</w:t>
      </w:r>
      <w:r>
        <w:rPr>
          <w:rFonts w:hint="eastAsia"/>
          <w:color w:val="auto"/>
          <w:sz w:val="24"/>
          <w:highlight w:val="none"/>
          <w:lang w:val="en-US" w:eastAsia="zh-CN"/>
        </w:rPr>
        <w:t>交通运输主管部门</w:t>
      </w:r>
      <w:r>
        <w:rPr>
          <w:rFonts w:hint="eastAsia"/>
          <w:color w:val="auto"/>
          <w:sz w:val="24"/>
          <w:highlight w:val="none"/>
        </w:rPr>
        <w:t>并依法进行处理。</w:t>
      </w:r>
    </w:p>
    <w:p w14:paraId="177BAA38">
      <w:pPr>
        <w:pStyle w:val="6"/>
        <w:jc w:val="left"/>
        <w:rPr>
          <w:rFonts w:hint="eastAsia" w:ascii="黑体" w:hAnsi="黑体" w:cs="黑体"/>
          <w:b w:val="0"/>
          <w:bCs w:val="0"/>
          <w:color w:val="auto"/>
          <w:sz w:val="28"/>
          <w:szCs w:val="32"/>
          <w:highlight w:val="none"/>
        </w:rPr>
      </w:pPr>
      <w:r>
        <w:rPr>
          <w:rFonts w:hint="eastAsia" w:ascii="黑体" w:hAnsi="黑体" w:cs="黑体"/>
          <w:b w:val="0"/>
          <w:bCs w:val="0"/>
          <w:color w:val="auto"/>
          <w:sz w:val="28"/>
          <w:szCs w:val="32"/>
          <w:highlight w:val="none"/>
        </w:rPr>
        <w:t>4.11</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不利物质条件</w:t>
      </w:r>
      <w:bookmarkEnd w:id="804"/>
    </w:p>
    <w:p w14:paraId="3C8F254E">
      <w:pPr>
        <w:spacing w:line="360" w:lineRule="auto"/>
        <w:ind w:firstLine="480" w:firstLineChars="200"/>
        <w:rPr>
          <w:rFonts w:hint="eastAsia" w:ascii="宋体" w:hAnsi="宋体"/>
          <w:bCs/>
          <w:color w:val="auto"/>
          <w:sz w:val="24"/>
          <w:highlight w:val="none"/>
          <w:u w:val="none"/>
          <w:lang w:eastAsia="zh-CN"/>
        </w:rPr>
      </w:pPr>
      <w:r>
        <w:rPr>
          <w:rFonts w:ascii="宋体" w:hAnsi="宋体"/>
          <w:b w:val="0"/>
          <w:bCs/>
          <w:color w:val="auto"/>
          <w:sz w:val="24"/>
          <w:highlight w:val="none"/>
        </w:rPr>
        <w:t>4.11.1</w:t>
      </w:r>
      <w:r>
        <w:rPr>
          <w:rFonts w:hint="eastAsia" w:ascii="宋体" w:hAnsi="宋体"/>
          <w:b w:val="0"/>
          <w:bCs/>
          <w:color w:val="auto"/>
          <w:sz w:val="24"/>
          <w:highlight w:val="none"/>
          <w:lang w:val="en-US" w:eastAsia="zh-CN"/>
        </w:rPr>
        <w:t xml:space="preserve"> </w:t>
      </w:r>
      <w:r>
        <w:rPr>
          <w:rFonts w:hint="eastAsia" w:ascii="宋体" w:hAnsi="宋体"/>
          <w:bCs/>
          <w:color w:val="auto"/>
          <w:sz w:val="24"/>
          <w:highlight w:val="none"/>
        </w:rPr>
        <w:t>不利物质条件的范围（如有）：</w:t>
      </w:r>
      <w:r>
        <w:rPr>
          <w:rFonts w:ascii="宋体" w:hAnsi="宋体"/>
          <w:bCs/>
          <w:color w:val="auto"/>
          <w:sz w:val="24"/>
          <w:highlight w:val="none"/>
          <w:u w:val="single"/>
        </w:rPr>
        <w:t xml:space="preserve">                      </w:t>
      </w:r>
      <w:r>
        <w:rPr>
          <w:rFonts w:ascii="宋体" w:hAnsi="宋体"/>
          <w:bCs/>
          <w:color w:val="auto"/>
          <w:sz w:val="24"/>
          <w:highlight w:val="none"/>
          <w:u w:val="none"/>
        </w:rPr>
        <w:t xml:space="preserve"> </w:t>
      </w:r>
      <w:r>
        <w:rPr>
          <w:rFonts w:hint="eastAsia" w:ascii="宋体" w:hAnsi="宋体"/>
          <w:bCs/>
          <w:color w:val="auto"/>
          <w:sz w:val="24"/>
          <w:highlight w:val="none"/>
          <w:u w:val="none"/>
          <w:lang w:eastAsia="zh-CN"/>
        </w:rPr>
        <w:t>。</w:t>
      </w:r>
    </w:p>
    <w:p w14:paraId="00538992">
      <w:pPr>
        <w:pStyle w:val="5"/>
        <w:keepNext w:val="0"/>
        <w:keepLines w:val="0"/>
        <w:rPr>
          <w:rFonts w:hint="eastAsia" w:ascii="Arial" w:hAnsi="Arial"/>
          <w:b/>
          <w:color w:val="auto"/>
          <w:sz w:val="28"/>
          <w:szCs w:val="32"/>
          <w:highlight w:val="none"/>
        </w:rPr>
      </w:pPr>
      <w:bookmarkStart w:id="806" w:name="_Toc53685738"/>
      <w:r>
        <w:rPr>
          <w:rFonts w:hint="eastAsia" w:ascii="Arial" w:hAnsi="Arial"/>
          <w:b/>
          <w:color w:val="auto"/>
          <w:sz w:val="28"/>
          <w:szCs w:val="32"/>
          <w:highlight w:val="none"/>
        </w:rPr>
        <w:t>5. 材料和工程设备</w:t>
      </w:r>
      <w:bookmarkEnd w:id="806"/>
    </w:p>
    <w:p w14:paraId="4D2B5C90">
      <w:pPr>
        <w:pStyle w:val="6"/>
        <w:jc w:val="left"/>
        <w:rPr>
          <w:rFonts w:hint="eastAsia" w:ascii="黑体" w:hAnsi="黑体" w:cs="黑体"/>
          <w:b w:val="0"/>
          <w:bCs w:val="0"/>
          <w:color w:val="auto"/>
          <w:sz w:val="28"/>
          <w:szCs w:val="32"/>
          <w:highlight w:val="none"/>
        </w:rPr>
      </w:pPr>
      <w:bookmarkStart w:id="807" w:name="_Toc53685739"/>
      <w:r>
        <w:rPr>
          <w:rFonts w:hint="eastAsia" w:ascii="黑体" w:hAnsi="黑体" w:cs="黑体"/>
          <w:b w:val="0"/>
          <w:bCs w:val="0"/>
          <w:color w:val="auto"/>
          <w:sz w:val="28"/>
          <w:szCs w:val="32"/>
          <w:highlight w:val="none"/>
        </w:rPr>
        <w:t>5.1 承包人提供的材料和工程设备</w:t>
      </w:r>
      <w:bookmarkEnd w:id="807"/>
    </w:p>
    <w:p w14:paraId="2C25BAF8">
      <w:pPr>
        <w:adjustRightInd w:val="0"/>
        <w:snapToGrid w:val="0"/>
        <w:spacing w:line="360" w:lineRule="auto"/>
        <w:ind w:firstLine="480" w:firstLineChars="200"/>
        <w:rPr>
          <w:rFonts w:hint="default" w:ascii="黑体" w:eastAsia="黑体"/>
          <w:b w:val="0"/>
          <w:color w:val="auto"/>
          <w:sz w:val="24"/>
          <w:szCs w:val="24"/>
          <w:highlight w:val="none"/>
          <w:lang w:val="en-US" w:eastAsia="zh-CN"/>
        </w:rPr>
      </w:pPr>
      <w:r>
        <w:rPr>
          <w:rFonts w:asciiTheme="minorEastAsia" w:hAnsiTheme="minorEastAsia" w:eastAsiaTheme="minorEastAsia"/>
          <w:b w:val="0"/>
          <w:bCs/>
          <w:color w:val="auto"/>
          <w:sz w:val="24"/>
          <w:highlight w:val="none"/>
        </w:rPr>
        <w:t>5.1.2</w:t>
      </w:r>
      <w:r>
        <w:rPr>
          <w:rFonts w:hint="eastAsia" w:asciiTheme="minorEastAsia" w:hAnsiTheme="minorEastAsia" w:eastAsiaTheme="minorEastAsia"/>
          <w:b w:val="0"/>
          <w:bCs/>
          <w:color w:val="auto"/>
          <w:sz w:val="24"/>
          <w:highlight w:val="none"/>
          <w:lang w:val="en-US" w:eastAsia="zh-CN"/>
        </w:rPr>
        <w:t xml:space="preserve"> </w:t>
      </w:r>
      <w:r>
        <w:rPr>
          <w:rFonts w:asciiTheme="minorEastAsia" w:hAnsiTheme="minorEastAsia" w:eastAsiaTheme="minorEastAsia"/>
          <w:color w:val="auto"/>
          <w:sz w:val="24"/>
          <w:highlight w:val="none"/>
        </w:rPr>
        <w:t>承包人报送监理人审批的时间：</w:t>
      </w:r>
      <w:r>
        <w:rPr>
          <w:rFonts w:asciiTheme="minorEastAsia" w:hAnsiTheme="minorEastAsia" w:eastAsiaTheme="minorEastAsia"/>
          <w:color w:val="auto"/>
          <w:sz w:val="24"/>
          <w:highlight w:val="none"/>
          <w:u w:val="single"/>
        </w:rPr>
        <w:t>3个工作日内</w:t>
      </w:r>
      <w:r>
        <w:rPr>
          <w:rFonts w:asciiTheme="minorEastAsia" w:hAnsiTheme="minorEastAsia" w:eastAsiaTheme="minorEastAsia"/>
          <w:color w:val="auto"/>
          <w:sz w:val="24"/>
          <w:highlight w:val="none"/>
        </w:rPr>
        <w:t>。</w:t>
      </w:r>
    </w:p>
    <w:p w14:paraId="05FD995E">
      <w:pPr>
        <w:pStyle w:val="6"/>
        <w:jc w:val="left"/>
        <w:rPr>
          <w:rFonts w:hint="eastAsia" w:ascii="黑体" w:hAnsi="黑体" w:cs="黑体"/>
          <w:b w:val="0"/>
          <w:bCs w:val="0"/>
          <w:color w:val="auto"/>
          <w:sz w:val="28"/>
          <w:szCs w:val="32"/>
          <w:highlight w:val="none"/>
        </w:rPr>
      </w:pPr>
      <w:r>
        <w:rPr>
          <w:rFonts w:hint="eastAsia" w:ascii="黑体" w:hAnsi="黑体" w:cs="黑体"/>
          <w:b w:val="0"/>
          <w:bCs w:val="0"/>
          <w:color w:val="auto"/>
          <w:sz w:val="28"/>
          <w:szCs w:val="32"/>
          <w:highlight w:val="none"/>
        </w:rPr>
        <w:t>5.</w:t>
      </w:r>
      <w:r>
        <w:rPr>
          <w:rFonts w:hint="eastAsia" w:ascii="黑体" w:hAnsi="黑体" w:cs="黑体"/>
          <w:b w:val="0"/>
          <w:bCs w:val="0"/>
          <w:color w:val="auto"/>
          <w:sz w:val="28"/>
          <w:szCs w:val="32"/>
          <w:highlight w:val="none"/>
          <w:lang w:val="en-US" w:eastAsia="zh-CN"/>
        </w:rPr>
        <w:t>2</w:t>
      </w:r>
      <w:r>
        <w:rPr>
          <w:rFonts w:hint="eastAsia" w:ascii="黑体" w:hAnsi="黑体" w:cs="黑体"/>
          <w:b w:val="0"/>
          <w:bCs w:val="0"/>
          <w:color w:val="auto"/>
          <w:sz w:val="28"/>
          <w:szCs w:val="32"/>
          <w:highlight w:val="none"/>
        </w:rPr>
        <w:t xml:space="preserve"> </w:t>
      </w:r>
      <w:r>
        <w:rPr>
          <w:rFonts w:hint="eastAsia" w:ascii="黑体" w:hAnsi="黑体" w:cs="黑体"/>
          <w:b w:val="0"/>
          <w:bCs w:val="0"/>
          <w:color w:val="auto"/>
          <w:sz w:val="28"/>
          <w:szCs w:val="32"/>
          <w:highlight w:val="none"/>
          <w:lang w:val="en-US" w:eastAsia="zh-CN"/>
        </w:rPr>
        <w:t>发</w:t>
      </w:r>
      <w:r>
        <w:rPr>
          <w:rFonts w:hint="eastAsia" w:ascii="黑体" w:hAnsi="黑体" w:cs="黑体"/>
          <w:b w:val="0"/>
          <w:bCs w:val="0"/>
          <w:color w:val="auto"/>
          <w:sz w:val="28"/>
          <w:szCs w:val="32"/>
          <w:highlight w:val="none"/>
        </w:rPr>
        <w:t>包人提供的材料和工程设备</w:t>
      </w:r>
    </w:p>
    <w:p w14:paraId="7132E63A">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lang w:val="en-US" w:eastAsia="zh-CN"/>
        </w:rPr>
        <w:t>5</w:t>
      </w:r>
      <w:r>
        <w:rPr>
          <w:rFonts w:asciiTheme="minorEastAsia" w:hAnsiTheme="minorEastAsia" w:eastAsiaTheme="minorEastAsia"/>
          <w:bCs/>
          <w:color w:val="auto"/>
          <w:sz w:val="24"/>
          <w:highlight w:val="none"/>
        </w:rPr>
        <w:t>.2.1</w:t>
      </w:r>
      <w:r>
        <w:rPr>
          <w:rFonts w:hint="eastAsia" w:asciiTheme="minorEastAsia" w:hAnsiTheme="minorEastAsia" w:eastAsiaTheme="minorEastAsia"/>
          <w:bCs/>
          <w:color w:val="auto"/>
          <w:sz w:val="24"/>
          <w:highlight w:val="none"/>
          <w:lang w:val="en-US" w:eastAsia="zh-CN"/>
        </w:rPr>
        <w:t xml:space="preserve"> </w:t>
      </w:r>
      <w:r>
        <w:rPr>
          <w:rFonts w:hint="eastAsia" w:asciiTheme="minorEastAsia" w:hAnsiTheme="minorEastAsia" w:eastAsiaTheme="minorEastAsia"/>
          <w:color w:val="auto"/>
          <w:sz w:val="24"/>
          <w:highlight w:val="none"/>
        </w:rPr>
        <w:t>发</w:t>
      </w:r>
      <w:r>
        <w:rPr>
          <w:rFonts w:asciiTheme="minorEastAsia" w:hAnsiTheme="minorEastAsia" w:eastAsiaTheme="minorEastAsia"/>
          <w:color w:val="auto"/>
          <w:sz w:val="24"/>
          <w:highlight w:val="none"/>
        </w:rPr>
        <w:t>包人</w:t>
      </w:r>
      <w:r>
        <w:rPr>
          <w:rFonts w:hint="eastAsia" w:asciiTheme="minorEastAsia" w:hAnsiTheme="minorEastAsia" w:eastAsiaTheme="minorEastAsia"/>
          <w:color w:val="auto"/>
          <w:sz w:val="24"/>
          <w:highlight w:val="none"/>
          <w:lang w:val="en-US" w:eastAsia="zh-CN"/>
        </w:rPr>
        <w:t>若</w:t>
      </w:r>
      <w:r>
        <w:rPr>
          <w:rFonts w:hint="eastAsia" w:asciiTheme="minorEastAsia" w:hAnsiTheme="minorEastAsia" w:eastAsiaTheme="minorEastAsia"/>
          <w:color w:val="auto"/>
          <w:sz w:val="24"/>
          <w:highlight w:val="none"/>
        </w:rPr>
        <w:t>提供材料和工程设备</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名称、规格、数量、价格、交货方式、交货地点等</w:t>
      </w:r>
      <w:r>
        <w:rPr>
          <w:rFonts w:hint="eastAsia" w:asciiTheme="minorEastAsia" w:hAnsiTheme="minorEastAsia" w:eastAsiaTheme="minorEastAsia"/>
          <w:color w:val="auto"/>
          <w:sz w:val="24"/>
          <w:highlight w:val="none"/>
          <w:lang w:val="en-US" w:eastAsia="zh-CN"/>
        </w:rPr>
        <w:t>在项目专用合同条款数据表中</w:t>
      </w:r>
      <w:r>
        <w:rPr>
          <w:rFonts w:hint="eastAsia" w:asciiTheme="minorEastAsia" w:hAnsiTheme="minorEastAsia" w:eastAsiaTheme="minorEastAsia"/>
          <w:color w:val="auto"/>
          <w:sz w:val="24"/>
          <w:highlight w:val="none"/>
        </w:rPr>
        <w:t>约定。</w:t>
      </w:r>
    </w:p>
    <w:p w14:paraId="0ED0539D">
      <w:pPr>
        <w:pStyle w:val="5"/>
        <w:keepNext w:val="0"/>
        <w:keepLines w:val="0"/>
        <w:rPr>
          <w:rFonts w:hint="eastAsia" w:ascii="Arial" w:hAnsi="Arial"/>
          <w:b/>
          <w:color w:val="auto"/>
          <w:sz w:val="28"/>
          <w:szCs w:val="32"/>
          <w:highlight w:val="none"/>
        </w:rPr>
      </w:pPr>
      <w:bookmarkStart w:id="808" w:name="_Toc53685744"/>
      <w:r>
        <w:rPr>
          <w:rFonts w:hint="eastAsia" w:ascii="Arial" w:hAnsi="Arial"/>
          <w:b/>
          <w:color w:val="auto"/>
          <w:sz w:val="28"/>
          <w:szCs w:val="32"/>
          <w:highlight w:val="none"/>
          <w:lang w:val="en-US" w:eastAsia="zh-CN"/>
        </w:rPr>
        <w:t>6</w:t>
      </w:r>
      <w:r>
        <w:rPr>
          <w:rFonts w:hint="eastAsia" w:ascii="Arial" w:hAnsi="Arial"/>
          <w:b/>
          <w:color w:val="auto"/>
          <w:sz w:val="28"/>
          <w:szCs w:val="32"/>
          <w:highlight w:val="none"/>
        </w:rPr>
        <w:t>.</w:t>
      </w:r>
      <w:r>
        <w:rPr>
          <w:rFonts w:hint="eastAsia" w:ascii="Arial" w:hAnsi="Arial"/>
          <w:b/>
          <w:color w:val="auto"/>
          <w:sz w:val="28"/>
          <w:szCs w:val="32"/>
          <w:highlight w:val="none"/>
          <w:lang w:val="en-US" w:eastAsia="zh-CN"/>
        </w:rPr>
        <w:t xml:space="preserve"> </w:t>
      </w:r>
      <w:r>
        <w:rPr>
          <w:rFonts w:hint="eastAsia" w:ascii="Arial" w:hAnsi="Arial"/>
          <w:b/>
          <w:color w:val="auto"/>
          <w:sz w:val="28"/>
          <w:szCs w:val="32"/>
          <w:highlight w:val="none"/>
        </w:rPr>
        <w:t>施工设备和临时设施</w:t>
      </w:r>
    </w:p>
    <w:p w14:paraId="6890B1F3">
      <w:pPr>
        <w:pStyle w:val="6"/>
        <w:jc w:val="left"/>
        <w:rPr>
          <w:rFonts w:hint="eastAsia" w:ascii="黑体" w:hAnsi="黑体" w:cs="黑体"/>
          <w:b w:val="0"/>
          <w:bCs w:val="0"/>
          <w:color w:val="auto"/>
          <w:sz w:val="28"/>
          <w:szCs w:val="32"/>
          <w:highlight w:val="none"/>
        </w:rPr>
      </w:pPr>
      <w:r>
        <w:rPr>
          <w:rFonts w:hint="eastAsia" w:ascii="黑体" w:hAnsi="黑体" w:cs="黑体"/>
          <w:b w:val="0"/>
          <w:bCs w:val="0"/>
          <w:color w:val="auto"/>
          <w:sz w:val="28"/>
          <w:szCs w:val="32"/>
          <w:highlight w:val="none"/>
          <w:lang w:val="en-US" w:eastAsia="zh-CN"/>
        </w:rPr>
        <w:t>6</w:t>
      </w:r>
      <w:r>
        <w:rPr>
          <w:rFonts w:hint="eastAsia" w:ascii="黑体" w:hAnsi="黑体" w:cs="黑体"/>
          <w:b w:val="0"/>
          <w:bCs w:val="0"/>
          <w:color w:val="auto"/>
          <w:sz w:val="28"/>
          <w:szCs w:val="32"/>
          <w:highlight w:val="none"/>
        </w:rPr>
        <w:t>.2</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发包人提供的施工设备和临时设施</w:t>
      </w:r>
    </w:p>
    <w:p w14:paraId="0BF2585B">
      <w:pPr>
        <w:adjustRightInd w:val="0"/>
        <w:snapToGrid w:val="0"/>
        <w:spacing w:line="360" w:lineRule="auto"/>
        <w:ind w:firstLine="480" w:firstLineChars="200"/>
        <w:rPr>
          <w:rFonts w:hint="default" w:asciiTheme="minorEastAsia" w:hAnsiTheme="minorEastAsia" w:eastAsiaTheme="minorEastAsia"/>
          <w:b w:val="0"/>
          <w:color w:val="auto"/>
          <w:sz w:val="24"/>
          <w:szCs w:val="24"/>
          <w:highlight w:val="none"/>
        </w:rPr>
      </w:pPr>
      <w:r>
        <w:rPr>
          <w:rFonts w:hint="eastAsia" w:asciiTheme="minorEastAsia" w:hAnsiTheme="minorEastAsia" w:eastAsiaTheme="minorEastAsia"/>
          <w:color w:val="auto"/>
          <w:sz w:val="24"/>
          <w:highlight w:val="none"/>
        </w:rPr>
        <w:t>发</w:t>
      </w:r>
      <w:r>
        <w:rPr>
          <w:rFonts w:asciiTheme="minorEastAsia" w:hAnsiTheme="minorEastAsia" w:eastAsiaTheme="minorEastAsia"/>
          <w:color w:val="auto"/>
          <w:sz w:val="24"/>
          <w:highlight w:val="none"/>
        </w:rPr>
        <w:t>包人</w:t>
      </w:r>
      <w:r>
        <w:rPr>
          <w:rFonts w:hint="eastAsia" w:asciiTheme="minorEastAsia" w:hAnsiTheme="minorEastAsia" w:eastAsiaTheme="minorEastAsia"/>
          <w:color w:val="auto"/>
          <w:sz w:val="24"/>
          <w:highlight w:val="none"/>
          <w:lang w:val="en-US" w:eastAsia="zh-CN"/>
        </w:rPr>
        <w:t>若</w:t>
      </w:r>
      <w:r>
        <w:rPr>
          <w:rFonts w:hint="eastAsia" w:asciiTheme="minorEastAsia" w:hAnsiTheme="minorEastAsia" w:eastAsiaTheme="minorEastAsia"/>
          <w:color w:val="auto"/>
          <w:sz w:val="24"/>
          <w:highlight w:val="none"/>
        </w:rPr>
        <w:t>提供施工设备和临时设施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项目</w:t>
      </w:r>
      <w:r>
        <w:rPr>
          <w:rFonts w:hint="eastAsia" w:asciiTheme="minorEastAsia" w:hAnsiTheme="minorEastAsia" w:eastAsiaTheme="minorEastAsia"/>
          <w:color w:val="auto"/>
          <w:sz w:val="24"/>
          <w:highlight w:val="none"/>
        </w:rPr>
        <w:t>专用合同条款数据表中</w:t>
      </w:r>
      <w:r>
        <w:rPr>
          <w:rFonts w:hint="eastAsia" w:asciiTheme="minorEastAsia" w:hAnsiTheme="minorEastAsia" w:eastAsiaTheme="minorEastAsia"/>
          <w:color w:val="auto"/>
          <w:sz w:val="24"/>
          <w:highlight w:val="none"/>
          <w:lang w:val="en-US" w:eastAsia="zh-CN"/>
        </w:rPr>
        <w:t>具体</w:t>
      </w:r>
      <w:r>
        <w:rPr>
          <w:rFonts w:hint="eastAsia" w:asciiTheme="minorEastAsia" w:hAnsiTheme="minorEastAsia" w:eastAsiaTheme="minorEastAsia"/>
          <w:color w:val="auto"/>
          <w:sz w:val="24"/>
          <w:highlight w:val="none"/>
        </w:rPr>
        <w:t>约定</w:t>
      </w:r>
      <w:r>
        <w:rPr>
          <w:rFonts w:hint="default" w:asciiTheme="minorEastAsia" w:hAnsiTheme="minorEastAsia" w:eastAsiaTheme="minorEastAsia"/>
          <w:color w:val="auto"/>
          <w:sz w:val="24"/>
          <w:highlight w:val="none"/>
          <w:u w:val="none"/>
        </w:rPr>
        <w:t>。</w:t>
      </w:r>
    </w:p>
    <w:p w14:paraId="612AEB59">
      <w:pPr>
        <w:pStyle w:val="5"/>
        <w:keepNext w:val="0"/>
        <w:keepLines w:val="0"/>
        <w:numPr>
          <w:ilvl w:val="-1"/>
          <w:numId w:val="0"/>
        </w:numPr>
        <w:rPr>
          <w:rFonts w:hint="eastAsia" w:ascii="Arial" w:hAnsi="Arial"/>
          <w:b/>
          <w:color w:val="auto"/>
          <w:sz w:val="28"/>
          <w:szCs w:val="32"/>
          <w:highlight w:val="none"/>
        </w:rPr>
      </w:pPr>
      <w:r>
        <w:rPr>
          <w:rFonts w:hint="eastAsia" w:ascii="Arial" w:hAnsi="Arial"/>
          <w:b/>
          <w:color w:val="auto"/>
          <w:sz w:val="28"/>
          <w:szCs w:val="32"/>
          <w:highlight w:val="none"/>
          <w:lang w:val="en-US" w:eastAsia="zh-CN"/>
        </w:rPr>
        <w:t xml:space="preserve">7. </w:t>
      </w:r>
      <w:r>
        <w:rPr>
          <w:rFonts w:hint="eastAsia" w:ascii="Arial" w:hAnsi="Arial"/>
          <w:b/>
          <w:color w:val="auto"/>
          <w:sz w:val="28"/>
          <w:szCs w:val="32"/>
          <w:highlight w:val="none"/>
        </w:rPr>
        <w:t>交通运输</w:t>
      </w:r>
      <w:bookmarkEnd w:id="808"/>
    </w:p>
    <w:p w14:paraId="371D9C3C">
      <w:pPr>
        <w:pStyle w:val="6"/>
        <w:jc w:val="left"/>
        <w:rPr>
          <w:rFonts w:hint="eastAsia" w:ascii="黑体" w:hAnsi="黑体" w:cs="黑体"/>
          <w:b w:val="0"/>
          <w:bCs w:val="0"/>
          <w:color w:val="auto"/>
          <w:sz w:val="28"/>
          <w:szCs w:val="32"/>
          <w:highlight w:val="none"/>
        </w:rPr>
      </w:pPr>
      <w:bookmarkStart w:id="809" w:name="_Toc53685745"/>
      <w:r>
        <w:rPr>
          <w:rFonts w:hint="eastAsia" w:ascii="黑体" w:hAnsi="黑体" w:cs="黑体"/>
          <w:b w:val="0"/>
          <w:bCs w:val="0"/>
          <w:color w:val="auto"/>
          <w:sz w:val="28"/>
          <w:szCs w:val="32"/>
          <w:highlight w:val="none"/>
        </w:rPr>
        <w:t>7.1</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道路通行权和场外设施</w:t>
      </w:r>
      <w:bookmarkEnd w:id="809"/>
    </w:p>
    <w:p w14:paraId="393E18C1">
      <w:pPr>
        <w:spacing w:line="360" w:lineRule="auto"/>
        <w:ind w:firstLine="480" w:firstLineChars="200"/>
        <w:rPr>
          <w:rFonts w:hint="eastAsia" w:ascii="宋体" w:hAnsi="宋体"/>
          <w:color w:val="auto"/>
          <w:sz w:val="24"/>
          <w:highlight w:val="none"/>
        </w:rPr>
      </w:pPr>
      <w:bookmarkStart w:id="810" w:name="_Hlk100153290"/>
      <w:r>
        <w:rPr>
          <w:rFonts w:hint="eastAsia" w:ascii="宋体" w:hAnsi="宋体"/>
          <w:color w:val="auto"/>
          <w:sz w:val="24"/>
          <w:highlight w:val="none"/>
        </w:rPr>
        <w:t>本款补充：</w:t>
      </w:r>
    </w:p>
    <w:p w14:paraId="227DC9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承包人应自行踏勘场外交通通行状况、运距，自行办理车辆通行的相关手续和承担相应的费用。</w:t>
      </w:r>
      <w:bookmarkEnd w:id="810"/>
    </w:p>
    <w:p w14:paraId="3A05AD42">
      <w:pPr>
        <w:pStyle w:val="6"/>
        <w:jc w:val="left"/>
        <w:rPr>
          <w:rFonts w:hint="eastAsia" w:ascii="黑体" w:hAnsi="黑体" w:cs="黑体"/>
          <w:b w:val="0"/>
          <w:bCs w:val="0"/>
          <w:color w:val="auto"/>
          <w:sz w:val="28"/>
          <w:szCs w:val="32"/>
          <w:highlight w:val="none"/>
        </w:rPr>
      </w:pPr>
      <w:bookmarkStart w:id="811" w:name="_Toc53685746"/>
      <w:bookmarkStart w:id="812" w:name="_Hlk100153358"/>
      <w:r>
        <w:rPr>
          <w:rFonts w:hint="eastAsia" w:ascii="黑体" w:hAnsi="黑体" w:cs="黑体"/>
          <w:b w:val="0"/>
          <w:bCs w:val="0"/>
          <w:color w:val="auto"/>
          <w:sz w:val="28"/>
          <w:szCs w:val="32"/>
          <w:highlight w:val="none"/>
        </w:rPr>
        <w:t>7.2</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场内施工道路</w:t>
      </w:r>
      <w:bookmarkEnd w:id="811"/>
    </w:p>
    <w:p w14:paraId="0D7DC5A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第7.2.1项</w:t>
      </w:r>
      <w:r>
        <w:rPr>
          <w:rFonts w:ascii="宋体" w:hAnsi="宋体"/>
          <w:color w:val="auto"/>
          <w:sz w:val="24"/>
          <w:highlight w:val="none"/>
        </w:rPr>
        <w:t>补充：</w:t>
      </w:r>
    </w:p>
    <w:p w14:paraId="34397AD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若其他承包人或其工作人员在使用</w:t>
      </w:r>
      <w:r>
        <w:rPr>
          <w:rFonts w:hint="eastAsia" w:ascii="宋体" w:hAnsi="宋体"/>
          <w:color w:val="auto"/>
          <w:sz w:val="24"/>
          <w:highlight w:val="none"/>
          <w:lang w:val="en-US" w:eastAsia="zh-CN"/>
        </w:rPr>
        <w:t>场内施工道路</w:t>
      </w:r>
      <w:r>
        <w:rPr>
          <w:rFonts w:hint="eastAsia" w:ascii="宋体" w:hAnsi="宋体"/>
          <w:color w:val="auto"/>
          <w:sz w:val="24"/>
          <w:highlight w:val="none"/>
        </w:rPr>
        <w:t>过程中对临时设施造成损坏时，承包人可通过监理人提出由其他承包人给予修复或赔偿的要求。</w:t>
      </w:r>
    </w:p>
    <w:bookmarkEnd w:id="812"/>
    <w:p w14:paraId="0E8E267B">
      <w:pPr>
        <w:pStyle w:val="6"/>
        <w:jc w:val="left"/>
        <w:rPr>
          <w:rFonts w:hint="eastAsia" w:ascii="黑体" w:hAnsi="黑体" w:cs="黑体"/>
          <w:b w:val="0"/>
          <w:bCs w:val="0"/>
          <w:color w:val="auto"/>
          <w:sz w:val="28"/>
          <w:szCs w:val="32"/>
          <w:highlight w:val="none"/>
        </w:rPr>
      </w:pPr>
      <w:bookmarkStart w:id="813" w:name="_Toc53685747"/>
      <w:r>
        <w:rPr>
          <w:rFonts w:hint="eastAsia" w:ascii="黑体" w:hAnsi="黑体" w:cs="黑体"/>
          <w:b w:val="0"/>
          <w:bCs w:val="0"/>
          <w:color w:val="auto"/>
          <w:sz w:val="28"/>
          <w:szCs w:val="32"/>
          <w:highlight w:val="none"/>
        </w:rPr>
        <w:t>7.3</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场外交通</w:t>
      </w:r>
      <w:bookmarkEnd w:id="813"/>
    </w:p>
    <w:p w14:paraId="5A157FAB">
      <w:pPr>
        <w:adjustRightInd w:val="0"/>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7.3.1</w:t>
      </w:r>
      <w:r>
        <w:rPr>
          <w:rFonts w:hint="eastAsia" w:ascii="宋体" w:hAnsi="宋体"/>
          <w:bCs/>
          <w:color w:val="auto"/>
          <w:sz w:val="24"/>
          <w:highlight w:val="none"/>
        </w:rPr>
        <w:t>项补充：</w:t>
      </w:r>
    </w:p>
    <w:p w14:paraId="7B900699">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olor w:val="auto"/>
          <w:sz w:val="24"/>
          <w:highlight w:val="none"/>
        </w:rPr>
        <w:t>为运输用于本工程的材料、设备通过所有收费公路的通行费用均由承包人自行按章缴纳。承包人在施工过程中所使用的管理车辆、工程、材料运输车辆，要求各类证照齐全，车况良好。</w:t>
      </w:r>
    </w:p>
    <w:p w14:paraId="3E2AB8BE">
      <w:pPr>
        <w:pStyle w:val="5"/>
        <w:keepNext w:val="0"/>
        <w:keepLines w:val="0"/>
        <w:numPr>
          <w:ilvl w:val="-1"/>
          <w:numId w:val="0"/>
        </w:numPr>
        <w:rPr>
          <w:rFonts w:hint="eastAsia" w:ascii="Arial" w:hAnsi="Arial"/>
          <w:b/>
          <w:color w:val="auto"/>
          <w:sz w:val="28"/>
          <w:szCs w:val="32"/>
          <w:highlight w:val="none"/>
        </w:rPr>
      </w:pPr>
      <w:bookmarkStart w:id="814" w:name="_Toc53685748"/>
      <w:r>
        <w:rPr>
          <w:rFonts w:hint="eastAsia" w:ascii="Arial" w:hAnsi="Arial"/>
          <w:b/>
          <w:color w:val="auto"/>
          <w:sz w:val="28"/>
          <w:szCs w:val="32"/>
          <w:highlight w:val="none"/>
          <w:lang w:val="en-US" w:eastAsia="zh-CN"/>
        </w:rPr>
        <w:t xml:space="preserve">8. </w:t>
      </w:r>
      <w:r>
        <w:rPr>
          <w:rFonts w:hint="eastAsia" w:ascii="Arial" w:hAnsi="Arial"/>
          <w:b/>
          <w:color w:val="auto"/>
          <w:sz w:val="28"/>
          <w:szCs w:val="32"/>
          <w:highlight w:val="none"/>
        </w:rPr>
        <w:t>测量放线</w:t>
      </w:r>
      <w:bookmarkEnd w:id="814"/>
    </w:p>
    <w:p w14:paraId="35539AFA">
      <w:pPr>
        <w:pStyle w:val="6"/>
        <w:jc w:val="left"/>
        <w:rPr>
          <w:rFonts w:hint="eastAsia" w:ascii="黑体" w:hAnsi="黑体" w:cs="黑体"/>
          <w:b w:val="0"/>
          <w:bCs w:val="0"/>
          <w:color w:val="auto"/>
          <w:sz w:val="28"/>
          <w:szCs w:val="32"/>
          <w:highlight w:val="none"/>
        </w:rPr>
      </w:pPr>
      <w:bookmarkStart w:id="815" w:name="_Toc53685749"/>
      <w:r>
        <w:rPr>
          <w:rFonts w:hint="eastAsia" w:ascii="黑体" w:hAnsi="黑体" w:cs="黑体"/>
          <w:b w:val="0"/>
          <w:bCs w:val="0"/>
          <w:color w:val="auto"/>
          <w:sz w:val="28"/>
          <w:szCs w:val="32"/>
          <w:highlight w:val="none"/>
        </w:rPr>
        <w:t>8.1 施工控制网</w:t>
      </w:r>
      <w:bookmarkEnd w:id="815"/>
    </w:p>
    <w:p w14:paraId="79EEB500">
      <w:pPr>
        <w:spacing w:line="360" w:lineRule="auto"/>
        <w:ind w:firstLine="480" w:firstLineChars="200"/>
        <w:rPr>
          <w:rFonts w:ascii="宋体" w:hAnsi="宋体"/>
          <w:color w:val="auto"/>
          <w:sz w:val="24"/>
          <w:highlight w:val="none"/>
        </w:rPr>
      </w:pPr>
      <w:r>
        <w:rPr>
          <w:rFonts w:ascii="宋体" w:hAnsi="宋体"/>
          <w:b w:val="0"/>
          <w:bCs/>
          <w:color w:val="auto"/>
          <w:sz w:val="24"/>
          <w:highlight w:val="none"/>
        </w:rPr>
        <w:t>8.1.1</w:t>
      </w:r>
      <w:r>
        <w:rPr>
          <w:rFonts w:hint="eastAsia" w:ascii="宋体" w:hAnsi="宋体"/>
          <w:b w:val="0"/>
          <w:bCs/>
          <w:color w:val="auto"/>
          <w:sz w:val="24"/>
          <w:highlight w:val="none"/>
          <w:lang w:val="en-US" w:eastAsia="zh-CN"/>
        </w:rPr>
        <w:t xml:space="preserve"> </w:t>
      </w:r>
      <w:r>
        <w:rPr>
          <w:rFonts w:hint="eastAsia" w:ascii="宋体" w:hAnsi="宋体"/>
          <w:color w:val="auto"/>
          <w:sz w:val="24"/>
          <w:highlight w:val="none"/>
        </w:rPr>
        <w:t>发包人提供测量基准点、基准线和水准点的期限：</w:t>
      </w:r>
      <w:r>
        <w:rPr>
          <w:rFonts w:hint="eastAsia" w:ascii="宋体" w:hAnsi="宋体"/>
          <w:color w:val="auto"/>
          <w:sz w:val="24"/>
          <w:highlight w:val="none"/>
          <w:lang w:val="en-US" w:eastAsia="zh-CN"/>
        </w:rPr>
        <w:t>在项目</w:t>
      </w:r>
      <w:r>
        <w:rPr>
          <w:rFonts w:hint="eastAsia" w:ascii="宋体" w:hAnsi="宋体"/>
          <w:color w:val="auto"/>
          <w:sz w:val="24"/>
          <w:highlight w:val="none"/>
          <w:u w:val="none"/>
          <w:lang w:val="en-US" w:eastAsia="zh-CN"/>
        </w:rPr>
        <w:t>专用合同条款数据表中约定</w:t>
      </w:r>
      <w:r>
        <w:rPr>
          <w:rFonts w:hint="eastAsia" w:ascii="宋体" w:hAnsi="宋体"/>
          <w:color w:val="auto"/>
          <w:sz w:val="24"/>
          <w:highlight w:val="none"/>
        </w:rPr>
        <w:t>。</w:t>
      </w:r>
    </w:p>
    <w:p w14:paraId="325A4945">
      <w:pPr>
        <w:spacing w:line="360" w:lineRule="auto"/>
        <w:ind w:firstLine="480" w:firstLineChars="200"/>
        <w:rPr>
          <w:rFonts w:ascii="宋体" w:hAnsi="宋体" w:cs="Courier New"/>
          <w:color w:val="auto"/>
          <w:sz w:val="24"/>
          <w:highlight w:val="none"/>
        </w:rPr>
      </w:pPr>
      <w:r>
        <w:rPr>
          <w:rFonts w:hint="eastAsia" w:ascii="宋体" w:hAnsi="宋体" w:cs="Courier New"/>
          <w:color w:val="auto"/>
          <w:sz w:val="24"/>
          <w:highlight w:val="none"/>
        </w:rPr>
        <w:t>施工控制网的测设：由承包人完成，但</w:t>
      </w:r>
      <w:r>
        <w:rPr>
          <w:rFonts w:hint="eastAsia" w:ascii="宋体" w:hAnsi="宋体"/>
          <w:color w:val="auto"/>
          <w:sz w:val="24"/>
          <w:highlight w:val="none"/>
        </w:rPr>
        <w:t>承包人进场后应对发包人提供的基准资料进行复核并签字确认</w:t>
      </w:r>
      <w:r>
        <w:rPr>
          <w:rFonts w:hint="eastAsia" w:ascii="宋体" w:hAnsi="宋体" w:cs="Courier New"/>
          <w:color w:val="auto"/>
          <w:sz w:val="24"/>
          <w:highlight w:val="none"/>
        </w:rPr>
        <w:t>。</w:t>
      </w:r>
    </w:p>
    <w:p w14:paraId="1FCD8064">
      <w:pPr>
        <w:spacing w:line="360" w:lineRule="auto"/>
        <w:ind w:firstLine="480" w:firstLineChars="200"/>
        <w:rPr>
          <w:rFonts w:ascii="宋体" w:hAnsi="宋体"/>
          <w:b/>
          <w:color w:val="auto"/>
          <w:sz w:val="24"/>
          <w:highlight w:val="none"/>
        </w:rPr>
      </w:pPr>
      <w:r>
        <w:rPr>
          <w:rFonts w:hint="eastAsia" w:ascii="宋体" w:hAnsi="宋体" w:cs="Courier New"/>
          <w:color w:val="auto"/>
          <w:sz w:val="24"/>
          <w:highlight w:val="none"/>
        </w:rPr>
        <w:t>报监理人审批施工控制网资料的期限：</w:t>
      </w:r>
      <w:r>
        <w:rPr>
          <w:rFonts w:hint="eastAsia" w:ascii="宋体" w:hAnsi="宋体"/>
          <w:color w:val="auto"/>
          <w:sz w:val="24"/>
          <w:highlight w:val="none"/>
          <w:lang w:val="en-US" w:eastAsia="zh-CN"/>
        </w:rPr>
        <w:t>在项目</w:t>
      </w:r>
      <w:r>
        <w:rPr>
          <w:rFonts w:hint="eastAsia" w:ascii="宋体" w:hAnsi="宋体"/>
          <w:color w:val="auto"/>
          <w:sz w:val="24"/>
          <w:highlight w:val="none"/>
          <w:u w:val="none"/>
          <w:lang w:val="en-US" w:eastAsia="zh-CN"/>
        </w:rPr>
        <w:t>专用合同条款数据表中约定</w:t>
      </w:r>
      <w:r>
        <w:rPr>
          <w:rFonts w:hint="eastAsia" w:ascii="宋体" w:hAnsi="宋体"/>
          <w:color w:val="auto"/>
          <w:sz w:val="24"/>
          <w:highlight w:val="none"/>
        </w:rPr>
        <w:t>。</w:t>
      </w:r>
    </w:p>
    <w:p w14:paraId="70608C96">
      <w:pPr>
        <w:pStyle w:val="5"/>
        <w:keepNext w:val="0"/>
        <w:keepLines w:val="0"/>
        <w:rPr>
          <w:rFonts w:hint="eastAsia" w:ascii="Arial" w:hAnsi="Arial"/>
          <w:b/>
          <w:color w:val="auto"/>
          <w:sz w:val="28"/>
          <w:szCs w:val="32"/>
          <w:highlight w:val="none"/>
        </w:rPr>
      </w:pPr>
      <w:bookmarkStart w:id="816" w:name="_Toc53685750"/>
      <w:r>
        <w:rPr>
          <w:rFonts w:hint="eastAsia" w:ascii="Arial" w:hAnsi="Arial"/>
          <w:b/>
          <w:color w:val="auto"/>
          <w:sz w:val="28"/>
          <w:szCs w:val="32"/>
          <w:highlight w:val="none"/>
        </w:rPr>
        <w:t>9．施工安全、治安保卫和环境保护</w:t>
      </w:r>
      <w:bookmarkEnd w:id="816"/>
    </w:p>
    <w:p w14:paraId="247E98D1">
      <w:pPr>
        <w:pStyle w:val="6"/>
        <w:jc w:val="left"/>
        <w:rPr>
          <w:rFonts w:hint="eastAsia" w:ascii="黑体" w:hAnsi="黑体" w:cs="黑体"/>
          <w:b w:val="0"/>
          <w:bCs w:val="0"/>
          <w:color w:val="auto"/>
          <w:sz w:val="28"/>
          <w:szCs w:val="32"/>
          <w:highlight w:val="none"/>
        </w:rPr>
      </w:pPr>
      <w:bookmarkStart w:id="817" w:name="_Toc53685751"/>
      <w:r>
        <w:rPr>
          <w:rFonts w:hint="eastAsia" w:ascii="黑体" w:hAnsi="黑体" w:cs="黑体"/>
          <w:b w:val="0"/>
          <w:bCs w:val="0"/>
          <w:color w:val="auto"/>
          <w:sz w:val="28"/>
          <w:szCs w:val="32"/>
          <w:highlight w:val="none"/>
        </w:rPr>
        <w:t>9.2</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承包人的施工安全责任</w:t>
      </w:r>
      <w:bookmarkEnd w:id="817"/>
    </w:p>
    <w:p w14:paraId="190A0924">
      <w:pPr>
        <w:spacing w:line="360" w:lineRule="auto"/>
        <w:ind w:firstLine="475" w:firstLineChars="198"/>
        <w:rPr>
          <w:rFonts w:ascii="宋体" w:hAnsi="宋体"/>
          <w:b w:val="0"/>
          <w:bCs/>
          <w:color w:val="auto"/>
          <w:sz w:val="24"/>
          <w:highlight w:val="none"/>
        </w:rPr>
      </w:pPr>
      <w:r>
        <w:rPr>
          <w:rFonts w:hint="eastAsia" w:ascii="宋体" w:hAnsi="宋体"/>
          <w:b w:val="0"/>
          <w:bCs/>
          <w:color w:val="auto"/>
          <w:sz w:val="24"/>
          <w:highlight w:val="none"/>
        </w:rPr>
        <w:t>第</w:t>
      </w:r>
      <w:r>
        <w:rPr>
          <w:rFonts w:ascii="宋体" w:hAnsi="宋体"/>
          <w:b w:val="0"/>
          <w:bCs/>
          <w:color w:val="auto"/>
          <w:sz w:val="24"/>
          <w:highlight w:val="none"/>
        </w:rPr>
        <w:t>9.2.1项补充：</w:t>
      </w:r>
    </w:p>
    <w:p w14:paraId="35F5150C">
      <w:pPr>
        <w:adjustRightInd w:val="0"/>
        <w:snapToGrid w:val="0"/>
        <w:spacing w:line="360" w:lineRule="auto"/>
        <w:ind w:firstLine="480" w:firstLineChars="200"/>
        <w:rPr>
          <w:rFonts w:ascii="宋体" w:hAnsi="宋体" w:cs="Courier New"/>
          <w:color w:val="auto"/>
          <w:sz w:val="24"/>
          <w:highlight w:val="none"/>
        </w:rPr>
      </w:pPr>
      <w:r>
        <w:rPr>
          <w:rFonts w:hint="eastAsia" w:ascii="宋体" w:hAnsi="宋体" w:cs="Courier New"/>
          <w:color w:val="auto"/>
          <w:sz w:val="24"/>
          <w:highlight w:val="none"/>
        </w:rPr>
        <w:t>承包人应根据交通运输部《公路水运工程施工安全标准化指南》的要求，构建工程项目安全生产责任体系，责任体系主要包括但不局限于：项目安全生产目标、组织管理机构、安全生产条件、安全生产责任及安全生产管理制度等。</w:t>
      </w:r>
    </w:p>
    <w:p w14:paraId="4412E3EE">
      <w:pPr>
        <w:adjustRightInd/>
        <w:snapToGrid/>
        <w:spacing w:line="360" w:lineRule="auto"/>
        <w:ind w:firstLine="475" w:firstLineChars="198"/>
        <w:rPr>
          <w:rFonts w:hint="eastAsia" w:ascii="宋体" w:hAnsi="宋体" w:cs="Times New Roman"/>
          <w:bCs/>
          <w:color w:val="auto"/>
          <w:sz w:val="24"/>
          <w:highlight w:val="none"/>
        </w:rPr>
      </w:pPr>
      <w:r>
        <w:rPr>
          <w:rFonts w:hint="eastAsia" w:ascii="宋体" w:hAnsi="宋体"/>
          <w:bCs/>
          <w:color w:val="auto"/>
          <w:sz w:val="24"/>
          <w:highlight w:val="none"/>
        </w:rPr>
        <w:t>承包人应遵照</w:t>
      </w:r>
      <w:r>
        <w:rPr>
          <w:rFonts w:hint="eastAsia"/>
          <w:color w:val="auto"/>
          <w:sz w:val="24"/>
          <w:highlight w:val="none"/>
          <w:lang w:eastAsia="zh-CN"/>
        </w:rPr>
        <w:t>《</w:t>
      </w:r>
      <w:r>
        <w:rPr>
          <w:rFonts w:hint="eastAsia"/>
          <w:color w:val="auto"/>
          <w:sz w:val="24"/>
          <w:highlight w:val="none"/>
          <w:lang w:val="en-US" w:eastAsia="zh-CN"/>
        </w:rPr>
        <w:t>中华人民共和国安全生产法</w:t>
      </w:r>
      <w:r>
        <w:rPr>
          <w:rFonts w:hint="eastAsia"/>
          <w:color w:val="auto"/>
          <w:sz w:val="24"/>
          <w:highlight w:val="none"/>
          <w:lang w:eastAsia="zh-CN"/>
        </w:rPr>
        <w:t>》</w:t>
      </w:r>
      <w:r>
        <w:rPr>
          <w:rFonts w:hint="eastAsia" w:ascii="宋体" w:hAnsi="宋体"/>
          <w:bCs/>
          <w:color w:val="auto"/>
          <w:sz w:val="24"/>
          <w:highlight w:val="none"/>
        </w:rPr>
        <w:t>《四川省安全生产条例》有关要求，并须按照《交通运输部关于开展公路桥梁和隧道工程施工安全风险评估试行工作的通知》（交质监发</w:t>
      </w:r>
      <w:r>
        <w:rPr>
          <w:rFonts w:hint="eastAsia" w:ascii="宋体" w:hAnsi="宋体"/>
          <w:bCs/>
          <w:color w:val="auto"/>
          <w:sz w:val="24"/>
          <w:highlight w:val="none"/>
          <w:lang w:eastAsia="zh-CN"/>
        </w:rPr>
        <w:t>〔</w:t>
      </w:r>
      <w:r>
        <w:rPr>
          <w:rFonts w:hint="eastAsia" w:ascii="宋体" w:hAnsi="宋体"/>
          <w:bCs/>
          <w:color w:val="auto"/>
          <w:sz w:val="24"/>
          <w:highlight w:val="none"/>
        </w:rPr>
        <w:t>2011</w:t>
      </w:r>
      <w:r>
        <w:rPr>
          <w:rFonts w:hint="eastAsia" w:ascii="宋体" w:hAnsi="宋体"/>
          <w:bCs/>
          <w:color w:val="auto"/>
          <w:sz w:val="24"/>
          <w:highlight w:val="none"/>
          <w:lang w:eastAsia="zh-CN"/>
        </w:rPr>
        <w:t>〕</w:t>
      </w:r>
      <w:r>
        <w:rPr>
          <w:rFonts w:hint="eastAsia" w:ascii="宋体" w:hAnsi="宋体"/>
          <w:bCs/>
          <w:color w:val="auto"/>
          <w:sz w:val="24"/>
          <w:highlight w:val="none"/>
        </w:rPr>
        <w:t>217号）的规定进行专项安全评</w:t>
      </w:r>
      <w:r>
        <w:rPr>
          <w:rFonts w:hint="eastAsia" w:ascii="宋体" w:hAnsi="宋体" w:cs="Times New Roman"/>
          <w:bCs/>
          <w:color w:val="auto"/>
          <w:sz w:val="24"/>
          <w:highlight w:val="none"/>
        </w:rPr>
        <w:t>估。按</w:t>
      </w:r>
      <w:r>
        <w:rPr>
          <w:rFonts w:hint="eastAsia" w:ascii="宋体" w:hAnsi="宋体" w:cs="Times New Roman"/>
          <w:bCs/>
          <w:color w:val="auto"/>
          <w:sz w:val="24"/>
          <w:highlight w:val="none"/>
          <w:lang w:eastAsia="zh-CN"/>
        </w:rPr>
        <w:t>《</w:t>
      </w:r>
      <w:r>
        <w:rPr>
          <w:rFonts w:hint="eastAsia" w:ascii="宋体" w:hAnsi="宋体" w:cs="Times New Roman"/>
          <w:bCs/>
          <w:color w:val="auto"/>
          <w:sz w:val="24"/>
          <w:highlight w:val="none"/>
          <w:lang w:val="en-US" w:eastAsia="zh-CN"/>
        </w:rPr>
        <w:t xml:space="preserve">国务院安委会办公室 住房和城乡建设部 </w:t>
      </w:r>
      <w:r>
        <w:rPr>
          <w:rFonts w:hint="eastAsia" w:ascii="宋体" w:hAnsi="宋体" w:eastAsia="宋体" w:cs="Times New Roman"/>
          <w:b w:val="0"/>
          <w:bCs/>
          <w:color w:val="auto"/>
          <w:kern w:val="2"/>
          <w:sz w:val="24"/>
          <w:szCs w:val="24"/>
          <w:highlight w:val="none"/>
          <w:lang w:val="en-US" w:eastAsia="zh-CN" w:bidi="ar"/>
        </w:rPr>
        <w:t>交通运输部 水利部 国务院国有资产监督管理委员会 国家铁路局 中国民用航空局 中国国家铁路集团有限公司关于进一步加强隧道工程安全管理的指导意见</w:t>
      </w:r>
      <w:r>
        <w:rPr>
          <w:rFonts w:hint="eastAsia" w:ascii="宋体" w:hAnsi="宋体" w:cs="Times New Roman"/>
          <w:bCs/>
          <w:color w:val="auto"/>
          <w:sz w:val="24"/>
          <w:highlight w:val="none"/>
          <w:lang w:eastAsia="zh-CN"/>
        </w:rPr>
        <w:t>》（</w:t>
      </w:r>
      <w:r>
        <w:rPr>
          <w:rFonts w:hint="eastAsia" w:ascii="宋体" w:hAnsi="宋体" w:cs="Times New Roman"/>
          <w:bCs/>
          <w:color w:val="auto"/>
          <w:sz w:val="24"/>
          <w:highlight w:val="none"/>
          <w:lang w:val="en-US" w:eastAsia="zh-CN"/>
        </w:rPr>
        <w:t>安委办</w:t>
      </w:r>
      <w:r>
        <w:rPr>
          <w:rFonts w:hint="eastAsia" w:ascii="宋体" w:hAnsi="宋体" w:cs="Times New Roman"/>
          <w:bCs/>
          <w:color w:val="auto"/>
          <w:sz w:val="24"/>
          <w:highlight w:val="none"/>
        </w:rPr>
        <w:t>〔20</w:t>
      </w:r>
      <w:r>
        <w:rPr>
          <w:rFonts w:hint="eastAsia" w:ascii="宋体" w:hAnsi="宋体" w:cs="Times New Roman"/>
          <w:bCs/>
          <w:color w:val="auto"/>
          <w:sz w:val="24"/>
          <w:highlight w:val="none"/>
          <w:lang w:val="en-US" w:eastAsia="zh-CN"/>
        </w:rPr>
        <w:t>23</w:t>
      </w:r>
      <w:r>
        <w:rPr>
          <w:rFonts w:hint="eastAsia" w:ascii="宋体" w:hAnsi="宋体" w:cs="Times New Roman"/>
          <w:bCs/>
          <w:color w:val="auto"/>
          <w:sz w:val="24"/>
          <w:highlight w:val="none"/>
        </w:rPr>
        <w:t>〕</w:t>
      </w:r>
      <w:r>
        <w:rPr>
          <w:rFonts w:hint="eastAsia" w:ascii="宋体" w:hAnsi="宋体" w:cs="Times New Roman"/>
          <w:bCs/>
          <w:color w:val="auto"/>
          <w:sz w:val="24"/>
          <w:highlight w:val="none"/>
          <w:lang w:val="en-US" w:eastAsia="zh-CN"/>
        </w:rPr>
        <w:t>2</w:t>
      </w:r>
      <w:r>
        <w:rPr>
          <w:rFonts w:hint="eastAsia" w:ascii="宋体" w:hAnsi="宋体" w:cs="Times New Roman"/>
          <w:bCs/>
          <w:color w:val="auto"/>
          <w:sz w:val="24"/>
          <w:highlight w:val="none"/>
        </w:rPr>
        <w:t>号</w:t>
      </w:r>
      <w:r>
        <w:rPr>
          <w:rFonts w:hint="eastAsia" w:ascii="宋体" w:hAnsi="宋体" w:cs="Times New Roman"/>
          <w:bCs/>
          <w:color w:val="auto"/>
          <w:sz w:val="24"/>
          <w:highlight w:val="none"/>
          <w:lang w:eastAsia="zh-CN"/>
        </w:rPr>
        <w:t>）、</w:t>
      </w:r>
      <w:r>
        <w:rPr>
          <w:rFonts w:hint="eastAsia" w:ascii="宋体" w:hAnsi="宋体" w:cs="Times New Roman"/>
          <w:bCs/>
          <w:color w:val="auto"/>
          <w:sz w:val="24"/>
          <w:highlight w:val="none"/>
        </w:rPr>
        <w:t>《交通运输部办公厅</w:t>
      </w:r>
      <w:r>
        <w:rPr>
          <w:rFonts w:hint="eastAsia" w:ascii="宋体" w:hAnsi="宋体" w:cs="Times New Roman"/>
          <w:bCs/>
          <w:color w:val="auto"/>
          <w:sz w:val="24"/>
          <w:highlight w:val="none"/>
          <w:lang w:eastAsia="zh-CN"/>
        </w:rPr>
        <w:t>〈</w:t>
      </w:r>
      <w:r>
        <w:rPr>
          <w:rFonts w:hint="eastAsia" w:ascii="宋体" w:hAnsi="宋体" w:cs="Times New Roman"/>
          <w:bCs/>
          <w:color w:val="auto"/>
          <w:sz w:val="24"/>
          <w:highlight w:val="none"/>
        </w:rPr>
        <w:t>关于深入开展公路桥梁和隧道工程施工安全专项整治工作</w:t>
      </w:r>
      <w:r>
        <w:rPr>
          <w:rFonts w:hint="eastAsia" w:ascii="宋体" w:hAnsi="宋体" w:cs="Times New Roman"/>
          <w:bCs/>
          <w:color w:val="auto"/>
          <w:sz w:val="24"/>
          <w:highlight w:val="none"/>
          <w:lang w:eastAsia="zh-CN"/>
        </w:rPr>
        <w:t>〉</w:t>
      </w:r>
      <w:r>
        <w:rPr>
          <w:rFonts w:hint="eastAsia" w:ascii="宋体" w:hAnsi="宋体" w:cs="Times New Roman"/>
          <w:bCs/>
          <w:color w:val="auto"/>
          <w:sz w:val="24"/>
          <w:highlight w:val="none"/>
        </w:rPr>
        <w:t>的通知》（交办安监〔2014〕193号）的要求，落实安全措施。同时按照</w:t>
      </w:r>
      <w:r>
        <w:rPr>
          <w:rFonts w:hint="eastAsia" w:ascii="宋体" w:hAnsi="宋体" w:cs="Courier New"/>
          <w:color w:val="auto"/>
          <w:sz w:val="24"/>
          <w:highlight w:val="none"/>
        </w:rPr>
        <w:t>《交通运输部关于印发</w:t>
      </w:r>
      <w:r>
        <w:rPr>
          <w:rFonts w:hint="eastAsia" w:ascii="宋体" w:hAnsi="宋体" w:cs="宋体"/>
          <w:color w:val="auto"/>
          <w:sz w:val="24"/>
          <w:highlight w:val="none"/>
          <w:lang w:eastAsia="zh-CN"/>
        </w:rPr>
        <w:t>〈</w:t>
      </w:r>
      <w:r>
        <w:rPr>
          <w:rFonts w:hint="eastAsia" w:ascii="宋体" w:hAnsi="宋体" w:cs="宋体"/>
          <w:color w:val="auto"/>
          <w:sz w:val="24"/>
          <w:highlight w:val="none"/>
        </w:rPr>
        <w:t>公路水运工程平安工地建设管理办法</w:t>
      </w:r>
      <w:r>
        <w:rPr>
          <w:rFonts w:hint="eastAsia" w:ascii="宋体" w:hAnsi="宋体" w:eastAsia="宋体" w:cs="宋体"/>
          <w:color w:val="auto"/>
          <w:sz w:val="24"/>
          <w:highlight w:val="none"/>
          <w:lang w:eastAsia="zh-CN"/>
        </w:rPr>
        <w:t>〉</w:t>
      </w:r>
      <w:r>
        <w:rPr>
          <w:rFonts w:hint="eastAsia" w:ascii="宋体" w:hAnsi="宋体" w:cs="Courier New"/>
          <w:color w:val="auto"/>
          <w:sz w:val="24"/>
          <w:highlight w:val="none"/>
        </w:rPr>
        <w:t>的通知》</w:t>
      </w:r>
      <w:r>
        <w:rPr>
          <w:rFonts w:hint="eastAsia" w:ascii="宋体" w:hAnsi="宋体" w:cs="Times New Roman"/>
          <w:bCs/>
          <w:color w:val="auto"/>
          <w:sz w:val="24"/>
          <w:highlight w:val="none"/>
        </w:rPr>
        <w:t>（交安监发〔2018〕43号）开展“平安工地”建设活动，全面落实</w:t>
      </w:r>
      <w:r>
        <w:rPr>
          <w:rFonts w:hint="eastAsia" w:ascii="宋体" w:hAnsi="宋体" w:cs="Times New Roman"/>
          <w:bCs/>
          <w:color w:val="auto"/>
          <w:sz w:val="24"/>
          <w:highlight w:val="none"/>
          <w:lang w:val="en-US" w:eastAsia="zh-CN"/>
        </w:rPr>
        <w:t>现行有效的</w:t>
      </w:r>
      <w:r>
        <w:rPr>
          <w:rFonts w:hint="eastAsia" w:ascii="宋体" w:hAnsi="宋体" w:cs="Times New Roman"/>
          <w:bCs/>
          <w:color w:val="auto"/>
          <w:sz w:val="24"/>
          <w:highlight w:val="none"/>
        </w:rPr>
        <w:t>安全生产法律法规、技术标准，做到安全生产制度化、规范化、标准化管理。</w:t>
      </w:r>
    </w:p>
    <w:p w14:paraId="74597CF5">
      <w:pPr>
        <w:adjustRightInd/>
        <w:snapToGrid/>
        <w:spacing w:line="360" w:lineRule="auto"/>
        <w:ind w:firstLine="475" w:firstLineChars="198"/>
        <w:rPr>
          <w:rFonts w:hint="eastAsia" w:ascii="宋体" w:hAnsi="宋体" w:cs="Times New Roman"/>
          <w:bCs/>
          <w:color w:val="auto"/>
          <w:sz w:val="24"/>
          <w:highlight w:val="none"/>
        </w:rPr>
      </w:pPr>
      <w:r>
        <w:rPr>
          <w:rFonts w:hint="eastAsia" w:ascii="宋体" w:hAnsi="宋体" w:cs="Times New Roman"/>
          <w:b w:val="0"/>
          <w:bCs/>
          <w:color w:val="auto"/>
          <w:sz w:val="24"/>
          <w:highlight w:val="none"/>
        </w:rPr>
        <w:t>第9.2.2项细化为</w:t>
      </w:r>
      <w:r>
        <w:rPr>
          <w:rFonts w:hint="eastAsia" w:ascii="宋体" w:hAnsi="宋体" w:cs="Times New Roman"/>
          <w:bCs/>
          <w:color w:val="auto"/>
          <w:sz w:val="24"/>
          <w:highlight w:val="none"/>
        </w:rPr>
        <w:t>：</w:t>
      </w:r>
    </w:p>
    <w:p w14:paraId="5D01FCC5">
      <w:pPr>
        <w:adjustRightInd/>
        <w:snapToGrid/>
        <w:spacing w:line="360" w:lineRule="auto"/>
        <w:ind w:firstLine="475" w:firstLineChars="198"/>
        <w:rPr>
          <w:rFonts w:ascii="宋体" w:hAnsi="宋体"/>
          <w:color w:val="auto"/>
          <w:sz w:val="24"/>
          <w:highlight w:val="none"/>
        </w:rPr>
      </w:pPr>
      <w:r>
        <w:rPr>
          <w:rFonts w:hint="eastAsia" w:ascii="宋体" w:hAnsi="宋体"/>
          <w:bCs/>
          <w:color w:val="auto"/>
          <w:sz w:val="24"/>
          <w:highlight w:val="none"/>
        </w:rPr>
        <w:t>承包人应加强施工作业安全管理，特别应加强易燃、易爆材料、火工器材、有毒与腐蚀性材料和其他</w:t>
      </w:r>
      <w:r>
        <w:rPr>
          <w:rFonts w:hint="eastAsia" w:ascii="宋体" w:hAnsi="宋体"/>
          <w:color w:val="auto"/>
          <w:sz w:val="24"/>
          <w:highlight w:val="none"/>
        </w:rPr>
        <w:t>危险化学品的管理，以及对桥梁施工、隧道施工、高边坡施工、水上作业、</w:t>
      </w:r>
      <w:r>
        <w:rPr>
          <w:rFonts w:ascii="宋体" w:hAnsi="宋体"/>
          <w:color w:val="auto"/>
          <w:sz w:val="24"/>
          <w:highlight w:val="none"/>
        </w:rPr>
        <w:t xml:space="preserve"> </w:t>
      </w:r>
      <w:r>
        <w:rPr>
          <w:rFonts w:hint="eastAsia" w:ascii="宋体" w:hAnsi="宋体"/>
          <w:color w:val="auto"/>
          <w:sz w:val="24"/>
          <w:highlight w:val="none"/>
        </w:rPr>
        <w:t>高空作业、爆破作业、特种作业设备使用等危险性较大的分部分项工程、设施设备作业的管理。</w:t>
      </w:r>
    </w:p>
    <w:p w14:paraId="376FD948">
      <w:pPr>
        <w:adjustRightInd w:val="0"/>
        <w:snapToGrid w:val="0"/>
        <w:spacing w:line="360" w:lineRule="auto"/>
        <w:ind w:firstLine="480" w:firstLineChars="200"/>
        <w:rPr>
          <w:rFonts w:hint="eastAsia" w:ascii="宋体" w:hAnsi="宋体" w:cs="Courier New"/>
          <w:b w:val="0"/>
          <w:bCs/>
          <w:color w:val="auto"/>
          <w:sz w:val="24"/>
          <w:highlight w:val="none"/>
        </w:rPr>
      </w:pPr>
      <w:r>
        <w:rPr>
          <w:rFonts w:hint="eastAsia" w:ascii="宋体" w:hAnsi="宋体" w:cs="Courier New"/>
          <w:b w:val="0"/>
          <w:bCs/>
          <w:color w:val="auto"/>
          <w:sz w:val="24"/>
          <w:highlight w:val="none"/>
        </w:rPr>
        <w:t>第</w:t>
      </w:r>
      <w:r>
        <w:rPr>
          <w:rFonts w:ascii="宋体" w:hAnsi="宋体" w:cs="Courier New"/>
          <w:b w:val="0"/>
          <w:bCs/>
          <w:color w:val="auto"/>
          <w:sz w:val="24"/>
          <w:highlight w:val="none"/>
        </w:rPr>
        <w:t>9.2.5</w:t>
      </w:r>
      <w:r>
        <w:rPr>
          <w:rFonts w:hint="eastAsia" w:ascii="宋体" w:hAnsi="宋体" w:cs="Courier New"/>
          <w:b w:val="0"/>
          <w:bCs/>
          <w:color w:val="auto"/>
          <w:sz w:val="24"/>
          <w:highlight w:val="none"/>
        </w:rPr>
        <w:t>项细化为：</w:t>
      </w:r>
    </w:p>
    <w:p w14:paraId="79F4688E">
      <w:pPr>
        <w:adjustRightInd w:val="0"/>
        <w:snapToGrid w:val="0"/>
        <w:spacing w:line="360" w:lineRule="auto"/>
        <w:ind w:firstLine="480" w:firstLineChars="200"/>
        <w:rPr>
          <w:rFonts w:ascii="宋体" w:hAnsi="宋体" w:cs="Courier New"/>
          <w:color w:val="auto"/>
          <w:sz w:val="24"/>
          <w:highlight w:val="none"/>
        </w:rPr>
      </w:pPr>
      <w:r>
        <w:rPr>
          <w:rFonts w:hint="eastAsia" w:ascii="宋体" w:hAnsi="宋体"/>
          <w:color w:val="auto"/>
          <w:sz w:val="24"/>
          <w:highlight w:val="none"/>
        </w:rPr>
        <w:t>根据</w:t>
      </w:r>
      <w:r>
        <w:rPr>
          <w:rFonts w:hint="eastAsia" w:ascii="宋体" w:hAnsi="宋体"/>
          <w:bCs/>
          <w:color w:val="auto"/>
          <w:sz w:val="24"/>
          <w:highlight w:val="none"/>
          <w:shd w:val="clear" w:color="auto" w:fill="FFFFFF"/>
        </w:rPr>
        <w:t>《</w:t>
      </w:r>
      <w:r>
        <w:rPr>
          <w:rFonts w:hint="eastAsia" w:ascii="宋体" w:hAnsi="宋体"/>
          <w:color w:val="auto"/>
          <w:sz w:val="24"/>
          <w:highlight w:val="none"/>
          <w:shd w:val="clear" w:color="auto" w:fill="FFFFFF"/>
        </w:rPr>
        <w:t>财政部</w:t>
      </w:r>
      <w:r>
        <w:rPr>
          <w:rFonts w:hint="eastAsia" w:ascii="宋体" w:hAnsi="宋体"/>
          <w:color w:val="auto"/>
          <w:sz w:val="24"/>
          <w:highlight w:val="none"/>
          <w:shd w:val="clear" w:color="auto" w:fill="FFFFFF"/>
          <w:lang w:val="en-US" w:eastAsia="zh-CN"/>
        </w:rPr>
        <w:t xml:space="preserve"> 应急部</w:t>
      </w:r>
      <w:r>
        <w:rPr>
          <w:rFonts w:hint="eastAsia" w:ascii="宋体" w:hAnsi="宋体"/>
          <w:bCs w:val="0"/>
          <w:color w:val="auto"/>
          <w:sz w:val="24"/>
          <w:highlight w:val="none"/>
          <w:shd w:val="clear" w:color="auto" w:fill="FFFFFF"/>
        </w:rPr>
        <w:t>关于印发〈企业安全生产费用提取和使用管理办法〉的通知》（财资</w:t>
      </w:r>
      <w:r>
        <w:rPr>
          <w:rFonts w:hint="eastAsia" w:ascii="宋体" w:hAnsi="宋体" w:eastAsia="宋体" w:cs="Times New Roman"/>
          <w:bCs w:val="0"/>
          <w:color w:val="auto"/>
          <w:sz w:val="24"/>
          <w:highlight w:val="none"/>
          <w:shd w:val="clear" w:color="auto" w:fill="FFFFFF"/>
        </w:rPr>
        <w:t>〔2022〕1</w:t>
      </w:r>
      <w:r>
        <w:rPr>
          <w:rFonts w:hint="eastAsia" w:ascii="宋体" w:hAnsi="宋体"/>
          <w:bCs w:val="0"/>
          <w:color w:val="auto"/>
          <w:sz w:val="24"/>
          <w:highlight w:val="none"/>
          <w:shd w:val="clear" w:color="auto" w:fill="FFFFFF"/>
        </w:rPr>
        <w:t>36号</w:t>
      </w:r>
      <w:r>
        <w:rPr>
          <w:rFonts w:hint="eastAsia" w:ascii="宋体" w:hAnsi="宋体"/>
          <w:bCs w:val="0"/>
          <w:color w:val="auto"/>
          <w:sz w:val="24"/>
          <w:highlight w:val="none"/>
          <w:shd w:val="clear" w:color="auto" w:fill="FFFFFF"/>
          <w:lang w:eastAsia="zh-CN"/>
        </w:rPr>
        <w:t>）</w:t>
      </w:r>
      <w:r>
        <w:rPr>
          <w:rFonts w:hint="eastAsia" w:ascii="宋体" w:hAnsi="宋体"/>
          <w:bCs w:val="0"/>
          <w:color w:val="auto"/>
          <w:sz w:val="24"/>
          <w:szCs w:val="24"/>
          <w:highlight w:val="none"/>
          <w:shd w:val="clear" w:color="auto" w:fill="FFFFFF"/>
          <w:lang w:eastAsia="zh-CN"/>
        </w:rPr>
        <w:t>、</w:t>
      </w:r>
      <w:r>
        <w:rPr>
          <w:rFonts w:hint="eastAsia" w:ascii="宋体" w:hAnsi="宋体"/>
          <w:bCs w:val="0"/>
          <w:color w:val="auto"/>
          <w:sz w:val="24"/>
          <w:szCs w:val="24"/>
          <w:highlight w:val="none"/>
          <w:shd w:val="clear" w:color="auto" w:fill="FFFFFF"/>
          <w:lang w:val="en-US" w:eastAsia="zh-CN"/>
        </w:rPr>
        <w:t>《四川省交通运输厅〈关于进一步规范公路水运工程建设项目安全生产费用管理工作〉的通知》（川交规</w:t>
      </w:r>
      <w:r>
        <w:rPr>
          <w:rFonts w:hint="eastAsia" w:ascii="宋体" w:hAnsi="宋体" w:eastAsia="宋体" w:cs="Times New Roman"/>
          <w:bCs w:val="0"/>
          <w:color w:val="auto"/>
          <w:sz w:val="24"/>
          <w:szCs w:val="24"/>
          <w:highlight w:val="none"/>
          <w:shd w:val="clear" w:color="auto" w:fill="FFFFFF"/>
        </w:rPr>
        <w:t>〔</w:t>
      </w:r>
      <w:r>
        <w:rPr>
          <w:rFonts w:hint="eastAsia" w:ascii="宋体" w:hAnsi="宋体"/>
          <w:bCs w:val="0"/>
          <w:color w:val="auto"/>
          <w:sz w:val="24"/>
          <w:szCs w:val="24"/>
          <w:highlight w:val="none"/>
          <w:shd w:val="clear" w:color="auto" w:fill="FFFFFF"/>
          <w:lang w:val="en-US" w:eastAsia="zh-CN"/>
        </w:rPr>
        <w:t>2023</w:t>
      </w:r>
      <w:r>
        <w:rPr>
          <w:rFonts w:hint="eastAsia" w:ascii="宋体" w:hAnsi="宋体" w:eastAsia="宋体" w:cs="Times New Roman"/>
          <w:bCs w:val="0"/>
          <w:color w:val="auto"/>
          <w:sz w:val="24"/>
          <w:szCs w:val="24"/>
          <w:highlight w:val="none"/>
          <w:shd w:val="clear" w:color="auto" w:fill="FFFFFF"/>
        </w:rPr>
        <w:t>〕</w:t>
      </w:r>
      <w:r>
        <w:rPr>
          <w:rFonts w:hint="eastAsia" w:ascii="宋体" w:hAnsi="宋体" w:eastAsia="宋体" w:cs="Times New Roman"/>
          <w:bCs w:val="0"/>
          <w:color w:val="auto"/>
          <w:sz w:val="24"/>
          <w:szCs w:val="24"/>
          <w:highlight w:val="none"/>
          <w:shd w:val="clear" w:color="auto" w:fill="FFFFFF"/>
          <w:lang w:val="en-US" w:eastAsia="zh-CN"/>
        </w:rPr>
        <w:t>13</w:t>
      </w:r>
      <w:r>
        <w:rPr>
          <w:rFonts w:hint="eastAsia" w:ascii="宋体" w:hAnsi="宋体"/>
          <w:bCs w:val="0"/>
          <w:color w:val="auto"/>
          <w:sz w:val="24"/>
          <w:szCs w:val="24"/>
          <w:highlight w:val="none"/>
          <w:shd w:val="clear" w:color="auto" w:fill="FFFFFF"/>
        </w:rPr>
        <w:t>号</w:t>
      </w:r>
      <w:r>
        <w:rPr>
          <w:rFonts w:hint="eastAsia" w:ascii="宋体" w:hAnsi="宋体"/>
          <w:bCs w:val="0"/>
          <w:color w:val="auto"/>
          <w:sz w:val="24"/>
          <w:szCs w:val="24"/>
          <w:highlight w:val="none"/>
          <w:shd w:val="clear" w:color="auto" w:fill="FFFFFF"/>
          <w:lang w:val="en-US" w:eastAsia="zh-CN"/>
        </w:rPr>
        <w:t>）</w:t>
      </w:r>
      <w:r>
        <w:rPr>
          <w:rFonts w:hint="eastAsia" w:ascii="宋体" w:hAnsi="宋体"/>
          <w:color w:val="auto"/>
          <w:sz w:val="24"/>
          <w:highlight w:val="none"/>
          <w:shd w:val="clear" w:color="auto" w:fill="FFFFFF"/>
        </w:rPr>
        <w:t>，安全生产费不作为竞争性报价，在工程量清单第100章中按</w:t>
      </w:r>
      <w:r>
        <w:rPr>
          <w:rStyle w:val="51"/>
          <w:rFonts w:hint="eastAsia" w:ascii="宋体" w:hAnsi="宋体" w:cs="Times New Roman"/>
          <w:b w:val="0"/>
          <w:color w:val="auto"/>
          <w:sz w:val="24"/>
          <w:highlight w:val="none"/>
          <w:shd w:val="clear" w:color="auto" w:fill="FFFFFF"/>
        </w:rPr>
        <w:t>招标文件</w:t>
      </w:r>
      <w:r>
        <w:rPr>
          <w:rFonts w:hint="eastAsia" w:ascii="宋体" w:hAnsi="宋体"/>
          <w:color w:val="auto"/>
          <w:sz w:val="24"/>
          <w:highlight w:val="none"/>
          <w:shd w:val="clear" w:color="auto" w:fill="FFFFFF"/>
        </w:rPr>
        <w:t>公布的安全生产费数额单独计列。安全生产费用应</w:t>
      </w:r>
      <w:r>
        <w:rPr>
          <w:rFonts w:hint="eastAsia" w:ascii="宋体" w:hAnsi="宋体"/>
          <w:color w:val="auto"/>
          <w:sz w:val="24"/>
          <w:szCs w:val="24"/>
          <w:highlight w:val="none"/>
          <w:shd w:val="clear" w:color="auto" w:fill="FFFFFF"/>
          <w:lang w:val="en-US" w:eastAsia="zh-CN"/>
        </w:rPr>
        <w:t>专款专用，</w:t>
      </w:r>
      <w:r>
        <w:rPr>
          <w:rFonts w:hint="eastAsia" w:ascii="宋体" w:hAnsi="宋体"/>
          <w:color w:val="auto"/>
          <w:sz w:val="24"/>
          <w:highlight w:val="none"/>
          <w:shd w:val="clear" w:color="auto" w:fill="FFFFFF"/>
        </w:rPr>
        <w:t>经监理人、发包人认可确认后进行计量支付。</w:t>
      </w:r>
    </w:p>
    <w:p w14:paraId="6B9600B6">
      <w:pPr>
        <w:adjustRightInd w:val="0"/>
        <w:snapToGrid w:val="0"/>
        <w:spacing w:beforeAutospacing="0" w:afterAutospacing="0" w:line="360" w:lineRule="auto"/>
        <w:ind w:firstLine="480" w:firstLineChars="200"/>
        <w:rPr>
          <w:rFonts w:hint="eastAsia" w:ascii="宋体" w:hAnsi="宋体" w:cs="Times New Roman"/>
          <w:bCs w:val="0"/>
          <w:color w:val="auto"/>
          <w:sz w:val="24"/>
          <w:szCs w:val="24"/>
          <w:highlight w:val="none"/>
          <w:shd w:val="clear" w:color="auto" w:fill="FFFFFF"/>
        </w:rPr>
      </w:pPr>
      <w:r>
        <w:rPr>
          <w:rFonts w:hint="eastAsia" w:ascii="宋体" w:hAnsi="宋体" w:cs="Times New Roman"/>
          <w:bCs w:val="0"/>
          <w:color w:val="auto"/>
          <w:sz w:val="24"/>
          <w:szCs w:val="24"/>
          <w:highlight w:val="none"/>
          <w:shd w:val="clear" w:color="auto" w:fill="FFFFFF"/>
        </w:rPr>
        <w:t>安全生产费用应当用于以下支出：</w:t>
      </w:r>
    </w:p>
    <w:p w14:paraId="57E56F28">
      <w:pPr>
        <w:widowControl/>
        <w:adjustRightInd w:val="0"/>
        <w:snapToGrid w:val="0"/>
        <w:spacing w:line="360" w:lineRule="auto"/>
        <w:ind w:firstLine="480" w:firstLineChars="200"/>
        <w:jc w:val="left"/>
        <w:rPr>
          <w:rFonts w:hint="eastAsia" w:ascii="宋体" w:hAnsi="宋体" w:cs="Times New Roman"/>
          <w:bCs w:val="0"/>
          <w:color w:val="auto"/>
          <w:kern w:val="2"/>
          <w:sz w:val="24"/>
          <w:szCs w:val="24"/>
          <w:highlight w:val="none"/>
          <w:shd w:val="clear" w:color="auto" w:fill="FFFFFF"/>
          <w:lang w:eastAsia="zh-CN"/>
        </w:rPr>
      </w:pPr>
      <w:r>
        <w:rPr>
          <w:rFonts w:hint="eastAsia" w:ascii="宋体" w:hAnsi="宋体" w:cs="Times New Roman"/>
          <w:bCs w:val="0"/>
          <w:color w:val="auto"/>
          <w:kern w:val="2"/>
          <w:sz w:val="24"/>
          <w:szCs w:val="24"/>
          <w:highlight w:val="none"/>
          <w:shd w:val="clear" w:color="auto" w:fill="FFFFFF"/>
        </w:rPr>
        <w:t>（1）安全防护设施设备支出</w:t>
      </w:r>
      <w:r>
        <w:rPr>
          <w:rFonts w:hint="eastAsia" w:ascii="宋体" w:hAnsi="宋体" w:cs="Times New Roman"/>
          <w:bCs w:val="0"/>
          <w:color w:val="auto"/>
          <w:kern w:val="2"/>
          <w:sz w:val="24"/>
          <w:szCs w:val="24"/>
          <w:highlight w:val="none"/>
          <w:shd w:val="clear" w:color="auto" w:fill="FFFFFF"/>
          <w:lang w:eastAsia="zh-CN"/>
        </w:rPr>
        <w:t>。</w:t>
      </w:r>
    </w:p>
    <w:p w14:paraId="44AFD37A">
      <w:pPr>
        <w:widowControl/>
        <w:adjustRightInd w:val="0"/>
        <w:snapToGrid w:val="0"/>
        <w:spacing w:line="360" w:lineRule="auto"/>
        <w:ind w:firstLine="480" w:firstLineChars="200"/>
        <w:jc w:val="left"/>
        <w:rPr>
          <w:rFonts w:hint="eastAsia" w:ascii="宋体" w:hAnsi="宋体" w:eastAsia="宋体" w:cs="Times New Roman"/>
          <w:bCs w:val="0"/>
          <w:color w:val="auto"/>
          <w:sz w:val="24"/>
          <w:szCs w:val="24"/>
          <w:highlight w:val="none"/>
          <w:shd w:val="clear" w:color="auto" w:fill="FFFFFF"/>
          <w:lang w:eastAsia="zh-CN"/>
        </w:rPr>
      </w:pP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kern w:val="2"/>
          <w:sz w:val="24"/>
          <w:szCs w:val="24"/>
          <w:highlight w:val="none"/>
          <w:shd w:val="clear" w:color="auto" w:fill="FFFFFF"/>
          <w:lang w:val="en-US" w:eastAsia="zh-CN"/>
        </w:rPr>
        <w:t>2</w:t>
      </w: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kern w:val="2"/>
          <w:sz w:val="24"/>
          <w:szCs w:val="24"/>
          <w:highlight w:val="none"/>
          <w:shd w:val="clear" w:color="auto" w:fill="FFFFFF"/>
          <w:lang w:eastAsia="zh-CN"/>
        </w:rPr>
        <w:t>应急能力建设设施设备</w:t>
      </w:r>
      <w:r>
        <w:rPr>
          <w:rFonts w:hint="eastAsia" w:ascii="宋体" w:hAnsi="宋体" w:eastAsia="宋体" w:cs="Times New Roman"/>
          <w:bCs w:val="0"/>
          <w:color w:val="auto"/>
          <w:sz w:val="24"/>
          <w:szCs w:val="24"/>
          <w:highlight w:val="none"/>
          <w:shd w:val="clear" w:color="auto" w:fill="FFFFFF"/>
          <w:lang w:eastAsia="zh-CN"/>
        </w:rPr>
        <w:t>。</w:t>
      </w:r>
    </w:p>
    <w:p w14:paraId="31EABACB">
      <w:pPr>
        <w:widowControl/>
        <w:adjustRightInd w:val="0"/>
        <w:snapToGrid w:val="0"/>
        <w:spacing w:line="360" w:lineRule="auto"/>
        <w:ind w:firstLine="480" w:firstLineChars="200"/>
        <w:jc w:val="left"/>
        <w:rPr>
          <w:rFonts w:hint="eastAsia" w:ascii="宋体" w:hAnsi="宋体" w:eastAsia="宋体" w:cs="Times New Roman"/>
          <w:bCs w:val="0"/>
          <w:color w:val="auto"/>
          <w:kern w:val="2"/>
          <w:sz w:val="24"/>
          <w:szCs w:val="24"/>
          <w:highlight w:val="none"/>
          <w:shd w:val="clear" w:color="auto" w:fill="FFFFFF"/>
          <w:lang w:eastAsia="zh-CN"/>
        </w:rPr>
      </w:pP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kern w:val="2"/>
          <w:sz w:val="24"/>
          <w:szCs w:val="24"/>
          <w:highlight w:val="none"/>
          <w:shd w:val="clear" w:color="auto" w:fill="FFFFFF"/>
          <w:lang w:val="en-US" w:eastAsia="zh-CN"/>
        </w:rPr>
        <w:t>3</w:t>
      </w: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sz w:val="24"/>
          <w:szCs w:val="24"/>
          <w:highlight w:val="none"/>
          <w:shd w:val="clear" w:color="auto" w:fill="FFFFFF"/>
        </w:rPr>
        <w:t>风（危）险源辨识评估、监控与信息化</w:t>
      </w:r>
      <w:r>
        <w:rPr>
          <w:rFonts w:hint="eastAsia" w:ascii="宋体" w:hAnsi="宋体" w:eastAsia="宋体" w:cs="Times New Roman"/>
          <w:bCs w:val="0"/>
          <w:color w:val="auto"/>
          <w:sz w:val="24"/>
          <w:szCs w:val="24"/>
          <w:highlight w:val="none"/>
          <w:shd w:val="clear" w:color="auto" w:fill="FFFFFF"/>
          <w:lang w:eastAsia="zh-CN"/>
        </w:rPr>
        <w:t>。</w:t>
      </w:r>
    </w:p>
    <w:p w14:paraId="73D6BFA1">
      <w:pPr>
        <w:widowControl/>
        <w:adjustRightInd w:val="0"/>
        <w:snapToGrid w:val="0"/>
        <w:spacing w:line="360" w:lineRule="auto"/>
        <w:ind w:firstLine="480" w:firstLineChars="200"/>
        <w:rPr>
          <w:rFonts w:hint="eastAsia" w:ascii="宋体" w:hAnsi="宋体" w:eastAsia="宋体" w:cs="Times New Roman"/>
          <w:bCs w:val="0"/>
          <w:color w:val="auto"/>
          <w:sz w:val="24"/>
          <w:szCs w:val="24"/>
          <w:highlight w:val="none"/>
          <w:shd w:val="clear" w:color="auto" w:fill="FFFFFF"/>
        </w:rPr>
      </w:pP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kern w:val="2"/>
          <w:sz w:val="24"/>
          <w:szCs w:val="24"/>
          <w:highlight w:val="none"/>
          <w:shd w:val="clear" w:color="auto" w:fill="FFFFFF"/>
          <w:lang w:val="en-US" w:eastAsia="zh-CN"/>
        </w:rPr>
        <w:t>4</w:t>
      </w: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sz w:val="24"/>
          <w:szCs w:val="24"/>
          <w:highlight w:val="none"/>
          <w:shd w:val="clear" w:color="auto" w:fill="FFFFFF"/>
        </w:rPr>
        <w:t>安全生产检查、评价评估、咨询服务和标准化建设</w:t>
      </w:r>
      <w:r>
        <w:rPr>
          <w:rFonts w:hint="eastAsia" w:ascii="宋体" w:hAnsi="宋体" w:eastAsia="宋体" w:cs="Times New Roman"/>
          <w:bCs w:val="0"/>
          <w:color w:val="auto"/>
          <w:sz w:val="24"/>
          <w:szCs w:val="24"/>
          <w:highlight w:val="none"/>
          <w:shd w:val="clear" w:color="auto" w:fill="FFFFFF"/>
          <w:lang w:eastAsia="zh-CN"/>
        </w:rPr>
        <w:t>。</w:t>
      </w:r>
    </w:p>
    <w:p w14:paraId="1309B94C">
      <w:pPr>
        <w:widowControl/>
        <w:adjustRightInd w:val="0"/>
        <w:snapToGrid w:val="0"/>
        <w:spacing w:line="360" w:lineRule="auto"/>
        <w:ind w:firstLine="480" w:firstLineChars="200"/>
        <w:jc w:val="left"/>
        <w:rPr>
          <w:rFonts w:hint="eastAsia" w:ascii="宋体" w:hAnsi="宋体" w:eastAsia="宋体" w:cs="Times New Roman"/>
          <w:bCs w:val="0"/>
          <w:color w:val="auto"/>
          <w:kern w:val="2"/>
          <w:sz w:val="24"/>
          <w:szCs w:val="24"/>
          <w:highlight w:val="none"/>
          <w:shd w:val="clear" w:color="auto" w:fill="FFFFFF"/>
        </w:rPr>
      </w:pP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kern w:val="2"/>
          <w:sz w:val="24"/>
          <w:szCs w:val="24"/>
          <w:highlight w:val="none"/>
          <w:shd w:val="clear" w:color="auto" w:fill="FFFFFF"/>
          <w:lang w:val="en-US" w:eastAsia="zh-CN"/>
        </w:rPr>
        <w:t>5</w:t>
      </w: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sz w:val="24"/>
          <w:szCs w:val="24"/>
          <w:highlight w:val="none"/>
          <w:shd w:val="clear" w:color="auto" w:fill="FFFFFF"/>
        </w:rPr>
        <w:t>现场作业人员安全防护用品</w:t>
      </w:r>
      <w:r>
        <w:rPr>
          <w:rFonts w:hint="eastAsia" w:ascii="宋体" w:hAnsi="宋体" w:eastAsia="宋体" w:cs="Times New Roman"/>
          <w:bCs w:val="0"/>
          <w:color w:val="auto"/>
          <w:sz w:val="24"/>
          <w:szCs w:val="24"/>
          <w:highlight w:val="none"/>
          <w:shd w:val="clear" w:color="auto" w:fill="FFFFFF"/>
          <w:lang w:eastAsia="zh-CN"/>
        </w:rPr>
        <w:t>。</w:t>
      </w:r>
    </w:p>
    <w:p w14:paraId="0C3873DD">
      <w:pPr>
        <w:widowControl/>
        <w:numPr>
          <w:ilvl w:val="-1"/>
          <w:numId w:val="0"/>
        </w:numPr>
        <w:adjustRightInd w:val="0"/>
        <w:snapToGrid w:val="0"/>
        <w:spacing w:line="360" w:lineRule="auto"/>
        <w:ind w:left="0" w:leftChars="0" w:firstLine="480" w:firstLineChars="200"/>
        <w:rPr>
          <w:rFonts w:hint="eastAsia" w:ascii="宋体" w:hAnsi="宋体" w:eastAsia="宋体" w:cs="Times New Roman"/>
          <w:bCs w:val="0"/>
          <w:color w:val="auto"/>
          <w:sz w:val="24"/>
          <w:szCs w:val="24"/>
          <w:highlight w:val="none"/>
          <w:shd w:val="clear" w:color="auto" w:fill="FFFFFF"/>
          <w:lang w:eastAsia="zh-CN"/>
        </w:rPr>
      </w:pP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kern w:val="2"/>
          <w:sz w:val="24"/>
          <w:szCs w:val="24"/>
          <w:highlight w:val="none"/>
          <w:shd w:val="clear" w:color="auto" w:fill="FFFFFF"/>
          <w:lang w:val="en-US" w:eastAsia="zh-CN"/>
        </w:rPr>
        <w:t>6</w:t>
      </w: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sz w:val="24"/>
          <w:szCs w:val="24"/>
          <w:highlight w:val="none"/>
          <w:shd w:val="clear" w:color="auto" w:fill="FFFFFF"/>
        </w:rPr>
        <w:t>安全生产宣传、教育、培训及奖励</w:t>
      </w:r>
      <w:r>
        <w:rPr>
          <w:rFonts w:hint="eastAsia" w:ascii="宋体" w:hAnsi="宋体" w:eastAsia="宋体" w:cs="Times New Roman"/>
          <w:bCs w:val="0"/>
          <w:color w:val="auto"/>
          <w:sz w:val="24"/>
          <w:szCs w:val="24"/>
          <w:highlight w:val="none"/>
          <w:shd w:val="clear" w:color="auto" w:fill="FFFFFF"/>
          <w:lang w:eastAsia="zh-CN"/>
        </w:rPr>
        <w:t>。</w:t>
      </w:r>
    </w:p>
    <w:p w14:paraId="3B37ADFB">
      <w:pPr>
        <w:widowControl/>
        <w:adjustRightInd w:val="0"/>
        <w:snapToGrid w:val="0"/>
        <w:spacing w:line="360" w:lineRule="auto"/>
        <w:ind w:firstLine="480" w:firstLineChars="200"/>
        <w:jc w:val="left"/>
        <w:rPr>
          <w:rFonts w:hint="eastAsia" w:ascii="宋体" w:hAnsi="宋体" w:eastAsia="宋体" w:cs="Times New Roman"/>
          <w:bCs w:val="0"/>
          <w:color w:val="auto"/>
          <w:kern w:val="2"/>
          <w:sz w:val="24"/>
          <w:szCs w:val="24"/>
          <w:highlight w:val="none"/>
          <w:shd w:val="clear" w:color="auto" w:fill="FFFFFF"/>
          <w:lang w:eastAsia="zh-CN"/>
        </w:rPr>
      </w:pPr>
      <w:r>
        <w:rPr>
          <w:rFonts w:hint="eastAsia" w:ascii="宋体" w:hAnsi="宋体" w:eastAsia="宋体" w:cs="Times New Roman"/>
          <w:bCs w:val="0"/>
          <w:color w:val="auto"/>
          <w:kern w:val="2"/>
          <w:sz w:val="24"/>
          <w:szCs w:val="24"/>
          <w:highlight w:val="none"/>
          <w:shd w:val="clear" w:color="auto" w:fill="FFFFFF"/>
        </w:rPr>
        <w:t>（7）安全生产适用的新技术、新标准、新工艺、新装备的推广应用</w:t>
      </w:r>
      <w:r>
        <w:rPr>
          <w:rFonts w:hint="eastAsia" w:ascii="宋体" w:hAnsi="宋体" w:eastAsia="宋体" w:cs="Times New Roman"/>
          <w:bCs w:val="0"/>
          <w:color w:val="auto"/>
          <w:kern w:val="2"/>
          <w:sz w:val="24"/>
          <w:szCs w:val="24"/>
          <w:highlight w:val="none"/>
          <w:shd w:val="clear" w:color="auto" w:fill="FFFFFF"/>
          <w:lang w:eastAsia="zh-CN"/>
        </w:rPr>
        <w:t>。</w:t>
      </w:r>
    </w:p>
    <w:p w14:paraId="2AC1A82D">
      <w:pPr>
        <w:widowControl/>
        <w:adjustRightInd w:val="0"/>
        <w:snapToGrid w:val="0"/>
        <w:spacing w:line="360" w:lineRule="auto"/>
        <w:ind w:firstLine="480" w:firstLineChars="200"/>
        <w:jc w:val="left"/>
        <w:rPr>
          <w:rFonts w:hint="eastAsia" w:ascii="宋体" w:hAnsi="宋体" w:cs="Times New Roman"/>
          <w:bCs w:val="0"/>
          <w:color w:val="auto"/>
          <w:kern w:val="2"/>
          <w:sz w:val="24"/>
          <w:szCs w:val="24"/>
          <w:highlight w:val="none"/>
          <w:shd w:val="clear" w:color="auto" w:fill="FFFFFF"/>
          <w:lang w:eastAsia="zh-CN"/>
        </w:rPr>
      </w:pP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kern w:val="2"/>
          <w:sz w:val="24"/>
          <w:szCs w:val="24"/>
          <w:highlight w:val="none"/>
          <w:shd w:val="clear" w:color="auto" w:fill="FFFFFF"/>
          <w:lang w:val="en-US" w:eastAsia="zh-CN"/>
        </w:rPr>
        <w:t>8</w:t>
      </w:r>
      <w:r>
        <w:rPr>
          <w:rFonts w:hint="eastAsia" w:ascii="宋体" w:hAnsi="宋体" w:eastAsia="宋体" w:cs="Times New Roman"/>
          <w:bCs w:val="0"/>
          <w:color w:val="auto"/>
          <w:kern w:val="2"/>
          <w:sz w:val="24"/>
          <w:szCs w:val="24"/>
          <w:highlight w:val="none"/>
          <w:shd w:val="clear" w:color="auto" w:fill="FFFFFF"/>
        </w:rPr>
        <w:t>）</w:t>
      </w:r>
      <w:r>
        <w:rPr>
          <w:rFonts w:hint="eastAsia" w:ascii="宋体" w:hAnsi="宋体" w:eastAsia="宋体" w:cs="Times New Roman"/>
          <w:bCs w:val="0"/>
          <w:color w:val="auto"/>
          <w:kern w:val="2"/>
          <w:sz w:val="24"/>
          <w:szCs w:val="24"/>
          <w:highlight w:val="none"/>
          <w:shd w:val="clear" w:color="auto" w:fill="FFFFFF"/>
          <w:lang w:eastAsia="zh-CN"/>
        </w:rPr>
        <w:t>安全设施及特种设备检测检验、检定校准</w:t>
      </w:r>
      <w:r>
        <w:rPr>
          <w:rFonts w:hint="eastAsia" w:ascii="宋体" w:hAnsi="宋体" w:cs="Times New Roman"/>
          <w:bCs w:val="0"/>
          <w:color w:val="auto"/>
          <w:kern w:val="2"/>
          <w:sz w:val="24"/>
          <w:szCs w:val="24"/>
          <w:highlight w:val="none"/>
          <w:shd w:val="clear" w:color="auto" w:fill="FFFFFF"/>
          <w:lang w:eastAsia="zh-CN"/>
        </w:rPr>
        <w:t>。</w:t>
      </w:r>
    </w:p>
    <w:p w14:paraId="3CDB329F">
      <w:pPr>
        <w:widowControl/>
        <w:adjustRightInd w:val="0"/>
        <w:snapToGrid w:val="0"/>
        <w:spacing w:line="360" w:lineRule="auto"/>
        <w:ind w:firstLine="480" w:firstLineChars="200"/>
        <w:jc w:val="left"/>
        <w:rPr>
          <w:rFonts w:hint="eastAsia" w:ascii="宋体" w:hAnsi="宋体" w:cs="Times New Roman"/>
          <w:bCs w:val="0"/>
          <w:color w:val="auto"/>
          <w:kern w:val="2"/>
          <w:sz w:val="24"/>
          <w:szCs w:val="24"/>
          <w:highlight w:val="none"/>
          <w:shd w:val="clear" w:color="auto" w:fill="FFFFFF"/>
          <w:lang w:eastAsia="zh-CN"/>
        </w:rPr>
      </w:pPr>
      <w:r>
        <w:rPr>
          <w:rFonts w:hint="eastAsia" w:ascii="宋体" w:hAnsi="宋体" w:cs="Times New Roman"/>
          <w:bCs w:val="0"/>
          <w:color w:val="auto"/>
          <w:kern w:val="2"/>
          <w:sz w:val="24"/>
          <w:szCs w:val="24"/>
          <w:highlight w:val="none"/>
          <w:shd w:val="clear" w:color="auto" w:fill="FFFFFF"/>
        </w:rPr>
        <w:t>（</w:t>
      </w:r>
      <w:r>
        <w:rPr>
          <w:rFonts w:hint="eastAsia" w:ascii="宋体" w:hAnsi="宋体" w:cs="Times New Roman"/>
          <w:bCs w:val="0"/>
          <w:color w:val="auto"/>
          <w:kern w:val="2"/>
          <w:sz w:val="24"/>
          <w:szCs w:val="24"/>
          <w:highlight w:val="none"/>
          <w:shd w:val="clear" w:color="auto" w:fill="FFFFFF"/>
          <w:lang w:val="en-US" w:eastAsia="zh-CN"/>
        </w:rPr>
        <w:t>9</w:t>
      </w:r>
      <w:r>
        <w:rPr>
          <w:rFonts w:hint="eastAsia" w:ascii="宋体" w:hAnsi="宋体" w:cs="Times New Roman"/>
          <w:bCs w:val="0"/>
          <w:color w:val="auto"/>
          <w:kern w:val="2"/>
          <w:sz w:val="24"/>
          <w:szCs w:val="24"/>
          <w:highlight w:val="none"/>
          <w:shd w:val="clear" w:color="auto" w:fill="FFFFFF"/>
        </w:rPr>
        <w:t>）</w:t>
      </w:r>
      <w:r>
        <w:rPr>
          <w:rFonts w:hint="eastAsia" w:ascii="宋体" w:hAnsi="宋体" w:cs="Times New Roman"/>
          <w:bCs w:val="0"/>
          <w:color w:val="auto"/>
          <w:kern w:val="2"/>
          <w:sz w:val="24"/>
          <w:szCs w:val="24"/>
          <w:highlight w:val="none"/>
          <w:shd w:val="clear" w:color="auto" w:fill="FFFFFF"/>
          <w:lang w:eastAsia="zh-CN"/>
        </w:rPr>
        <w:t>安全生产责任保险。</w:t>
      </w:r>
    </w:p>
    <w:p w14:paraId="623E8970">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Times New Roman"/>
          <w:bCs w:val="0"/>
          <w:color w:val="auto"/>
          <w:kern w:val="2"/>
          <w:sz w:val="24"/>
          <w:szCs w:val="24"/>
          <w:highlight w:val="none"/>
          <w:shd w:val="clear" w:color="auto" w:fill="FFFFFF"/>
        </w:rPr>
        <w:t>（</w:t>
      </w:r>
      <w:r>
        <w:rPr>
          <w:rFonts w:hint="eastAsia" w:ascii="宋体" w:hAnsi="宋体" w:cs="Times New Roman"/>
          <w:bCs w:val="0"/>
          <w:color w:val="auto"/>
          <w:kern w:val="2"/>
          <w:sz w:val="24"/>
          <w:szCs w:val="24"/>
          <w:highlight w:val="none"/>
          <w:shd w:val="clear" w:color="auto" w:fill="FFFFFF"/>
          <w:lang w:val="en-US" w:eastAsia="zh-CN"/>
        </w:rPr>
        <w:t>10</w:t>
      </w:r>
      <w:r>
        <w:rPr>
          <w:rFonts w:hint="eastAsia" w:ascii="宋体" w:hAnsi="宋体" w:cs="Times New Roman"/>
          <w:bCs w:val="0"/>
          <w:color w:val="auto"/>
          <w:kern w:val="2"/>
          <w:sz w:val="24"/>
          <w:szCs w:val="24"/>
          <w:highlight w:val="none"/>
          <w:shd w:val="clear" w:color="auto" w:fill="FFFFFF"/>
        </w:rPr>
        <w:t>）</w:t>
      </w:r>
      <w:r>
        <w:rPr>
          <w:rFonts w:hint="eastAsia" w:ascii="宋体" w:hAnsi="宋体" w:cs="Times New Roman"/>
          <w:bCs w:val="0"/>
          <w:color w:val="auto"/>
          <w:kern w:val="2"/>
          <w:sz w:val="24"/>
          <w:szCs w:val="24"/>
          <w:highlight w:val="none"/>
          <w:shd w:val="clear" w:color="auto" w:fill="FFFFFF"/>
          <w:lang w:eastAsia="zh-CN"/>
        </w:rPr>
        <w:t>其他与安全生产直接相关的支出。</w:t>
      </w:r>
    </w:p>
    <w:p w14:paraId="3C6D9209">
      <w:pPr>
        <w:spacing w:line="360" w:lineRule="auto"/>
        <w:ind w:firstLine="597" w:firstLineChars="24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本款补充第9.2.12项：</w:t>
      </w:r>
    </w:p>
    <w:p w14:paraId="782A0E5B">
      <w:pPr>
        <w:widowControl/>
        <w:tabs>
          <w:tab w:val="left" w:pos="785"/>
        </w:tabs>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9.2.12</w:t>
      </w:r>
      <w:r>
        <w:rPr>
          <w:rFonts w:hint="eastAsia" w:ascii="宋体" w:hAnsi="宋体"/>
          <w:color w:val="auto"/>
          <w:sz w:val="24"/>
          <w:highlight w:val="none"/>
          <w:lang w:val="en-US" w:eastAsia="zh-CN"/>
        </w:rPr>
        <w:t xml:space="preserve"> </w:t>
      </w:r>
      <w:r>
        <w:rPr>
          <w:rFonts w:hint="eastAsia" w:ascii="宋体" w:hAnsi="宋体" w:cs="Arial"/>
          <w:color w:val="auto"/>
          <w:sz w:val="24"/>
          <w:highlight w:val="none"/>
        </w:rPr>
        <w:t>安全生产费的使用和支付应符合</w:t>
      </w:r>
      <w:r>
        <w:rPr>
          <w:rFonts w:hint="eastAsia" w:ascii="宋体" w:hAnsi="宋体"/>
          <w:bCs/>
          <w:color w:val="auto"/>
          <w:sz w:val="24"/>
          <w:highlight w:val="none"/>
          <w:shd w:val="clear" w:color="auto" w:fill="FFFFFF"/>
        </w:rPr>
        <w:t>《</w:t>
      </w:r>
      <w:r>
        <w:rPr>
          <w:rFonts w:hint="eastAsia" w:ascii="宋体" w:hAnsi="宋体"/>
          <w:color w:val="auto"/>
          <w:sz w:val="24"/>
          <w:highlight w:val="none"/>
          <w:shd w:val="clear" w:color="auto" w:fill="FFFFFF"/>
        </w:rPr>
        <w:t>财政部</w:t>
      </w:r>
      <w:r>
        <w:rPr>
          <w:rFonts w:hint="eastAsia" w:ascii="宋体" w:hAnsi="宋体"/>
          <w:color w:val="auto"/>
          <w:sz w:val="24"/>
          <w:highlight w:val="none"/>
          <w:shd w:val="clear" w:color="auto" w:fill="FFFFFF"/>
          <w:lang w:val="en-US" w:eastAsia="zh-CN"/>
        </w:rPr>
        <w:t xml:space="preserve"> 应急部</w:t>
      </w:r>
      <w:r>
        <w:rPr>
          <w:rFonts w:hint="eastAsia" w:ascii="宋体" w:hAnsi="宋体"/>
          <w:bCs w:val="0"/>
          <w:color w:val="auto"/>
          <w:sz w:val="24"/>
          <w:highlight w:val="none"/>
          <w:shd w:val="clear" w:color="auto" w:fill="FFFFFF"/>
        </w:rPr>
        <w:t>关于印发〈企业安全生产费用提取和使用管理办法〉的通知》（财资</w:t>
      </w:r>
      <w:r>
        <w:rPr>
          <w:rFonts w:hint="eastAsia" w:ascii="宋体" w:hAnsi="宋体" w:eastAsia="宋体" w:cs="Times New Roman"/>
          <w:bCs w:val="0"/>
          <w:color w:val="auto"/>
          <w:sz w:val="24"/>
          <w:highlight w:val="none"/>
          <w:shd w:val="clear" w:color="auto" w:fill="FFFFFF"/>
        </w:rPr>
        <w:t>〔2022〕1</w:t>
      </w:r>
      <w:r>
        <w:rPr>
          <w:rFonts w:hint="eastAsia" w:ascii="宋体" w:hAnsi="宋体"/>
          <w:bCs w:val="0"/>
          <w:color w:val="auto"/>
          <w:sz w:val="24"/>
          <w:highlight w:val="none"/>
          <w:shd w:val="clear" w:color="auto" w:fill="FFFFFF"/>
        </w:rPr>
        <w:t>36号</w:t>
      </w:r>
      <w:r>
        <w:rPr>
          <w:rFonts w:hint="eastAsia" w:ascii="宋体" w:hAnsi="宋体"/>
          <w:bCs w:val="0"/>
          <w:color w:val="auto"/>
          <w:sz w:val="24"/>
          <w:highlight w:val="none"/>
          <w:shd w:val="clear" w:color="auto" w:fill="FFFFFF"/>
          <w:lang w:eastAsia="zh-CN"/>
        </w:rPr>
        <w:t>）</w:t>
      </w:r>
      <w:r>
        <w:rPr>
          <w:rFonts w:hint="eastAsia" w:ascii="宋体" w:hAnsi="宋体"/>
          <w:bCs w:val="0"/>
          <w:color w:val="auto"/>
          <w:sz w:val="24"/>
          <w:szCs w:val="24"/>
          <w:highlight w:val="none"/>
          <w:shd w:val="clear" w:color="auto" w:fill="FFFFFF"/>
          <w:lang w:eastAsia="zh-CN"/>
        </w:rPr>
        <w:t>、</w:t>
      </w:r>
      <w:r>
        <w:rPr>
          <w:rFonts w:hint="eastAsia" w:ascii="宋体" w:hAnsi="宋体"/>
          <w:bCs w:val="0"/>
          <w:color w:val="auto"/>
          <w:sz w:val="24"/>
          <w:szCs w:val="24"/>
          <w:highlight w:val="none"/>
          <w:shd w:val="clear" w:color="auto" w:fill="FFFFFF"/>
          <w:lang w:val="en-US" w:eastAsia="zh-CN"/>
        </w:rPr>
        <w:t>《四川省交通运输厅〈关于进一步规范公路水运工程建设项目安全生产费用管理工作〉的通知》（川交规</w:t>
      </w:r>
      <w:r>
        <w:rPr>
          <w:rFonts w:hint="eastAsia" w:ascii="宋体" w:hAnsi="宋体" w:eastAsia="宋体" w:cs="Times New Roman"/>
          <w:bCs w:val="0"/>
          <w:color w:val="auto"/>
          <w:sz w:val="24"/>
          <w:szCs w:val="24"/>
          <w:highlight w:val="none"/>
          <w:shd w:val="clear" w:color="auto" w:fill="FFFFFF"/>
        </w:rPr>
        <w:t>〔</w:t>
      </w:r>
      <w:r>
        <w:rPr>
          <w:rFonts w:hint="eastAsia" w:ascii="宋体" w:hAnsi="宋体"/>
          <w:bCs w:val="0"/>
          <w:color w:val="auto"/>
          <w:sz w:val="24"/>
          <w:szCs w:val="24"/>
          <w:highlight w:val="none"/>
          <w:shd w:val="clear" w:color="auto" w:fill="FFFFFF"/>
          <w:lang w:val="en-US" w:eastAsia="zh-CN"/>
        </w:rPr>
        <w:t>2023</w:t>
      </w:r>
      <w:r>
        <w:rPr>
          <w:rFonts w:hint="eastAsia" w:ascii="宋体" w:hAnsi="宋体" w:eastAsia="宋体" w:cs="Times New Roman"/>
          <w:bCs w:val="0"/>
          <w:color w:val="auto"/>
          <w:sz w:val="24"/>
          <w:szCs w:val="24"/>
          <w:highlight w:val="none"/>
          <w:shd w:val="clear" w:color="auto" w:fill="FFFFFF"/>
        </w:rPr>
        <w:t>〕</w:t>
      </w:r>
      <w:r>
        <w:rPr>
          <w:rFonts w:hint="eastAsia" w:ascii="宋体" w:hAnsi="宋体" w:eastAsia="宋体" w:cs="Times New Roman"/>
          <w:bCs w:val="0"/>
          <w:color w:val="auto"/>
          <w:sz w:val="24"/>
          <w:szCs w:val="24"/>
          <w:highlight w:val="none"/>
          <w:shd w:val="clear" w:color="auto" w:fill="FFFFFF"/>
          <w:lang w:val="en-US" w:eastAsia="zh-CN"/>
        </w:rPr>
        <w:t>13</w:t>
      </w:r>
      <w:r>
        <w:rPr>
          <w:rFonts w:hint="eastAsia" w:ascii="宋体" w:hAnsi="宋体"/>
          <w:bCs w:val="0"/>
          <w:color w:val="auto"/>
          <w:sz w:val="24"/>
          <w:szCs w:val="24"/>
          <w:highlight w:val="none"/>
          <w:shd w:val="clear" w:color="auto" w:fill="FFFFFF"/>
        </w:rPr>
        <w:t>号</w:t>
      </w:r>
      <w:r>
        <w:rPr>
          <w:rFonts w:hint="eastAsia" w:ascii="宋体" w:hAnsi="宋体"/>
          <w:bCs w:val="0"/>
          <w:color w:val="auto"/>
          <w:sz w:val="24"/>
          <w:szCs w:val="24"/>
          <w:highlight w:val="none"/>
          <w:shd w:val="clear" w:color="auto" w:fill="FFFFFF"/>
          <w:lang w:val="en-US" w:eastAsia="zh-CN"/>
        </w:rPr>
        <w:t>）</w:t>
      </w:r>
      <w:r>
        <w:rPr>
          <w:rFonts w:hint="eastAsia" w:ascii="宋体" w:hAnsi="宋体" w:cs="Arial"/>
          <w:bCs w:val="0"/>
          <w:color w:val="auto"/>
          <w:sz w:val="24"/>
          <w:highlight w:val="none"/>
          <w:shd w:val="clear" w:color="auto" w:fill="auto"/>
        </w:rPr>
        <w:t>规定</w:t>
      </w:r>
      <w:r>
        <w:rPr>
          <w:rFonts w:hint="eastAsia" w:ascii="宋体" w:hAnsi="宋体" w:eastAsia="宋体" w:cs="Arial"/>
          <w:bCs w:val="0"/>
          <w:color w:val="auto"/>
          <w:sz w:val="24"/>
          <w:szCs w:val="24"/>
          <w:highlight w:val="none"/>
        </w:rPr>
        <w:t>。</w:t>
      </w:r>
    </w:p>
    <w:p w14:paraId="2AD702B8">
      <w:pPr>
        <w:pStyle w:val="6"/>
        <w:jc w:val="left"/>
        <w:rPr>
          <w:rFonts w:hint="eastAsia" w:ascii="黑体" w:hAnsi="黑体" w:cs="黑体"/>
          <w:b w:val="0"/>
          <w:bCs w:val="0"/>
          <w:color w:val="auto"/>
          <w:sz w:val="28"/>
          <w:szCs w:val="32"/>
          <w:highlight w:val="none"/>
        </w:rPr>
      </w:pPr>
      <w:bookmarkStart w:id="818" w:name="_Toc53685752"/>
      <w:r>
        <w:rPr>
          <w:rFonts w:hint="eastAsia" w:ascii="黑体" w:hAnsi="黑体" w:cs="黑体"/>
          <w:b w:val="0"/>
          <w:bCs w:val="0"/>
          <w:color w:val="auto"/>
          <w:sz w:val="28"/>
          <w:szCs w:val="32"/>
          <w:highlight w:val="none"/>
        </w:rPr>
        <w:t>9.3</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治安保卫</w:t>
      </w:r>
      <w:bookmarkEnd w:id="818"/>
    </w:p>
    <w:p w14:paraId="4791684C">
      <w:pPr>
        <w:adjustRightInd w:val="0"/>
        <w:snapToGrid w:val="0"/>
        <w:spacing w:line="360" w:lineRule="auto"/>
        <w:ind w:firstLine="480" w:firstLineChars="200"/>
        <w:rPr>
          <w:rFonts w:ascii="宋体" w:hAnsi="宋体"/>
          <w:color w:val="auto"/>
          <w:sz w:val="24"/>
          <w:highlight w:val="none"/>
        </w:rPr>
      </w:pPr>
      <w:r>
        <w:rPr>
          <w:rFonts w:ascii="宋体" w:hAnsi="宋体"/>
          <w:b w:val="0"/>
          <w:bCs/>
          <w:color w:val="auto"/>
          <w:sz w:val="24"/>
          <w:highlight w:val="none"/>
        </w:rPr>
        <w:t>9.3.1</w:t>
      </w:r>
      <w:r>
        <w:rPr>
          <w:rFonts w:hint="eastAsia" w:ascii="宋体" w:hAnsi="宋体"/>
          <w:b w:val="0"/>
          <w:bCs/>
          <w:color w:val="auto"/>
          <w:sz w:val="24"/>
          <w:highlight w:val="none"/>
          <w:lang w:val="en-US" w:eastAsia="zh-CN"/>
        </w:rPr>
        <w:t xml:space="preserve"> </w:t>
      </w:r>
      <w:r>
        <w:rPr>
          <w:rFonts w:hint="eastAsia" w:ascii="宋体" w:hAnsi="宋体"/>
          <w:color w:val="auto"/>
          <w:sz w:val="24"/>
          <w:highlight w:val="none"/>
        </w:rPr>
        <w:t>现场治安管理机构或联防组织的组建：由承包人完成，发包人予以协助。</w:t>
      </w:r>
    </w:p>
    <w:p w14:paraId="1C3F632C">
      <w:pPr>
        <w:spacing w:line="360" w:lineRule="auto"/>
        <w:ind w:firstLine="480" w:firstLineChars="200"/>
        <w:rPr>
          <w:rFonts w:ascii="宋体" w:hAnsi="宋体"/>
          <w:color w:val="auto"/>
          <w:sz w:val="24"/>
          <w:highlight w:val="none"/>
        </w:rPr>
      </w:pPr>
      <w:r>
        <w:rPr>
          <w:rFonts w:ascii="宋体" w:hAnsi="宋体"/>
          <w:b w:val="0"/>
          <w:bCs/>
          <w:color w:val="auto"/>
          <w:sz w:val="24"/>
          <w:highlight w:val="none"/>
        </w:rPr>
        <w:t>9.3.3</w:t>
      </w:r>
      <w:r>
        <w:rPr>
          <w:rFonts w:ascii="宋体" w:hAnsi="宋体"/>
          <w:b/>
          <w:color w:val="auto"/>
          <w:sz w:val="24"/>
          <w:highlight w:val="none"/>
        </w:rPr>
        <w:t xml:space="preserve"> </w:t>
      </w:r>
      <w:r>
        <w:rPr>
          <w:rFonts w:hint="eastAsia" w:ascii="宋体" w:hAnsi="宋体"/>
          <w:color w:val="auto"/>
          <w:sz w:val="24"/>
          <w:highlight w:val="none"/>
        </w:rPr>
        <w:t>施工场地治安管理计划和突发治安事件紧急预案的编制：</w:t>
      </w:r>
      <w:r>
        <w:rPr>
          <w:rFonts w:hint="eastAsia" w:ascii="宋体" w:hAnsi="宋体"/>
          <w:color w:val="auto"/>
          <w:sz w:val="24"/>
          <w:highlight w:val="none"/>
          <w:lang w:val="en-US" w:eastAsia="zh-CN"/>
        </w:rPr>
        <w:t>由</w:t>
      </w:r>
      <w:r>
        <w:rPr>
          <w:rFonts w:hint="eastAsia" w:ascii="宋体" w:hAnsi="宋体"/>
          <w:color w:val="auto"/>
          <w:sz w:val="24"/>
          <w:highlight w:val="none"/>
        </w:rPr>
        <w:t>承包人</w:t>
      </w:r>
      <w:r>
        <w:rPr>
          <w:rFonts w:hint="eastAsia" w:ascii="宋体" w:hAnsi="宋体"/>
          <w:color w:val="auto"/>
          <w:sz w:val="24"/>
          <w:highlight w:val="none"/>
          <w:lang w:val="en-US" w:eastAsia="zh-CN"/>
        </w:rPr>
        <w:t>完成</w:t>
      </w:r>
      <w:r>
        <w:rPr>
          <w:rFonts w:hint="eastAsia" w:ascii="宋体" w:hAnsi="宋体"/>
          <w:color w:val="auto"/>
          <w:sz w:val="24"/>
          <w:highlight w:val="none"/>
        </w:rPr>
        <w:t>。</w:t>
      </w:r>
    </w:p>
    <w:p w14:paraId="1CF59BF6">
      <w:pPr>
        <w:pStyle w:val="6"/>
        <w:jc w:val="left"/>
        <w:rPr>
          <w:rFonts w:hint="eastAsia" w:ascii="黑体" w:hAnsi="黑体" w:cs="黑体"/>
          <w:b w:val="0"/>
          <w:bCs w:val="0"/>
          <w:color w:val="auto"/>
          <w:sz w:val="28"/>
          <w:szCs w:val="32"/>
          <w:highlight w:val="none"/>
        </w:rPr>
      </w:pPr>
      <w:bookmarkStart w:id="819" w:name="_Toc53685754"/>
      <w:r>
        <w:rPr>
          <w:rFonts w:hint="eastAsia" w:ascii="黑体" w:hAnsi="黑体" w:cs="黑体"/>
          <w:b w:val="0"/>
          <w:bCs w:val="0"/>
          <w:color w:val="auto"/>
          <w:sz w:val="28"/>
          <w:szCs w:val="32"/>
          <w:highlight w:val="none"/>
        </w:rPr>
        <w:t>9.4</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环境保护</w:t>
      </w:r>
    </w:p>
    <w:p w14:paraId="3DB68642">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本款补充第</w:t>
      </w:r>
      <w:r>
        <w:rPr>
          <w:rFonts w:hint="eastAsia" w:ascii="宋体" w:hAnsi="宋体" w:cs="Courier New"/>
          <w:color w:val="auto"/>
          <w:sz w:val="24"/>
          <w:highlight w:val="none"/>
        </w:rPr>
        <w:t>9.4.12项：</w:t>
      </w:r>
    </w:p>
    <w:p w14:paraId="3E684A92">
      <w:pPr>
        <w:adjustRightInd w:val="0"/>
        <w:snapToGrid w:val="0"/>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9.4.12</w:t>
      </w:r>
      <w:r>
        <w:rPr>
          <w:rFonts w:hint="eastAsia" w:ascii="黑体" w:hAnsi="黑体" w:eastAsia="黑体"/>
          <w:color w:val="auto"/>
          <w:sz w:val="24"/>
          <w:highlight w:val="none"/>
          <w:lang w:val="en-US" w:eastAsia="zh-CN"/>
        </w:rPr>
        <w:t xml:space="preserve"> </w:t>
      </w:r>
      <w:r>
        <w:rPr>
          <w:rFonts w:hint="eastAsia" w:ascii="黑体" w:hAnsi="黑体" w:eastAsia="黑体"/>
          <w:color w:val="auto"/>
          <w:sz w:val="24"/>
          <w:highlight w:val="none"/>
        </w:rPr>
        <w:t>环境保护、</w:t>
      </w:r>
      <w:r>
        <w:rPr>
          <w:rFonts w:ascii="黑体" w:hAnsi="黑体" w:eastAsia="黑体"/>
          <w:color w:val="auto"/>
          <w:sz w:val="24"/>
          <w:highlight w:val="none"/>
        </w:rPr>
        <w:t>水土保持</w:t>
      </w:r>
      <w:r>
        <w:rPr>
          <w:rFonts w:hint="eastAsia" w:ascii="黑体" w:hAnsi="黑体" w:eastAsia="黑体"/>
          <w:color w:val="auto"/>
          <w:sz w:val="24"/>
          <w:highlight w:val="none"/>
        </w:rPr>
        <w:t>费</w:t>
      </w:r>
    </w:p>
    <w:p w14:paraId="55818F1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施工过程中针对第9.4款发生的环境保护及水土保持措施费应</w:t>
      </w:r>
      <w:r>
        <w:rPr>
          <w:rFonts w:hint="eastAsia" w:ascii="宋体" w:hAnsi="宋体"/>
          <w:color w:val="auto"/>
          <w:sz w:val="24"/>
          <w:highlight w:val="none"/>
          <w:lang w:val="en-US" w:eastAsia="zh-CN"/>
        </w:rPr>
        <w:t>符合</w:t>
      </w:r>
      <w:r>
        <w:rPr>
          <w:rFonts w:hint="eastAsia" w:ascii="宋体" w:hAnsi="宋体" w:eastAsia="宋体" w:cs="Times New Roman"/>
          <w:color w:val="auto"/>
          <w:sz w:val="24"/>
          <w:szCs w:val="24"/>
          <w:highlight w:val="none"/>
          <w:lang w:val="en-US" w:eastAsia="zh-CN"/>
        </w:rPr>
        <w:t>《四川省交通运输厅</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关于进一步加强和规范我省高速公路建设项目环境保护费用管理工作</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的通知》（川交函〔2021〕260号）</w:t>
      </w:r>
      <w:r>
        <w:rPr>
          <w:rFonts w:hint="eastAsia" w:ascii="宋体" w:hAnsi="宋体"/>
          <w:color w:val="auto"/>
          <w:sz w:val="24"/>
          <w:highlight w:val="none"/>
          <w:lang w:val="en-US" w:eastAsia="zh-CN"/>
        </w:rPr>
        <w:t>的</w:t>
      </w:r>
      <w:r>
        <w:rPr>
          <w:rFonts w:hint="eastAsia" w:ascii="宋体" w:hAnsi="宋体"/>
          <w:color w:val="auto"/>
          <w:sz w:val="24"/>
          <w:highlight w:val="none"/>
        </w:rPr>
        <w:t>要求。如承包人为满足项目施工需要，需增加环境保护及水土保持措施费</w:t>
      </w:r>
      <w:r>
        <w:rPr>
          <w:rFonts w:hint="eastAsia" w:ascii="宋体" w:hAnsi="宋体"/>
          <w:color w:val="auto"/>
          <w:sz w:val="24"/>
          <w:highlight w:val="none"/>
          <w:lang w:eastAsia="zh-CN"/>
        </w:rPr>
        <w:t>，</w:t>
      </w:r>
      <w:r>
        <w:rPr>
          <w:rFonts w:hint="eastAsia" w:ascii="宋体" w:hAnsi="宋体"/>
          <w:color w:val="auto"/>
          <w:sz w:val="24"/>
          <w:highlight w:val="none"/>
        </w:rPr>
        <w:t>则在本项目</w:t>
      </w:r>
      <w:r>
        <w:rPr>
          <w:rFonts w:hint="eastAsia" w:ascii="宋体" w:hAnsi="宋体"/>
          <w:color w:val="auto"/>
          <w:sz w:val="24"/>
          <w:highlight w:val="none"/>
          <w:lang w:val="en-US" w:eastAsia="zh-CN"/>
        </w:rPr>
        <w:t>工程量</w:t>
      </w:r>
      <w:r>
        <w:rPr>
          <w:rFonts w:hint="eastAsia" w:ascii="宋体" w:hAnsi="宋体"/>
          <w:color w:val="auto"/>
          <w:sz w:val="24"/>
          <w:highlight w:val="none"/>
        </w:rPr>
        <w:t>清单其他相关子目的单价或总额价中予以考虑，发包人不再另行支付。</w:t>
      </w:r>
    </w:p>
    <w:p w14:paraId="5938C276">
      <w:pPr>
        <w:pStyle w:val="6"/>
        <w:jc w:val="left"/>
        <w:rPr>
          <w:rFonts w:hint="eastAsia" w:ascii="黑体" w:hAnsi="黑体" w:cs="黑体"/>
          <w:b w:val="0"/>
          <w:bCs w:val="0"/>
          <w:color w:val="auto"/>
          <w:sz w:val="28"/>
          <w:szCs w:val="32"/>
          <w:highlight w:val="none"/>
        </w:rPr>
      </w:pPr>
      <w:r>
        <w:rPr>
          <w:rFonts w:hint="eastAsia" w:ascii="黑体" w:hAnsi="黑体" w:cs="黑体"/>
          <w:b w:val="0"/>
          <w:bCs w:val="0"/>
          <w:color w:val="auto"/>
          <w:sz w:val="28"/>
          <w:szCs w:val="32"/>
          <w:highlight w:val="none"/>
        </w:rPr>
        <w:t>9.5</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事故处理</w:t>
      </w:r>
      <w:bookmarkEnd w:id="819"/>
    </w:p>
    <w:p w14:paraId="6B14986B">
      <w:pPr>
        <w:adjustRightInd w:val="0"/>
        <w:snapToGrid w:val="0"/>
        <w:spacing w:line="360" w:lineRule="auto"/>
        <w:ind w:firstLine="480"/>
        <w:rPr>
          <w:rFonts w:hint="eastAsia"/>
          <w:color w:val="auto"/>
          <w:spacing w:val="-4"/>
          <w:sz w:val="24"/>
          <w:highlight w:val="none"/>
        </w:rPr>
      </w:pPr>
      <w:r>
        <w:rPr>
          <w:rFonts w:hint="eastAsia"/>
          <w:color w:val="auto"/>
          <w:sz w:val="24"/>
          <w:highlight w:val="none"/>
        </w:rPr>
        <w:t>本款补充：</w:t>
      </w:r>
      <w:r>
        <w:rPr>
          <w:rFonts w:hint="eastAsia"/>
          <w:color w:val="auto"/>
          <w:spacing w:val="-4"/>
          <w:sz w:val="24"/>
          <w:highlight w:val="none"/>
        </w:rPr>
        <w:t>事故报告必须按国家的有关法律法规</w:t>
      </w:r>
      <w:r>
        <w:rPr>
          <w:rFonts w:hint="eastAsia"/>
          <w:color w:val="auto"/>
          <w:spacing w:val="-4"/>
          <w:sz w:val="24"/>
          <w:highlight w:val="none"/>
          <w:lang w:val="en-US" w:eastAsia="zh-CN"/>
        </w:rPr>
        <w:t>以及</w:t>
      </w:r>
      <w:r>
        <w:rPr>
          <w:rFonts w:hint="eastAsia"/>
          <w:color w:val="auto"/>
          <w:spacing w:val="-4"/>
          <w:sz w:val="24"/>
          <w:highlight w:val="none"/>
          <w:u w:val="none"/>
        </w:rPr>
        <w:t>《生产安全事故报告和调查处理条例》（国务院</w:t>
      </w:r>
      <w:r>
        <w:rPr>
          <w:rFonts w:hint="eastAsia"/>
          <w:color w:val="auto"/>
          <w:spacing w:val="-4"/>
          <w:sz w:val="24"/>
          <w:highlight w:val="none"/>
          <w:u w:val="none"/>
          <w:lang w:val="en-US" w:eastAsia="zh-CN"/>
        </w:rPr>
        <w:t>令</w:t>
      </w:r>
      <w:r>
        <w:rPr>
          <w:rFonts w:hint="eastAsia"/>
          <w:color w:val="auto"/>
          <w:spacing w:val="-4"/>
          <w:sz w:val="24"/>
          <w:highlight w:val="none"/>
          <w:u w:val="none"/>
        </w:rPr>
        <w:t>第</w:t>
      </w:r>
      <w:r>
        <w:rPr>
          <w:color w:val="auto"/>
          <w:spacing w:val="-4"/>
          <w:sz w:val="24"/>
          <w:highlight w:val="none"/>
          <w:u w:val="none"/>
        </w:rPr>
        <w:t>493</w:t>
      </w:r>
      <w:r>
        <w:rPr>
          <w:rFonts w:hint="eastAsia"/>
          <w:color w:val="auto"/>
          <w:spacing w:val="-4"/>
          <w:sz w:val="24"/>
          <w:highlight w:val="none"/>
          <w:u w:val="none"/>
        </w:rPr>
        <w:t>号）、交通运输部《公路水运建设工程质量事故等级划分和报告制度》（交办安监〔</w:t>
      </w:r>
      <w:r>
        <w:rPr>
          <w:color w:val="auto"/>
          <w:spacing w:val="-4"/>
          <w:sz w:val="24"/>
          <w:highlight w:val="none"/>
          <w:u w:val="none"/>
        </w:rPr>
        <w:t>2016</w:t>
      </w:r>
      <w:r>
        <w:rPr>
          <w:rFonts w:hint="eastAsia"/>
          <w:color w:val="auto"/>
          <w:spacing w:val="-4"/>
          <w:sz w:val="24"/>
          <w:highlight w:val="none"/>
          <w:u w:val="none"/>
        </w:rPr>
        <w:t>〕</w:t>
      </w:r>
      <w:r>
        <w:rPr>
          <w:color w:val="auto"/>
          <w:spacing w:val="-4"/>
          <w:sz w:val="24"/>
          <w:highlight w:val="none"/>
          <w:u w:val="none"/>
        </w:rPr>
        <w:t>146</w:t>
      </w:r>
      <w:r>
        <w:rPr>
          <w:rFonts w:hint="eastAsia"/>
          <w:color w:val="auto"/>
          <w:spacing w:val="-4"/>
          <w:sz w:val="24"/>
          <w:highlight w:val="none"/>
          <w:u w:val="none"/>
        </w:rPr>
        <w:t>号）</w:t>
      </w:r>
      <w:r>
        <w:rPr>
          <w:rFonts w:hint="eastAsia"/>
          <w:color w:val="auto"/>
          <w:spacing w:val="-4"/>
          <w:sz w:val="24"/>
          <w:highlight w:val="none"/>
          <w:u w:val="none"/>
          <w:lang w:eastAsia="zh-CN"/>
        </w:rPr>
        <w:t>、</w:t>
      </w:r>
      <w:r>
        <w:rPr>
          <w:rFonts w:hint="eastAsia"/>
          <w:color w:val="auto"/>
          <w:spacing w:val="-4"/>
          <w:sz w:val="24"/>
          <w:highlight w:val="none"/>
        </w:rPr>
        <w:t>四川省以及发包人制定的有关质量安全报告程序规定的要求执行。</w:t>
      </w:r>
    </w:p>
    <w:p w14:paraId="66868DDA">
      <w:pPr>
        <w:adjustRightInd w:val="0"/>
        <w:snapToGrid w:val="0"/>
        <w:spacing w:line="360" w:lineRule="auto"/>
        <w:ind w:firstLine="480" w:firstLineChars="200"/>
        <w:rPr>
          <w:rFonts w:ascii="黑体"/>
          <w:color w:val="auto"/>
          <w:sz w:val="24"/>
          <w:highlight w:val="none"/>
        </w:rPr>
      </w:pPr>
      <w:r>
        <w:rPr>
          <w:rFonts w:hint="eastAsia" w:asciiTheme="minorEastAsia" w:hAnsiTheme="minorEastAsia" w:eastAsiaTheme="minorEastAsia"/>
          <w:color w:val="auto"/>
          <w:sz w:val="24"/>
          <w:highlight w:val="none"/>
        </w:rPr>
        <w:t>本条补充第</w:t>
      </w:r>
      <w:r>
        <w:rPr>
          <w:rFonts w:asciiTheme="minorEastAsia" w:hAnsiTheme="minorEastAsia" w:eastAsiaTheme="minorEastAsia"/>
          <w:color w:val="auto"/>
          <w:sz w:val="24"/>
          <w:highlight w:val="none"/>
        </w:rPr>
        <w:t>9.6款：</w:t>
      </w:r>
    </w:p>
    <w:p w14:paraId="25A9C701">
      <w:pPr>
        <w:pStyle w:val="6"/>
        <w:jc w:val="left"/>
        <w:rPr>
          <w:rFonts w:hint="eastAsia" w:ascii="黑体" w:hAnsi="黑体" w:cs="黑体"/>
          <w:b w:val="0"/>
          <w:bCs w:val="0"/>
          <w:color w:val="auto"/>
          <w:sz w:val="28"/>
          <w:szCs w:val="32"/>
          <w:highlight w:val="none"/>
        </w:rPr>
      </w:pPr>
      <w:r>
        <w:rPr>
          <w:rFonts w:hint="eastAsia" w:ascii="黑体" w:hAnsi="黑体" w:cs="黑体"/>
          <w:b w:val="0"/>
          <w:bCs w:val="0"/>
          <w:color w:val="auto"/>
          <w:sz w:val="28"/>
          <w:szCs w:val="32"/>
          <w:highlight w:val="none"/>
        </w:rPr>
        <w:t>9.6</w:t>
      </w:r>
      <w:bookmarkStart w:id="820" w:name="_Hlk94022613"/>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卫生防疫要求</w:t>
      </w:r>
    </w:p>
    <w:p w14:paraId="1D71E2A8">
      <w:pPr>
        <w:adjustRightInd w:val="0"/>
        <w:snapToGrid w:val="0"/>
        <w:spacing w:line="360" w:lineRule="auto"/>
        <w:ind w:firstLine="480" w:firstLineChars="200"/>
        <w:rPr>
          <w:rFonts w:hint="eastAsia"/>
          <w:color w:val="auto"/>
          <w:spacing w:val="-4"/>
          <w:sz w:val="24"/>
          <w:highlight w:val="none"/>
        </w:rPr>
      </w:pPr>
      <w:bookmarkStart w:id="821" w:name="_Hlk101203578"/>
      <w:r>
        <w:rPr>
          <w:rFonts w:hint="eastAsia" w:ascii="宋体" w:hAnsi="宋体" w:cs="Arial"/>
          <w:color w:val="auto"/>
          <w:sz w:val="24"/>
          <w:highlight w:val="none"/>
        </w:rPr>
        <w:t>在遭遇疫情重大突发公共卫生事件情形下，施工作业应符合国家、省、市及地方的统一部署及相关规定。承包人应根据《中华人民共和国传染病防治法》《突发公共卫生</w:t>
      </w:r>
      <w:r>
        <w:rPr>
          <w:rFonts w:hint="eastAsia" w:ascii="黑体"/>
          <w:color w:val="auto"/>
          <w:sz w:val="24"/>
          <w:highlight w:val="none"/>
        </w:rPr>
        <w:t>事件应急条例》及相关规定，落实疫情防控措施，且措施具有可行、有效性，从严从实把防控措施落实到每一个环节。最大限度地降低损失和影响，有效、切实维护生命安全和秩序稳定。</w:t>
      </w:r>
      <w:bookmarkEnd w:id="820"/>
      <w:bookmarkEnd w:id="821"/>
    </w:p>
    <w:p w14:paraId="209176F9">
      <w:pPr>
        <w:pStyle w:val="5"/>
        <w:keepNext w:val="0"/>
        <w:keepLines w:val="0"/>
        <w:rPr>
          <w:rFonts w:hint="eastAsia" w:ascii="Arial" w:hAnsi="Arial"/>
          <w:b/>
          <w:color w:val="auto"/>
          <w:sz w:val="28"/>
          <w:szCs w:val="32"/>
          <w:highlight w:val="none"/>
        </w:rPr>
      </w:pPr>
      <w:bookmarkStart w:id="822" w:name="_Toc53685755"/>
      <w:r>
        <w:rPr>
          <w:rFonts w:hint="eastAsia" w:ascii="Arial" w:hAnsi="Arial"/>
          <w:b/>
          <w:color w:val="auto"/>
          <w:sz w:val="28"/>
          <w:szCs w:val="32"/>
          <w:highlight w:val="none"/>
          <w:lang w:val="en-US" w:eastAsia="zh-CN"/>
        </w:rPr>
        <w:t xml:space="preserve">10. </w:t>
      </w:r>
      <w:r>
        <w:rPr>
          <w:rFonts w:hint="eastAsia" w:ascii="Arial" w:hAnsi="Arial"/>
          <w:b/>
          <w:color w:val="auto"/>
          <w:sz w:val="28"/>
          <w:szCs w:val="32"/>
          <w:highlight w:val="none"/>
        </w:rPr>
        <w:t>进度计划</w:t>
      </w:r>
      <w:bookmarkEnd w:id="822"/>
    </w:p>
    <w:p w14:paraId="2203D42B">
      <w:pPr>
        <w:pStyle w:val="6"/>
        <w:jc w:val="left"/>
        <w:rPr>
          <w:rFonts w:hint="eastAsia" w:ascii="黑体" w:hAnsi="黑体" w:cs="黑体"/>
          <w:b w:val="0"/>
          <w:bCs w:val="0"/>
          <w:color w:val="auto"/>
          <w:sz w:val="28"/>
          <w:szCs w:val="32"/>
          <w:highlight w:val="none"/>
        </w:rPr>
      </w:pPr>
      <w:bookmarkStart w:id="823" w:name="_Toc53685756"/>
      <w:r>
        <w:rPr>
          <w:rFonts w:hint="eastAsia" w:ascii="黑体" w:hAnsi="黑体" w:cs="黑体"/>
          <w:b w:val="0"/>
          <w:bCs w:val="0"/>
          <w:color w:val="auto"/>
          <w:sz w:val="28"/>
          <w:szCs w:val="32"/>
          <w:highlight w:val="none"/>
        </w:rPr>
        <w:t>10.1 合同进度计划</w:t>
      </w:r>
      <w:bookmarkEnd w:id="823"/>
    </w:p>
    <w:p w14:paraId="67437063">
      <w:pPr>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本款补充：</w:t>
      </w:r>
    </w:p>
    <w:p w14:paraId="70DAA842">
      <w:pPr>
        <w:spacing w:line="360" w:lineRule="auto"/>
        <w:ind w:firstLine="480"/>
        <w:jc w:val="left"/>
        <w:rPr>
          <w:rFonts w:ascii="宋体" w:hAnsi="宋体"/>
          <w:color w:val="auto"/>
          <w:sz w:val="24"/>
          <w:highlight w:val="none"/>
        </w:rPr>
      </w:pPr>
      <w:r>
        <w:rPr>
          <w:rFonts w:hint="eastAsia" w:ascii="宋体" w:hAnsi="宋体"/>
          <w:color w:val="auto"/>
          <w:sz w:val="24"/>
          <w:highlight w:val="none"/>
        </w:rPr>
        <w:t>承包人编制施工方案说明的内容：</w:t>
      </w:r>
      <w:r>
        <w:rPr>
          <w:rFonts w:ascii="宋体" w:hAnsi="宋体"/>
          <w:color w:val="auto"/>
          <w:sz w:val="24"/>
          <w:highlight w:val="none"/>
          <w:u w:val="single"/>
        </w:rPr>
        <w:t xml:space="preserve">                            </w:t>
      </w:r>
      <w:r>
        <w:rPr>
          <w:rFonts w:hint="eastAsia" w:ascii="宋体" w:hAnsi="宋体"/>
          <w:color w:val="auto"/>
          <w:sz w:val="24"/>
          <w:highlight w:val="none"/>
        </w:rPr>
        <w:t>。</w:t>
      </w:r>
    </w:p>
    <w:p w14:paraId="392C3A06">
      <w:pPr>
        <w:pStyle w:val="6"/>
        <w:jc w:val="left"/>
        <w:rPr>
          <w:rFonts w:hint="eastAsia" w:ascii="黑体" w:hAnsi="黑体" w:cs="黑体"/>
          <w:b w:val="0"/>
          <w:bCs w:val="0"/>
          <w:color w:val="auto"/>
          <w:sz w:val="28"/>
          <w:szCs w:val="32"/>
          <w:highlight w:val="none"/>
        </w:rPr>
      </w:pPr>
      <w:bookmarkStart w:id="824" w:name="_Toc53685757"/>
      <w:r>
        <w:rPr>
          <w:rFonts w:hint="eastAsia" w:ascii="黑体" w:hAnsi="黑体" w:cs="黑体"/>
          <w:b w:val="0"/>
          <w:bCs w:val="0"/>
          <w:color w:val="auto"/>
          <w:sz w:val="28"/>
          <w:szCs w:val="32"/>
          <w:highlight w:val="none"/>
        </w:rPr>
        <w:t>10.2 合同进度计划的修订</w:t>
      </w:r>
      <w:bookmarkEnd w:id="824"/>
    </w:p>
    <w:p w14:paraId="563196DB">
      <w:pPr>
        <w:spacing w:line="360" w:lineRule="auto"/>
        <w:ind w:firstLine="480"/>
        <w:rPr>
          <w:rFonts w:ascii="宋体" w:hAnsi="宋体"/>
          <w:color w:val="auto"/>
          <w:sz w:val="24"/>
          <w:highlight w:val="none"/>
        </w:rPr>
      </w:pPr>
      <w:r>
        <w:rPr>
          <w:rFonts w:hint="eastAsia" w:ascii="宋体" w:hAnsi="宋体"/>
          <w:color w:val="auto"/>
          <w:sz w:val="24"/>
          <w:highlight w:val="none"/>
        </w:rPr>
        <w:t>工程进度计划修订时间为</w:t>
      </w:r>
      <w:r>
        <w:rPr>
          <w:rFonts w:ascii="宋体" w:hAnsi="宋体"/>
          <w:color w:val="auto"/>
          <w:sz w:val="24"/>
          <w:highlight w:val="none"/>
          <w:u w:val="single"/>
        </w:rPr>
        <w:t xml:space="preserve">      </w:t>
      </w:r>
      <w:r>
        <w:rPr>
          <w:rFonts w:hint="eastAsia" w:ascii="宋体" w:hAnsi="宋体"/>
          <w:color w:val="auto"/>
          <w:sz w:val="24"/>
          <w:highlight w:val="none"/>
        </w:rPr>
        <w:t>修订一次，在前一个进度计划的最后</w:t>
      </w:r>
      <w:r>
        <w:rPr>
          <w:rFonts w:ascii="宋体" w:hAnsi="宋体"/>
          <w:color w:val="auto"/>
          <w:sz w:val="24"/>
          <w:highlight w:val="none"/>
        </w:rPr>
        <w:t>5</w:t>
      </w:r>
      <w:r>
        <w:rPr>
          <w:rFonts w:hint="eastAsia" w:ascii="宋体" w:hAnsi="宋体"/>
          <w:color w:val="auto"/>
          <w:sz w:val="24"/>
          <w:highlight w:val="none"/>
        </w:rPr>
        <w:t>天前提交给监理人。</w:t>
      </w:r>
    </w:p>
    <w:p w14:paraId="334FBA12">
      <w:pPr>
        <w:spacing w:line="360" w:lineRule="auto"/>
        <w:ind w:firstLine="480"/>
        <w:rPr>
          <w:rFonts w:ascii="宋体" w:hAnsi="宋体"/>
          <w:color w:val="auto"/>
          <w:sz w:val="24"/>
          <w:highlight w:val="none"/>
        </w:rPr>
      </w:pPr>
      <w:r>
        <w:rPr>
          <w:rFonts w:hint="eastAsia" w:ascii="宋体" w:hAnsi="宋体"/>
          <w:color w:val="auto"/>
          <w:sz w:val="24"/>
          <w:highlight w:val="none"/>
        </w:rPr>
        <w:t>监理人批复</w:t>
      </w:r>
      <w:r>
        <w:rPr>
          <w:rFonts w:ascii="宋体" w:hAnsi="宋体"/>
          <w:color w:val="auto"/>
          <w:sz w:val="24"/>
          <w:highlight w:val="none"/>
        </w:rPr>
        <w:t>修订合同进度计划的期限：收到修订合同进度计划后</w:t>
      </w:r>
      <w:r>
        <w:rPr>
          <w:rFonts w:ascii="宋体" w:hAnsi="宋体"/>
          <w:color w:val="auto"/>
          <w:sz w:val="24"/>
          <w:highlight w:val="none"/>
          <w:u w:val="single"/>
        </w:rPr>
        <w:t xml:space="preserve">    </w:t>
      </w:r>
      <w:r>
        <w:rPr>
          <w:rFonts w:hint="eastAsia" w:ascii="宋体" w:hAnsi="宋体"/>
          <w:color w:val="auto"/>
          <w:sz w:val="24"/>
          <w:highlight w:val="none"/>
        </w:rPr>
        <w:t>天内。</w:t>
      </w:r>
    </w:p>
    <w:p w14:paraId="3BDD999F">
      <w:pPr>
        <w:pStyle w:val="5"/>
        <w:keepNext w:val="0"/>
        <w:keepLines w:val="0"/>
        <w:numPr>
          <w:ilvl w:val="-1"/>
          <w:numId w:val="0"/>
        </w:numPr>
        <w:rPr>
          <w:rFonts w:hint="eastAsia" w:ascii="Arial" w:hAnsi="Arial"/>
          <w:b/>
          <w:color w:val="auto"/>
          <w:sz w:val="28"/>
          <w:szCs w:val="32"/>
          <w:highlight w:val="none"/>
        </w:rPr>
      </w:pPr>
      <w:bookmarkStart w:id="825" w:name="_Toc53685758"/>
      <w:r>
        <w:rPr>
          <w:rFonts w:hint="eastAsia" w:ascii="Arial" w:hAnsi="Arial"/>
          <w:b/>
          <w:color w:val="auto"/>
          <w:sz w:val="28"/>
          <w:szCs w:val="32"/>
          <w:highlight w:val="none"/>
          <w:lang w:val="en-US" w:eastAsia="zh-CN"/>
        </w:rPr>
        <w:t>11</w:t>
      </w:r>
      <w:r>
        <w:rPr>
          <w:rFonts w:hint="eastAsia" w:ascii="Arial" w:hAnsi="Arial"/>
          <w:b/>
          <w:color w:val="auto"/>
          <w:sz w:val="28"/>
          <w:szCs w:val="32"/>
          <w:highlight w:val="none"/>
        </w:rPr>
        <w:t>．开工和交工</w:t>
      </w:r>
      <w:bookmarkEnd w:id="825"/>
    </w:p>
    <w:p w14:paraId="529D2732">
      <w:pPr>
        <w:pStyle w:val="6"/>
        <w:jc w:val="left"/>
        <w:rPr>
          <w:rFonts w:hint="eastAsia" w:ascii="黑体" w:hAnsi="黑体" w:cs="黑体"/>
          <w:b w:val="0"/>
          <w:bCs w:val="0"/>
          <w:color w:val="auto"/>
          <w:sz w:val="28"/>
          <w:szCs w:val="32"/>
          <w:highlight w:val="none"/>
        </w:rPr>
      </w:pPr>
      <w:bookmarkStart w:id="826" w:name="_Toc53685759"/>
      <w:r>
        <w:rPr>
          <w:rFonts w:hint="eastAsia" w:ascii="黑体" w:hAnsi="黑体" w:cs="黑体"/>
          <w:b w:val="0"/>
          <w:bCs w:val="0"/>
          <w:color w:val="auto"/>
          <w:sz w:val="28"/>
          <w:szCs w:val="32"/>
          <w:highlight w:val="none"/>
        </w:rPr>
        <w:t>11.4</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异常恶劣的气候条件</w:t>
      </w:r>
      <w:bookmarkEnd w:id="826"/>
    </w:p>
    <w:p w14:paraId="1DB34142">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异常恶劣的气候条件的范围：</w:t>
      </w:r>
      <w:r>
        <w:rPr>
          <w:rFonts w:ascii="宋体" w:hAnsi="宋体"/>
          <w:color w:val="auto"/>
          <w:sz w:val="24"/>
          <w:highlight w:val="none"/>
          <w:u w:val="single"/>
        </w:rPr>
        <w:t xml:space="preserve">                     </w:t>
      </w:r>
      <w:r>
        <w:rPr>
          <w:rFonts w:hint="eastAsia" w:ascii="宋体" w:hAnsi="宋体"/>
          <w:bCs/>
          <w:color w:val="auto"/>
          <w:sz w:val="24"/>
          <w:highlight w:val="none"/>
        </w:rPr>
        <w:t>。</w:t>
      </w:r>
    </w:p>
    <w:p w14:paraId="7F73B8B6">
      <w:pPr>
        <w:pStyle w:val="5"/>
        <w:keepNext w:val="0"/>
        <w:keepLines w:val="0"/>
        <w:rPr>
          <w:rFonts w:hint="eastAsia" w:ascii="Arial" w:hAnsi="Arial"/>
          <w:b/>
          <w:color w:val="auto"/>
          <w:sz w:val="28"/>
          <w:szCs w:val="32"/>
          <w:highlight w:val="none"/>
        </w:rPr>
      </w:pPr>
      <w:bookmarkStart w:id="827" w:name="_Toc53685761"/>
      <w:r>
        <w:rPr>
          <w:rFonts w:hint="eastAsia" w:ascii="Arial" w:hAnsi="Arial"/>
          <w:b/>
          <w:color w:val="auto"/>
          <w:sz w:val="28"/>
          <w:szCs w:val="32"/>
          <w:highlight w:val="none"/>
        </w:rPr>
        <w:t>12. 暂停施工</w:t>
      </w:r>
      <w:bookmarkEnd w:id="827"/>
    </w:p>
    <w:p w14:paraId="0C40BEE0">
      <w:pPr>
        <w:pStyle w:val="6"/>
        <w:jc w:val="both"/>
        <w:rPr>
          <w:rFonts w:hint="eastAsia" w:ascii="黑体" w:hAnsi="黑体" w:eastAsia="黑体" w:cs="黑体"/>
          <w:b w:val="0"/>
          <w:bCs w:val="0"/>
          <w:color w:val="auto"/>
          <w:kern w:val="0"/>
          <w:sz w:val="28"/>
          <w:highlight w:val="none"/>
        </w:rPr>
      </w:pPr>
      <w:bookmarkStart w:id="828" w:name="_Hlk52791712"/>
      <w:r>
        <w:rPr>
          <w:rFonts w:hint="eastAsia" w:ascii="黑体" w:hAnsi="黑体" w:eastAsia="黑体" w:cs="黑体"/>
          <w:b w:val="0"/>
          <w:bCs w:val="0"/>
          <w:color w:val="auto"/>
          <w:kern w:val="0"/>
          <w:sz w:val="28"/>
          <w:highlight w:val="none"/>
        </w:rPr>
        <w:t>12.1</w:t>
      </w:r>
      <w:r>
        <w:rPr>
          <w:rFonts w:hint="eastAsia" w:ascii="黑体" w:hAnsi="黑体" w:cs="黑体"/>
          <w:b w:val="0"/>
          <w:bCs w:val="0"/>
          <w:color w:val="auto"/>
          <w:kern w:val="0"/>
          <w:sz w:val="28"/>
          <w:highlight w:val="none"/>
          <w:lang w:val="en-US" w:eastAsia="zh-CN"/>
        </w:rPr>
        <w:t xml:space="preserve"> </w:t>
      </w:r>
      <w:r>
        <w:rPr>
          <w:rFonts w:hint="eastAsia" w:ascii="黑体" w:hAnsi="黑体" w:eastAsia="黑体" w:cs="黑体"/>
          <w:b w:val="0"/>
          <w:bCs w:val="0"/>
          <w:color w:val="auto"/>
          <w:kern w:val="0"/>
          <w:sz w:val="28"/>
          <w:highlight w:val="none"/>
        </w:rPr>
        <w:t>承包人暂停施工的责任</w:t>
      </w:r>
    </w:p>
    <w:p w14:paraId="7032F303">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6）由承包人承担暂停施工责任的</w:t>
      </w:r>
      <w:r>
        <w:rPr>
          <w:rFonts w:hint="eastAsia" w:ascii="宋体" w:hAnsi="宋体"/>
          <w:bCs/>
          <w:color w:val="auto"/>
          <w:sz w:val="24"/>
          <w:highlight w:val="none"/>
        </w:rPr>
        <w:t>其他情形：</w:t>
      </w:r>
      <w:r>
        <w:rPr>
          <w:rFonts w:ascii="宋体" w:hAnsi="宋体"/>
          <w:bCs/>
          <w:color w:val="auto"/>
          <w:sz w:val="24"/>
          <w:highlight w:val="none"/>
          <w:u w:val="single"/>
        </w:rPr>
        <w:t xml:space="preserve">                        </w:t>
      </w:r>
      <w:r>
        <w:rPr>
          <w:rFonts w:hint="eastAsia" w:ascii="宋体" w:hAnsi="宋体"/>
          <w:bCs/>
          <w:color w:val="auto"/>
          <w:sz w:val="24"/>
          <w:highlight w:val="none"/>
        </w:rPr>
        <w:t>。</w:t>
      </w:r>
      <w:bookmarkEnd w:id="828"/>
    </w:p>
    <w:p w14:paraId="7CB83C3C">
      <w:pPr>
        <w:pStyle w:val="6"/>
        <w:jc w:val="both"/>
        <w:rPr>
          <w:rFonts w:hint="eastAsia" w:ascii="黑体" w:hAnsi="黑体" w:eastAsia="黑体" w:cs="黑体"/>
          <w:b w:val="0"/>
          <w:bCs w:val="0"/>
          <w:color w:val="auto"/>
          <w:kern w:val="0"/>
          <w:sz w:val="28"/>
          <w:highlight w:val="none"/>
        </w:rPr>
      </w:pPr>
      <w:r>
        <w:rPr>
          <w:rFonts w:hint="eastAsia" w:ascii="黑体" w:hAnsi="黑体" w:eastAsia="黑体" w:cs="黑体"/>
          <w:b w:val="0"/>
          <w:bCs w:val="0"/>
          <w:color w:val="auto"/>
          <w:kern w:val="0"/>
          <w:sz w:val="28"/>
          <w:highlight w:val="none"/>
        </w:rPr>
        <w:t>12.2</w:t>
      </w:r>
      <w:r>
        <w:rPr>
          <w:rFonts w:hint="eastAsia" w:ascii="黑体" w:hAnsi="黑体" w:cs="黑体"/>
          <w:b w:val="0"/>
          <w:bCs w:val="0"/>
          <w:color w:val="auto"/>
          <w:kern w:val="0"/>
          <w:sz w:val="28"/>
          <w:highlight w:val="none"/>
          <w:lang w:val="en-US" w:eastAsia="zh-CN"/>
        </w:rPr>
        <w:t xml:space="preserve"> </w:t>
      </w:r>
      <w:r>
        <w:rPr>
          <w:rFonts w:hint="eastAsia" w:ascii="黑体" w:hAnsi="黑体" w:eastAsia="黑体" w:cs="黑体"/>
          <w:b w:val="0"/>
          <w:bCs w:val="0"/>
          <w:color w:val="auto"/>
          <w:kern w:val="0"/>
          <w:sz w:val="28"/>
          <w:highlight w:val="none"/>
        </w:rPr>
        <w:t>发包人导致暂停施工</w:t>
      </w:r>
    </w:p>
    <w:p w14:paraId="11CAEE95">
      <w:pPr>
        <w:keepLines/>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因发包人导致承担暂停施工</w:t>
      </w:r>
      <w:r>
        <w:rPr>
          <w:rFonts w:ascii="宋体" w:hAnsi="宋体"/>
          <w:bCs/>
          <w:color w:val="auto"/>
          <w:sz w:val="24"/>
          <w:highlight w:val="none"/>
        </w:rPr>
        <w:t>的</w:t>
      </w:r>
      <w:r>
        <w:rPr>
          <w:rFonts w:hint="eastAsia" w:ascii="宋体" w:hAnsi="宋体"/>
          <w:bCs/>
          <w:color w:val="auto"/>
          <w:sz w:val="24"/>
          <w:highlight w:val="none"/>
        </w:rPr>
        <w:t>，可以补偿的情形：</w:t>
      </w:r>
      <w:r>
        <w:rPr>
          <w:rFonts w:ascii="宋体" w:hAnsi="宋体"/>
          <w:bCs/>
          <w:color w:val="auto"/>
          <w:sz w:val="24"/>
          <w:highlight w:val="none"/>
          <w:u w:val="single"/>
        </w:rPr>
        <w:t xml:space="preserve">                     </w:t>
      </w:r>
      <w:r>
        <w:rPr>
          <w:rFonts w:hint="eastAsia" w:ascii="宋体" w:hAnsi="宋体"/>
          <w:bCs/>
          <w:color w:val="auto"/>
          <w:sz w:val="24"/>
          <w:highlight w:val="none"/>
        </w:rPr>
        <w:t>。</w:t>
      </w:r>
    </w:p>
    <w:p w14:paraId="0DAB611E">
      <w:pPr>
        <w:pStyle w:val="5"/>
        <w:keepLines w:val="0"/>
        <w:numPr>
          <w:ilvl w:val="-1"/>
          <w:numId w:val="0"/>
        </w:numPr>
        <w:rPr>
          <w:rFonts w:hint="eastAsia" w:ascii="Arial" w:hAnsi="Arial" w:eastAsia="黑体"/>
          <w:b/>
          <w:color w:val="auto"/>
          <w:sz w:val="28"/>
          <w:szCs w:val="32"/>
          <w:highlight w:val="none"/>
          <w:lang w:eastAsia="zh-CN"/>
        </w:rPr>
      </w:pPr>
      <w:bookmarkStart w:id="829" w:name="_Toc53685764"/>
      <w:r>
        <w:rPr>
          <w:rFonts w:hint="eastAsia" w:ascii="Arial" w:hAnsi="Arial"/>
          <w:b/>
          <w:color w:val="auto"/>
          <w:sz w:val="28"/>
          <w:szCs w:val="32"/>
          <w:highlight w:val="none"/>
          <w:lang w:val="en-US" w:eastAsia="zh-CN"/>
        </w:rPr>
        <w:t>13</w:t>
      </w:r>
      <w:r>
        <w:rPr>
          <w:rFonts w:hint="eastAsia" w:ascii="Arial" w:hAnsi="Arial"/>
          <w:b/>
          <w:color w:val="auto"/>
          <w:sz w:val="28"/>
          <w:szCs w:val="32"/>
          <w:highlight w:val="none"/>
        </w:rPr>
        <w:t>．</w:t>
      </w:r>
      <w:r>
        <w:rPr>
          <w:rFonts w:hint="eastAsia" w:ascii="Arial" w:hAnsi="Arial"/>
          <w:b/>
          <w:color w:val="auto"/>
          <w:sz w:val="28"/>
          <w:szCs w:val="32"/>
          <w:highlight w:val="none"/>
          <w:lang w:val="en-US" w:eastAsia="zh-CN"/>
        </w:rPr>
        <w:t>工程质量</w:t>
      </w:r>
    </w:p>
    <w:p w14:paraId="149A2C01">
      <w:pPr>
        <w:pStyle w:val="6"/>
        <w:jc w:val="left"/>
        <w:rPr>
          <w:rFonts w:hint="eastAsia" w:ascii="黑体" w:hAnsi="黑体" w:cs="黑体"/>
          <w:b w:val="0"/>
          <w:bCs w:val="0"/>
          <w:color w:val="auto"/>
          <w:sz w:val="28"/>
          <w:szCs w:val="32"/>
          <w:highlight w:val="none"/>
        </w:rPr>
      </w:pPr>
      <w:r>
        <w:rPr>
          <w:rFonts w:hint="eastAsia" w:ascii="黑体" w:hAnsi="黑体" w:cs="黑体"/>
          <w:b w:val="0"/>
          <w:bCs w:val="0"/>
          <w:color w:val="auto"/>
          <w:sz w:val="28"/>
          <w:szCs w:val="32"/>
          <w:highlight w:val="none"/>
        </w:rPr>
        <w:t>13.5 工程隐蔽部位覆盖前的检查</w:t>
      </w:r>
      <w:bookmarkEnd w:id="829"/>
    </w:p>
    <w:p w14:paraId="18610984">
      <w:pPr>
        <w:adjustRightInd w:val="0"/>
        <w:snapToGrid w:val="0"/>
        <w:spacing w:line="360" w:lineRule="auto"/>
        <w:ind w:firstLine="360" w:firstLineChars="150"/>
        <w:rPr>
          <w:rFonts w:hint="eastAsia" w:ascii="黑体" w:hAnsi="黑体" w:eastAsia="黑体" w:cs="Arial"/>
          <w:bCs w:val="0"/>
          <w:color w:val="auto"/>
          <w:sz w:val="24"/>
          <w:highlight w:val="none"/>
        </w:rPr>
      </w:pPr>
      <w:r>
        <w:rPr>
          <w:rFonts w:ascii="宋体" w:hAnsi="宋体"/>
          <w:color w:val="auto"/>
          <w:sz w:val="24"/>
          <w:highlight w:val="none"/>
        </w:rPr>
        <w:t xml:space="preserve"> </w:t>
      </w:r>
      <w:r>
        <w:rPr>
          <w:rFonts w:hint="eastAsia" w:ascii="黑体" w:hAnsi="黑体" w:eastAsia="黑体" w:cs="Arial"/>
          <w:color w:val="auto"/>
          <w:sz w:val="24"/>
          <w:highlight w:val="none"/>
        </w:rPr>
        <w:t>13.5.1  通知监理人检查</w:t>
      </w:r>
    </w:p>
    <w:p w14:paraId="38E92C2A">
      <w:pPr>
        <w:adjustRightInd w:val="0"/>
        <w:snapToGrid w:val="0"/>
        <w:spacing w:line="360" w:lineRule="auto"/>
        <w:ind w:firstLine="720" w:firstLineChars="300"/>
        <w:rPr>
          <w:rFonts w:ascii="宋体" w:hAnsi="宋体"/>
          <w:b w:val="0"/>
          <w:bCs w:val="0"/>
          <w:color w:val="auto"/>
          <w:spacing w:val="-4"/>
          <w:sz w:val="24"/>
          <w:highlight w:val="none"/>
        </w:rPr>
      </w:pPr>
      <w:r>
        <w:rPr>
          <w:rFonts w:hint="eastAsia" w:ascii="宋体" w:hAnsi="宋体"/>
          <w:b w:val="0"/>
          <w:bCs w:val="0"/>
          <w:color w:val="auto"/>
          <w:sz w:val="24"/>
          <w:highlight w:val="none"/>
        </w:rPr>
        <w:t>通知监理人检查的期限：</w:t>
      </w:r>
      <w:r>
        <w:rPr>
          <w:rFonts w:hint="eastAsia" w:ascii="宋体" w:hAnsi="宋体"/>
          <w:b w:val="0"/>
          <w:bCs w:val="0"/>
          <w:color w:val="auto"/>
          <w:spacing w:val="-4"/>
          <w:sz w:val="24"/>
          <w:highlight w:val="none"/>
        </w:rPr>
        <w:t>承包人应通知监理人在接到通知书</w:t>
      </w:r>
      <w:r>
        <w:rPr>
          <w:rFonts w:ascii="宋体" w:hAnsi="宋体"/>
          <w:b w:val="0"/>
          <w:bCs w:val="0"/>
          <w:color w:val="auto"/>
          <w:spacing w:val="-4"/>
          <w:sz w:val="24"/>
          <w:highlight w:val="none"/>
        </w:rPr>
        <w:t>24小时内检查。</w:t>
      </w:r>
    </w:p>
    <w:p w14:paraId="4AB192E0">
      <w:pPr>
        <w:adjustRightInd w:val="0"/>
        <w:snapToGrid w:val="0"/>
        <w:spacing w:line="360" w:lineRule="auto"/>
        <w:ind w:firstLine="480" w:firstLineChars="200"/>
        <w:rPr>
          <w:rFonts w:ascii="宋体" w:hAnsi="宋体"/>
          <w:b w:val="0"/>
          <w:bCs w:val="0"/>
          <w:color w:val="auto"/>
          <w:sz w:val="24"/>
          <w:highlight w:val="none"/>
        </w:rPr>
      </w:pPr>
      <w:r>
        <w:rPr>
          <w:rFonts w:ascii="宋体" w:hAnsi="宋体"/>
          <w:b w:val="0"/>
          <w:bCs w:val="0"/>
          <w:color w:val="auto"/>
          <w:sz w:val="24"/>
          <w:highlight w:val="none"/>
        </w:rPr>
        <w:t>13.5.2</w:t>
      </w:r>
      <w:r>
        <w:rPr>
          <w:rFonts w:hint="eastAsia" w:ascii="宋体" w:hAnsi="宋体"/>
          <w:b w:val="0"/>
          <w:bCs w:val="0"/>
          <w:color w:val="auto"/>
          <w:sz w:val="24"/>
          <w:highlight w:val="none"/>
          <w:lang w:val="en-US" w:eastAsia="zh-CN"/>
        </w:rPr>
        <w:t xml:space="preserve"> </w:t>
      </w:r>
      <w:r>
        <w:rPr>
          <w:rFonts w:ascii="宋体" w:hAnsi="宋体"/>
          <w:b w:val="0"/>
          <w:bCs w:val="0"/>
          <w:color w:val="auto"/>
          <w:sz w:val="24"/>
          <w:highlight w:val="none"/>
        </w:rPr>
        <w:t>监理人未到场检查</w:t>
      </w:r>
    </w:p>
    <w:p w14:paraId="54293ECD">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本项第一句</w:t>
      </w:r>
      <w:r>
        <w:rPr>
          <w:rFonts w:hint="eastAsia" w:ascii="宋体" w:hAnsi="宋体"/>
          <w:color w:val="auto"/>
          <w:sz w:val="24"/>
          <w:highlight w:val="none"/>
          <w:lang w:val="en-US" w:eastAsia="zh-CN"/>
        </w:rPr>
        <w:t>细化</w:t>
      </w:r>
      <w:r>
        <w:rPr>
          <w:rFonts w:ascii="宋体" w:hAnsi="宋体"/>
          <w:color w:val="auto"/>
          <w:sz w:val="24"/>
          <w:highlight w:val="none"/>
        </w:rPr>
        <w:t>为：</w:t>
      </w:r>
    </w:p>
    <w:p w14:paraId="687C08AF">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监理人未在第13.5.1项约定的时间后12小时内到场</w:t>
      </w:r>
      <w:r>
        <w:rPr>
          <w:rFonts w:hint="eastAsia" w:ascii="宋体" w:hAnsi="宋体"/>
          <w:color w:val="auto"/>
          <w:sz w:val="24"/>
          <w:highlight w:val="none"/>
          <w:lang w:val="en-US" w:eastAsia="zh-CN"/>
        </w:rPr>
        <w:t>检查的</w:t>
      </w:r>
      <w:r>
        <w:rPr>
          <w:rFonts w:ascii="宋体" w:hAnsi="宋体"/>
          <w:color w:val="auto"/>
          <w:sz w:val="24"/>
          <w:highlight w:val="none"/>
        </w:rPr>
        <w:t>。</w:t>
      </w:r>
    </w:p>
    <w:p w14:paraId="180B5F57">
      <w:pPr>
        <w:pStyle w:val="5"/>
        <w:keepLines w:val="0"/>
        <w:rPr>
          <w:rFonts w:hint="eastAsia" w:ascii="Arial" w:hAnsi="Arial"/>
          <w:b/>
          <w:color w:val="auto"/>
          <w:sz w:val="28"/>
          <w:szCs w:val="32"/>
          <w:highlight w:val="none"/>
        </w:rPr>
      </w:pPr>
      <w:bookmarkStart w:id="830" w:name="_Toc53685765"/>
      <w:r>
        <w:rPr>
          <w:rFonts w:hint="eastAsia" w:ascii="Arial" w:hAnsi="Arial"/>
          <w:b/>
          <w:color w:val="auto"/>
          <w:sz w:val="28"/>
          <w:szCs w:val="32"/>
          <w:highlight w:val="none"/>
        </w:rPr>
        <w:t>14．试验和检验</w:t>
      </w:r>
      <w:bookmarkEnd w:id="830"/>
    </w:p>
    <w:p w14:paraId="0D25D790">
      <w:pPr>
        <w:pStyle w:val="6"/>
        <w:jc w:val="both"/>
        <w:rPr>
          <w:rFonts w:hint="eastAsia" w:ascii="黑体" w:hAnsi="黑体" w:cs="黑体"/>
          <w:b w:val="0"/>
          <w:bCs w:val="0"/>
          <w:color w:val="auto"/>
          <w:sz w:val="28"/>
          <w:highlight w:val="none"/>
        </w:rPr>
      </w:pPr>
      <w:bookmarkStart w:id="831" w:name="_Toc53685766"/>
      <w:r>
        <w:rPr>
          <w:rFonts w:hint="eastAsia" w:ascii="黑体" w:hAnsi="黑体" w:cs="黑体"/>
          <w:b w:val="0"/>
          <w:bCs w:val="0"/>
          <w:color w:val="auto"/>
          <w:sz w:val="28"/>
          <w:szCs w:val="32"/>
          <w:highlight w:val="none"/>
        </w:rPr>
        <w:t>14.2 现场材料试验</w:t>
      </w:r>
      <w:bookmarkEnd w:id="831"/>
    </w:p>
    <w:p w14:paraId="46D6BECD">
      <w:pPr>
        <w:adjustRightInd w:val="0"/>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本款补充第</w:t>
      </w:r>
      <w:r>
        <w:rPr>
          <w:rFonts w:ascii="宋体" w:hAnsi="宋体"/>
          <w:color w:val="auto"/>
          <w:sz w:val="24"/>
          <w:highlight w:val="none"/>
        </w:rPr>
        <w:t>14.2.3</w:t>
      </w:r>
      <w:r>
        <w:rPr>
          <w:rFonts w:hint="eastAsia" w:ascii="宋体" w:hAnsi="宋体"/>
          <w:color w:val="auto"/>
          <w:sz w:val="24"/>
          <w:highlight w:val="none"/>
        </w:rPr>
        <w:t>项：</w:t>
      </w:r>
    </w:p>
    <w:p w14:paraId="7019E2E3">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14.2.3</w:t>
      </w:r>
      <w:r>
        <w:rPr>
          <w:rFonts w:hint="eastAsia" w:ascii="黑体" w:hAnsi="黑体" w:eastAsia="黑体"/>
          <w:color w:val="auto"/>
          <w:sz w:val="24"/>
          <w:highlight w:val="none"/>
          <w:lang w:val="en-US" w:eastAsia="zh-CN"/>
        </w:rPr>
        <w:t xml:space="preserve"> </w:t>
      </w:r>
      <w:r>
        <w:rPr>
          <w:rFonts w:hint="eastAsia" w:ascii="黑体" w:hAnsi="黑体" w:eastAsia="黑体" w:cs="Arial"/>
          <w:color w:val="auto"/>
          <w:sz w:val="24"/>
          <w:highlight w:val="none"/>
        </w:rPr>
        <w:t>承包人的工地试验室</w:t>
      </w:r>
    </w:p>
    <w:p w14:paraId="7282A93A">
      <w:pPr>
        <w:tabs>
          <w:tab w:val="left" w:pos="700"/>
        </w:tabs>
        <w:spacing w:line="360" w:lineRule="auto"/>
        <w:ind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1）承包人的工地试验</w:t>
      </w:r>
      <w:r>
        <w:rPr>
          <w:rFonts w:hint="eastAsia" w:ascii="宋体" w:hAnsi="宋体"/>
          <w:color w:val="auto"/>
          <w:sz w:val="24"/>
          <w:highlight w:val="none"/>
        </w:rPr>
        <w:t>室的规模、场地建设、信息化建设等应满足</w:t>
      </w:r>
      <w:bookmarkStart w:id="832" w:name="_Hlk98249924"/>
      <w:r>
        <w:rPr>
          <w:rFonts w:hint="eastAsia" w:ascii="宋体" w:hAnsi="宋体"/>
          <w:color w:val="auto"/>
          <w:sz w:val="24"/>
          <w:highlight w:val="none"/>
        </w:rPr>
        <w:t>四川省交通运输厅《</w:t>
      </w:r>
      <w:r>
        <w:rPr>
          <w:rFonts w:ascii="宋体" w:hAnsi="宋体"/>
          <w:color w:val="auto"/>
          <w:sz w:val="24"/>
          <w:highlight w:val="none"/>
        </w:rPr>
        <w:t>四川省公路水运工程工地试验室和</w:t>
      </w:r>
      <w:r>
        <w:rPr>
          <w:rFonts w:hint="eastAsia" w:ascii="宋体" w:hAnsi="宋体"/>
          <w:color w:val="auto"/>
          <w:sz w:val="24"/>
          <w:highlight w:val="none"/>
        </w:rPr>
        <w:t>现场检测项目管理办法》（</w:t>
      </w:r>
      <w:r>
        <w:rPr>
          <w:rFonts w:ascii="宋体" w:hAnsi="宋体"/>
          <w:color w:val="auto"/>
          <w:sz w:val="24"/>
          <w:highlight w:val="none"/>
        </w:rPr>
        <w:t>2022</w:t>
      </w:r>
      <w:r>
        <w:rPr>
          <w:rFonts w:hint="eastAsia" w:ascii="宋体" w:hAnsi="宋体"/>
          <w:color w:val="auto"/>
          <w:sz w:val="24"/>
          <w:highlight w:val="none"/>
        </w:rPr>
        <w:t>年</w:t>
      </w:r>
      <w:r>
        <w:rPr>
          <w:rFonts w:ascii="宋体" w:hAnsi="宋体"/>
          <w:color w:val="auto"/>
          <w:sz w:val="24"/>
          <w:highlight w:val="none"/>
        </w:rPr>
        <w:t>5月1日起施行）</w:t>
      </w:r>
      <w:bookmarkEnd w:id="832"/>
      <w:r>
        <w:rPr>
          <w:rFonts w:hint="eastAsia" w:ascii="宋体" w:hAnsi="宋体"/>
          <w:color w:val="auto"/>
          <w:sz w:val="24"/>
          <w:highlight w:val="none"/>
        </w:rPr>
        <w:t>的规定，按照</w:t>
      </w:r>
      <w:r>
        <w:rPr>
          <w:rFonts w:hint="eastAsia" w:ascii="宋体" w:hAnsi="宋体" w:cs="宋体"/>
          <w:color w:val="auto"/>
          <w:sz w:val="24"/>
          <w:highlight w:val="none"/>
          <w:shd w:val="clear" w:color="auto" w:fill="FFFFFF"/>
        </w:rPr>
        <w:t>交通运输部《公路工程工地试验室标准化指南》《“两区三厂”建设安全标准化指南》相关要求进行建设</w:t>
      </w:r>
      <w:r>
        <w:rPr>
          <w:rFonts w:hint="eastAsia" w:ascii="宋体" w:hAnsi="宋体"/>
          <w:color w:val="auto"/>
          <w:sz w:val="24"/>
          <w:highlight w:val="none"/>
        </w:rPr>
        <w:t>，费用由承包人承担。</w:t>
      </w:r>
    </w:p>
    <w:p w14:paraId="54D1D545">
      <w:pPr>
        <w:tabs>
          <w:tab w:val="left" w:pos="700"/>
        </w:tabs>
        <w:spacing w:line="360" w:lineRule="auto"/>
        <w:ind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工地试验室应在合同签订后按计划时间组建完毕报监理人审查后，按照四川省交通运输厅《</w:t>
      </w:r>
      <w:r>
        <w:rPr>
          <w:rFonts w:ascii="宋体" w:hAnsi="宋体"/>
          <w:color w:val="auto"/>
          <w:sz w:val="24"/>
          <w:highlight w:val="none"/>
        </w:rPr>
        <w:t>四川省公路水运工程工地试验室和</w:t>
      </w:r>
      <w:r>
        <w:rPr>
          <w:rFonts w:hint="eastAsia" w:ascii="宋体" w:hAnsi="宋体"/>
          <w:color w:val="auto"/>
          <w:sz w:val="24"/>
          <w:highlight w:val="none"/>
        </w:rPr>
        <w:t>现场检测项目管理办法》（</w:t>
      </w:r>
      <w:r>
        <w:rPr>
          <w:rFonts w:ascii="宋体" w:hAnsi="宋体"/>
          <w:color w:val="auto"/>
          <w:sz w:val="24"/>
          <w:highlight w:val="none"/>
        </w:rPr>
        <w:t>2022</w:t>
      </w:r>
      <w:r>
        <w:rPr>
          <w:rFonts w:hint="eastAsia" w:ascii="宋体" w:hAnsi="宋体"/>
          <w:color w:val="auto"/>
          <w:sz w:val="24"/>
          <w:highlight w:val="none"/>
        </w:rPr>
        <w:t>年</w:t>
      </w:r>
      <w:r>
        <w:rPr>
          <w:rFonts w:ascii="宋体" w:hAnsi="宋体"/>
          <w:color w:val="auto"/>
          <w:sz w:val="24"/>
          <w:highlight w:val="none"/>
        </w:rPr>
        <w:t>5月1日起施行）规定</w:t>
      </w:r>
      <w:r>
        <w:rPr>
          <w:rFonts w:hint="eastAsia" w:ascii="宋体" w:hAnsi="宋体"/>
          <w:color w:val="auto"/>
          <w:sz w:val="24"/>
          <w:highlight w:val="none"/>
        </w:rPr>
        <w:t>，经发包人验收后报送项目质监机构，项目质监机构应对工地试验室工作进行检查，并对通过验收的工地试验室进行登记备案，取得质监机构“公路水运工程工地试验室备案通知书”。</w:t>
      </w:r>
    </w:p>
    <w:p w14:paraId="44201B59">
      <w:pPr>
        <w:tabs>
          <w:tab w:val="left" w:pos="700"/>
        </w:tabs>
        <w:spacing w:line="360" w:lineRule="auto"/>
        <w:ind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s="宋体"/>
          <w:color w:val="auto"/>
          <w:sz w:val="24"/>
          <w:highlight w:val="none"/>
          <w:shd w:val="clear" w:color="auto" w:fill="FFFFFF"/>
        </w:rPr>
        <w:t>承包人工地试验室的持证试验检测人员均应在“公路水运工程试验检测管理信息系统”中录入到母体检测机构，且不得同时在两个及两个以上工地试验室从事检测工作。承包人工地试验室试验检测人员应保持稳定，因特殊原因需变更的，须报建设单位审批同意，但变更后的人员资格条件不得降低，同时将变更情况向项目质监机构报备。</w:t>
      </w:r>
    </w:p>
    <w:p w14:paraId="3A533A88">
      <w:pPr>
        <w:tabs>
          <w:tab w:val="left" w:pos="700"/>
        </w:tabs>
        <w:spacing w:line="360" w:lineRule="auto"/>
        <w:ind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承包人的工地试验室应优先配置具有自动采集、储存、处理、上传和打印于一体的智能化检测仪器设备。标准养护室应配置全自动温、湿度同步控制设备；检测区各功能室应具备实时监控功能，用以记录工地试验室检测行为；拌</w:t>
      </w:r>
      <w:r>
        <w:rPr>
          <w:rFonts w:hint="eastAsia" w:ascii="宋体" w:hAnsi="宋体"/>
          <w:color w:val="auto"/>
          <w:sz w:val="24"/>
          <w:highlight w:val="none"/>
          <w:lang w:val="en-US" w:eastAsia="zh-CN"/>
        </w:rPr>
        <w:t>和场</w:t>
      </w:r>
      <w:r>
        <w:rPr>
          <w:rFonts w:hint="eastAsia" w:ascii="宋体" w:hAnsi="宋体"/>
          <w:color w:val="auto"/>
          <w:sz w:val="24"/>
          <w:highlight w:val="none"/>
        </w:rPr>
        <w:t>也应安装自动采集设备，对相关数据实现自动采集及上传。</w:t>
      </w:r>
    </w:p>
    <w:p w14:paraId="6702149A">
      <w:pPr>
        <w:tabs>
          <w:tab w:val="left" w:pos="700"/>
        </w:tabs>
        <w:spacing w:line="360" w:lineRule="auto"/>
        <w:ind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）承包人的工地试验室应纳入发包人的项目工程质量检测管理信息监控系统，对检测人员身份进行登记管理，关键试验仪器检测数据做到自动采集、实时上传监控系统，保证数据的真实性、降低出错率。</w:t>
      </w:r>
    </w:p>
    <w:p w14:paraId="77355884">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）承包人</w:t>
      </w:r>
      <w:r>
        <w:rPr>
          <w:rFonts w:hint="eastAsia" w:ascii="宋体" w:hAnsi="宋体" w:cs="宋体"/>
          <w:color w:val="auto"/>
          <w:sz w:val="24"/>
          <w:highlight w:val="none"/>
          <w:shd w:val="clear" w:color="auto" w:fill="FFFFFF"/>
        </w:rPr>
        <w:t>工地试验室按照施工技术规范和检验评定标准要求，承担施工自检任务，完成相应的标准试验、工艺试验和抽样试验。</w:t>
      </w:r>
    </w:p>
    <w:p w14:paraId="22D3D067">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如果承包人的工地试验室的试验检测工作环境或质量不能满足有关规范、规程的要求和标准时，监理人和发包人有权强制要求该项试验检测工作由有资质的试验室完成，费用由承包人承担。</w:t>
      </w:r>
    </w:p>
    <w:p w14:paraId="5E2A7889">
      <w:pPr>
        <w:tabs>
          <w:tab w:val="left" w:pos="700"/>
        </w:tabs>
        <w:adjustRightInd w:val="0"/>
        <w:snapToGrid w:val="0"/>
        <w:spacing w:line="360" w:lineRule="auto"/>
        <w:ind w:firstLine="480" w:firstLineChars="200"/>
        <w:rPr>
          <w:rFonts w:ascii="宋体" w:hAnsi="宋体" w:cs="宋体"/>
          <w:color w:val="auto"/>
          <w:sz w:val="24"/>
          <w:highlight w:val="none"/>
          <w:shd w:val="clear" w:color="auto" w:fill="FFFFFF"/>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）承包人工地试验室的</w:t>
      </w:r>
      <w:r>
        <w:rPr>
          <w:rFonts w:hint="eastAsia" w:ascii="宋体" w:hAnsi="宋体" w:cs="宋体"/>
          <w:color w:val="auto"/>
          <w:sz w:val="24"/>
          <w:highlight w:val="none"/>
          <w:shd w:val="clear" w:color="auto" w:fill="FFFFFF"/>
        </w:rPr>
        <w:t>母体检测机构应加强对工地试验室履行指导和监管职责，并且定期对其运行情况开展检查，同时应对派驻现场的试验检测人员岗位能力进行考核。</w:t>
      </w:r>
    </w:p>
    <w:p w14:paraId="4CF90EB1">
      <w:pPr>
        <w:tabs>
          <w:tab w:val="left" w:pos="700"/>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）工地试验室应接受监理试验室监督与检查，以及发包人对</w:t>
      </w:r>
      <w:r>
        <w:rPr>
          <w:rFonts w:hint="eastAsia" w:ascii="宋体" w:hAnsi="宋体" w:cs="宋体"/>
          <w:color w:val="auto"/>
          <w:sz w:val="24"/>
          <w:highlight w:val="none"/>
          <w:shd w:val="clear" w:color="auto" w:fill="FFFFFF"/>
        </w:rPr>
        <w:t>工地试验室的管理和检查</w:t>
      </w:r>
      <w:r>
        <w:rPr>
          <w:rFonts w:hint="eastAsia" w:ascii="宋体" w:hAnsi="宋体"/>
          <w:color w:val="auto"/>
          <w:sz w:val="24"/>
          <w:highlight w:val="none"/>
        </w:rPr>
        <w:t>。同时还</w:t>
      </w:r>
      <w:r>
        <w:rPr>
          <w:rFonts w:hint="eastAsia" w:ascii="宋体" w:hAnsi="宋体" w:cs="宋体"/>
          <w:color w:val="auto"/>
          <w:sz w:val="24"/>
          <w:highlight w:val="none"/>
          <w:shd w:val="clear" w:color="auto" w:fill="FFFFFF"/>
        </w:rPr>
        <w:t>应接受交通运输主管部门、项目质监机构采取“双随机</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一公开”等方式，对其进行定期或不定期的监督检查，及时纠正、查处违规行为。</w:t>
      </w:r>
    </w:p>
    <w:p w14:paraId="77AD6BAD">
      <w:pPr>
        <w:pStyle w:val="6"/>
        <w:jc w:val="both"/>
        <w:rPr>
          <w:rFonts w:hint="eastAsia" w:ascii="黑体" w:hAnsi="黑体" w:cs="黑体"/>
          <w:b w:val="0"/>
          <w:bCs w:val="0"/>
          <w:color w:val="auto"/>
          <w:sz w:val="28"/>
          <w:szCs w:val="32"/>
          <w:highlight w:val="none"/>
        </w:rPr>
      </w:pPr>
      <w:bookmarkStart w:id="833" w:name="_Toc53685767"/>
      <w:r>
        <w:rPr>
          <w:rFonts w:hint="eastAsia" w:ascii="黑体" w:hAnsi="黑体" w:cs="黑体"/>
          <w:b w:val="0"/>
          <w:bCs w:val="0"/>
          <w:color w:val="auto"/>
          <w:sz w:val="28"/>
          <w:szCs w:val="32"/>
          <w:highlight w:val="none"/>
        </w:rPr>
        <w:t>14.4</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试验和检验费用</w:t>
      </w:r>
      <w:bookmarkEnd w:id="833"/>
    </w:p>
    <w:p w14:paraId="270D9944">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w:t>
      </w:r>
      <w:r>
        <w:rPr>
          <w:rFonts w:ascii="宋体" w:hAnsi="宋体"/>
          <w:color w:val="auto"/>
          <w:sz w:val="24"/>
          <w:highlight w:val="none"/>
        </w:rPr>
        <w:t>细化为：</w:t>
      </w:r>
    </w:p>
    <w:p w14:paraId="2CED6C0D">
      <w:pPr>
        <w:tabs>
          <w:tab w:val="left" w:pos="700"/>
        </w:tabs>
        <w:adjustRightInd w:val="0"/>
        <w:snapToGrid w:val="0"/>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14.4.1</w:t>
      </w:r>
      <w:r>
        <w:rPr>
          <w:rFonts w:hint="eastAsia" w:ascii="黑体" w:hAnsi="黑体" w:eastAsia="黑体"/>
          <w:color w:val="auto"/>
          <w:sz w:val="24"/>
          <w:highlight w:val="none"/>
          <w:lang w:val="en-US" w:eastAsia="zh-CN"/>
        </w:rPr>
        <w:t xml:space="preserve"> </w:t>
      </w:r>
      <w:r>
        <w:rPr>
          <w:rFonts w:ascii="黑体" w:hAnsi="黑体" w:eastAsia="黑体"/>
          <w:color w:val="auto"/>
          <w:sz w:val="24"/>
          <w:highlight w:val="none"/>
        </w:rPr>
        <w:t>承包人应完成的试验和检验</w:t>
      </w:r>
    </w:p>
    <w:p w14:paraId="6C02E15E">
      <w:pPr>
        <w:tabs>
          <w:tab w:val="left" w:pos="700"/>
        </w:tabs>
        <w:adjustRightInd w:val="0"/>
        <w:snapToGrid w:val="0"/>
        <w:spacing w:line="360" w:lineRule="auto"/>
        <w:ind w:firstLine="480" w:firstLineChars="200"/>
        <w:rPr>
          <w:rFonts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）承包人应负责提供合同和技术规范规定的试验和检验所需的全部样品，承担其费用。</w:t>
      </w:r>
      <w:r>
        <w:rPr>
          <w:rFonts w:ascii="宋体" w:hAnsi="宋体"/>
          <w:color w:val="auto"/>
          <w:sz w:val="24"/>
          <w:highlight w:val="none"/>
        </w:rPr>
        <w:t xml:space="preserve"> </w:t>
      </w:r>
    </w:p>
    <w:p w14:paraId="77530C33">
      <w:pPr>
        <w:tabs>
          <w:tab w:val="left" w:pos="700"/>
        </w:tabs>
        <w:adjustRightInd w:val="0"/>
        <w:snapToGrid w:val="0"/>
        <w:spacing w:line="360" w:lineRule="auto"/>
        <w:ind w:firstLine="480" w:firstLineChars="200"/>
        <w:rPr>
          <w:rFonts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）在合同中明确规定的试验和检验，包括无须在工程量清单中单独列项和已在工程量清单中单独列项的试验和检验，其试验和检验的费用由承包人承担。</w:t>
      </w:r>
      <w:r>
        <w:rPr>
          <w:rFonts w:ascii="宋体" w:hAnsi="宋体"/>
          <w:color w:val="auto"/>
          <w:sz w:val="24"/>
          <w:highlight w:val="none"/>
        </w:rPr>
        <w:t xml:space="preserve"> </w:t>
      </w:r>
    </w:p>
    <w:p w14:paraId="2ECE655B">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r>
        <w:rPr>
          <w:rFonts w:ascii="宋体" w:hAnsi="宋体"/>
          <w:color w:val="auto"/>
          <w:sz w:val="24"/>
          <w:highlight w:val="none"/>
        </w:rPr>
        <w:t xml:space="preserve">      </w:t>
      </w:r>
    </w:p>
    <w:p w14:paraId="03F4EC1A">
      <w:pPr>
        <w:adjustRightInd w:val="0"/>
        <w:snapToGrid w:val="0"/>
        <w:spacing w:line="360" w:lineRule="auto"/>
        <w:ind w:firstLine="480" w:firstLineChars="200"/>
        <w:rPr>
          <w:rFonts w:ascii="宋体" w:hAnsi="宋体"/>
          <w:b/>
          <w:color w:val="auto"/>
          <w:sz w:val="24"/>
          <w:highlight w:val="none"/>
        </w:rPr>
      </w:pPr>
      <w:r>
        <w:rPr>
          <w:rFonts w:ascii="黑体" w:hAnsi="黑体" w:eastAsia="黑体"/>
          <w:color w:val="auto"/>
          <w:sz w:val="24"/>
          <w:highlight w:val="none"/>
        </w:rPr>
        <w:t>14.4.2</w:t>
      </w:r>
      <w:r>
        <w:rPr>
          <w:rFonts w:hint="eastAsia" w:ascii="黑体" w:hAnsi="黑体" w:eastAsia="黑体"/>
          <w:color w:val="auto"/>
          <w:sz w:val="24"/>
          <w:highlight w:val="none"/>
          <w:lang w:val="en-US" w:eastAsia="zh-CN"/>
        </w:rPr>
        <w:t xml:space="preserve"> </w:t>
      </w:r>
      <w:r>
        <w:rPr>
          <w:rFonts w:hint="eastAsia" w:ascii="黑体" w:hAnsi="黑体" w:eastAsia="黑体"/>
          <w:color w:val="auto"/>
          <w:sz w:val="24"/>
          <w:highlight w:val="none"/>
        </w:rPr>
        <w:t>发包人</w:t>
      </w:r>
      <w:r>
        <w:rPr>
          <w:rFonts w:ascii="黑体" w:hAnsi="黑体" w:eastAsia="黑体"/>
          <w:color w:val="auto"/>
          <w:sz w:val="24"/>
          <w:highlight w:val="none"/>
        </w:rPr>
        <w:t>要求的</w:t>
      </w:r>
      <w:r>
        <w:rPr>
          <w:rFonts w:hint="eastAsia" w:ascii="黑体" w:hAnsi="黑体" w:eastAsia="黑体"/>
          <w:color w:val="auto"/>
          <w:sz w:val="24"/>
          <w:highlight w:val="none"/>
        </w:rPr>
        <w:t>第三方</w:t>
      </w:r>
      <w:r>
        <w:rPr>
          <w:rFonts w:ascii="黑体" w:hAnsi="黑体" w:eastAsia="黑体"/>
          <w:color w:val="auto"/>
          <w:sz w:val="24"/>
          <w:highlight w:val="none"/>
        </w:rPr>
        <w:t>试验和检测</w:t>
      </w:r>
    </w:p>
    <w:p w14:paraId="4812A4B9">
      <w:pPr>
        <w:tabs>
          <w:tab w:val="left" w:pos="700"/>
        </w:tabs>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319303B3">
      <w:pPr>
        <w:pStyle w:val="5"/>
        <w:keepLines w:val="0"/>
        <w:rPr>
          <w:rFonts w:hint="eastAsia" w:ascii="Arial" w:hAnsi="Arial"/>
          <w:b/>
          <w:color w:val="auto"/>
          <w:sz w:val="28"/>
          <w:szCs w:val="32"/>
          <w:highlight w:val="none"/>
        </w:rPr>
      </w:pPr>
      <w:bookmarkStart w:id="834" w:name="_Toc53685768"/>
      <w:r>
        <w:rPr>
          <w:rFonts w:hint="eastAsia" w:ascii="Arial" w:hAnsi="Arial"/>
          <w:b/>
          <w:color w:val="auto"/>
          <w:sz w:val="28"/>
          <w:szCs w:val="32"/>
          <w:highlight w:val="none"/>
        </w:rPr>
        <w:t>15．变更</w:t>
      </w:r>
      <w:bookmarkEnd w:id="834"/>
    </w:p>
    <w:p w14:paraId="5187E503">
      <w:pPr>
        <w:pStyle w:val="6"/>
        <w:jc w:val="both"/>
        <w:rPr>
          <w:rFonts w:hint="eastAsia" w:ascii="黑体" w:hAnsi="黑体" w:cs="黑体"/>
          <w:b w:val="0"/>
          <w:bCs w:val="0"/>
          <w:color w:val="auto"/>
          <w:sz w:val="28"/>
          <w:szCs w:val="32"/>
          <w:highlight w:val="none"/>
        </w:rPr>
      </w:pPr>
      <w:bookmarkStart w:id="835" w:name="_Toc53685769"/>
      <w:r>
        <w:rPr>
          <w:rFonts w:hint="eastAsia" w:ascii="黑体" w:hAnsi="黑体" w:cs="黑体"/>
          <w:b w:val="0"/>
          <w:bCs w:val="0"/>
          <w:color w:val="auto"/>
          <w:sz w:val="28"/>
          <w:szCs w:val="32"/>
          <w:highlight w:val="none"/>
        </w:rPr>
        <w:t>15.1 变更的范围和内容</w:t>
      </w:r>
      <w:bookmarkEnd w:id="835"/>
    </w:p>
    <w:p w14:paraId="6863E12F">
      <w:pPr>
        <w:tabs>
          <w:tab w:val="left" w:pos="700"/>
        </w:tabs>
        <w:adjustRightInd w:val="0"/>
        <w:snapToGrid w:val="0"/>
        <w:spacing w:line="360" w:lineRule="auto"/>
        <w:ind w:firstLine="480" w:firstLineChars="200"/>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本款细化为：</w:t>
      </w:r>
    </w:p>
    <w:p w14:paraId="3635C4DA">
      <w:pPr>
        <w:tabs>
          <w:tab w:val="left" w:pos="700"/>
        </w:tabs>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变更的范围和内容应按照交通运输部《公路工程设计变更管理办法》《四川省</w:t>
      </w:r>
      <w:r>
        <w:rPr>
          <w:rFonts w:hint="eastAsia" w:ascii="宋体" w:hAnsi="宋体" w:cs="Arial"/>
          <w:color w:val="auto"/>
          <w:sz w:val="24"/>
          <w:highlight w:val="none"/>
          <w:lang w:eastAsia="zh-CN"/>
        </w:rPr>
        <w:t>普通</w:t>
      </w:r>
      <w:r>
        <w:rPr>
          <w:rFonts w:hint="eastAsia" w:ascii="宋体" w:hAnsi="宋体" w:cs="Arial"/>
          <w:color w:val="auto"/>
          <w:sz w:val="24"/>
          <w:highlight w:val="none"/>
          <w:lang w:val="en-US" w:eastAsia="zh-CN"/>
        </w:rPr>
        <w:t>国省干线</w:t>
      </w:r>
      <w:r>
        <w:rPr>
          <w:rFonts w:hint="eastAsia" w:ascii="宋体" w:hAnsi="宋体" w:cs="Arial"/>
          <w:color w:val="auto"/>
          <w:sz w:val="24"/>
          <w:highlight w:val="none"/>
          <w:lang w:eastAsia="zh-CN"/>
        </w:rPr>
        <w:t>公路</w:t>
      </w:r>
      <w:r>
        <w:rPr>
          <w:rFonts w:hint="eastAsia" w:ascii="宋体" w:hAnsi="宋体" w:cs="Arial"/>
          <w:color w:val="auto"/>
          <w:sz w:val="24"/>
          <w:highlight w:val="none"/>
        </w:rPr>
        <w:t>建设项目设计变更管理办法》及发包人有关管理办法执行。</w:t>
      </w:r>
    </w:p>
    <w:p w14:paraId="696FE7D2">
      <w:pPr>
        <w:pStyle w:val="6"/>
        <w:jc w:val="both"/>
        <w:rPr>
          <w:rFonts w:hint="eastAsia" w:ascii="黑体" w:hAnsi="黑体" w:cs="黑体"/>
          <w:b w:val="0"/>
          <w:bCs w:val="0"/>
          <w:color w:val="auto"/>
          <w:sz w:val="28"/>
          <w:szCs w:val="32"/>
          <w:highlight w:val="none"/>
        </w:rPr>
      </w:pPr>
      <w:bookmarkStart w:id="836" w:name="_Toc53685770"/>
      <w:r>
        <w:rPr>
          <w:rFonts w:hint="eastAsia" w:ascii="黑体" w:hAnsi="黑体" w:cs="黑体"/>
          <w:b w:val="0"/>
          <w:bCs w:val="0"/>
          <w:color w:val="auto"/>
          <w:sz w:val="28"/>
          <w:szCs w:val="32"/>
          <w:highlight w:val="none"/>
        </w:rPr>
        <w:t>15.3 变更程序</w:t>
      </w:r>
      <w:bookmarkEnd w:id="836"/>
    </w:p>
    <w:p w14:paraId="3788C5C4">
      <w:pPr>
        <w:adjustRightInd w:val="0"/>
        <w:snapToGrid w:val="0"/>
        <w:spacing w:line="360" w:lineRule="auto"/>
        <w:ind w:firstLine="480" w:firstLineChars="200"/>
        <w:rPr>
          <w:rFonts w:ascii="宋体" w:hAnsi="宋体"/>
          <w:b/>
          <w:color w:val="auto"/>
          <w:sz w:val="24"/>
          <w:highlight w:val="none"/>
        </w:rPr>
      </w:pPr>
      <w:r>
        <w:rPr>
          <w:rFonts w:hint="eastAsia" w:ascii="黑体" w:hAnsi="黑体" w:eastAsia="黑体"/>
          <w:color w:val="auto"/>
          <w:sz w:val="24"/>
          <w:highlight w:val="none"/>
        </w:rPr>
        <w:t>15.3.1</w:t>
      </w:r>
      <w:r>
        <w:rPr>
          <w:rFonts w:hint="eastAsia" w:ascii="黑体" w:hAnsi="黑体" w:eastAsia="黑体"/>
          <w:color w:val="auto"/>
          <w:sz w:val="24"/>
          <w:highlight w:val="none"/>
          <w:lang w:val="en-US" w:eastAsia="zh-CN"/>
        </w:rPr>
        <w:t xml:space="preserve"> </w:t>
      </w:r>
      <w:r>
        <w:rPr>
          <w:rFonts w:hint="eastAsia" w:ascii="黑体" w:hAnsi="黑体" w:eastAsia="黑体"/>
          <w:color w:val="auto"/>
          <w:sz w:val="24"/>
          <w:highlight w:val="none"/>
        </w:rPr>
        <w:t>变更的提出</w:t>
      </w:r>
    </w:p>
    <w:p w14:paraId="1392E630">
      <w:pPr>
        <w:pStyle w:val="27"/>
        <w:snapToGrid w:val="0"/>
        <w:spacing w:line="360" w:lineRule="auto"/>
        <w:ind w:firstLine="597" w:firstLineChars="249"/>
        <w:rPr>
          <w:rFonts w:hint="eastAsia" w:hAnsi="宋体"/>
          <w:color w:val="auto"/>
          <w:sz w:val="24"/>
          <w:szCs w:val="24"/>
          <w:highlight w:val="none"/>
          <w:lang w:eastAsia="zh-CN"/>
        </w:rPr>
      </w:pPr>
      <w:r>
        <w:rPr>
          <w:rFonts w:hint="eastAsia" w:hAnsi="宋体"/>
          <w:color w:val="auto"/>
          <w:sz w:val="24"/>
          <w:szCs w:val="24"/>
          <w:highlight w:val="none"/>
        </w:rPr>
        <w:t>本项</w:t>
      </w:r>
      <w:r>
        <w:rPr>
          <w:rFonts w:hint="eastAsia" w:hAnsi="宋体"/>
          <w:color w:val="auto"/>
          <w:sz w:val="24"/>
          <w:szCs w:val="24"/>
          <w:highlight w:val="none"/>
          <w:lang w:val="en-US" w:eastAsia="zh-CN"/>
        </w:rPr>
        <w:t>补充第（5）目</w:t>
      </w:r>
      <w:r>
        <w:rPr>
          <w:rFonts w:hint="eastAsia" w:hAnsi="宋体"/>
          <w:color w:val="auto"/>
          <w:sz w:val="24"/>
          <w:szCs w:val="24"/>
          <w:highlight w:val="none"/>
          <w:lang w:eastAsia="zh-CN"/>
        </w:rPr>
        <w:t>：</w:t>
      </w:r>
    </w:p>
    <w:p w14:paraId="11CDBC4B">
      <w:pPr>
        <w:pStyle w:val="27"/>
        <w:snapToGrid w:val="0"/>
        <w:spacing w:line="360" w:lineRule="auto"/>
        <w:ind w:firstLine="597" w:firstLineChars="249"/>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）当监理发出变更指令时，承包人不得拒绝，否则，发包人将变更工程交由其他单位实施，</w:t>
      </w:r>
      <w:r>
        <w:rPr>
          <w:rFonts w:hint="eastAsia" w:hAnsi="宋体"/>
          <w:bCs/>
          <w:color w:val="auto"/>
          <w:sz w:val="24"/>
          <w:szCs w:val="24"/>
          <w:highlight w:val="none"/>
        </w:rPr>
        <w:t>发生的费用发包人可以从应付或到期应付给承包人的任何款项中或采用其他方法扣除</w:t>
      </w:r>
      <w:r>
        <w:rPr>
          <w:rFonts w:hint="eastAsia" w:hAnsi="宋体"/>
          <w:color w:val="auto"/>
          <w:sz w:val="24"/>
          <w:szCs w:val="24"/>
          <w:highlight w:val="none"/>
        </w:rPr>
        <w:t>。如果变更指令是监理口头发出的，承包人应当收到监理下达的口头指令后</w:t>
      </w:r>
      <w:r>
        <w:rPr>
          <w:rFonts w:hAnsi="宋体"/>
          <w:color w:val="auto"/>
          <w:sz w:val="24"/>
          <w:szCs w:val="24"/>
          <w:highlight w:val="none"/>
        </w:rPr>
        <w:t>24</w:t>
      </w:r>
      <w:r>
        <w:rPr>
          <w:rFonts w:hint="eastAsia" w:hAnsi="宋体"/>
          <w:color w:val="auto"/>
          <w:sz w:val="24"/>
          <w:szCs w:val="24"/>
          <w:highlight w:val="none"/>
        </w:rPr>
        <w:t>小时内向监理提交书面的变更确认报告，并附由此可能产生的费用及延误的工期的报告，经监理及发包人审批同意后按变更程序实施。任何未按合同约定的变更程序实施的变更将不予认可。</w:t>
      </w:r>
    </w:p>
    <w:p w14:paraId="0BB5770F">
      <w:pPr>
        <w:adjustRightInd w:val="0"/>
        <w:snapToGrid w:val="0"/>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15.3.4</w:t>
      </w:r>
      <w:r>
        <w:rPr>
          <w:rFonts w:hint="eastAsia" w:ascii="黑体" w:hAnsi="黑体" w:eastAsia="黑体"/>
          <w:color w:val="auto"/>
          <w:sz w:val="24"/>
          <w:highlight w:val="none"/>
          <w:lang w:val="en-US" w:eastAsia="zh-CN"/>
        </w:rPr>
        <w:t xml:space="preserve"> </w:t>
      </w:r>
      <w:r>
        <w:rPr>
          <w:rFonts w:hint="eastAsia" w:ascii="黑体" w:hAnsi="黑体" w:eastAsia="黑体"/>
          <w:color w:val="auto"/>
          <w:sz w:val="24"/>
          <w:highlight w:val="none"/>
        </w:rPr>
        <w:t>设计变更程序</w:t>
      </w:r>
    </w:p>
    <w:p w14:paraId="7FAB6B8F">
      <w:pPr>
        <w:tabs>
          <w:tab w:val="left" w:pos="700"/>
        </w:tabs>
        <w:adjustRightInd w:val="0"/>
        <w:snapToGrid w:val="0"/>
        <w:spacing w:line="360" w:lineRule="auto"/>
        <w:ind w:firstLine="480" w:firstLineChars="200"/>
        <w:rPr>
          <w:rFonts w:ascii="宋体" w:hAnsi="宋体" w:cs="Arial"/>
          <w:color w:val="auto"/>
          <w:sz w:val="24"/>
          <w:highlight w:val="none"/>
        </w:rPr>
      </w:pPr>
      <w:r>
        <w:rPr>
          <w:rFonts w:hint="eastAsia" w:ascii="宋体" w:hAnsi="宋体"/>
          <w:color w:val="auto"/>
          <w:sz w:val="24"/>
          <w:highlight w:val="none"/>
        </w:rPr>
        <w:t>本项细化为：</w:t>
      </w:r>
    </w:p>
    <w:p w14:paraId="394358DF">
      <w:pPr>
        <w:tabs>
          <w:tab w:val="left" w:pos="700"/>
        </w:tabs>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设计变更程序应</w:t>
      </w:r>
      <w:r>
        <w:rPr>
          <w:rFonts w:hint="eastAsia" w:ascii="宋体" w:hAnsi="宋体"/>
          <w:color w:val="auto"/>
          <w:sz w:val="24"/>
          <w:highlight w:val="none"/>
        </w:rPr>
        <w:t>按照</w:t>
      </w:r>
      <w:r>
        <w:rPr>
          <w:rFonts w:hint="eastAsia" w:ascii="宋体" w:hAnsi="宋体" w:cs="Arial"/>
          <w:color w:val="auto"/>
          <w:sz w:val="24"/>
          <w:highlight w:val="none"/>
        </w:rPr>
        <w:t>交通运输部《公路工程设计变更管理办法》《四川省</w:t>
      </w:r>
      <w:r>
        <w:rPr>
          <w:rFonts w:hint="eastAsia" w:ascii="宋体" w:hAnsi="宋体" w:cs="Arial"/>
          <w:color w:val="auto"/>
          <w:sz w:val="24"/>
          <w:highlight w:val="none"/>
          <w:lang w:eastAsia="zh-CN"/>
        </w:rPr>
        <w:t>普通</w:t>
      </w:r>
      <w:r>
        <w:rPr>
          <w:rFonts w:hint="eastAsia" w:ascii="宋体" w:hAnsi="宋体" w:cs="Arial"/>
          <w:color w:val="auto"/>
          <w:sz w:val="24"/>
          <w:highlight w:val="none"/>
          <w:lang w:val="en-US" w:eastAsia="zh-CN"/>
        </w:rPr>
        <w:t>国省干线</w:t>
      </w:r>
      <w:r>
        <w:rPr>
          <w:rFonts w:hint="eastAsia" w:ascii="宋体" w:hAnsi="宋体" w:cs="Arial"/>
          <w:color w:val="auto"/>
          <w:sz w:val="24"/>
          <w:highlight w:val="none"/>
          <w:lang w:eastAsia="zh-CN"/>
        </w:rPr>
        <w:t>公路</w:t>
      </w:r>
      <w:r>
        <w:rPr>
          <w:rFonts w:hint="eastAsia" w:ascii="宋体" w:hAnsi="宋体" w:cs="Arial"/>
          <w:color w:val="auto"/>
          <w:sz w:val="24"/>
          <w:highlight w:val="none"/>
        </w:rPr>
        <w:t>建设项目设计变更管理办法》及发包人有关管理办法执行。</w:t>
      </w:r>
    </w:p>
    <w:p w14:paraId="32EAFFE9">
      <w:pPr>
        <w:pStyle w:val="6"/>
        <w:jc w:val="both"/>
        <w:rPr>
          <w:rFonts w:hint="eastAsia" w:ascii="黑体" w:hAnsi="黑体" w:cs="黑体"/>
          <w:b w:val="0"/>
          <w:bCs w:val="0"/>
          <w:color w:val="auto"/>
          <w:sz w:val="28"/>
          <w:szCs w:val="32"/>
          <w:highlight w:val="none"/>
        </w:rPr>
      </w:pPr>
      <w:bookmarkStart w:id="837" w:name="_Hlk98434997"/>
      <w:bookmarkStart w:id="838" w:name="_Hlk94095629"/>
      <w:r>
        <w:rPr>
          <w:rFonts w:hint="eastAsia" w:ascii="黑体" w:hAnsi="黑体" w:cs="黑体"/>
          <w:b w:val="0"/>
          <w:bCs w:val="0"/>
          <w:color w:val="auto"/>
          <w:sz w:val="28"/>
          <w:szCs w:val="32"/>
          <w:highlight w:val="none"/>
        </w:rPr>
        <w:t>15.4 变更的估价原则</w:t>
      </w:r>
    </w:p>
    <w:bookmarkEnd w:id="837"/>
    <w:p w14:paraId="26DAEFB9">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w:t>
      </w:r>
      <w:r>
        <w:rPr>
          <w:rFonts w:ascii="宋体" w:hAnsi="宋体"/>
          <w:color w:val="auto"/>
          <w:sz w:val="24"/>
          <w:highlight w:val="none"/>
        </w:rPr>
        <w:t>15.4.4项细化为：</w:t>
      </w:r>
    </w:p>
    <w:p w14:paraId="220F532C">
      <w:pPr>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15.4.4新增子目单价编制原则</w:t>
      </w:r>
    </w:p>
    <w:p w14:paraId="2D0986C0">
      <w:pPr>
        <w:tabs>
          <w:tab w:val="left" w:pos="700"/>
        </w:tabs>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工程量清单中无相同子目或类似子目的，新增子目单价按以下原则编制：</w:t>
      </w:r>
    </w:p>
    <w:p w14:paraId="15D9ECDF">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）设计变更工程新增子目</w:t>
      </w:r>
      <w:r>
        <w:rPr>
          <w:rFonts w:hint="eastAsia" w:ascii="宋体" w:hAnsi="宋体"/>
          <w:color w:val="auto"/>
          <w:sz w:val="24"/>
          <w:highlight w:val="none"/>
          <w:lang w:val="en-US" w:eastAsia="zh-CN"/>
        </w:rPr>
        <w:t>预算</w:t>
      </w:r>
      <w:r>
        <w:rPr>
          <w:rFonts w:hint="eastAsia" w:ascii="宋体" w:hAnsi="宋体"/>
          <w:color w:val="auto"/>
          <w:sz w:val="24"/>
          <w:highlight w:val="none"/>
        </w:rPr>
        <w:t>单价除房建工程外均按交通运输部现行《公路工程基本建设项目概算、预算编制办法》及四川省补充规定进行编制。</w:t>
      </w:r>
    </w:p>
    <w:p w14:paraId="5CB6D33F">
      <w:pPr>
        <w:tabs>
          <w:tab w:val="left" w:pos="700"/>
        </w:tabs>
        <w:adjustRightInd w:val="0"/>
        <w:snapToGrid w:val="0"/>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）新增子目单价可采用下述方法计算</w:t>
      </w:r>
      <w:r>
        <w:rPr>
          <w:rFonts w:hint="eastAsia" w:ascii="宋体" w:hAnsi="宋体"/>
          <w:color w:val="auto"/>
          <w:sz w:val="24"/>
          <w:highlight w:val="none"/>
          <w:lang w:eastAsia="zh-CN"/>
        </w:rPr>
        <w:t>：</w:t>
      </w:r>
    </w:p>
    <w:p w14:paraId="04EDE5D9">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方法一：</w:t>
      </w:r>
      <w:r>
        <w:rPr>
          <w:rFonts w:hint="eastAsia" w:ascii="宋体" w:hAnsi="宋体"/>
          <w:color w:val="auto"/>
          <w:sz w:val="24"/>
          <w:highlight w:val="none"/>
        </w:rPr>
        <w:t>新增子目单价＝变更预算单价×投标净价</w:t>
      </w:r>
      <w:r>
        <w:rPr>
          <w:rFonts w:ascii="宋体" w:hAnsi="宋体"/>
          <w:color w:val="auto"/>
          <w:sz w:val="24"/>
          <w:highlight w:val="none"/>
        </w:rPr>
        <w:t>/</w:t>
      </w:r>
      <w:r>
        <w:rPr>
          <w:rFonts w:hint="eastAsia" w:ascii="宋体" w:hAnsi="宋体"/>
          <w:color w:val="auto"/>
          <w:sz w:val="24"/>
          <w:highlight w:val="none"/>
        </w:rPr>
        <w:t>投标控制净价（其中，投标净价为承包人投标报价扣除非竞争性部分费用，投标控制净价为发包人公布的最高投标限价扣除非竞争性部分费用）。</w:t>
      </w:r>
    </w:p>
    <w:p w14:paraId="1EED642A">
      <w:pPr>
        <w:tabs>
          <w:tab w:val="left" w:pos="700"/>
        </w:tabs>
        <w:adjustRightInd w:val="0"/>
        <w:snapToGrid w:val="0"/>
        <w:spacing w:line="360" w:lineRule="auto"/>
        <w:ind w:firstLine="480" w:firstLineChars="200"/>
        <w:jc w:val="left"/>
        <w:rPr>
          <w:rFonts w:ascii="宋体" w:hAnsi="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方法二：</w:t>
      </w:r>
      <w:r>
        <w:rPr>
          <w:rFonts w:hint="eastAsia" w:ascii="宋体" w:hAnsi="宋体"/>
          <w:color w:val="auto"/>
          <w:sz w:val="24"/>
          <w:highlight w:val="none"/>
        </w:rPr>
        <w:t>约定为：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1FB1B5">
      <w:pPr>
        <w:tabs>
          <w:tab w:val="left" w:pos="700"/>
        </w:tabs>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）对于涉及新技术、新工艺或定额中缺漏的项目，由发包人会同监理人、承包人根据施工组织方案与施工工艺，参考有关行业定额，合理确定定额消耗量。</w:t>
      </w:r>
      <w:bookmarkEnd w:id="838"/>
    </w:p>
    <w:p w14:paraId="741E24E7">
      <w:pPr>
        <w:pStyle w:val="6"/>
        <w:jc w:val="both"/>
        <w:rPr>
          <w:rFonts w:hint="eastAsia" w:ascii="黑体" w:hAnsi="黑体" w:cs="黑体"/>
          <w:b w:val="0"/>
          <w:bCs w:val="0"/>
          <w:color w:val="auto"/>
          <w:sz w:val="28"/>
          <w:szCs w:val="32"/>
          <w:highlight w:val="none"/>
        </w:rPr>
      </w:pPr>
      <w:bookmarkStart w:id="839" w:name="_Toc53685773"/>
      <w:r>
        <w:rPr>
          <w:rFonts w:hint="eastAsia" w:ascii="黑体" w:hAnsi="黑体" w:cs="黑体"/>
          <w:b w:val="0"/>
          <w:bCs w:val="0"/>
          <w:color w:val="auto"/>
          <w:sz w:val="28"/>
          <w:szCs w:val="32"/>
          <w:highlight w:val="none"/>
        </w:rPr>
        <w:t>15.8 暂估价</w:t>
      </w:r>
      <w:bookmarkEnd w:id="839"/>
    </w:p>
    <w:p w14:paraId="6F9D4FB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 xml:space="preserve">15.8.1 </w:t>
      </w:r>
      <w:r>
        <w:rPr>
          <w:rFonts w:hint="eastAsia" w:ascii="宋体" w:hAnsi="宋体"/>
          <w:color w:val="auto"/>
          <w:sz w:val="24"/>
          <w:highlight w:val="none"/>
        </w:rPr>
        <w:t>依法必须招标时发包人和承包人的权利义务约定：</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099D96FB">
      <w:pPr>
        <w:spacing w:line="360" w:lineRule="auto"/>
        <w:ind w:firstLine="470" w:firstLineChars="196"/>
        <w:rPr>
          <w:rFonts w:ascii="宋体" w:hAnsi="宋体"/>
          <w:color w:val="auto"/>
          <w:sz w:val="24"/>
          <w:highlight w:val="none"/>
        </w:rPr>
      </w:pPr>
      <w:r>
        <w:rPr>
          <w:rFonts w:hint="eastAsia" w:ascii="宋体" w:hAnsi="宋体"/>
          <w:color w:val="auto"/>
          <w:sz w:val="24"/>
          <w:highlight w:val="none"/>
          <w:lang w:val="en-US" w:eastAsia="zh-CN"/>
        </w:rPr>
        <w:t xml:space="preserve">15.8.3 </w:t>
      </w:r>
      <w:r>
        <w:rPr>
          <w:rFonts w:hint="eastAsia" w:ascii="宋体" w:hAnsi="宋体"/>
          <w:color w:val="auto"/>
          <w:sz w:val="24"/>
          <w:highlight w:val="none"/>
        </w:rPr>
        <w:t>不属于依法必须招标的暂估价工程最终价格的估价人：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4E8198A9">
      <w:pPr>
        <w:pStyle w:val="5"/>
        <w:keepLines w:val="0"/>
        <w:rPr>
          <w:rFonts w:hint="eastAsia" w:ascii="Arial" w:hAnsi="Arial"/>
          <w:b/>
          <w:color w:val="auto"/>
          <w:sz w:val="28"/>
          <w:szCs w:val="32"/>
          <w:highlight w:val="none"/>
        </w:rPr>
      </w:pPr>
      <w:bookmarkStart w:id="840" w:name="_Toc53685774"/>
      <w:r>
        <w:rPr>
          <w:rFonts w:hint="eastAsia" w:ascii="Arial" w:hAnsi="Arial"/>
          <w:b/>
          <w:color w:val="auto"/>
          <w:sz w:val="28"/>
          <w:szCs w:val="32"/>
          <w:highlight w:val="none"/>
        </w:rPr>
        <w:t>16．价格波动</w:t>
      </w:r>
      <w:bookmarkEnd w:id="840"/>
    </w:p>
    <w:p w14:paraId="48360EEC">
      <w:pPr>
        <w:pStyle w:val="6"/>
        <w:jc w:val="both"/>
        <w:rPr>
          <w:rFonts w:hint="eastAsia" w:ascii="黑体" w:hAnsi="黑体" w:cs="黑体"/>
          <w:b w:val="0"/>
          <w:bCs w:val="0"/>
          <w:color w:val="auto"/>
          <w:sz w:val="28"/>
          <w:szCs w:val="32"/>
          <w:highlight w:val="none"/>
        </w:rPr>
      </w:pPr>
      <w:bookmarkStart w:id="841" w:name="_Toc53685775"/>
      <w:r>
        <w:rPr>
          <w:rFonts w:hint="eastAsia" w:ascii="黑体" w:hAnsi="黑体" w:cs="黑体"/>
          <w:b w:val="0"/>
          <w:bCs w:val="0"/>
          <w:color w:val="auto"/>
          <w:sz w:val="28"/>
          <w:szCs w:val="32"/>
          <w:highlight w:val="none"/>
        </w:rPr>
        <w:t>16.1 物价波动引起的价格调整</w:t>
      </w:r>
      <w:bookmarkEnd w:id="841"/>
    </w:p>
    <w:p w14:paraId="31F9F8B5">
      <w:pPr>
        <w:spacing w:line="360" w:lineRule="auto"/>
        <w:ind w:firstLine="465"/>
        <w:jc w:val="left"/>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本款约定为：</w:t>
      </w:r>
    </w:p>
    <w:p w14:paraId="6FA7760D">
      <w:pPr>
        <w:spacing w:line="360" w:lineRule="auto"/>
        <w:ind w:firstLine="480" w:firstLineChars="200"/>
        <w:jc w:val="left"/>
        <w:rPr>
          <w:rFonts w:hint="default" w:asciiTheme="minorEastAsia" w:hAnsiTheme="minorEastAsia" w:eastAsiaTheme="minorEastAsia"/>
          <w:color w:val="auto"/>
          <w:sz w:val="24"/>
          <w:highlight w:val="none"/>
          <w:lang w:val="en-US" w:eastAsia="zh-CN"/>
        </w:rPr>
      </w:pPr>
      <w:r>
        <w:rPr>
          <w:rFonts w:hint="eastAsia" w:ascii="宋体" w:hAnsi="宋体" w:eastAsia="宋体" w:cs="宋体"/>
          <w:b w:val="0"/>
          <w:bCs w:val="0"/>
          <w:color w:val="auto"/>
          <w:sz w:val="24"/>
          <w:highlight w:val="none"/>
        </w:rPr>
        <w:t>□</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color w:val="auto"/>
          <w:sz w:val="24"/>
          <w:highlight w:val="none"/>
        </w:rPr>
        <w:t>本项目工程执行期间调价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调价方式如下：</w:t>
      </w:r>
    </w:p>
    <w:p w14:paraId="5DC443F5">
      <w:pPr>
        <w:spacing w:line="360" w:lineRule="auto"/>
        <w:ind w:firstLine="480" w:firstLineChars="200"/>
        <w:jc w:val="left"/>
        <w:rPr>
          <w:rFonts w:asciiTheme="minorEastAsia" w:hAnsiTheme="minorEastAsia" w:eastAsiaTheme="minorEastAsia"/>
          <w:color w:val="auto"/>
          <w:sz w:val="24"/>
          <w:highlight w:val="none"/>
        </w:rPr>
      </w:pPr>
      <w:r>
        <w:rPr>
          <w:rFonts w:ascii="黑体" w:hAnsi="黑体" w:eastAsia="黑体"/>
          <w:color w:val="auto"/>
          <w:sz w:val="24"/>
          <w:highlight w:val="none"/>
        </w:rPr>
        <w:sym w:font="Wingdings 2" w:char="00A3"/>
      </w:r>
      <w:r>
        <w:rPr>
          <w:rFonts w:hint="eastAsia" w:ascii="黑体" w:hAnsi="黑体" w:eastAsia="黑体"/>
          <w:color w:val="auto"/>
          <w:sz w:val="24"/>
          <w:highlight w:val="none"/>
          <w:lang w:val="en-US" w:eastAsia="zh-CN"/>
        </w:rPr>
        <w:t xml:space="preserve"> </w:t>
      </w:r>
      <w:r>
        <w:rPr>
          <w:rFonts w:ascii="黑体" w:hAnsi="黑体" w:eastAsia="黑体"/>
          <w:color w:val="auto"/>
          <w:sz w:val="24"/>
          <w:highlight w:val="none"/>
        </w:rPr>
        <w:t>16.1.1</w:t>
      </w:r>
      <w:r>
        <w:rPr>
          <w:rFonts w:hint="default" w:ascii="黑体" w:hAnsi="黑体" w:eastAsia="黑体"/>
          <w:color w:val="auto"/>
          <w:sz w:val="24"/>
          <w:highlight w:val="none"/>
        </w:rPr>
        <w:t>采用价格指数调整价格差额</w:t>
      </w:r>
    </w:p>
    <w:p w14:paraId="31EC6027">
      <w:pPr>
        <w:widowControl/>
        <w:spacing w:line="360" w:lineRule="auto"/>
        <w:ind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调价范围：</w:t>
      </w:r>
      <w:r>
        <w:rPr>
          <w:rFonts w:hint="eastAsia" w:asciiTheme="minorEastAsia" w:hAnsiTheme="minorEastAsia" w:eastAsiaTheme="minorEastAsia"/>
          <w:color w:val="auto"/>
          <w:sz w:val="24"/>
          <w:highlight w:val="none"/>
          <w:lang w:bidi="ar"/>
        </w:rPr>
        <w:t xml:space="preserve">只限于建设项目的永久工程，临时工程不予材料价差调整。 </w:t>
      </w:r>
    </w:p>
    <w:p w14:paraId="650F0C51">
      <w:pPr>
        <w:widowControl/>
        <w:spacing w:line="360" w:lineRule="auto"/>
        <w:ind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调价时间：见</w:t>
      </w:r>
      <w:r>
        <w:rPr>
          <w:rFonts w:hint="eastAsia" w:asciiTheme="minorEastAsia" w:hAnsiTheme="minorEastAsia" w:eastAsiaTheme="minorEastAsia"/>
          <w:color w:val="auto"/>
          <w:sz w:val="24"/>
          <w:highlight w:val="none"/>
          <w:lang w:val="en-US" w:eastAsia="zh-CN"/>
        </w:rPr>
        <w:t>项目</w:t>
      </w:r>
      <w:r>
        <w:rPr>
          <w:rFonts w:hint="eastAsia" w:asciiTheme="minorEastAsia" w:hAnsiTheme="minorEastAsia" w:eastAsiaTheme="minorEastAsia"/>
          <w:color w:val="auto"/>
          <w:sz w:val="24"/>
          <w:highlight w:val="none"/>
        </w:rPr>
        <w:t>专用合同条款数据表。</w:t>
      </w:r>
    </w:p>
    <w:p w14:paraId="77F44A34">
      <w:pPr>
        <w:widowControl/>
        <w:spacing w:line="360" w:lineRule="auto"/>
        <w:ind w:firstLine="720" w:firstLineChars="300"/>
        <w:jc w:val="left"/>
        <w:rPr>
          <w:rFonts w:asciiTheme="minorEastAsia" w:hAnsiTheme="minorEastAsia" w:eastAsiaTheme="minorEastAsia"/>
          <w:color w:val="auto"/>
          <w:sz w:val="24"/>
          <w:highlight w:val="none"/>
          <w:lang w:bidi="ar"/>
        </w:rPr>
      </w:pPr>
      <w:r>
        <w:rPr>
          <w:rFonts w:hint="eastAsia" w:asciiTheme="minorEastAsia" w:hAnsiTheme="minorEastAsia" w:eastAsiaTheme="minorEastAsia"/>
          <w:color w:val="auto"/>
          <w:sz w:val="24"/>
          <w:highlight w:val="none"/>
          <w:lang w:bidi="ar"/>
        </w:rPr>
        <w:t>价差调整内容：</w:t>
      </w:r>
      <w:r>
        <w:rPr>
          <w:rFonts w:hint="eastAsia" w:ascii="宋体" w:hAnsi="宋体" w:cs="宋体"/>
          <w:color w:val="auto"/>
          <w:sz w:val="24"/>
          <w:highlight w:val="none"/>
          <w:lang w:bidi="ar"/>
        </w:rPr>
        <w:t>□</w:t>
      </w:r>
      <w:r>
        <w:rPr>
          <w:rFonts w:hint="eastAsia" w:asciiTheme="minorEastAsia" w:hAnsiTheme="minorEastAsia" w:eastAsiaTheme="minorEastAsia"/>
          <w:color w:val="auto"/>
          <w:sz w:val="24"/>
          <w:highlight w:val="none"/>
          <w:lang w:bidi="ar"/>
        </w:rPr>
        <w:t xml:space="preserve">人工  </w:t>
      </w:r>
      <w:r>
        <w:rPr>
          <w:rFonts w:hint="eastAsia" w:ascii="宋体" w:hAnsi="宋体" w:cs="宋体"/>
          <w:color w:val="auto"/>
          <w:sz w:val="24"/>
          <w:highlight w:val="none"/>
          <w:lang w:bidi="ar"/>
        </w:rPr>
        <w:t>□</w:t>
      </w:r>
      <w:r>
        <w:rPr>
          <w:rFonts w:hint="eastAsia" w:asciiTheme="minorEastAsia" w:hAnsiTheme="minorEastAsia" w:eastAsiaTheme="minorEastAsia"/>
          <w:color w:val="auto"/>
          <w:sz w:val="24"/>
          <w:highlight w:val="none"/>
          <w:lang w:bidi="ar"/>
        </w:rPr>
        <w:t>材料</w:t>
      </w:r>
    </w:p>
    <w:p w14:paraId="0A3C3147">
      <w:pPr>
        <w:widowControl/>
        <w:spacing w:line="360" w:lineRule="auto"/>
        <w:ind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bidi="ar"/>
        </w:rPr>
        <w:t>其中准予材料价差调整的材料品种仅限于：</w:t>
      </w:r>
      <w:r>
        <w:rPr>
          <w:rFonts w:hint="eastAsia" w:asciiTheme="minorEastAsia" w:hAnsiTheme="minorEastAsia" w:eastAsiaTheme="minorEastAsia"/>
          <w:color w:val="auto"/>
          <w:sz w:val="24"/>
          <w:highlight w:val="none"/>
          <w:u w:val="single"/>
          <w:lang w:bidi="ar"/>
        </w:rPr>
        <w:t xml:space="preserve">             </w:t>
      </w:r>
      <w:r>
        <w:rPr>
          <w:rFonts w:hint="eastAsia" w:asciiTheme="minorEastAsia" w:hAnsiTheme="minorEastAsia" w:eastAsiaTheme="minorEastAsia"/>
          <w:color w:val="auto"/>
          <w:sz w:val="24"/>
          <w:highlight w:val="none"/>
          <w:lang w:bidi="ar"/>
        </w:rPr>
        <w:t xml:space="preserve"> ，其他材料均不予材料价差调整。</w:t>
      </w:r>
    </w:p>
    <w:p w14:paraId="50179D23">
      <w:pPr>
        <w:spacing w:line="360" w:lineRule="auto"/>
        <w:ind w:firstLine="720" w:firstLineChars="3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bidi="ar"/>
        </w:rPr>
        <w:t>风险幅度：材料价差在风险幅度内的波动作为承包人的风险，不进行材料价差调整。各种材料价格变化的风险幅度：调整当期价格与材料基准价格变化幅度在</w:t>
      </w:r>
      <w:r>
        <w:rPr>
          <w:rFonts w:hint="eastAsia" w:asciiTheme="minorEastAsia" w:hAnsiTheme="minorEastAsia" w:eastAsiaTheme="minorEastAsia"/>
          <w:color w:val="auto"/>
          <w:sz w:val="24"/>
          <w:highlight w:val="none"/>
          <w:u w:val="single"/>
          <w:lang w:bidi="ar"/>
        </w:rPr>
        <w:t xml:space="preserve">±  </w:t>
      </w:r>
      <w:r>
        <w:rPr>
          <w:rFonts w:hint="eastAsia" w:asciiTheme="minorEastAsia" w:hAnsiTheme="minorEastAsia" w:eastAsiaTheme="minorEastAsia"/>
          <w:color w:val="auto"/>
          <w:sz w:val="24"/>
          <w:highlight w:val="none"/>
          <w:lang w:bidi="ar"/>
        </w:rPr>
        <w:t>%之内不调价，超过</w:t>
      </w:r>
      <w:r>
        <w:rPr>
          <w:rFonts w:hint="eastAsia" w:asciiTheme="minorEastAsia" w:hAnsiTheme="minorEastAsia" w:eastAsiaTheme="minorEastAsia"/>
          <w:color w:val="auto"/>
          <w:sz w:val="24"/>
          <w:highlight w:val="none"/>
          <w:u w:val="single"/>
          <w:lang w:bidi="ar"/>
        </w:rPr>
        <w:t xml:space="preserve">±   </w:t>
      </w:r>
      <w:r>
        <w:rPr>
          <w:rFonts w:hint="eastAsia" w:asciiTheme="minorEastAsia" w:hAnsiTheme="minorEastAsia" w:eastAsiaTheme="minorEastAsia"/>
          <w:color w:val="auto"/>
          <w:sz w:val="24"/>
          <w:highlight w:val="none"/>
          <w:lang w:bidi="ar"/>
        </w:rPr>
        <w:t>%予以调价。</w:t>
      </w:r>
    </w:p>
    <w:p w14:paraId="329A9C9E">
      <w:pPr>
        <w:spacing w:line="360" w:lineRule="auto"/>
        <w:ind w:firstLine="720" w:firstLineChars="300"/>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具体要求</w:t>
      </w:r>
      <w:r>
        <w:rPr>
          <w:rFonts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p>
    <w:p w14:paraId="3931A9D5">
      <w:pPr>
        <w:spacing w:line="360" w:lineRule="auto"/>
        <w:ind w:firstLine="465"/>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16.1.1.1</w:t>
      </w:r>
      <w:r>
        <w:rPr>
          <w:rFonts w:hint="eastAsia" w:asciiTheme="minorEastAsia" w:hAnsiTheme="minorEastAsia" w:eastAsiaTheme="minorEastAsia"/>
          <w:color w:val="auto"/>
          <w:sz w:val="24"/>
          <w:highlight w:val="none"/>
        </w:rPr>
        <w:t>调价基本公式：</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 xml:space="preserve"> </w:t>
      </w:r>
    </w:p>
    <w:p w14:paraId="43C43C4B">
      <w:pPr>
        <w:spacing w:line="360" w:lineRule="auto"/>
        <w:ind w:firstLine="720" w:firstLineChars="300"/>
        <w:jc w:val="left"/>
        <w:rPr>
          <w:rFonts w:asciiTheme="minorEastAsia" w:hAnsiTheme="minorEastAsia" w:eastAsiaTheme="minorEastAsia"/>
          <w:color w:val="auto"/>
          <w:sz w:val="24"/>
          <w:highlight w:val="none"/>
          <w:u w:val="single"/>
        </w:rPr>
      </w:pPr>
      <w:bookmarkStart w:id="842" w:name="_Hlk52792876"/>
      <w:r>
        <w:rPr>
          <w:rFonts w:asciiTheme="minorEastAsia" w:hAnsiTheme="minorEastAsia" w:eastAsiaTheme="minorEastAsia"/>
          <w:color w:val="auto"/>
          <w:sz w:val="24"/>
          <w:highlight w:val="none"/>
        </w:rPr>
        <w:t>16.1.1.2</w:t>
      </w:r>
      <w:r>
        <w:rPr>
          <w:rFonts w:hint="eastAsia" w:cs="Arial" w:asciiTheme="minorEastAsia" w:hAnsiTheme="minorEastAsia" w:eastAsiaTheme="minorEastAsia"/>
          <w:color w:val="auto"/>
          <w:sz w:val="24"/>
          <w:highlight w:val="none"/>
        </w:rPr>
        <w:t>价格</w:t>
      </w:r>
      <w:bookmarkEnd w:id="842"/>
      <w:r>
        <w:rPr>
          <w:rFonts w:hint="eastAsia" w:cs="Arial" w:asciiTheme="minorEastAsia" w:hAnsiTheme="minorEastAsia" w:eastAsiaTheme="minorEastAsia"/>
          <w:color w:val="auto"/>
          <w:sz w:val="24"/>
          <w:highlight w:val="none"/>
        </w:rPr>
        <w:t>调整幅度的计算：</w:t>
      </w:r>
      <w:r>
        <w:rPr>
          <w:rFonts w:asciiTheme="minorEastAsia" w:hAnsiTheme="minorEastAsia" w:eastAsiaTheme="minorEastAsia"/>
          <w:color w:val="auto"/>
          <w:sz w:val="24"/>
          <w:highlight w:val="none"/>
          <w:u w:val="single"/>
        </w:rPr>
        <w:t xml:space="preserve">                               </w:t>
      </w:r>
    </w:p>
    <w:p w14:paraId="21E1C0F3">
      <w:pPr>
        <w:spacing w:line="360" w:lineRule="auto"/>
        <w:ind w:firstLine="720" w:firstLineChars="300"/>
        <w:jc w:val="left"/>
        <w:rPr>
          <w:rFonts w:cs="Arial" w:asciiTheme="minorEastAsia" w:hAnsiTheme="minorEastAsia" w:eastAsiaTheme="minorEastAsia"/>
          <w:color w:val="auto"/>
          <w:sz w:val="24"/>
          <w:highlight w:val="none"/>
        </w:rPr>
      </w:pPr>
      <w:bookmarkStart w:id="843" w:name="_Hlk52792954"/>
      <w:r>
        <w:rPr>
          <w:rFonts w:asciiTheme="minorEastAsia" w:hAnsiTheme="minorEastAsia" w:eastAsiaTheme="minorEastAsia"/>
          <w:color w:val="auto"/>
          <w:sz w:val="24"/>
          <w:highlight w:val="none"/>
        </w:rPr>
        <w:t>16.1.1.3</w:t>
      </w:r>
      <w:r>
        <w:rPr>
          <w:rFonts w:hint="eastAsia" w:cs="Arial" w:asciiTheme="minorEastAsia" w:hAnsiTheme="minorEastAsia" w:eastAsiaTheme="minorEastAsia"/>
          <w:color w:val="auto"/>
          <w:sz w:val="24"/>
          <w:highlight w:val="none"/>
        </w:rPr>
        <w:t>工期延误</w:t>
      </w:r>
      <w:bookmarkEnd w:id="843"/>
      <w:r>
        <w:rPr>
          <w:rFonts w:hint="eastAsia" w:cs="Arial" w:asciiTheme="minorEastAsia" w:hAnsiTheme="minorEastAsia" w:eastAsiaTheme="minorEastAsia"/>
          <w:color w:val="auto"/>
          <w:sz w:val="24"/>
          <w:highlight w:val="none"/>
        </w:rPr>
        <w:t>后的价格调整：</w:t>
      </w:r>
      <w:r>
        <w:rPr>
          <w:rFonts w:asciiTheme="minorEastAsia" w:hAnsiTheme="minorEastAsia" w:eastAsiaTheme="minorEastAsia"/>
          <w:color w:val="auto"/>
          <w:sz w:val="24"/>
          <w:highlight w:val="none"/>
          <w:u w:val="single"/>
        </w:rPr>
        <w:t xml:space="preserve">                             </w:t>
      </w:r>
    </w:p>
    <w:p w14:paraId="0DDF259D">
      <w:pPr>
        <w:spacing w:line="360" w:lineRule="auto"/>
        <w:ind w:firstLine="720" w:firstLineChars="300"/>
        <w:jc w:val="left"/>
        <w:rPr>
          <w:rFonts w:hint="eastAsia" w:hAnsi="宋体" w:cs="Arial"/>
          <w:color w:val="auto"/>
          <w:sz w:val="24"/>
          <w:highlight w:val="none"/>
        </w:rPr>
      </w:pPr>
      <w:r>
        <w:rPr>
          <w:rFonts w:asciiTheme="minorEastAsia" w:hAnsiTheme="minorEastAsia" w:eastAsiaTheme="minorEastAsia"/>
          <w:color w:val="auto"/>
          <w:sz w:val="24"/>
          <w:highlight w:val="none"/>
        </w:rPr>
        <w:t>16.1.1.4</w:t>
      </w:r>
      <w:r>
        <w:rPr>
          <w:rFonts w:hint="eastAsia" w:hAnsi="宋体" w:cs="Arial"/>
          <w:color w:val="auto"/>
          <w:sz w:val="24"/>
          <w:highlight w:val="none"/>
        </w:rPr>
        <w:t>因价格调整引起的税收、管理费、利润等一切费用，均由承包人自行承担。</w:t>
      </w:r>
    </w:p>
    <w:p w14:paraId="31C25E16">
      <w:pPr>
        <w:spacing w:line="360" w:lineRule="auto"/>
        <w:ind w:firstLine="720" w:firstLineChars="300"/>
        <w:jc w:val="left"/>
        <w:rPr>
          <w:rFonts w:hint="eastAsia" w:hAnsi="宋体" w:cs="Arial"/>
          <w:color w:val="auto"/>
          <w:sz w:val="24"/>
          <w:highlight w:val="none"/>
        </w:rPr>
      </w:pPr>
      <w:r>
        <w:rPr>
          <w:rFonts w:asciiTheme="minorEastAsia" w:hAnsiTheme="minorEastAsia" w:eastAsiaTheme="minorEastAsia"/>
          <w:color w:val="auto"/>
          <w:sz w:val="24"/>
          <w:highlight w:val="none"/>
        </w:rPr>
        <w:t>16.1.1.5</w:t>
      </w:r>
      <w:r>
        <w:rPr>
          <w:rFonts w:hint="eastAsia" w:hAnsi="宋体" w:cs="Arial"/>
          <w:color w:val="auto"/>
          <w:sz w:val="24"/>
          <w:szCs w:val="24"/>
          <w:highlight w:val="none"/>
        </w:rPr>
        <w:t>其他约定：</w:t>
      </w:r>
      <w:r>
        <w:rPr>
          <w:rFonts w:hAnsi="宋体" w:cs="Arial"/>
          <w:b w:val="0"/>
          <w:bCs w:val="0"/>
          <w:color w:val="auto"/>
          <w:sz w:val="24"/>
          <w:szCs w:val="24"/>
          <w:highlight w:val="none"/>
          <w:u w:val="single"/>
        </w:rPr>
        <w:t xml:space="preserve">             </w:t>
      </w:r>
      <w:r>
        <w:rPr>
          <w:rFonts w:hAnsi="宋体" w:cs="Arial"/>
          <w:b/>
          <w:bCs/>
          <w:color w:val="auto"/>
          <w:sz w:val="24"/>
          <w:szCs w:val="24"/>
          <w:highlight w:val="none"/>
        </w:rPr>
        <w:t xml:space="preserve"> </w:t>
      </w:r>
      <w:r>
        <w:rPr>
          <w:rFonts w:hint="eastAsia" w:hAnsi="宋体" w:cs="Arial"/>
          <w:color w:val="auto"/>
          <w:sz w:val="24"/>
          <w:szCs w:val="24"/>
          <w:highlight w:val="none"/>
        </w:rPr>
        <w:t>。</w:t>
      </w:r>
    </w:p>
    <w:p w14:paraId="480BC98B">
      <w:pPr>
        <w:spacing w:line="360" w:lineRule="auto"/>
        <w:ind w:firstLine="480" w:firstLineChars="200"/>
        <w:jc w:val="left"/>
        <w:rPr>
          <w:rFonts w:ascii="黑体" w:hAnsi="黑体" w:eastAsia="黑体"/>
          <w:color w:val="auto"/>
          <w:sz w:val="24"/>
          <w:highlight w:val="none"/>
        </w:rPr>
      </w:pPr>
      <w:r>
        <w:rPr>
          <w:rFonts w:hint="default" w:ascii="黑体" w:hAnsi="黑体" w:eastAsia="黑体"/>
          <w:color w:val="auto"/>
          <w:sz w:val="24"/>
          <w:highlight w:val="none"/>
        </w:rPr>
        <w:sym w:font="Wingdings 2" w:char="00A3"/>
      </w:r>
      <w:r>
        <w:rPr>
          <w:rFonts w:hint="eastAsia" w:ascii="黑体" w:hAnsi="黑体" w:eastAsia="黑体"/>
          <w:color w:val="auto"/>
          <w:sz w:val="24"/>
          <w:highlight w:val="none"/>
          <w:lang w:val="en-US" w:eastAsia="zh-CN"/>
        </w:rPr>
        <w:t xml:space="preserve"> </w:t>
      </w:r>
      <w:r>
        <w:rPr>
          <w:rFonts w:ascii="黑体" w:hAnsi="黑体" w:eastAsia="黑体"/>
          <w:color w:val="auto"/>
          <w:sz w:val="24"/>
          <w:highlight w:val="none"/>
        </w:rPr>
        <w:t>16.1.2</w:t>
      </w:r>
      <w:r>
        <w:rPr>
          <w:rFonts w:hint="default" w:ascii="黑体" w:hAnsi="黑体" w:eastAsia="黑体"/>
          <w:color w:val="auto"/>
          <w:sz w:val="24"/>
          <w:highlight w:val="none"/>
        </w:rPr>
        <w:t>采用造价信息调整价格差额</w:t>
      </w:r>
    </w:p>
    <w:p w14:paraId="7E1A315A">
      <w:pPr>
        <w:widowControl/>
        <w:spacing w:line="360" w:lineRule="auto"/>
        <w:ind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调价范围：</w:t>
      </w:r>
      <w:r>
        <w:rPr>
          <w:rFonts w:hint="eastAsia" w:asciiTheme="minorEastAsia" w:hAnsiTheme="minorEastAsia" w:eastAsiaTheme="minorEastAsia"/>
          <w:color w:val="auto"/>
          <w:sz w:val="24"/>
          <w:highlight w:val="none"/>
          <w:lang w:bidi="ar"/>
        </w:rPr>
        <w:t xml:space="preserve">只限于建设项目的永久工程，临时工程不予材料价差调整。 </w:t>
      </w:r>
    </w:p>
    <w:p w14:paraId="05B840BF">
      <w:pPr>
        <w:widowControl/>
        <w:spacing w:line="360" w:lineRule="auto"/>
        <w:ind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调价时间：见</w:t>
      </w:r>
      <w:r>
        <w:rPr>
          <w:rFonts w:hint="eastAsia" w:asciiTheme="minorEastAsia" w:hAnsiTheme="minorEastAsia" w:eastAsiaTheme="minorEastAsia"/>
          <w:color w:val="auto"/>
          <w:sz w:val="24"/>
          <w:highlight w:val="none"/>
          <w:lang w:val="en-US" w:eastAsia="zh-CN"/>
        </w:rPr>
        <w:t>项目</w:t>
      </w:r>
      <w:r>
        <w:rPr>
          <w:rFonts w:hint="eastAsia" w:asciiTheme="minorEastAsia" w:hAnsiTheme="minorEastAsia" w:eastAsiaTheme="minorEastAsia"/>
          <w:color w:val="auto"/>
          <w:sz w:val="24"/>
          <w:highlight w:val="none"/>
        </w:rPr>
        <w:t>专用合同条款数据表。</w:t>
      </w:r>
    </w:p>
    <w:p w14:paraId="4F0F9A16">
      <w:pPr>
        <w:widowControl/>
        <w:spacing w:line="360" w:lineRule="auto"/>
        <w:ind w:firstLine="720" w:firstLineChars="300"/>
        <w:jc w:val="left"/>
        <w:rPr>
          <w:rFonts w:asciiTheme="minorEastAsia" w:hAnsiTheme="minorEastAsia" w:eastAsiaTheme="minorEastAsia"/>
          <w:color w:val="auto"/>
          <w:sz w:val="24"/>
          <w:highlight w:val="none"/>
          <w:lang w:bidi="ar"/>
        </w:rPr>
      </w:pPr>
      <w:r>
        <w:rPr>
          <w:rFonts w:hint="eastAsia" w:asciiTheme="minorEastAsia" w:hAnsiTheme="minorEastAsia" w:eastAsiaTheme="minorEastAsia"/>
          <w:color w:val="auto"/>
          <w:sz w:val="24"/>
          <w:highlight w:val="none"/>
          <w:lang w:bidi="ar"/>
        </w:rPr>
        <w:t>价差调整内容：</w:t>
      </w:r>
      <w:r>
        <w:rPr>
          <w:rFonts w:hint="eastAsia" w:ascii="宋体" w:hAnsi="宋体" w:cs="宋体"/>
          <w:color w:val="auto"/>
          <w:sz w:val="24"/>
          <w:highlight w:val="none"/>
          <w:lang w:bidi="ar"/>
        </w:rPr>
        <w:t>□</w:t>
      </w:r>
      <w:r>
        <w:rPr>
          <w:rFonts w:hint="eastAsia" w:asciiTheme="minorEastAsia" w:hAnsiTheme="minorEastAsia" w:eastAsiaTheme="minorEastAsia"/>
          <w:color w:val="auto"/>
          <w:sz w:val="24"/>
          <w:highlight w:val="none"/>
          <w:lang w:bidi="ar"/>
        </w:rPr>
        <w:t xml:space="preserve">人工  </w:t>
      </w:r>
      <w:r>
        <w:rPr>
          <w:rFonts w:hint="eastAsia" w:ascii="宋体" w:hAnsi="宋体" w:cs="宋体"/>
          <w:color w:val="auto"/>
          <w:sz w:val="24"/>
          <w:highlight w:val="none"/>
          <w:lang w:bidi="ar"/>
        </w:rPr>
        <w:t>□</w:t>
      </w:r>
      <w:r>
        <w:rPr>
          <w:rFonts w:hint="eastAsia" w:asciiTheme="minorEastAsia" w:hAnsiTheme="minorEastAsia" w:eastAsiaTheme="minorEastAsia"/>
          <w:color w:val="auto"/>
          <w:sz w:val="24"/>
          <w:highlight w:val="none"/>
          <w:lang w:bidi="ar"/>
        </w:rPr>
        <w:t>材料</w:t>
      </w:r>
    </w:p>
    <w:p w14:paraId="456F3D0C">
      <w:pPr>
        <w:widowControl/>
        <w:spacing w:line="360" w:lineRule="auto"/>
        <w:ind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bidi="ar"/>
        </w:rPr>
        <w:t>其中准予材料价差调整的材料品种仅限于：</w:t>
      </w:r>
      <w:r>
        <w:rPr>
          <w:rFonts w:hint="eastAsia" w:asciiTheme="minorEastAsia" w:hAnsiTheme="minorEastAsia" w:eastAsiaTheme="minorEastAsia"/>
          <w:color w:val="auto"/>
          <w:sz w:val="24"/>
          <w:highlight w:val="none"/>
          <w:u w:val="single"/>
          <w:lang w:bidi="ar"/>
        </w:rPr>
        <w:t xml:space="preserve">             </w:t>
      </w:r>
      <w:r>
        <w:rPr>
          <w:rFonts w:hint="eastAsia" w:asciiTheme="minorEastAsia" w:hAnsiTheme="minorEastAsia" w:eastAsiaTheme="minorEastAsia"/>
          <w:color w:val="auto"/>
          <w:sz w:val="24"/>
          <w:highlight w:val="none"/>
          <w:lang w:bidi="ar"/>
        </w:rPr>
        <w:t xml:space="preserve"> ，其他材料均不予材料价差调整。</w:t>
      </w:r>
    </w:p>
    <w:p w14:paraId="76385F06">
      <w:pPr>
        <w:spacing w:line="360" w:lineRule="auto"/>
        <w:ind w:firstLine="720" w:firstLineChars="3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bidi="ar"/>
        </w:rPr>
        <w:t>风险幅度：材料价差在风险幅度内的波动作为承包人的风险，不进行材料价差调整。各种材料价格变化的风险幅度：调整当期价格与材料基准价格变化幅度在</w:t>
      </w:r>
      <w:r>
        <w:rPr>
          <w:rFonts w:hint="eastAsia" w:asciiTheme="minorEastAsia" w:hAnsiTheme="minorEastAsia" w:eastAsiaTheme="minorEastAsia"/>
          <w:color w:val="auto"/>
          <w:sz w:val="24"/>
          <w:highlight w:val="none"/>
          <w:u w:val="single"/>
          <w:lang w:bidi="ar"/>
        </w:rPr>
        <w:t xml:space="preserve">±  </w:t>
      </w:r>
      <w:r>
        <w:rPr>
          <w:rFonts w:hint="eastAsia" w:asciiTheme="minorEastAsia" w:hAnsiTheme="minorEastAsia" w:eastAsiaTheme="minorEastAsia"/>
          <w:color w:val="auto"/>
          <w:sz w:val="24"/>
          <w:highlight w:val="none"/>
          <w:lang w:bidi="ar"/>
        </w:rPr>
        <w:t>%之内不调价，超过</w:t>
      </w:r>
      <w:r>
        <w:rPr>
          <w:rFonts w:hint="eastAsia" w:asciiTheme="minorEastAsia" w:hAnsiTheme="minorEastAsia" w:eastAsiaTheme="minorEastAsia"/>
          <w:color w:val="auto"/>
          <w:sz w:val="24"/>
          <w:highlight w:val="none"/>
          <w:u w:val="single"/>
          <w:lang w:bidi="ar"/>
        </w:rPr>
        <w:t xml:space="preserve">±   </w:t>
      </w:r>
      <w:r>
        <w:rPr>
          <w:rFonts w:hint="eastAsia" w:asciiTheme="minorEastAsia" w:hAnsiTheme="minorEastAsia" w:eastAsiaTheme="minorEastAsia"/>
          <w:color w:val="auto"/>
          <w:sz w:val="24"/>
          <w:highlight w:val="none"/>
          <w:lang w:bidi="ar"/>
        </w:rPr>
        <w:t>%予以调价。</w:t>
      </w:r>
    </w:p>
    <w:p w14:paraId="7DF8DA44">
      <w:pPr>
        <w:spacing w:line="360" w:lineRule="auto"/>
        <w:ind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具体要求</w:t>
      </w:r>
      <w:r>
        <w:rPr>
          <w:rFonts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 xml:space="preserve"> </w:t>
      </w:r>
    </w:p>
    <w:p w14:paraId="0E0674F9">
      <w:pPr>
        <w:spacing w:line="360" w:lineRule="auto"/>
        <w:ind w:firstLine="720" w:firstLineChars="300"/>
        <w:jc w:val="left"/>
        <w:rPr>
          <w:rFonts w:hAnsi="宋体"/>
          <w:color w:val="auto"/>
          <w:sz w:val="24"/>
          <w:highlight w:val="none"/>
        </w:rPr>
      </w:pPr>
      <w:r>
        <w:rPr>
          <w:rFonts w:asciiTheme="minorEastAsia" w:hAnsiTheme="minorEastAsia" w:eastAsiaTheme="minorEastAsia"/>
          <w:color w:val="auto"/>
          <w:sz w:val="24"/>
          <w:highlight w:val="none"/>
        </w:rPr>
        <w:t>16.1.2.1</w:t>
      </w:r>
      <w:r>
        <w:rPr>
          <w:rFonts w:hint="eastAsia" w:asciiTheme="minorEastAsia" w:hAnsiTheme="minorEastAsia" w:eastAsiaTheme="minorEastAsia"/>
          <w:color w:val="auto"/>
          <w:sz w:val="24"/>
          <w:highlight w:val="none"/>
        </w:rPr>
        <w:t>调价基本公式：</w:t>
      </w:r>
      <w:r>
        <w:rPr>
          <w:rFonts w:asciiTheme="minorEastAsia" w:hAnsiTheme="minorEastAsia" w:eastAsiaTheme="minorEastAsia"/>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p>
    <w:p w14:paraId="73E622C1">
      <w:pPr>
        <w:spacing w:line="360" w:lineRule="auto"/>
        <w:ind w:firstLine="720" w:firstLineChars="300"/>
        <w:jc w:val="left"/>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16.1.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w:t>
      </w:r>
      <w:r>
        <w:rPr>
          <w:rFonts w:hint="eastAsia" w:cs="Arial" w:asciiTheme="minorEastAsia" w:hAnsiTheme="minorEastAsia" w:eastAsiaTheme="minorEastAsia"/>
          <w:color w:val="auto"/>
          <w:sz w:val="24"/>
          <w:highlight w:val="none"/>
        </w:rPr>
        <w:t>价格调整幅度的计算：</w:t>
      </w:r>
      <w:r>
        <w:rPr>
          <w:rFonts w:asciiTheme="minorEastAsia" w:hAnsiTheme="minorEastAsia" w:eastAsiaTheme="minorEastAsia"/>
          <w:color w:val="auto"/>
          <w:sz w:val="24"/>
          <w:highlight w:val="none"/>
          <w:u w:val="single"/>
        </w:rPr>
        <w:t xml:space="preserve">                               </w:t>
      </w:r>
    </w:p>
    <w:p w14:paraId="56FE1315">
      <w:pPr>
        <w:spacing w:line="360" w:lineRule="auto"/>
        <w:ind w:firstLine="720" w:firstLineChars="300"/>
        <w:jc w:val="left"/>
        <w:rPr>
          <w:rFonts w:cs="Arial"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.3</w:t>
      </w:r>
      <w:r>
        <w:rPr>
          <w:rFonts w:hint="eastAsia" w:cs="Arial" w:asciiTheme="minorEastAsia" w:hAnsiTheme="minorEastAsia" w:eastAsiaTheme="minorEastAsia"/>
          <w:color w:val="auto"/>
          <w:sz w:val="24"/>
          <w:highlight w:val="none"/>
        </w:rPr>
        <w:t>工期延误后的价格调整：</w:t>
      </w:r>
      <w:r>
        <w:rPr>
          <w:rFonts w:asciiTheme="minorEastAsia" w:hAnsiTheme="minorEastAsia" w:eastAsiaTheme="minorEastAsia"/>
          <w:color w:val="auto"/>
          <w:sz w:val="24"/>
          <w:highlight w:val="none"/>
          <w:u w:val="single"/>
        </w:rPr>
        <w:t xml:space="preserve">                             </w:t>
      </w:r>
    </w:p>
    <w:p w14:paraId="7DD62478">
      <w:pPr>
        <w:spacing w:line="360" w:lineRule="auto"/>
        <w:ind w:firstLine="720" w:firstLineChars="300"/>
        <w:jc w:val="left"/>
        <w:rPr>
          <w:rFonts w:cs="Arial"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.4</w:t>
      </w:r>
      <w:r>
        <w:rPr>
          <w:rFonts w:hint="eastAsia" w:hAnsi="宋体" w:cs="Arial"/>
          <w:color w:val="auto"/>
          <w:sz w:val="24"/>
          <w:highlight w:val="none"/>
        </w:rPr>
        <w:t>因价格调整引起的税收、管理费、利润等一切费用，均由承包人自行承担。</w:t>
      </w:r>
    </w:p>
    <w:p w14:paraId="76808431">
      <w:pPr>
        <w:spacing w:line="360" w:lineRule="auto"/>
        <w:ind w:firstLine="720" w:firstLineChars="300"/>
        <w:jc w:val="left"/>
        <w:rPr>
          <w:rFonts w:hint="eastAsia" w:hAnsi="宋体" w:cs="Arial"/>
          <w:color w:val="auto"/>
          <w:sz w:val="24"/>
          <w:szCs w:val="24"/>
          <w:highlight w:val="none"/>
        </w:rPr>
      </w:pPr>
      <w:r>
        <w:rPr>
          <w:rFonts w:asciiTheme="minorEastAsia" w:hAnsiTheme="minorEastAsia" w:eastAsiaTheme="minorEastAsia"/>
          <w:color w:val="auto"/>
          <w:sz w:val="24"/>
          <w:highlight w:val="none"/>
        </w:rPr>
        <w:t>16.1.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.5</w:t>
      </w:r>
      <w:r>
        <w:rPr>
          <w:rFonts w:hint="eastAsia" w:hAnsi="宋体" w:cs="Arial"/>
          <w:color w:val="auto"/>
          <w:sz w:val="24"/>
          <w:szCs w:val="24"/>
          <w:highlight w:val="none"/>
        </w:rPr>
        <w:t>其他约定：</w:t>
      </w:r>
      <w:r>
        <w:rPr>
          <w:rFonts w:hAnsi="宋体" w:cs="Arial"/>
          <w:b w:val="0"/>
          <w:bCs w:val="0"/>
          <w:color w:val="auto"/>
          <w:sz w:val="24"/>
          <w:szCs w:val="24"/>
          <w:highlight w:val="none"/>
          <w:u w:val="single"/>
        </w:rPr>
        <w:t xml:space="preserve">             </w:t>
      </w:r>
      <w:r>
        <w:rPr>
          <w:rFonts w:hint="eastAsia" w:hAnsi="宋体" w:cs="Arial"/>
          <w:color w:val="auto"/>
          <w:sz w:val="24"/>
          <w:szCs w:val="24"/>
          <w:highlight w:val="none"/>
        </w:rPr>
        <w:t>。</w:t>
      </w:r>
    </w:p>
    <w:p w14:paraId="086E1CFC">
      <w:pPr>
        <w:spacing w:line="360" w:lineRule="auto"/>
        <w:ind w:firstLine="465" w:firstLineChars="0"/>
        <w:jc w:val="left"/>
        <w:rPr>
          <w:rFonts w:hint="eastAsia" w:hAnsi="宋体" w:cs="Arial"/>
          <w:color w:val="auto"/>
          <w:sz w:val="24"/>
          <w:szCs w:val="24"/>
          <w:highlight w:val="none"/>
        </w:rPr>
      </w:pPr>
      <w:r>
        <w:rPr>
          <w:rFonts w:hint="eastAsia" w:ascii="宋体" w:hAnsi="宋体" w:eastAsia="宋体" w:cs="宋体"/>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2</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color w:val="auto"/>
          <w:sz w:val="24"/>
          <w:highlight w:val="none"/>
          <w:lang w:val="en-US" w:eastAsia="zh-CN"/>
        </w:rPr>
        <w:t>合同</w:t>
      </w:r>
      <w:r>
        <w:rPr>
          <w:rFonts w:hint="eastAsia" w:asciiTheme="minorEastAsia" w:hAnsiTheme="minorEastAsia" w:eastAsiaTheme="minorEastAsia"/>
          <w:color w:val="auto"/>
          <w:sz w:val="24"/>
          <w:highlight w:val="none"/>
        </w:rPr>
        <w:t>工程执行期间不调价。</w:t>
      </w:r>
    </w:p>
    <w:p w14:paraId="2A95A407">
      <w:pPr>
        <w:pStyle w:val="5"/>
        <w:keepLines w:val="0"/>
        <w:rPr>
          <w:rFonts w:hint="eastAsia" w:ascii="Arial" w:hAnsi="Arial"/>
          <w:b/>
          <w:color w:val="auto"/>
          <w:sz w:val="28"/>
          <w:szCs w:val="32"/>
          <w:highlight w:val="none"/>
        </w:rPr>
      </w:pPr>
      <w:bookmarkStart w:id="844" w:name="_Toc53685776"/>
      <w:r>
        <w:rPr>
          <w:rFonts w:hint="eastAsia" w:ascii="Arial" w:hAnsi="Arial"/>
          <w:b/>
          <w:color w:val="auto"/>
          <w:sz w:val="28"/>
          <w:szCs w:val="32"/>
          <w:highlight w:val="none"/>
        </w:rPr>
        <w:t>17. 计量与支付</w:t>
      </w:r>
      <w:bookmarkEnd w:id="844"/>
    </w:p>
    <w:p w14:paraId="3BEF56BD">
      <w:pPr>
        <w:pStyle w:val="6"/>
        <w:jc w:val="both"/>
        <w:rPr>
          <w:rFonts w:hint="eastAsia" w:ascii="黑体" w:hAnsi="黑体" w:cs="黑体"/>
          <w:b w:val="0"/>
          <w:bCs w:val="0"/>
          <w:color w:val="auto"/>
          <w:sz w:val="28"/>
          <w:szCs w:val="32"/>
          <w:highlight w:val="none"/>
        </w:rPr>
      </w:pPr>
      <w:bookmarkStart w:id="845" w:name="_Toc53685777"/>
      <w:r>
        <w:rPr>
          <w:rFonts w:hint="eastAsia" w:ascii="黑体" w:hAnsi="黑体" w:cs="黑体"/>
          <w:b w:val="0"/>
          <w:bCs w:val="0"/>
          <w:color w:val="auto"/>
          <w:sz w:val="28"/>
          <w:szCs w:val="32"/>
          <w:highlight w:val="none"/>
        </w:rPr>
        <w:t>17.1 计量</w:t>
      </w:r>
      <w:bookmarkEnd w:id="845"/>
    </w:p>
    <w:p w14:paraId="393A35B6">
      <w:pPr>
        <w:adjustRightInd w:val="0"/>
        <w:snapToGrid w:val="0"/>
        <w:spacing w:line="360" w:lineRule="auto"/>
        <w:ind w:firstLine="360" w:firstLineChars="150"/>
        <w:rPr>
          <w:rFonts w:ascii="宋体" w:hAnsi="宋体"/>
          <w:b/>
          <w:color w:val="auto"/>
          <w:sz w:val="24"/>
          <w:highlight w:val="none"/>
        </w:rPr>
      </w:pPr>
      <w:r>
        <w:rPr>
          <w:rFonts w:ascii="黑体" w:hAnsi="黑体" w:eastAsia="黑体"/>
          <w:color w:val="auto"/>
          <w:sz w:val="24"/>
          <w:highlight w:val="none"/>
        </w:rPr>
        <w:t xml:space="preserve">17.1.2 </w:t>
      </w:r>
      <w:r>
        <w:rPr>
          <w:rFonts w:hint="eastAsia" w:ascii="黑体" w:hAnsi="黑体" w:eastAsia="黑体"/>
          <w:color w:val="auto"/>
          <w:sz w:val="24"/>
          <w:highlight w:val="none"/>
        </w:rPr>
        <w:t>计量方法</w:t>
      </w:r>
    </w:p>
    <w:p w14:paraId="4F6C9246">
      <w:pPr>
        <w:tabs>
          <w:tab w:val="left" w:pos="700"/>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本项补充：</w:t>
      </w:r>
    </w:p>
    <w:p w14:paraId="07B4F5E3">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施工过程中对于工程量清单范围内的按工程量清单计量规则规定的计量办法执行；清单以外发生的工作量，属设计变更范围的执行合同专用条款第</w:t>
      </w:r>
      <w:r>
        <w:rPr>
          <w:rFonts w:ascii="宋体" w:hAnsi="宋体"/>
          <w:color w:val="auto"/>
          <w:sz w:val="24"/>
          <w:highlight w:val="none"/>
        </w:rPr>
        <w:t>15条。</w:t>
      </w:r>
    </w:p>
    <w:p w14:paraId="51740768">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17.1.3</w:t>
      </w:r>
      <w:r>
        <w:rPr>
          <w:rFonts w:hint="eastAsia" w:ascii="黑体" w:hAnsi="黑体" w:eastAsia="黑体"/>
          <w:color w:val="auto"/>
          <w:sz w:val="24"/>
          <w:highlight w:val="none"/>
          <w:lang w:val="en-US" w:eastAsia="zh-CN"/>
        </w:rPr>
        <w:t xml:space="preserve"> </w:t>
      </w:r>
      <w:r>
        <w:rPr>
          <w:rFonts w:ascii="黑体" w:hAnsi="黑体" w:eastAsia="黑体"/>
          <w:color w:val="auto"/>
          <w:sz w:val="24"/>
          <w:highlight w:val="none"/>
        </w:rPr>
        <w:t>计量周期</w:t>
      </w:r>
    </w:p>
    <w:p w14:paraId="682263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本合同工程按月计量，按月支付。期中支付证书最低金额见第</w:t>
      </w:r>
      <w:r>
        <w:rPr>
          <w:rFonts w:ascii="宋体" w:hAnsi="宋体"/>
          <w:color w:val="auto"/>
          <w:sz w:val="24"/>
          <w:highlight w:val="none"/>
        </w:rPr>
        <w:t>17.3.3</w:t>
      </w:r>
      <w:r>
        <w:rPr>
          <w:rFonts w:hint="eastAsia" w:ascii="宋体" w:hAnsi="宋体"/>
          <w:color w:val="auto"/>
          <w:sz w:val="24"/>
          <w:highlight w:val="none"/>
          <w:lang w:val="en-US" w:eastAsia="zh-CN"/>
        </w:rPr>
        <w:t>项</w:t>
      </w:r>
      <w:r>
        <w:rPr>
          <w:rFonts w:ascii="宋体" w:hAnsi="宋体"/>
          <w:color w:val="auto"/>
          <w:sz w:val="24"/>
          <w:highlight w:val="none"/>
        </w:rPr>
        <w:t>。</w:t>
      </w:r>
    </w:p>
    <w:p w14:paraId="56FD04BA">
      <w:pPr>
        <w:spacing w:line="360" w:lineRule="auto"/>
        <w:ind w:firstLine="480" w:firstLineChars="200"/>
        <w:rPr>
          <w:rFonts w:ascii="宋体" w:hAnsi="宋体"/>
          <w:bCs/>
          <w:color w:val="auto"/>
          <w:sz w:val="24"/>
          <w:highlight w:val="none"/>
        </w:rPr>
      </w:pPr>
      <w:bookmarkStart w:id="846" w:name="_Hlk94095860"/>
      <w:bookmarkStart w:id="847" w:name="_Toc53685778"/>
      <w:r>
        <w:rPr>
          <w:rFonts w:hint="eastAsia" w:ascii="宋体" w:hAnsi="宋体"/>
          <w:bCs/>
          <w:color w:val="auto"/>
          <w:sz w:val="24"/>
          <w:highlight w:val="none"/>
        </w:rPr>
        <w:t>第</w:t>
      </w:r>
      <w:r>
        <w:rPr>
          <w:rFonts w:ascii="宋体" w:hAnsi="宋体"/>
          <w:bCs/>
          <w:color w:val="auto"/>
          <w:sz w:val="24"/>
          <w:highlight w:val="none"/>
        </w:rPr>
        <w:t>17.1.5项补充</w:t>
      </w:r>
      <w:r>
        <w:rPr>
          <w:rFonts w:hint="eastAsia" w:ascii="宋体" w:hAnsi="宋体"/>
          <w:bCs/>
          <w:color w:val="auto"/>
          <w:sz w:val="24"/>
          <w:highlight w:val="none"/>
        </w:rPr>
        <w:t>：</w:t>
      </w:r>
    </w:p>
    <w:p w14:paraId="335847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承包人在签订合同协议书后28天之内，应向监理人提交包括在工程量清单中的每个总额支付项的分目表（含名称、说明、单位、数量、单价、金额及备注等项），该分目表须经监理人审查并报发包人批准，作为办理支付的依据，承包人在报送计量支付报表的同时，应报送计量支付内业管理台</w:t>
      </w:r>
      <w:r>
        <w:rPr>
          <w:rFonts w:hint="eastAsia" w:ascii="宋体" w:hAnsi="宋体"/>
          <w:color w:val="auto"/>
          <w:sz w:val="24"/>
          <w:highlight w:val="none"/>
          <w:lang w:val="en-US" w:eastAsia="zh-CN"/>
        </w:rPr>
        <w:t>账</w:t>
      </w:r>
      <w:r>
        <w:rPr>
          <w:rFonts w:ascii="宋体" w:hAnsi="宋体"/>
          <w:color w:val="auto"/>
          <w:sz w:val="24"/>
          <w:highlight w:val="none"/>
        </w:rPr>
        <w:t>复印件。</w:t>
      </w:r>
    </w:p>
    <w:p w14:paraId="6364368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本款补充第</w:t>
      </w:r>
      <w:r>
        <w:rPr>
          <w:rFonts w:ascii="宋体" w:hAnsi="宋体"/>
          <w:color w:val="auto"/>
          <w:sz w:val="24"/>
          <w:highlight w:val="none"/>
        </w:rPr>
        <w:t>17.1.6项：</w:t>
      </w:r>
    </w:p>
    <w:p w14:paraId="0368DDA1">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 xml:space="preserve">17.1.6 </w:t>
      </w:r>
      <w:r>
        <w:rPr>
          <w:rFonts w:hint="eastAsia" w:ascii="黑体" w:hAnsi="黑体" w:eastAsia="黑体"/>
          <w:color w:val="auto"/>
          <w:sz w:val="24"/>
          <w:highlight w:val="none"/>
        </w:rPr>
        <w:t>隐蔽工程的计量</w:t>
      </w:r>
    </w:p>
    <w:p w14:paraId="0A0D96A6">
      <w:pPr>
        <w:spacing w:line="360" w:lineRule="auto"/>
        <w:ind w:firstLine="480" w:firstLineChars="200"/>
        <w:rPr>
          <w:rFonts w:ascii="黑体"/>
          <w:b w:val="0"/>
          <w:color w:val="auto"/>
          <w:sz w:val="24"/>
          <w:szCs w:val="24"/>
          <w:highlight w:val="none"/>
        </w:rPr>
      </w:pPr>
      <w:r>
        <w:rPr>
          <w:rFonts w:hint="eastAsia" w:ascii="宋体" w:hAnsi="宋体"/>
          <w:color w:val="auto"/>
          <w:kern w:val="0"/>
          <w:sz w:val="24"/>
          <w:highlight w:val="none"/>
        </w:rPr>
        <w:t>隐蔽工程的计量，须经监理人现场确认，未经监理人现场确认的隐蔽工程自行覆盖后，将不予计量。如发包人有特殊要求，须经发包人及监理人在现场共同确认。</w:t>
      </w:r>
      <w:bookmarkEnd w:id="846"/>
    </w:p>
    <w:p w14:paraId="5128CD30">
      <w:pPr>
        <w:pStyle w:val="6"/>
        <w:jc w:val="both"/>
        <w:rPr>
          <w:rFonts w:hint="eastAsia" w:ascii="黑体" w:hAnsi="黑体" w:cs="黑体"/>
          <w:b w:val="0"/>
          <w:bCs w:val="0"/>
          <w:color w:val="auto"/>
          <w:sz w:val="28"/>
          <w:szCs w:val="32"/>
          <w:highlight w:val="none"/>
        </w:rPr>
      </w:pPr>
      <w:r>
        <w:rPr>
          <w:rFonts w:hint="eastAsia" w:ascii="黑体" w:hAnsi="黑体" w:cs="黑体"/>
          <w:b w:val="0"/>
          <w:bCs w:val="0"/>
          <w:color w:val="auto"/>
          <w:sz w:val="28"/>
          <w:szCs w:val="32"/>
          <w:highlight w:val="none"/>
        </w:rPr>
        <w:t>17.2 预付款</w:t>
      </w:r>
      <w:bookmarkEnd w:id="847"/>
    </w:p>
    <w:p w14:paraId="06D6828F">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 xml:space="preserve">17.2.1 预付款 </w:t>
      </w:r>
    </w:p>
    <w:p w14:paraId="7A948197">
      <w:pPr>
        <w:tabs>
          <w:tab w:val="left" w:pos="700"/>
        </w:tabs>
        <w:adjustRightInd w:val="0"/>
        <w:snapToGrid w:val="0"/>
        <w:spacing w:line="360" w:lineRule="auto"/>
        <w:ind w:firstLine="480" w:firstLineChars="200"/>
        <w:jc w:val="left"/>
        <w:rPr>
          <w:rFonts w:hint="eastAsia" w:ascii="宋体" w:hAnsi="宋体"/>
          <w:color w:val="auto"/>
          <w:sz w:val="24"/>
          <w:highlight w:val="none"/>
          <w:lang w:bidi="ar"/>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bidi="ar"/>
        </w:rPr>
        <w:t>开工预付款的金额在项目专用合同条款数据表中约定。</w:t>
      </w:r>
    </w:p>
    <w:p w14:paraId="351F3B4C">
      <w:pPr>
        <w:tabs>
          <w:tab w:val="left" w:pos="700"/>
        </w:tabs>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预付条件约定</w:t>
      </w:r>
      <w:r>
        <w:rPr>
          <w:rFonts w:hint="eastAsia" w:ascii="宋体" w:hAnsi="宋体"/>
          <w:color w:val="auto"/>
          <w:sz w:val="24"/>
          <w:highlight w:val="none"/>
          <w:lang w:val="en-US" w:eastAsia="zh-CN"/>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5ACA4195">
      <w:pPr>
        <w:tabs>
          <w:tab w:val="left" w:pos="700"/>
        </w:tabs>
        <w:adjustRightInd w:val="0"/>
        <w:snapToGrid w:val="0"/>
        <w:spacing w:line="360" w:lineRule="auto"/>
        <w:ind w:firstLine="480" w:firstLineChars="200"/>
        <w:rPr>
          <w:rFonts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2）材料、设备预付款：</w:t>
      </w:r>
      <w:r>
        <w:rPr>
          <w:rFonts w:hint="eastAsia" w:ascii="宋体" w:hAnsi="宋体"/>
          <w:color w:val="auto"/>
          <w:sz w:val="24"/>
          <w:highlight w:val="none"/>
          <w:lang w:bidi="ar"/>
        </w:rPr>
        <w:t>按项目专用合同条款数据表中所列主要材料、设备单据费用（进口的材料、设备为到岸价，国内采购的为出厂价或销售价，地方材料为堆场价）的百分比支付</w:t>
      </w:r>
      <w:r>
        <w:rPr>
          <w:rFonts w:hint="eastAsia" w:hAnsi="宋体"/>
          <w:color w:val="auto"/>
          <w:sz w:val="24"/>
          <w:highlight w:val="none"/>
        </w:rPr>
        <w:t>；</w:t>
      </w:r>
    </w:p>
    <w:p w14:paraId="7A387C25">
      <w:pPr>
        <w:tabs>
          <w:tab w:val="left" w:pos="700"/>
        </w:tabs>
        <w:adjustRightInd w:val="0"/>
        <w:snapToGrid w:val="0"/>
        <w:spacing w:line="360" w:lineRule="auto"/>
        <w:ind w:firstLine="480" w:firstLineChars="200"/>
        <w:rPr>
          <w:rFonts w:ascii="宋体" w:hAnsi="宋体"/>
          <w:color w:val="auto"/>
          <w:sz w:val="24"/>
          <w:highlight w:val="none"/>
          <w:u w:val="single"/>
        </w:rPr>
      </w:pPr>
      <w:r>
        <w:rPr>
          <w:rFonts w:hAnsi="宋体"/>
          <w:color w:val="auto"/>
          <w:sz w:val="24"/>
          <w:highlight w:val="none"/>
        </w:rPr>
        <w:t>预付条件</w:t>
      </w:r>
      <w:r>
        <w:rPr>
          <w:rFonts w:hint="eastAsia" w:hAnsi="宋体"/>
          <w:color w:val="auto"/>
          <w:sz w:val="24"/>
          <w:highlight w:val="none"/>
          <w:lang w:val="en-US" w:eastAsia="zh-CN"/>
        </w:rPr>
        <w:t>约定</w:t>
      </w:r>
      <w:r>
        <w:rPr>
          <w:rFonts w:hAnsi="宋体"/>
          <w:color w:val="auto"/>
          <w:sz w:val="24"/>
          <w:highlight w:val="none"/>
        </w:rPr>
        <w:t>为：</w:t>
      </w:r>
      <w:r>
        <w:rPr>
          <w:rFonts w:hAnsi="宋体"/>
          <w:color w:val="auto"/>
          <w:sz w:val="24"/>
          <w:highlight w:val="none"/>
          <w:u w:val="single"/>
        </w:rPr>
        <w:t xml:space="preserve">                  </w:t>
      </w:r>
      <w:r>
        <w:rPr>
          <w:rFonts w:hint="eastAsia" w:hAnsi="宋体"/>
          <w:color w:val="auto"/>
          <w:sz w:val="24"/>
          <w:highlight w:val="none"/>
        </w:rPr>
        <w:t>。</w:t>
      </w:r>
    </w:p>
    <w:p w14:paraId="57FE9F79">
      <w:pPr>
        <w:pStyle w:val="6"/>
        <w:jc w:val="both"/>
        <w:rPr>
          <w:rFonts w:hint="eastAsia" w:ascii="黑体" w:hAnsi="黑体" w:cs="黑体"/>
          <w:b w:val="0"/>
          <w:bCs w:val="0"/>
          <w:color w:val="auto"/>
          <w:sz w:val="28"/>
          <w:szCs w:val="32"/>
          <w:highlight w:val="none"/>
        </w:rPr>
      </w:pPr>
      <w:bookmarkStart w:id="848" w:name="_Toc53685779"/>
      <w:r>
        <w:rPr>
          <w:rFonts w:hint="eastAsia" w:ascii="黑体" w:hAnsi="黑体" w:cs="黑体"/>
          <w:b w:val="0"/>
          <w:bCs w:val="0"/>
          <w:color w:val="auto"/>
          <w:sz w:val="28"/>
          <w:szCs w:val="32"/>
          <w:highlight w:val="none"/>
        </w:rPr>
        <w:t>17.3 工程进度付款</w:t>
      </w:r>
      <w:bookmarkEnd w:id="848"/>
    </w:p>
    <w:p w14:paraId="26C22969">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17.3.2</w:t>
      </w:r>
      <w:r>
        <w:rPr>
          <w:rFonts w:hint="eastAsia" w:ascii="黑体" w:hAnsi="黑体" w:eastAsia="黑体"/>
          <w:color w:val="auto"/>
          <w:sz w:val="24"/>
          <w:highlight w:val="none"/>
          <w:lang w:val="en-US" w:eastAsia="zh-CN"/>
        </w:rPr>
        <w:t xml:space="preserve"> </w:t>
      </w:r>
      <w:r>
        <w:rPr>
          <w:rFonts w:ascii="黑体" w:hAnsi="黑体" w:eastAsia="黑体"/>
          <w:color w:val="auto"/>
          <w:sz w:val="24"/>
          <w:highlight w:val="none"/>
        </w:rPr>
        <w:t>进度付款申请单</w:t>
      </w:r>
    </w:p>
    <w:p w14:paraId="093CF44E">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进度付款申请单的份数：</w:t>
      </w:r>
      <w:r>
        <w:rPr>
          <w:rFonts w:hint="eastAsia" w:ascii="宋体" w:hAnsi="宋体"/>
          <w:color w:val="auto"/>
          <w:sz w:val="24"/>
          <w:highlight w:val="none"/>
          <w:lang w:bidi="ar"/>
        </w:rPr>
        <w:t>在项目专用合同条款数据表中约定</w:t>
      </w:r>
      <w:r>
        <w:rPr>
          <w:rFonts w:hint="eastAsia" w:ascii="宋体" w:hAnsi="宋体"/>
          <w:color w:val="auto"/>
          <w:sz w:val="24"/>
          <w:highlight w:val="none"/>
        </w:rPr>
        <w:t>。</w:t>
      </w:r>
    </w:p>
    <w:p w14:paraId="15ED234D">
      <w:pPr>
        <w:tabs>
          <w:tab w:val="left" w:pos="700"/>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进度付款申请单的内容：</w:t>
      </w:r>
      <w:r>
        <w:rPr>
          <w:rFonts w:hint="eastAsia" w:ascii="宋体" w:hAnsi="宋体"/>
          <w:color w:val="auto"/>
          <w:sz w:val="24"/>
          <w:highlight w:val="none"/>
          <w:u w:val="single"/>
        </w:rPr>
        <w:t>按监理人的要求</w:t>
      </w:r>
      <w:r>
        <w:rPr>
          <w:rFonts w:hint="eastAsia" w:ascii="宋体" w:hAnsi="宋体"/>
          <w:color w:val="auto"/>
          <w:sz w:val="24"/>
          <w:highlight w:val="none"/>
        </w:rPr>
        <w:t>。</w:t>
      </w:r>
    </w:p>
    <w:p w14:paraId="185ABEBA">
      <w:pPr>
        <w:adjustRightInd w:val="0"/>
        <w:snapToGrid w:val="0"/>
        <w:spacing w:line="360" w:lineRule="auto"/>
        <w:ind w:firstLine="360" w:firstLineChars="150"/>
        <w:rPr>
          <w:rFonts w:ascii="黑体" w:hAnsi="黑体" w:eastAsia="黑体"/>
          <w:color w:val="auto"/>
          <w:sz w:val="24"/>
          <w:highlight w:val="none"/>
        </w:rPr>
      </w:pPr>
      <w:bookmarkStart w:id="849" w:name="_Hlk94095895"/>
      <w:r>
        <w:rPr>
          <w:rFonts w:ascii="黑体" w:hAnsi="黑体" w:eastAsia="黑体"/>
          <w:color w:val="auto"/>
          <w:sz w:val="24"/>
          <w:highlight w:val="none"/>
        </w:rPr>
        <w:t xml:space="preserve">17.3.3 </w:t>
      </w:r>
      <w:r>
        <w:rPr>
          <w:rFonts w:hint="eastAsia" w:ascii="黑体" w:hAnsi="黑体" w:eastAsia="黑体"/>
          <w:color w:val="auto"/>
          <w:sz w:val="24"/>
          <w:highlight w:val="none"/>
        </w:rPr>
        <w:t>进度付款证书和支付时间</w:t>
      </w:r>
    </w:p>
    <w:p w14:paraId="1F90D8A0">
      <w:pPr>
        <w:adjustRightInd w:val="0"/>
        <w:snapToGrid w:val="0"/>
        <w:spacing w:line="360" w:lineRule="auto"/>
        <w:ind w:firstLine="600" w:firstLineChars="250"/>
        <w:rPr>
          <w:rFonts w:hint="eastAsia" w:ascii="宋体" w:hAnsi="宋体" w:eastAsia="宋体"/>
          <w:color w:val="auto"/>
          <w:sz w:val="24"/>
          <w:highlight w:val="none"/>
          <w:u w:val="single"/>
          <w:lang w:eastAsia="zh-CN"/>
        </w:rPr>
      </w:pPr>
      <w:r>
        <w:rPr>
          <w:rFonts w:hint="eastAsia" w:ascii="宋体" w:hAnsi="宋体"/>
          <w:color w:val="auto"/>
          <w:sz w:val="24"/>
          <w:highlight w:val="none"/>
        </w:rPr>
        <w:t>（</w:t>
      </w:r>
      <w:r>
        <w:rPr>
          <w:rFonts w:ascii="宋体" w:hAnsi="宋体"/>
          <w:color w:val="auto"/>
          <w:sz w:val="24"/>
          <w:highlight w:val="none"/>
        </w:rPr>
        <w:t>1）进度付款证书的</w:t>
      </w:r>
      <w:r>
        <w:rPr>
          <w:rFonts w:hint="eastAsia" w:ascii="宋体" w:hAnsi="宋体"/>
          <w:bCs/>
          <w:color w:val="auto"/>
          <w:sz w:val="24"/>
          <w:highlight w:val="none"/>
        </w:rPr>
        <w:t>最低金额在项目专用合同条款数据表中约定</w:t>
      </w:r>
      <w:r>
        <w:rPr>
          <w:rFonts w:hint="eastAsia" w:ascii="宋体" w:hAnsi="宋体"/>
          <w:color w:val="auto"/>
          <w:sz w:val="24"/>
          <w:highlight w:val="none"/>
        </w:rPr>
        <w:t>。发包人按下列方式向承包人支付工程进度款：</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none"/>
          <w:lang w:eastAsia="zh-CN"/>
        </w:rPr>
        <w:t>。</w:t>
      </w:r>
    </w:p>
    <w:p w14:paraId="7C490DE0">
      <w:pPr>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本项第（</w:t>
      </w:r>
      <w:r>
        <w:rPr>
          <w:rFonts w:ascii="宋体" w:hAnsi="宋体"/>
          <w:color w:val="auto"/>
          <w:sz w:val="24"/>
          <w:highlight w:val="none"/>
        </w:rPr>
        <w:t>2）目约定为：</w:t>
      </w:r>
    </w:p>
    <w:p w14:paraId="13130FE9">
      <w:pPr>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2）发包人在收到经监理人审核并签字确认的进度付款申请单后的28天内，将进度应付款支付给承包人。</w:t>
      </w:r>
    </w:p>
    <w:p w14:paraId="678F590F">
      <w:pPr>
        <w:adjustRightInd w:val="0"/>
        <w:snapToGrid w:val="0"/>
        <w:spacing w:line="360" w:lineRule="auto"/>
        <w:ind w:firstLine="480" w:firstLineChars="200"/>
        <w:rPr>
          <w:rFonts w:ascii="黑体" w:hAnsi="黑体" w:eastAsia="黑体"/>
          <w:color w:val="auto"/>
          <w:sz w:val="24"/>
          <w:highlight w:val="none"/>
        </w:rPr>
      </w:pPr>
      <w:r>
        <w:rPr>
          <w:rFonts w:hint="eastAsia" w:ascii="宋体" w:hAnsi="宋体"/>
          <w:color w:val="auto"/>
          <w:sz w:val="24"/>
          <w:highlight w:val="none"/>
        </w:rPr>
        <w:t>发包人逾期支付进度款时违约金的计算及支付方法：将按照</w:t>
      </w:r>
      <w:r>
        <w:rPr>
          <w:rFonts w:hint="eastAsia" w:ascii="宋体" w:hAnsi="宋体"/>
          <w:color w:val="auto"/>
          <w:sz w:val="24"/>
          <w:highlight w:val="none"/>
          <w:u w:val="none"/>
          <w:lang w:val="en-US" w:eastAsia="zh-CN"/>
        </w:rPr>
        <w:t>项目专用合同条款数据表中约定的方式</w:t>
      </w:r>
      <w:r>
        <w:rPr>
          <w:rFonts w:hint="eastAsia" w:ascii="宋体" w:hAnsi="宋体"/>
          <w:color w:val="auto"/>
          <w:sz w:val="24"/>
          <w:highlight w:val="none"/>
        </w:rPr>
        <w:t>计算逾期付款额的利息作为违约金，并在支付下一期进度款时，一并支付给承包人。</w:t>
      </w:r>
    </w:p>
    <w:p w14:paraId="051FC8D2">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17.3.5</w:t>
      </w:r>
      <w:r>
        <w:rPr>
          <w:rFonts w:hint="eastAsia" w:ascii="黑体" w:hAnsi="黑体" w:eastAsia="黑体"/>
          <w:color w:val="auto"/>
          <w:sz w:val="24"/>
          <w:highlight w:val="none"/>
          <w:lang w:val="en-US" w:eastAsia="zh-CN"/>
        </w:rPr>
        <w:t xml:space="preserve"> </w:t>
      </w:r>
      <w:r>
        <w:rPr>
          <w:rFonts w:hint="eastAsia" w:ascii="黑体" w:hAnsi="黑体" w:eastAsia="黑体"/>
          <w:color w:val="auto"/>
          <w:sz w:val="24"/>
          <w:highlight w:val="none"/>
        </w:rPr>
        <w:t>农民工工资</w:t>
      </w:r>
      <w:r>
        <w:rPr>
          <w:rFonts w:ascii="黑体" w:hAnsi="黑体" w:eastAsia="黑体"/>
          <w:color w:val="auto"/>
          <w:sz w:val="24"/>
          <w:highlight w:val="none"/>
        </w:rPr>
        <w:t>保证金</w:t>
      </w:r>
    </w:p>
    <w:p w14:paraId="7061448F">
      <w:pPr>
        <w:tabs>
          <w:tab w:val="left" w:pos="700"/>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见第</w:t>
      </w:r>
      <w:r>
        <w:rPr>
          <w:rFonts w:ascii="宋体" w:hAnsi="宋体"/>
          <w:color w:val="auto"/>
          <w:sz w:val="24"/>
          <w:highlight w:val="none"/>
        </w:rPr>
        <w:t>4.8.7项约定。</w:t>
      </w:r>
      <w:bookmarkEnd w:id="849"/>
    </w:p>
    <w:p w14:paraId="3CF8A818">
      <w:pPr>
        <w:pStyle w:val="6"/>
        <w:jc w:val="both"/>
        <w:rPr>
          <w:rFonts w:hint="eastAsia" w:ascii="黑体" w:hAnsi="黑体" w:cs="黑体"/>
          <w:b w:val="0"/>
          <w:bCs w:val="0"/>
          <w:color w:val="auto"/>
          <w:sz w:val="28"/>
          <w:szCs w:val="32"/>
          <w:highlight w:val="none"/>
        </w:rPr>
      </w:pPr>
      <w:bookmarkStart w:id="850" w:name="_Toc53685780"/>
      <w:r>
        <w:rPr>
          <w:rFonts w:hint="eastAsia" w:ascii="黑体" w:hAnsi="黑体" w:cs="黑体"/>
          <w:b w:val="0"/>
          <w:bCs w:val="0"/>
          <w:color w:val="auto"/>
          <w:sz w:val="28"/>
          <w:szCs w:val="32"/>
          <w:highlight w:val="none"/>
        </w:rPr>
        <w:t>17.4 质量保证金</w:t>
      </w:r>
      <w:bookmarkEnd w:id="850"/>
    </w:p>
    <w:p w14:paraId="36F1E0BA">
      <w:pPr>
        <w:tabs>
          <w:tab w:val="left" w:pos="700"/>
        </w:tabs>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第17.4.2项约定为：</w:t>
      </w:r>
    </w:p>
    <w:p w14:paraId="5E341AD1">
      <w:pPr>
        <w:tabs>
          <w:tab w:val="left" w:pos="70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质量保证金的返还条件及</w:t>
      </w:r>
      <w:r>
        <w:rPr>
          <w:rFonts w:ascii="宋体" w:hAnsi="宋体"/>
          <w:color w:val="auto"/>
          <w:sz w:val="24"/>
          <w:highlight w:val="none"/>
        </w:rPr>
        <w:t>返还</w:t>
      </w:r>
      <w:r>
        <w:rPr>
          <w:rFonts w:hint="eastAsia" w:ascii="宋体" w:hAnsi="宋体"/>
          <w:color w:val="auto"/>
          <w:sz w:val="24"/>
          <w:highlight w:val="none"/>
        </w:rPr>
        <w:t>时间</w:t>
      </w:r>
      <w:r>
        <w:rPr>
          <w:rFonts w:hint="eastAsia" w:ascii="宋体" w:hAnsi="宋体"/>
          <w:color w:val="auto"/>
          <w:sz w:val="24"/>
          <w:highlight w:val="none"/>
          <w:lang w:val="en-US" w:eastAsia="zh-CN"/>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w:t>
      </w:r>
    </w:p>
    <w:p w14:paraId="5150DA7E">
      <w:pPr>
        <w:pStyle w:val="6"/>
        <w:jc w:val="both"/>
        <w:rPr>
          <w:rFonts w:hint="eastAsia" w:ascii="黑体" w:hAnsi="黑体" w:eastAsia="黑体" w:cs="黑体"/>
          <w:b w:val="0"/>
          <w:bCs w:val="0"/>
          <w:color w:val="auto"/>
          <w:sz w:val="28"/>
          <w:szCs w:val="32"/>
          <w:highlight w:val="none"/>
          <w:lang w:val="en-US" w:eastAsia="zh-CN"/>
        </w:rPr>
      </w:pPr>
      <w:r>
        <w:rPr>
          <w:rFonts w:hint="eastAsia" w:ascii="黑体" w:hAnsi="黑体" w:cs="黑体"/>
          <w:b w:val="0"/>
          <w:bCs w:val="0"/>
          <w:color w:val="auto"/>
          <w:sz w:val="28"/>
          <w:szCs w:val="32"/>
          <w:highlight w:val="none"/>
        </w:rPr>
        <w:t>17.</w:t>
      </w:r>
      <w:r>
        <w:rPr>
          <w:rFonts w:hint="eastAsia" w:ascii="黑体" w:hAnsi="黑体" w:cs="黑体"/>
          <w:b w:val="0"/>
          <w:bCs w:val="0"/>
          <w:color w:val="auto"/>
          <w:sz w:val="28"/>
          <w:szCs w:val="32"/>
          <w:highlight w:val="none"/>
          <w:lang w:val="en-US" w:eastAsia="zh-CN"/>
        </w:rPr>
        <w:t>6</w:t>
      </w:r>
      <w:r>
        <w:rPr>
          <w:rFonts w:hint="eastAsia" w:ascii="黑体" w:hAnsi="黑体" w:cs="黑体"/>
          <w:b w:val="0"/>
          <w:bCs w:val="0"/>
          <w:color w:val="auto"/>
          <w:sz w:val="28"/>
          <w:szCs w:val="32"/>
          <w:highlight w:val="none"/>
        </w:rPr>
        <w:t xml:space="preserve"> </w:t>
      </w:r>
      <w:r>
        <w:rPr>
          <w:rFonts w:hint="eastAsia" w:ascii="黑体" w:hAnsi="黑体" w:cs="黑体"/>
          <w:b w:val="0"/>
          <w:bCs w:val="0"/>
          <w:color w:val="auto"/>
          <w:sz w:val="28"/>
          <w:szCs w:val="32"/>
          <w:highlight w:val="none"/>
          <w:lang w:val="en-US" w:eastAsia="zh-CN"/>
        </w:rPr>
        <w:t>最终结算</w:t>
      </w:r>
    </w:p>
    <w:p w14:paraId="2E408EE8">
      <w:pPr>
        <w:tabs>
          <w:tab w:val="left" w:pos="700"/>
        </w:tabs>
        <w:adjustRightInd w:val="0"/>
        <w:snapToGrid w:val="0"/>
        <w:spacing w:line="360" w:lineRule="auto"/>
        <w:ind w:firstLine="480" w:firstLineChars="200"/>
        <w:rPr>
          <w:rFonts w:hint="eastAsia" w:ascii="黑体" w:hAnsi="黑体" w:eastAsia="黑体"/>
          <w:color w:val="auto"/>
          <w:sz w:val="24"/>
          <w:highlight w:val="none"/>
        </w:rPr>
      </w:pPr>
      <w:r>
        <w:rPr>
          <w:rFonts w:hint="eastAsia" w:ascii="宋体" w:hAnsi="宋体"/>
          <w:color w:val="auto"/>
          <w:sz w:val="24"/>
          <w:highlight w:val="none"/>
          <w:lang w:val="en-US" w:eastAsia="zh-CN" w:bidi="ar"/>
        </w:rPr>
        <w:t>本款</w:t>
      </w:r>
      <w:r>
        <w:rPr>
          <w:rFonts w:ascii="宋体" w:hAnsi="宋体"/>
          <w:color w:val="auto"/>
          <w:sz w:val="24"/>
          <w:highlight w:val="none"/>
          <w:lang w:bidi="ar"/>
        </w:rPr>
        <w:t>补充第17.6.3 项：</w:t>
      </w:r>
    </w:p>
    <w:p w14:paraId="39A126A1">
      <w:pPr>
        <w:widowControl/>
        <w:adjustRightInd w:val="0"/>
        <w:snapToGrid w:val="0"/>
        <w:spacing w:line="360" w:lineRule="auto"/>
        <w:ind w:firstLine="360" w:firstLineChars="150"/>
        <w:jc w:val="left"/>
        <w:rPr>
          <w:rFonts w:ascii="黑体" w:hAnsi="黑体" w:eastAsia="黑体"/>
          <w:color w:val="auto"/>
          <w:sz w:val="24"/>
          <w:highlight w:val="none"/>
        </w:rPr>
      </w:pPr>
      <w:r>
        <w:rPr>
          <w:rFonts w:ascii="黑体" w:hAnsi="黑体" w:eastAsia="黑体"/>
          <w:color w:val="auto"/>
          <w:sz w:val="24"/>
          <w:highlight w:val="none"/>
        </w:rPr>
        <w:t>17.</w:t>
      </w:r>
      <w:r>
        <w:rPr>
          <w:rFonts w:hint="eastAsia" w:ascii="黑体" w:hAnsi="黑体" w:eastAsia="黑体"/>
          <w:color w:val="auto"/>
          <w:sz w:val="24"/>
          <w:highlight w:val="none"/>
          <w:lang w:val="en-US" w:eastAsia="zh-CN"/>
        </w:rPr>
        <w:t xml:space="preserve">6.3 </w:t>
      </w:r>
      <w:r>
        <w:rPr>
          <w:rFonts w:hint="eastAsia" w:ascii="黑体" w:hAnsi="黑体" w:eastAsia="黑体"/>
          <w:color w:val="auto"/>
          <w:sz w:val="24"/>
          <w:highlight w:val="none"/>
          <w:lang w:bidi="ar"/>
        </w:rPr>
        <w:t>第三方</w:t>
      </w:r>
      <w:r>
        <w:rPr>
          <w:rFonts w:ascii="黑体" w:hAnsi="黑体" w:eastAsia="黑体"/>
          <w:color w:val="auto"/>
          <w:sz w:val="24"/>
          <w:highlight w:val="none"/>
          <w:lang w:bidi="ar"/>
        </w:rPr>
        <w:t>审计</w:t>
      </w:r>
      <w:r>
        <w:rPr>
          <w:rFonts w:hint="eastAsia" w:ascii="黑体" w:hAnsi="黑体" w:eastAsia="黑体"/>
          <w:color w:val="auto"/>
          <w:sz w:val="24"/>
          <w:highlight w:val="none"/>
          <w:lang w:bidi="ar"/>
        </w:rPr>
        <w:t>对</w:t>
      </w:r>
      <w:r>
        <w:rPr>
          <w:rFonts w:ascii="黑体" w:hAnsi="黑体" w:eastAsia="黑体"/>
          <w:color w:val="auto"/>
          <w:sz w:val="24"/>
          <w:highlight w:val="none"/>
          <w:lang w:bidi="ar"/>
        </w:rPr>
        <w:t>工程款支付</w:t>
      </w:r>
      <w:r>
        <w:rPr>
          <w:rFonts w:hint="eastAsia" w:ascii="黑体" w:hAnsi="黑体" w:eastAsia="黑体"/>
          <w:color w:val="auto"/>
          <w:sz w:val="24"/>
          <w:highlight w:val="none"/>
          <w:lang w:bidi="ar"/>
        </w:rPr>
        <w:t>的影响</w:t>
      </w:r>
      <w:r>
        <w:rPr>
          <w:rFonts w:ascii="黑体" w:hAnsi="黑体" w:eastAsia="黑体"/>
          <w:color w:val="auto"/>
          <w:sz w:val="24"/>
          <w:highlight w:val="none"/>
          <w:lang w:bidi="ar"/>
        </w:rPr>
        <w:t xml:space="preserve"> </w:t>
      </w:r>
    </w:p>
    <w:p w14:paraId="1FE5B70C">
      <w:pPr>
        <w:adjustRightInd w:val="0"/>
        <w:snapToGrid w:val="0"/>
        <w:spacing w:line="360" w:lineRule="auto"/>
        <w:ind w:firstLine="480" w:firstLineChars="200"/>
        <w:rPr>
          <w:rFonts w:ascii="宋体" w:hAnsi="宋体"/>
          <w:color w:val="auto"/>
          <w:sz w:val="24"/>
          <w:highlight w:val="none"/>
        </w:rPr>
      </w:pPr>
      <w:r>
        <w:rPr>
          <w:rFonts w:hint="eastAsia"/>
          <w:color w:val="auto"/>
          <w:sz w:val="24"/>
          <w:highlight w:val="none"/>
        </w:rPr>
        <w:t>经发包人审核确认承包人提交的交工付款申请后，双方签署交工初审结算报告，除非双方另有约定，否则，承包人不得再向发包人主张漏项、变更、费用调差等任何费用调整和索赔。交工初审结算报告作为提交竣工结（决）算审计的依据，不作为双方的最终结算依据。若交工初审金额超出竣工结（决）算审计金额，超出部分发包人有权从应付承包人任何合同款项中抵扣，不足抵扣的部分，承包人应当在竣工审计报告出具后</w:t>
      </w:r>
      <w:r>
        <w:rPr>
          <w:color w:val="auto"/>
          <w:sz w:val="24"/>
          <w:highlight w:val="none"/>
        </w:rPr>
        <w:t>15</w:t>
      </w:r>
      <w:r>
        <w:rPr>
          <w:rFonts w:hint="eastAsia"/>
          <w:color w:val="auto"/>
          <w:sz w:val="24"/>
          <w:highlight w:val="none"/>
        </w:rPr>
        <w:t>日内支付。每逾期一天按照第</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7.3.3</w:t>
      </w:r>
      <w:r>
        <w:rPr>
          <w:rFonts w:hint="eastAsia" w:asciiTheme="minorEastAsia" w:hAnsiTheme="minorEastAsia" w:eastAsiaTheme="minorEastAsia"/>
          <w:color w:val="auto"/>
          <w:sz w:val="24"/>
          <w:highlight w:val="none"/>
        </w:rPr>
        <w:t>（2）</w:t>
      </w:r>
      <w:r>
        <w:rPr>
          <w:rFonts w:hint="eastAsia"/>
          <w:color w:val="auto"/>
          <w:sz w:val="24"/>
          <w:highlight w:val="none"/>
        </w:rPr>
        <w:t>目约定的逾期付款违约金利率承担应付未付金额的违约金。</w:t>
      </w:r>
      <w:r>
        <w:rPr>
          <w:rFonts w:ascii="宋体" w:hAnsi="宋体"/>
          <w:color w:val="auto"/>
          <w:sz w:val="24"/>
          <w:highlight w:val="none"/>
        </w:rPr>
        <w:t xml:space="preserve"> </w:t>
      </w:r>
    </w:p>
    <w:p w14:paraId="3130FF35">
      <w:pPr>
        <w:tabs>
          <w:tab w:val="left" w:pos="700"/>
        </w:tabs>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lang w:bidi="ar"/>
        </w:rPr>
        <w:t>发包人不承担因项目竣工审计导致延迟付款的违约金和利息。</w:t>
      </w:r>
    </w:p>
    <w:p w14:paraId="04D19763">
      <w:pPr>
        <w:pStyle w:val="5"/>
        <w:keepLines w:val="0"/>
        <w:numPr>
          <w:ilvl w:val="-1"/>
          <w:numId w:val="0"/>
        </w:numPr>
        <w:rPr>
          <w:rFonts w:hint="eastAsia" w:ascii="Arial" w:hAnsi="Arial"/>
          <w:b/>
          <w:color w:val="auto"/>
          <w:sz w:val="28"/>
          <w:szCs w:val="32"/>
          <w:highlight w:val="none"/>
        </w:rPr>
      </w:pPr>
      <w:bookmarkStart w:id="851" w:name="_Toc53685782"/>
      <w:r>
        <w:rPr>
          <w:rFonts w:hint="eastAsia" w:ascii="Arial" w:hAnsi="Arial"/>
          <w:b/>
          <w:color w:val="auto"/>
          <w:sz w:val="28"/>
          <w:szCs w:val="32"/>
          <w:highlight w:val="none"/>
          <w:lang w:val="en-US" w:eastAsia="zh-CN"/>
        </w:rPr>
        <w:t>18</w:t>
      </w:r>
      <w:r>
        <w:rPr>
          <w:rFonts w:hint="eastAsia" w:ascii="Arial" w:hAnsi="Arial"/>
          <w:b/>
          <w:color w:val="auto"/>
          <w:sz w:val="28"/>
          <w:szCs w:val="32"/>
          <w:highlight w:val="none"/>
        </w:rPr>
        <w:t>．交工验收</w:t>
      </w:r>
      <w:bookmarkEnd w:id="851"/>
    </w:p>
    <w:p w14:paraId="46E86C3A">
      <w:pPr>
        <w:pStyle w:val="6"/>
        <w:jc w:val="both"/>
        <w:rPr>
          <w:rFonts w:hint="eastAsia" w:ascii="黑体" w:hAnsi="黑体" w:cs="黑体"/>
          <w:b w:val="0"/>
          <w:bCs w:val="0"/>
          <w:color w:val="auto"/>
          <w:sz w:val="28"/>
          <w:szCs w:val="32"/>
          <w:highlight w:val="none"/>
        </w:rPr>
      </w:pPr>
      <w:bookmarkStart w:id="852" w:name="_Toc53685783"/>
      <w:r>
        <w:rPr>
          <w:rFonts w:hint="eastAsia" w:ascii="黑体" w:hAnsi="黑体" w:cs="黑体"/>
          <w:b w:val="0"/>
          <w:bCs w:val="0"/>
          <w:color w:val="auto"/>
          <w:sz w:val="28"/>
          <w:szCs w:val="32"/>
          <w:highlight w:val="none"/>
        </w:rPr>
        <w:t>18.2 交工验收申请报告</w:t>
      </w:r>
      <w:bookmarkEnd w:id="852"/>
    </w:p>
    <w:p w14:paraId="43D3226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本款第（</w:t>
      </w:r>
      <w:r>
        <w:rPr>
          <w:rFonts w:ascii="宋体" w:hAnsi="宋体"/>
          <w:color w:val="auto"/>
          <w:sz w:val="24"/>
          <w:highlight w:val="none"/>
        </w:rPr>
        <w:t>2</w:t>
      </w:r>
      <w:r>
        <w:rPr>
          <w:rFonts w:hint="eastAsia" w:ascii="宋体" w:hAnsi="宋体"/>
          <w:color w:val="auto"/>
          <w:sz w:val="24"/>
          <w:highlight w:val="none"/>
        </w:rPr>
        <w:t>）项细化为：</w:t>
      </w:r>
    </w:p>
    <w:p w14:paraId="502635BD">
      <w:pPr>
        <w:numPr>
          <w:ilvl w:val="-1"/>
          <w:numId w:val="0"/>
        </w:num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竣工资料内容：承包人应按照交通运输部</w:t>
      </w:r>
      <w:r>
        <w:rPr>
          <w:rFonts w:ascii="宋体" w:hAnsi="宋体"/>
          <w:color w:val="auto"/>
          <w:sz w:val="24"/>
          <w:highlight w:val="none"/>
        </w:rPr>
        <w:t>2004</w:t>
      </w:r>
      <w:r>
        <w:rPr>
          <w:rFonts w:hint="eastAsia" w:ascii="宋体" w:hAnsi="宋体"/>
          <w:color w:val="auto"/>
          <w:sz w:val="24"/>
          <w:highlight w:val="none"/>
        </w:rPr>
        <w:t>年第</w:t>
      </w:r>
      <w:r>
        <w:rPr>
          <w:rFonts w:ascii="宋体" w:hAnsi="宋体"/>
          <w:color w:val="auto"/>
          <w:sz w:val="24"/>
          <w:highlight w:val="none"/>
        </w:rPr>
        <w:t>3</w:t>
      </w:r>
      <w:r>
        <w:rPr>
          <w:rFonts w:hint="eastAsia" w:ascii="宋体" w:hAnsi="宋体"/>
          <w:color w:val="auto"/>
          <w:sz w:val="24"/>
          <w:highlight w:val="none"/>
        </w:rPr>
        <w:t>号令《公路工程竣</w:t>
      </w:r>
      <w:r>
        <w:rPr>
          <w:rFonts w:ascii="宋体" w:hAnsi="宋体"/>
          <w:color w:val="auto"/>
          <w:sz w:val="24"/>
          <w:highlight w:val="none"/>
        </w:rPr>
        <w:t>(</w:t>
      </w:r>
      <w:r>
        <w:rPr>
          <w:rFonts w:hint="eastAsia" w:ascii="宋体" w:hAnsi="宋体"/>
          <w:color w:val="auto"/>
          <w:sz w:val="24"/>
          <w:highlight w:val="none"/>
        </w:rPr>
        <w:t>交</w:t>
      </w:r>
      <w:r>
        <w:rPr>
          <w:rFonts w:ascii="宋体" w:hAnsi="宋体"/>
          <w:color w:val="auto"/>
          <w:sz w:val="24"/>
          <w:highlight w:val="none"/>
        </w:rPr>
        <w:t>)</w:t>
      </w:r>
      <w:r>
        <w:rPr>
          <w:rFonts w:hint="eastAsia" w:ascii="宋体" w:hAnsi="宋体"/>
          <w:color w:val="auto"/>
          <w:sz w:val="24"/>
          <w:highlight w:val="none"/>
        </w:rPr>
        <w:t>工验收办法》、交通运输部《公路工程竣</w:t>
      </w:r>
      <w:r>
        <w:rPr>
          <w:rFonts w:ascii="宋体" w:hAnsi="宋体"/>
          <w:color w:val="auto"/>
          <w:sz w:val="24"/>
          <w:highlight w:val="none"/>
        </w:rPr>
        <w:t>(</w:t>
      </w:r>
      <w:r>
        <w:rPr>
          <w:rFonts w:hint="eastAsia" w:ascii="宋体" w:hAnsi="宋体"/>
          <w:color w:val="auto"/>
          <w:sz w:val="24"/>
          <w:highlight w:val="none"/>
        </w:rPr>
        <w:t>交</w:t>
      </w:r>
      <w:r>
        <w:rPr>
          <w:rFonts w:ascii="宋体" w:hAnsi="宋体"/>
          <w:color w:val="auto"/>
          <w:sz w:val="24"/>
          <w:highlight w:val="none"/>
        </w:rPr>
        <w:t>)</w:t>
      </w:r>
      <w:r>
        <w:rPr>
          <w:rFonts w:hint="eastAsia" w:ascii="宋体" w:hAnsi="宋体"/>
          <w:color w:val="auto"/>
          <w:sz w:val="24"/>
          <w:highlight w:val="none"/>
        </w:rPr>
        <w:t>工验收办法实施细则》（交公路发</w:t>
      </w:r>
      <w:r>
        <w:rPr>
          <w:rFonts w:hint="eastAsia" w:ascii="宋体" w:hAnsi="宋体" w:cs="宋体"/>
          <w:color w:val="auto"/>
          <w:sz w:val="24"/>
          <w:highlight w:val="none"/>
          <w:lang w:eastAsia="zh-CN"/>
        </w:rPr>
        <w:t>〔</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65</w:t>
      </w:r>
      <w:r>
        <w:rPr>
          <w:rFonts w:hint="eastAsia" w:ascii="宋体" w:hAnsi="宋体"/>
          <w:color w:val="auto"/>
          <w:sz w:val="24"/>
          <w:highlight w:val="none"/>
        </w:rPr>
        <w:t>号）和本项目竣工文件编制办法等相关规定编制竣工资料。</w:t>
      </w:r>
    </w:p>
    <w:p w14:paraId="6CD47163">
      <w:pPr>
        <w:numPr>
          <w:ilvl w:val="-1"/>
          <w:numId w:val="0"/>
        </w:numPr>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竣工资料的份数在项目专用合同条款数据表中约定。</w:t>
      </w:r>
    </w:p>
    <w:p w14:paraId="0D7D1A48">
      <w:pPr>
        <w:pStyle w:val="6"/>
        <w:jc w:val="both"/>
        <w:rPr>
          <w:rFonts w:hint="eastAsia" w:ascii="黑体" w:hAnsi="黑体" w:cs="黑体"/>
          <w:b w:val="0"/>
          <w:bCs w:val="0"/>
          <w:color w:val="auto"/>
          <w:sz w:val="28"/>
          <w:szCs w:val="32"/>
          <w:highlight w:val="none"/>
        </w:rPr>
      </w:pPr>
      <w:bookmarkStart w:id="853" w:name="_Toc53685785"/>
      <w:r>
        <w:rPr>
          <w:rFonts w:hint="eastAsia" w:ascii="黑体" w:hAnsi="黑体" w:cs="黑体"/>
          <w:b w:val="0"/>
          <w:bCs w:val="0"/>
          <w:color w:val="auto"/>
          <w:sz w:val="28"/>
          <w:szCs w:val="32"/>
          <w:highlight w:val="none"/>
        </w:rPr>
        <w:t>18.9</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竣工文件</w:t>
      </w:r>
      <w:bookmarkEnd w:id="853"/>
    </w:p>
    <w:p w14:paraId="5D2A2362">
      <w:pPr>
        <w:adjustRightInd w:val="0"/>
        <w:snapToGrid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本款补充：</w:t>
      </w:r>
    </w:p>
    <w:p w14:paraId="6EDE3747">
      <w:pPr>
        <w:keepLines/>
        <w:adjustRightInd w:val="0"/>
        <w:snapToGrid w:val="0"/>
        <w:spacing w:line="360" w:lineRule="auto"/>
        <w:ind w:firstLine="480" w:firstLineChars="200"/>
        <w:rPr>
          <w:rFonts w:ascii="黑体"/>
          <w:color w:val="auto"/>
          <w:sz w:val="28"/>
          <w:szCs w:val="28"/>
          <w:highlight w:val="none"/>
        </w:rPr>
      </w:pPr>
      <w:r>
        <w:rPr>
          <w:rFonts w:hint="eastAsia" w:ascii="宋体" w:hAnsi="宋体"/>
          <w:color w:val="auto"/>
          <w:sz w:val="24"/>
          <w:highlight w:val="none"/>
        </w:rPr>
        <w:t>各分部（项）工程竣工图纸须在有关工程完工后陆续交给监理人审查，在标段合同工程（含变更工程）完成交工验收后</w:t>
      </w:r>
      <w:r>
        <w:rPr>
          <w:rFonts w:ascii="宋体" w:hAnsi="宋体"/>
          <w:color w:val="auto"/>
          <w:sz w:val="24"/>
          <w:highlight w:val="none"/>
          <w:u w:val="single"/>
        </w:rPr>
        <w:t xml:space="preserve">     </w:t>
      </w:r>
      <w:r>
        <w:rPr>
          <w:rFonts w:hint="eastAsia" w:ascii="宋体" w:hAnsi="宋体"/>
          <w:color w:val="auto"/>
          <w:sz w:val="24"/>
          <w:highlight w:val="none"/>
        </w:rPr>
        <w:t>个月内，承包人须向发包人提交监理人和发包人均认为完整的合格的且符合公路工程竣工档案专项验收要求的竣工文件。缺陷责任期内应补充的竣工资料在签发缺陷责任证书之前提交。承包人未能按时提交竣工文件，每拖期一天，发包人有权对承包人按照合同条款约定课以违约金，发包人可以从应付或到期应付给承包人的任何款项中扣除。</w:t>
      </w:r>
      <w:bookmarkStart w:id="854" w:name="_Toc53685786"/>
    </w:p>
    <w:p w14:paraId="3F78066B">
      <w:pPr>
        <w:pStyle w:val="5"/>
        <w:keepLines w:val="0"/>
        <w:rPr>
          <w:rFonts w:hint="eastAsia" w:ascii="Arial" w:hAnsi="Arial"/>
          <w:b/>
          <w:color w:val="auto"/>
          <w:sz w:val="28"/>
          <w:szCs w:val="32"/>
          <w:highlight w:val="none"/>
        </w:rPr>
      </w:pPr>
      <w:r>
        <w:rPr>
          <w:rFonts w:hint="eastAsia" w:ascii="Arial" w:hAnsi="Arial"/>
          <w:b/>
          <w:color w:val="auto"/>
          <w:sz w:val="28"/>
          <w:szCs w:val="32"/>
          <w:highlight w:val="none"/>
        </w:rPr>
        <w:t>20．保险</w:t>
      </w:r>
      <w:bookmarkEnd w:id="854"/>
    </w:p>
    <w:p w14:paraId="6399E961">
      <w:pPr>
        <w:pStyle w:val="6"/>
        <w:jc w:val="both"/>
        <w:rPr>
          <w:rFonts w:hint="eastAsia" w:ascii="黑体" w:hAnsi="黑体" w:cs="黑体"/>
          <w:b w:val="0"/>
          <w:bCs w:val="0"/>
          <w:color w:val="auto"/>
          <w:sz w:val="28"/>
          <w:szCs w:val="32"/>
          <w:highlight w:val="none"/>
        </w:rPr>
      </w:pPr>
      <w:bookmarkStart w:id="855" w:name="_Toc53685787"/>
      <w:r>
        <w:rPr>
          <w:rFonts w:hint="eastAsia" w:ascii="黑体" w:hAnsi="黑体" w:cs="黑体"/>
          <w:b w:val="0"/>
          <w:bCs w:val="0"/>
          <w:color w:val="auto"/>
          <w:sz w:val="28"/>
          <w:szCs w:val="32"/>
          <w:highlight w:val="none"/>
        </w:rPr>
        <w:t>20.1 工程保险</w:t>
      </w:r>
      <w:bookmarkEnd w:id="855"/>
    </w:p>
    <w:p w14:paraId="275D18FA">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本款约定为：</w:t>
      </w:r>
    </w:p>
    <w:p w14:paraId="2F5B026C">
      <w:pPr>
        <w:pStyle w:val="137"/>
        <w:adjustRightInd w:val="0"/>
        <w:snapToGrid w:val="0"/>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建筑工程一切险承包人必须投保，建筑工程一切险投保内容：为本合同工程的永久工程、临时工程和设备及已运至施工工地用于永久工程的材料和设备所投的保险。</w:t>
      </w:r>
    </w:p>
    <w:p w14:paraId="1CA79A28">
      <w:pPr>
        <w:pStyle w:val="137"/>
        <w:adjustRightInd w:val="0"/>
        <w:snapToGrid w:val="0"/>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保险金额：工程量清单第</w:t>
      </w:r>
      <w:r>
        <w:rPr>
          <w:rFonts w:ascii="宋体" w:hAnsi="宋体" w:cs="Arial"/>
          <w:color w:val="auto"/>
          <w:sz w:val="24"/>
          <w:szCs w:val="24"/>
          <w:highlight w:val="none"/>
        </w:rPr>
        <w:t>100</w:t>
      </w:r>
      <w:r>
        <w:rPr>
          <w:rFonts w:hint="eastAsia" w:ascii="宋体" w:hAnsi="宋体" w:cs="Arial"/>
          <w:color w:val="auto"/>
          <w:sz w:val="24"/>
          <w:szCs w:val="24"/>
          <w:highlight w:val="none"/>
        </w:rPr>
        <w:t>章（不含建筑工程一切险及第三者责任险的保险费）至</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rPr>
        <w:t>章</w:t>
      </w:r>
      <w:r>
        <w:rPr>
          <w:rStyle w:val="59"/>
          <w:rFonts w:ascii="宋体" w:hAnsi="宋体" w:cs="Arial"/>
          <w:color w:val="auto"/>
          <w:sz w:val="24"/>
          <w:szCs w:val="24"/>
          <w:highlight w:val="none"/>
          <w:u w:val="single"/>
        </w:rPr>
        <w:footnoteReference w:id="228"/>
      </w:r>
      <w:r>
        <w:rPr>
          <w:rFonts w:hint="eastAsia" w:ascii="宋体" w:hAnsi="宋体" w:cs="Arial"/>
          <w:color w:val="auto"/>
          <w:sz w:val="24"/>
          <w:szCs w:val="24"/>
          <w:highlight w:val="none"/>
        </w:rPr>
        <w:t>的合计金额（不含暂估价）。</w:t>
      </w:r>
      <w:r>
        <w:rPr>
          <w:rStyle w:val="59"/>
          <w:rFonts w:hint="eastAsia" w:ascii="宋体" w:hAnsi="宋体" w:cs="Arial"/>
          <w:color w:val="auto"/>
          <w:sz w:val="24"/>
          <w:szCs w:val="24"/>
          <w:highlight w:val="none"/>
        </w:rPr>
        <w:footnoteReference w:id="229"/>
      </w:r>
    </w:p>
    <w:p w14:paraId="3461F770">
      <w:pPr>
        <w:pStyle w:val="137"/>
        <w:adjustRightInd w:val="0"/>
        <w:snapToGrid w:val="0"/>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保险期限：开工日起直至本合同工程签发缺陷责任期终止证书止（即合同工期</w:t>
      </w:r>
      <w:r>
        <w:rPr>
          <w:rFonts w:ascii="宋体" w:hAnsi="宋体" w:cs="Arial"/>
          <w:color w:val="auto"/>
          <w:sz w:val="24"/>
          <w:szCs w:val="24"/>
          <w:highlight w:val="none"/>
        </w:rPr>
        <w:t>+</w:t>
      </w:r>
      <w:r>
        <w:rPr>
          <w:rFonts w:hint="eastAsia" w:ascii="宋体" w:hAnsi="宋体" w:cs="Arial"/>
          <w:color w:val="auto"/>
          <w:sz w:val="24"/>
          <w:szCs w:val="24"/>
          <w:highlight w:val="none"/>
        </w:rPr>
        <w:t>缺陷责任期）。</w:t>
      </w:r>
    </w:p>
    <w:p w14:paraId="11D2B15C">
      <w:pPr>
        <w:pStyle w:val="137"/>
        <w:adjustRightInd w:val="0"/>
        <w:snapToGrid w:val="0"/>
        <w:spacing w:line="360" w:lineRule="auto"/>
        <w:ind w:firstLine="480" w:firstLineChars="0"/>
        <w:rPr>
          <w:rFonts w:hint="eastAsia" w:ascii="宋体" w:hAnsi="宋体" w:cs="Arial"/>
          <w:color w:val="auto"/>
          <w:sz w:val="24"/>
          <w:szCs w:val="24"/>
          <w:highlight w:val="none"/>
        </w:rPr>
      </w:pPr>
      <w:bookmarkStart w:id="856" w:name="_Hlk94096781"/>
      <w:r>
        <w:rPr>
          <w:rFonts w:hint="eastAsia" w:ascii="宋体" w:hAnsi="宋体" w:cs="Arial"/>
          <w:color w:val="auto"/>
          <w:sz w:val="24"/>
          <w:szCs w:val="24"/>
          <w:highlight w:val="none"/>
        </w:rPr>
        <w:t>保险费率：</w:t>
      </w:r>
      <w:r>
        <w:rPr>
          <w:rFonts w:hint="eastAsia" w:ascii="宋体" w:hAnsi="宋体" w:cs="宋体"/>
          <w:color w:val="auto"/>
          <w:sz w:val="24"/>
          <w:szCs w:val="24"/>
          <w:highlight w:val="none"/>
        </w:rPr>
        <w:t>见项目专用合同条款数据表。</w:t>
      </w:r>
      <w:bookmarkEnd w:id="856"/>
    </w:p>
    <w:p w14:paraId="317F1562">
      <w:pPr>
        <w:pStyle w:val="137"/>
        <w:widowControl/>
        <w:adjustRightInd w:val="0"/>
        <w:snapToGrid w:val="0"/>
        <w:spacing w:line="360" w:lineRule="auto"/>
        <w:ind w:firstLine="480" w:firstLineChars="0"/>
        <w:jc w:val="left"/>
        <w:rPr>
          <w:rFonts w:ascii="宋体" w:hAnsi="宋体" w:cs="Arial"/>
          <w:color w:val="auto"/>
          <w:sz w:val="24"/>
          <w:szCs w:val="24"/>
          <w:highlight w:val="none"/>
        </w:rPr>
      </w:pPr>
      <w:r>
        <w:rPr>
          <w:rFonts w:hint="eastAsia" w:ascii="宋体" w:hAnsi="宋体" w:cs="Arial"/>
          <w:color w:val="auto"/>
          <w:sz w:val="24"/>
          <w:szCs w:val="24"/>
          <w:highlight w:val="none"/>
        </w:rPr>
        <w:t>承包人应以发包人和承包人的共同名义投保建筑工程一切险。建筑工程一切险的保险费由承包人报价时列入工程量清单第</w:t>
      </w:r>
      <w:r>
        <w:rPr>
          <w:rFonts w:ascii="宋体" w:hAnsi="宋体" w:cs="Arial"/>
          <w:color w:val="auto"/>
          <w:sz w:val="24"/>
          <w:szCs w:val="24"/>
          <w:highlight w:val="none"/>
        </w:rPr>
        <w:t>100</w:t>
      </w:r>
      <w:r>
        <w:rPr>
          <w:rFonts w:hint="eastAsia" w:ascii="宋体" w:hAnsi="宋体" w:cs="Arial"/>
          <w:color w:val="auto"/>
          <w:sz w:val="24"/>
          <w:szCs w:val="24"/>
          <w:highlight w:val="none"/>
        </w:rPr>
        <w:t>章内。发包人将按承包人和发包人与保险公司签订的保险合同支付。</w:t>
      </w:r>
      <w:r>
        <w:rPr>
          <w:rFonts w:ascii="宋体" w:hAnsi="宋体" w:cs="Arial"/>
          <w:color w:val="auto"/>
          <w:sz w:val="24"/>
          <w:szCs w:val="24"/>
          <w:highlight w:val="none"/>
        </w:rPr>
        <w:t xml:space="preserve"> </w:t>
      </w:r>
      <w:r>
        <w:rPr>
          <w:rFonts w:hint="eastAsia" w:ascii="宋体" w:hAnsi="宋体" w:cs="Arial"/>
          <w:color w:val="auto"/>
          <w:sz w:val="24"/>
          <w:szCs w:val="24"/>
          <w:highlight w:val="none"/>
          <w:lang w:bidi="ar"/>
        </w:rPr>
        <w:t xml:space="preserve"> </w:t>
      </w:r>
    </w:p>
    <w:p w14:paraId="05D0453D">
      <w:pPr>
        <w:pStyle w:val="6"/>
        <w:jc w:val="both"/>
        <w:rPr>
          <w:rFonts w:hint="eastAsia" w:ascii="黑体" w:hAnsi="黑体" w:cs="黑体"/>
          <w:b w:val="0"/>
          <w:bCs w:val="0"/>
          <w:color w:val="auto"/>
          <w:sz w:val="28"/>
          <w:szCs w:val="32"/>
          <w:highlight w:val="none"/>
        </w:rPr>
      </w:pPr>
      <w:bookmarkStart w:id="857" w:name="_Toc53685788"/>
      <w:r>
        <w:rPr>
          <w:rFonts w:hint="eastAsia" w:ascii="黑体" w:hAnsi="黑体" w:cs="黑体"/>
          <w:b w:val="0"/>
          <w:bCs w:val="0"/>
          <w:color w:val="auto"/>
          <w:sz w:val="28"/>
          <w:szCs w:val="32"/>
          <w:highlight w:val="none"/>
        </w:rPr>
        <w:t>20.2</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人员工伤事故的保险</w:t>
      </w:r>
      <w:bookmarkEnd w:id="857"/>
    </w:p>
    <w:p w14:paraId="7CB1C39F">
      <w:pPr>
        <w:adjustRightInd w:val="0"/>
        <w:snapToGrid w:val="0"/>
        <w:spacing w:line="360" w:lineRule="auto"/>
        <w:ind w:firstLine="464" w:firstLineChars="200"/>
        <w:rPr>
          <w:rFonts w:hint="eastAsia" w:ascii="宋体" w:hAnsi="宋体" w:cs="Courier New"/>
          <w:color w:val="auto"/>
          <w:spacing w:val="-4"/>
          <w:sz w:val="24"/>
          <w:highlight w:val="none"/>
        </w:rPr>
      </w:pPr>
      <w:r>
        <w:rPr>
          <w:rFonts w:hint="eastAsia" w:ascii="宋体" w:hAnsi="宋体" w:eastAsia="宋体" w:cs="Courier New"/>
          <w:color w:val="auto"/>
          <w:spacing w:val="-4"/>
          <w:sz w:val="24"/>
          <w:highlight w:val="none"/>
          <w:lang w:val="en-US" w:eastAsia="zh-CN"/>
        </w:rPr>
        <w:t>第</w:t>
      </w:r>
      <w:r>
        <w:rPr>
          <w:rFonts w:hint="eastAsia" w:ascii="宋体" w:hAnsi="宋体" w:eastAsia="宋体" w:cs="Courier New"/>
          <w:color w:val="auto"/>
          <w:spacing w:val="-4"/>
          <w:sz w:val="24"/>
          <w:highlight w:val="none"/>
        </w:rPr>
        <w:t>20.2.1</w:t>
      </w:r>
      <w:r>
        <w:rPr>
          <w:rFonts w:hint="eastAsia" w:ascii="宋体" w:hAnsi="宋体" w:cs="Courier New"/>
          <w:color w:val="auto"/>
          <w:spacing w:val="-4"/>
          <w:sz w:val="24"/>
          <w:highlight w:val="none"/>
        </w:rPr>
        <w:t>项补充：</w:t>
      </w:r>
    </w:p>
    <w:p w14:paraId="2668114D">
      <w:pPr>
        <w:adjustRightInd w:val="0"/>
        <w:snapToGrid w:val="0"/>
        <w:spacing w:line="360" w:lineRule="auto"/>
        <w:ind w:firstLine="464" w:firstLineChars="200"/>
        <w:rPr>
          <w:rFonts w:ascii="宋体" w:hAnsi="宋体" w:cs="Courier New"/>
          <w:color w:val="auto"/>
          <w:spacing w:val="-4"/>
          <w:sz w:val="24"/>
          <w:highlight w:val="none"/>
        </w:rPr>
      </w:pPr>
      <w:r>
        <w:rPr>
          <w:rFonts w:hint="eastAsia" w:ascii="宋体" w:hAnsi="宋体" w:cs="Courier New"/>
          <w:color w:val="auto"/>
          <w:spacing w:val="-4"/>
          <w:sz w:val="24"/>
          <w:highlight w:val="none"/>
        </w:rPr>
        <w:t>承包人须单独为本项目实施期间为履行合同所雇佣的全部人员缴纳工伤保险费。该部分保险费用承包人必须投保</w:t>
      </w:r>
      <w:r>
        <w:rPr>
          <w:rFonts w:hint="eastAsia" w:ascii="宋体" w:hAnsi="宋体" w:cs="Courier New"/>
          <w:color w:val="auto"/>
          <w:spacing w:val="-4"/>
          <w:sz w:val="24"/>
          <w:highlight w:val="none"/>
          <w:lang w:val="en-US" w:eastAsia="zh-CN"/>
        </w:rPr>
        <w:t>且由其承担</w:t>
      </w:r>
      <w:r>
        <w:rPr>
          <w:rFonts w:hint="eastAsia" w:ascii="宋体" w:hAnsi="宋体" w:cs="Courier New"/>
          <w:color w:val="auto"/>
          <w:spacing w:val="-4"/>
          <w:sz w:val="24"/>
          <w:highlight w:val="none"/>
          <w:lang w:eastAsia="zh-CN"/>
        </w:rPr>
        <w:t>，</w:t>
      </w:r>
      <w:r>
        <w:rPr>
          <w:rFonts w:hint="eastAsia" w:ascii="宋体" w:hAnsi="宋体" w:cs="Courier New"/>
          <w:color w:val="auto"/>
          <w:spacing w:val="-4"/>
          <w:sz w:val="24"/>
          <w:highlight w:val="none"/>
        </w:rPr>
        <w:t>并包含在</w:t>
      </w:r>
      <w:r>
        <w:rPr>
          <w:rFonts w:hint="eastAsia" w:ascii="宋体" w:hAnsi="宋体" w:cs="Courier New"/>
          <w:color w:val="auto"/>
          <w:spacing w:val="-4"/>
          <w:sz w:val="24"/>
          <w:highlight w:val="none"/>
          <w:lang w:val="en-US" w:eastAsia="zh-CN"/>
        </w:rPr>
        <w:t>工程量</w:t>
      </w:r>
      <w:r>
        <w:rPr>
          <w:rFonts w:hint="eastAsia" w:ascii="宋体" w:hAnsi="宋体" w:cs="Courier New"/>
          <w:color w:val="auto"/>
          <w:spacing w:val="-4"/>
          <w:sz w:val="24"/>
          <w:highlight w:val="none"/>
        </w:rPr>
        <w:t>清单相关子目单价及总额价中，发包人不单独支付。</w:t>
      </w:r>
    </w:p>
    <w:p w14:paraId="3FF9DEEA">
      <w:pPr>
        <w:pStyle w:val="6"/>
        <w:jc w:val="both"/>
        <w:rPr>
          <w:rFonts w:hint="eastAsia" w:ascii="黑体" w:hAnsi="黑体" w:cs="黑体"/>
          <w:b w:val="0"/>
          <w:bCs w:val="0"/>
          <w:color w:val="auto"/>
          <w:sz w:val="28"/>
          <w:szCs w:val="32"/>
          <w:highlight w:val="none"/>
        </w:rPr>
      </w:pPr>
      <w:bookmarkStart w:id="858" w:name="_Toc53685789"/>
      <w:r>
        <w:rPr>
          <w:rFonts w:hint="eastAsia" w:ascii="黑体" w:hAnsi="黑体" w:cs="黑体"/>
          <w:b w:val="0"/>
          <w:bCs w:val="0"/>
          <w:color w:val="auto"/>
          <w:sz w:val="28"/>
          <w:szCs w:val="32"/>
          <w:highlight w:val="none"/>
        </w:rPr>
        <w:t>20.3</w:t>
      </w:r>
      <w:r>
        <w:rPr>
          <w:rFonts w:hint="eastAsia" w:ascii="黑体" w:hAnsi="黑体" w:cs="黑体"/>
          <w:b w:val="0"/>
          <w:bCs w:val="0"/>
          <w:color w:val="auto"/>
          <w:sz w:val="28"/>
          <w:szCs w:val="32"/>
          <w:highlight w:val="none"/>
          <w:lang w:val="en-US" w:eastAsia="zh-CN"/>
        </w:rPr>
        <w:t xml:space="preserve"> </w:t>
      </w:r>
      <w:r>
        <w:rPr>
          <w:rFonts w:hint="eastAsia" w:ascii="黑体" w:hAnsi="黑体" w:cs="黑体"/>
          <w:b w:val="0"/>
          <w:bCs w:val="0"/>
          <w:color w:val="auto"/>
          <w:sz w:val="28"/>
          <w:szCs w:val="32"/>
          <w:highlight w:val="none"/>
        </w:rPr>
        <w:t>人身意外伤害险</w:t>
      </w:r>
      <w:bookmarkEnd w:id="858"/>
    </w:p>
    <w:p w14:paraId="16DBC128">
      <w:pPr>
        <w:adjustRightInd w:val="0"/>
        <w:snapToGrid w:val="0"/>
        <w:spacing w:line="360" w:lineRule="auto"/>
        <w:ind w:firstLine="464" w:firstLineChars="200"/>
        <w:rPr>
          <w:rFonts w:hint="eastAsia" w:ascii="宋体" w:hAnsi="宋体"/>
          <w:color w:val="auto"/>
          <w:sz w:val="24"/>
          <w:highlight w:val="none"/>
        </w:rPr>
      </w:pPr>
      <w:r>
        <w:rPr>
          <w:rFonts w:hint="eastAsia" w:ascii="宋体" w:hAnsi="宋体" w:cs="Courier New"/>
          <w:color w:val="auto"/>
          <w:spacing w:val="-4"/>
          <w:sz w:val="24"/>
          <w:highlight w:val="none"/>
          <w:lang w:val="en-US" w:eastAsia="zh-CN"/>
        </w:rPr>
        <w:t>第</w:t>
      </w:r>
      <w:r>
        <w:rPr>
          <w:rFonts w:hint="eastAsia" w:ascii="宋体" w:hAnsi="宋体" w:eastAsia="宋体" w:cs="Courier New"/>
          <w:color w:val="auto"/>
          <w:spacing w:val="-4"/>
          <w:sz w:val="24"/>
          <w:highlight w:val="none"/>
        </w:rPr>
        <w:t>20.3.2</w:t>
      </w:r>
      <w:r>
        <w:rPr>
          <w:rFonts w:hint="eastAsia" w:ascii="宋体" w:hAnsi="宋体"/>
          <w:color w:val="auto"/>
          <w:sz w:val="24"/>
          <w:highlight w:val="none"/>
        </w:rPr>
        <w:t>项补充：</w:t>
      </w:r>
    </w:p>
    <w:p w14:paraId="23189512">
      <w:pPr>
        <w:adjustRightInd w:val="0"/>
        <w:snapToGrid w:val="0"/>
        <w:spacing w:line="360" w:lineRule="auto"/>
        <w:ind w:firstLine="464" w:firstLineChars="200"/>
        <w:rPr>
          <w:rFonts w:hint="eastAsia" w:ascii="宋体" w:hAnsi="宋体" w:eastAsia="宋体" w:cs="Courier New"/>
          <w:color w:val="auto"/>
          <w:spacing w:val="-4"/>
          <w:sz w:val="24"/>
          <w:highlight w:val="none"/>
          <w:lang w:eastAsia="zh-CN"/>
        </w:rPr>
      </w:pPr>
      <w:r>
        <w:rPr>
          <w:rFonts w:hint="eastAsia" w:ascii="宋体" w:hAnsi="宋体" w:cs="Courier New"/>
          <w:color w:val="auto"/>
          <w:spacing w:val="-4"/>
          <w:sz w:val="24"/>
          <w:highlight w:val="none"/>
        </w:rPr>
        <w:t>承包人须单独为本项目实施期间为履行合同所雇佣的全部人员，按保险金额不低于每人（</w:t>
      </w:r>
      <w:r>
        <w:rPr>
          <w:rFonts w:ascii="宋体" w:hAnsi="宋体" w:cs="Courier New"/>
          <w:color w:val="auto"/>
          <w:spacing w:val="-4"/>
          <w:sz w:val="24"/>
          <w:highlight w:val="none"/>
          <w:u w:val="single"/>
        </w:rPr>
        <w:t xml:space="preserve">        </w:t>
      </w:r>
      <w:r>
        <w:rPr>
          <w:rFonts w:hint="eastAsia" w:ascii="宋体" w:hAnsi="宋体" w:cs="Courier New"/>
          <w:color w:val="auto"/>
          <w:spacing w:val="-4"/>
          <w:sz w:val="24"/>
          <w:highlight w:val="none"/>
        </w:rPr>
        <w:t>）</w:t>
      </w:r>
      <w:r>
        <w:rPr>
          <w:rFonts w:hint="eastAsia" w:ascii="宋体" w:hAnsi="宋体" w:cs="Courier New"/>
          <w:color w:val="auto"/>
          <w:spacing w:val="-4"/>
          <w:sz w:val="24"/>
          <w:highlight w:val="none"/>
          <w:lang w:val="en-US" w:eastAsia="zh-CN"/>
        </w:rPr>
        <w:t>万元</w:t>
      </w:r>
      <w:r>
        <w:rPr>
          <w:rFonts w:hint="eastAsia" w:ascii="宋体" w:hAnsi="宋体" w:cs="Courier New"/>
          <w:color w:val="auto"/>
          <w:spacing w:val="-4"/>
          <w:sz w:val="24"/>
          <w:highlight w:val="none"/>
        </w:rPr>
        <w:t>缴纳人身意外伤害险。该部分保险费用承包人必须投保，且由承包人承担费用</w:t>
      </w:r>
      <w:r>
        <w:rPr>
          <w:rFonts w:hint="eastAsia" w:ascii="宋体" w:hAnsi="宋体" w:cs="Courier New"/>
          <w:color w:val="auto"/>
          <w:spacing w:val="-4"/>
          <w:sz w:val="24"/>
          <w:highlight w:val="none"/>
          <w:lang w:eastAsia="zh-CN"/>
        </w:rPr>
        <w:t>，</w:t>
      </w:r>
      <w:r>
        <w:rPr>
          <w:rFonts w:hint="eastAsia" w:ascii="宋体" w:hAnsi="宋体" w:cs="Courier New"/>
          <w:color w:val="auto"/>
          <w:spacing w:val="-4"/>
          <w:sz w:val="24"/>
          <w:highlight w:val="none"/>
        </w:rPr>
        <w:t>并包含在</w:t>
      </w:r>
      <w:r>
        <w:rPr>
          <w:rFonts w:hint="eastAsia" w:ascii="宋体" w:hAnsi="宋体" w:cs="Courier New"/>
          <w:color w:val="auto"/>
          <w:spacing w:val="-4"/>
          <w:sz w:val="24"/>
          <w:highlight w:val="none"/>
          <w:lang w:val="en-US" w:eastAsia="zh-CN"/>
        </w:rPr>
        <w:t>工程量</w:t>
      </w:r>
      <w:r>
        <w:rPr>
          <w:rFonts w:hint="eastAsia" w:ascii="宋体" w:hAnsi="宋体" w:cs="Courier New"/>
          <w:color w:val="auto"/>
          <w:spacing w:val="-4"/>
          <w:sz w:val="24"/>
          <w:highlight w:val="none"/>
        </w:rPr>
        <w:t>清单相关子目单价及总额价，发包人不单独支付</w:t>
      </w:r>
      <w:r>
        <w:rPr>
          <w:rFonts w:hint="eastAsia" w:ascii="宋体" w:hAnsi="宋体" w:cs="Courier New"/>
          <w:color w:val="auto"/>
          <w:spacing w:val="-4"/>
          <w:sz w:val="24"/>
          <w:highlight w:val="none"/>
          <w:lang w:eastAsia="zh-CN"/>
        </w:rPr>
        <w:t>。</w:t>
      </w:r>
    </w:p>
    <w:p w14:paraId="2736A3AD">
      <w:pPr>
        <w:pStyle w:val="6"/>
        <w:jc w:val="both"/>
        <w:rPr>
          <w:rFonts w:hint="eastAsia" w:ascii="黑体" w:hAnsi="黑体" w:cs="黑体"/>
          <w:b w:val="0"/>
          <w:bCs w:val="0"/>
          <w:color w:val="auto"/>
          <w:sz w:val="28"/>
          <w:szCs w:val="32"/>
          <w:highlight w:val="none"/>
        </w:rPr>
      </w:pPr>
      <w:bookmarkStart w:id="859" w:name="_Toc53685790"/>
      <w:r>
        <w:rPr>
          <w:rFonts w:hint="eastAsia" w:ascii="黑体" w:hAnsi="黑体" w:cs="黑体"/>
          <w:b w:val="0"/>
          <w:bCs w:val="0"/>
          <w:color w:val="auto"/>
          <w:sz w:val="28"/>
          <w:szCs w:val="32"/>
          <w:highlight w:val="none"/>
        </w:rPr>
        <w:t>20.4 第三者责任险</w:t>
      </w:r>
      <w:bookmarkEnd w:id="859"/>
    </w:p>
    <w:p w14:paraId="0BCFAA38">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eastAsia="宋体"/>
          <w:color w:val="auto"/>
          <w:sz w:val="24"/>
          <w:highlight w:val="none"/>
          <w:lang w:val="en-US" w:eastAsia="zh-CN"/>
        </w:rPr>
        <w:t>第</w:t>
      </w:r>
      <w:r>
        <w:rPr>
          <w:rFonts w:hint="eastAsia" w:ascii="宋体" w:hAnsi="宋体" w:eastAsia="宋体"/>
          <w:color w:val="auto"/>
          <w:sz w:val="24"/>
          <w:highlight w:val="none"/>
        </w:rPr>
        <w:t>20.4.2</w:t>
      </w:r>
      <w:r>
        <w:rPr>
          <w:rFonts w:hint="eastAsia" w:ascii="宋体" w:hAnsi="宋体"/>
          <w:color w:val="auto"/>
          <w:sz w:val="24"/>
          <w:highlight w:val="none"/>
        </w:rPr>
        <w:t>项补充：</w:t>
      </w:r>
    </w:p>
    <w:p w14:paraId="02EC44C9">
      <w:pPr>
        <w:adjustRightInd w:val="0"/>
        <w:snapToGrid w:val="0"/>
        <w:spacing w:line="360" w:lineRule="auto"/>
        <w:ind w:firstLine="480" w:firstLineChars="200"/>
        <w:jc w:val="left"/>
        <w:rPr>
          <w:rFonts w:hint="eastAsia" w:ascii="宋体" w:hAnsi="宋体" w:cs="Courier New"/>
          <w:color w:val="auto"/>
          <w:sz w:val="24"/>
          <w:highlight w:val="none"/>
        </w:rPr>
      </w:pPr>
      <w:r>
        <w:rPr>
          <w:rFonts w:hint="eastAsia" w:ascii="宋体" w:hAnsi="宋体"/>
          <w:color w:val="auto"/>
          <w:sz w:val="24"/>
          <w:highlight w:val="none"/>
        </w:rPr>
        <w:t>第三者责任险是对因实施本合同工程而造成的财产（本工程除外）的损失或损害，或人员（发包人和承包人雇员除外）的死亡或伤残所负责任进行的保险。</w:t>
      </w:r>
      <w:r>
        <w:rPr>
          <w:rFonts w:hint="eastAsia" w:ascii="宋体" w:hAnsi="宋体" w:cs="Courier New"/>
          <w:color w:val="auto"/>
          <w:sz w:val="24"/>
          <w:highlight w:val="none"/>
        </w:rPr>
        <w:t>承包人必须投保，其所确定投保的保险费由承包人承担和支付，第三者责任险最低保险金额、</w:t>
      </w:r>
      <w:r>
        <w:rPr>
          <w:rFonts w:hint="eastAsia" w:ascii="宋体" w:hAnsi="宋体"/>
          <w:color w:val="auto"/>
          <w:sz w:val="24"/>
          <w:highlight w:val="none"/>
        </w:rPr>
        <w:t>费率在专用合同条款数据表中约定，由承包人自行调查，事故次数不限，不计免赔额</w:t>
      </w:r>
      <w:r>
        <w:rPr>
          <w:rFonts w:hint="eastAsia" w:ascii="宋体" w:hAnsi="宋体" w:cs="Courier New"/>
          <w:color w:val="auto"/>
          <w:sz w:val="24"/>
          <w:highlight w:val="none"/>
        </w:rPr>
        <w:t>。</w:t>
      </w:r>
    </w:p>
    <w:p w14:paraId="5DF718A5">
      <w:pPr>
        <w:pStyle w:val="6"/>
        <w:jc w:val="both"/>
        <w:rPr>
          <w:rFonts w:hint="eastAsia" w:ascii="黑体" w:hAnsi="黑体" w:eastAsia="黑体" w:cs="黑体"/>
          <w:b w:val="0"/>
          <w:bCs w:val="0"/>
          <w:color w:val="auto"/>
          <w:sz w:val="28"/>
          <w:szCs w:val="32"/>
          <w:highlight w:val="none"/>
          <w:lang w:eastAsia="zh-CN"/>
        </w:rPr>
      </w:pPr>
      <w:bookmarkStart w:id="860" w:name="_Toc53685791"/>
      <w:r>
        <w:rPr>
          <w:rFonts w:hint="eastAsia" w:ascii="黑体" w:hAnsi="黑体" w:cs="黑体"/>
          <w:b w:val="0"/>
          <w:bCs w:val="0"/>
          <w:color w:val="auto"/>
          <w:sz w:val="28"/>
          <w:szCs w:val="32"/>
          <w:highlight w:val="none"/>
        </w:rPr>
        <w:t>20.</w:t>
      </w:r>
      <w:r>
        <w:rPr>
          <w:rFonts w:hint="eastAsia" w:ascii="黑体" w:hAnsi="黑体" w:cs="黑体"/>
          <w:b w:val="0"/>
          <w:bCs w:val="0"/>
          <w:color w:val="auto"/>
          <w:sz w:val="28"/>
          <w:szCs w:val="32"/>
          <w:highlight w:val="none"/>
          <w:lang w:val="en-US" w:eastAsia="zh-CN"/>
        </w:rPr>
        <w:t>5 其他保险</w:t>
      </w:r>
    </w:p>
    <w:p w14:paraId="4518535E">
      <w:pPr>
        <w:pStyle w:val="137"/>
        <w:widowControl/>
        <w:adjustRightInd w:val="0"/>
        <w:snapToGrid w:val="0"/>
        <w:spacing w:line="360" w:lineRule="auto"/>
        <w:ind w:firstLine="480"/>
        <w:jc w:val="left"/>
        <w:rPr>
          <w:rFonts w:hint="eastAsia" w:ascii="宋体" w:hAnsi="宋体" w:cs="Arial"/>
          <w:color w:val="auto"/>
          <w:sz w:val="24"/>
          <w:szCs w:val="24"/>
          <w:highlight w:val="none"/>
          <w:lang w:val="en-US" w:eastAsia="zh-CN" w:bidi="ar"/>
        </w:rPr>
      </w:pPr>
      <w:r>
        <w:rPr>
          <w:rFonts w:hint="eastAsia" w:ascii="宋体" w:hAnsi="宋体" w:cs="Arial"/>
          <w:color w:val="auto"/>
          <w:sz w:val="24"/>
          <w:szCs w:val="24"/>
          <w:highlight w:val="none"/>
          <w:lang w:val="en-US" w:eastAsia="zh-CN" w:bidi="ar"/>
        </w:rPr>
        <w:t>本款补充：</w:t>
      </w:r>
    </w:p>
    <w:p w14:paraId="22C81A17">
      <w:pPr>
        <w:widowControl/>
        <w:adjustRightInd w:val="0"/>
        <w:snapToGrid w:val="0"/>
        <w:spacing w:line="360" w:lineRule="auto"/>
        <w:ind w:firstLine="480" w:firstLineChars="200"/>
        <w:jc w:val="left"/>
        <w:rPr>
          <w:rFonts w:hint="eastAsia" w:ascii="宋体" w:hAnsi="宋体" w:cs="Times New Roman"/>
          <w:color w:val="auto"/>
          <w:sz w:val="24"/>
          <w:szCs w:val="24"/>
          <w:highlight w:val="none"/>
          <w:lang w:bidi="ar"/>
        </w:rPr>
      </w:pPr>
      <w:r>
        <w:rPr>
          <w:rFonts w:hint="eastAsia" w:ascii="宋体" w:hAnsi="宋体" w:cs="Times New Roman"/>
          <w:color w:val="auto"/>
          <w:sz w:val="24"/>
          <w:szCs w:val="24"/>
          <w:highlight w:val="none"/>
          <w:lang w:bidi="ar"/>
        </w:rPr>
        <w:t>施工开工日起至颁发缺陷责任期终止证书期间，承包人</w:t>
      </w:r>
      <w:r>
        <w:rPr>
          <w:rFonts w:hint="eastAsia" w:ascii="宋体" w:hAnsi="宋体" w:cs="Times New Roman"/>
          <w:color w:val="auto"/>
          <w:sz w:val="24"/>
          <w:szCs w:val="24"/>
          <w:highlight w:val="none"/>
          <w:lang w:val="en-US" w:eastAsia="zh-CN" w:bidi="ar"/>
        </w:rPr>
        <w:t>应</w:t>
      </w:r>
      <w:r>
        <w:rPr>
          <w:rFonts w:hint="eastAsia" w:ascii="宋体" w:hAnsi="宋体" w:cs="Times New Roman"/>
          <w:color w:val="auto"/>
          <w:sz w:val="24"/>
          <w:szCs w:val="24"/>
          <w:highlight w:val="none"/>
          <w:lang w:bidi="ar"/>
        </w:rPr>
        <w:t xml:space="preserve">投保安全生产责任险。 </w:t>
      </w:r>
    </w:p>
    <w:p w14:paraId="189399E8">
      <w:pPr>
        <w:adjustRightInd w:val="0"/>
        <w:snapToGrid w:val="0"/>
        <w:spacing w:before="0" w:after="0" w:line="360" w:lineRule="auto"/>
        <w:ind w:firstLine="480" w:firstLineChars="200"/>
        <w:rPr>
          <w:rFonts w:hint="eastAsia" w:ascii="宋体" w:hAnsi="宋体" w:cs="Times New Roman"/>
          <w:color w:val="auto"/>
          <w:sz w:val="24"/>
          <w:szCs w:val="24"/>
          <w:highlight w:val="none"/>
          <w:lang w:bidi="ar"/>
        </w:rPr>
      </w:pPr>
      <w:r>
        <w:rPr>
          <w:rFonts w:hint="eastAsia" w:ascii="宋体" w:hAnsi="宋体" w:cs="Times New Roman"/>
          <w:color w:val="auto"/>
          <w:sz w:val="24"/>
          <w:szCs w:val="24"/>
          <w:highlight w:val="none"/>
          <w:lang w:bidi="ar"/>
        </w:rPr>
        <w:t>安全生产责任险系指在保险期内，对因生产安全事故造成的第三人人身伤亡和财产损失、抢险救援、事故鉴定、法律服务等善后处理费用，以及因意外事故造成工程项目施工人员及与工程有关的所有人员的人身伤亡，由保险人进行赔付的责任保险。安全生产责任险包含在安全生产费中。发包人在接到保险单后，将按照保险单的费用直接向承包人支付。</w:t>
      </w:r>
    </w:p>
    <w:p w14:paraId="5AC47581">
      <w:pPr>
        <w:pStyle w:val="6"/>
        <w:jc w:val="both"/>
        <w:rPr>
          <w:rFonts w:hint="eastAsia" w:ascii="黑体" w:hAnsi="黑体" w:cs="黑体"/>
          <w:b w:val="0"/>
          <w:bCs w:val="0"/>
          <w:color w:val="auto"/>
          <w:sz w:val="28"/>
          <w:szCs w:val="32"/>
          <w:highlight w:val="none"/>
        </w:rPr>
      </w:pPr>
      <w:r>
        <w:rPr>
          <w:rFonts w:hint="eastAsia" w:ascii="黑体" w:hAnsi="黑体" w:eastAsia="黑体" w:cs="黑体"/>
          <w:b w:val="0"/>
          <w:bCs w:val="0"/>
          <w:color w:val="auto"/>
          <w:sz w:val="28"/>
          <w:szCs w:val="32"/>
          <w:highlight w:val="none"/>
        </w:rPr>
        <w:t>20.6</w:t>
      </w:r>
      <w:r>
        <w:rPr>
          <w:rFonts w:hint="eastAsia" w:ascii="黑体" w:hAnsi="黑体" w:cs="黑体"/>
          <w:b w:val="0"/>
          <w:bCs w:val="0"/>
          <w:color w:val="auto"/>
          <w:sz w:val="28"/>
          <w:szCs w:val="32"/>
          <w:highlight w:val="none"/>
          <w:lang w:val="en-US" w:eastAsia="zh-CN"/>
        </w:rPr>
        <w:t xml:space="preserve"> </w:t>
      </w:r>
      <w:r>
        <w:rPr>
          <w:rFonts w:hint="eastAsia" w:ascii="黑体" w:hAnsi="黑体" w:eastAsia="黑体" w:cs="黑体"/>
          <w:b w:val="0"/>
          <w:bCs w:val="0"/>
          <w:color w:val="auto"/>
          <w:sz w:val="28"/>
          <w:szCs w:val="32"/>
          <w:highlight w:val="none"/>
        </w:rPr>
        <w:t>对各项保险的一般要求</w:t>
      </w:r>
      <w:bookmarkEnd w:id="860"/>
    </w:p>
    <w:p w14:paraId="7A2F7DF2">
      <w:pPr>
        <w:pStyle w:val="27"/>
        <w:adjustRightInd w:val="0"/>
        <w:snapToGrid w:val="0"/>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第</w:t>
      </w:r>
      <w:r>
        <w:rPr>
          <w:rFonts w:hAnsi="宋体"/>
          <w:bCs/>
          <w:color w:val="auto"/>
          <w:sz w:val="24"/>
          <w:szCs w:val="24"/>
          <w:highlight w:val="none"/>
        </w:rPr>
        <w:t>20.6.6</w:t>
      </w:r>
      <w:r>
        <w:rPr>
          <w:rFonts w:hint="eastAsia" w:hAnsi="宋体"/>
          <w:bCs/>
          <w:color w:val="auto"/>
          <w:sz w:val="24"/>
          <w:szCs w:val="24"/>
          <w:highlight w:val="none"/>
        </w:rPr>
        <w:t>项补充：</w:t>
      </w:r>
    </w:p>
    <w:p w14:paraId="59B37F0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当保险事故发生时，应同时立即向监理人和发包人报告。</w:t>
      </w:r>
    </w:p>
    <w:p w14:paraId="1BC4EA8D">
      <w:pPr>
        <w:adjustRightInd w:val="0"/>
        <w:snapToGrid w:val="0"/>
        <w:spacing w:line="360" w:lineRule="auto"/>
        <w:ind w:firstLine="240" w:firstLineChars="1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本款补充第</w:t>
      </w:r>
      <w:r>
        <w:rPr>
          <w:rFonts w:asciiTheme="minorEastAsia" w:hAnsiTheme="minorEastAsia" w:eastAsiaTheme="minorEastAsia"/>
          <w:bCs/>
          <w:color w:val="auto"/>
          <w:sz w:val="24"/>
          <w:highlight w:val="none"/>
        </w:rPr>
        <w:t>20.6.7</w:t>
      </w:r>
      <w:r>
        <w:rPr>
          <w:rFonts w:hint="eastAsia" w:asciiTheme="minorEastAsia" w:hAnsiTheme="minorEastAsia" w:eastAsiaTheme="minorEastAsia"/>
          <w:bCs/>
          <w:color w:val="auto"/>
          <w:sz w:val="24"/>
          <w:highlight w:val="none"/>
        </w:rPr>
        <w:t>项、第</w:t>
      </w:r>
      <w:r>
        <w:rPr>
          <w:rFonts w:asciiTheme="minorEastAsia" w:hAnsiTheme="minorEastAsia" w:eastAsiaTheme="minorEastAsia"/>
          <w:bCs/>
          <w:color w:val="auto"/>
          <w:sz w:val="24"/>
          <w:highlight w:val="none"/>
        </w:rPr>
        <w:t>20.6.8</w:t>
      </w:r>
      <w:r>
        <w:rPr>
          <w:rFonts w:hint="eastAsia" w:asciiTheme="minorEastAsia" w:hAnsiTheme="minorEastAsia" w:eastAsiaTheme="minorEastAsia"/>
          <w:bCs/>
          <w:color w:val="auto"/>
          <w:sz w:val="24"/>
          <w:highlight w:val="none"/>
        </w:rPr>
        <w:t>项：</w:t>
      </w:r>
    </w:p>
    <w:p w14:paraId="11BF87A8">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 xml:space="preserve">20.6.7 </w:t>
      </w:r>
      <w:r>
        <w:rPr>
          <w:rFonts w:hint="eastAsia" w:ascii="黑体" w:hAnsi="黑体" w:eastAsia="黑体"/>
          <w:color w:val="auto"/>
          <w:sz w:val="24"/>
          <w:highlight w:val="none"/>
        </w:rPr>
        <w:t>遵守保险单的条件</w:t>
      </w:r>
    </w:p>
    <w:p w14:paraId="2724238A">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如果承包人或发包人未能遵守根据合同生效的保险单规定的条件，一方应保障另一方不受由于未能遵守保险单的条件而造成的全部损失和索赔。</w:t>
      </w:r>
    </w:p>
    <w:p w14:paraId="19C831D8">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 xml:space="preserve">20.6.8 </w:t>
      </w:r>
      <w:r>
        <w:rPr>
          <w:rFonts w:hint="eastAsia" w:ascii="黑体" w:hAnsi="黑体" w:eastAsia="黑体"/>
          <w:color w:val="auto"/>
          <w:sz w:val="24"/>
          <w:highlight w:val="none"/>
        </w:rPr>
        <w:t>未能取得保险赔偿的责任</w:t>
      </w:r>
    </w:p>
    <w:p w14:paraId="1145A62B">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任何未予投保的金额或不能从保险人处收回</w:t>
      </w:r>
      <w:r>
        <w:rPr>
          <w:rFonts w:hint="eastAsia" w:ascii="宋体" w:hAnsi="宋体"/>
          <w:color w:val="auto"/>
          <w:sz w:val="24"/>
          <w:highlight w:val="none"/>
          <w:lang w:eastAsia="zh-CN"/>
        </w:rPr>
        <w:t>的补</w:t>
      </w:r>
      <w:r>
        <w:rPr>
          <w:rFonts w:hint="eastAsia" w:ascii="宋体" w:hAnsi="宋体"/>
          <w:color w:val="auto"/>
          <w:sz w:val="24"/>
          <w:highlight w:val="none"/>
        </w:rPr>
        <w:t>偿额（包括免赔额和超过赔偿限额的部分），应根据</w:t>
      </w:r>
      <w:r>
        <w:rPr>
          <w:rFonts w:hint="eastAsia" w:ascii="宋体" w:hAnsi="宋体"/>
          <w:color w:val="auto"/>
          <w:sz w:val="24"/>
          <w:highlight w:val="none"/>
          <w:lang w:val="en-US" w:eastAsia="zh-CN"/>
        </w:rPr>
        <w:t>第</w:t>
      </w:r>
      <w:r>
        <w:rPr>
          <w:rFonts w:ascii="宋体" w:hAnsi="宋体"/>
          <w:color w:val="auto"/>
          <w:sz w:val="24"/>
          <w:highlight w:val="none"/>
        </w:rPr>
        <w:t>21.3</w:t>
      </w:r>
      <w:r>
        <w:rPr>
          <w:rFonts w:hint="eastAsia" w:ascii="宋体" w:hAnsi="宋体"/>
          <w:color w:val="auto"/>
          <w:sz w:val="24"/>
          <w:highlight w:val="none"/>
        </w:rPr>
        <w:t>款对发包人和承包人责任的规定，由发包人或承包人承担。但是，由于下列情况本应却未能从保险人处收回</w:t>
      </w:r>
      <w:r>
        <w:rPr>
          <w:rFonts w:hint="eastAsia" w:ascii="宋体" w:hAnsi="宋体"/>
          <w:color w:val="auto"/>
          <w:sz w:val="24"/>
          <w:highlight w:val="none"/>
          <w:lang w:val="en-US" w:eastAsia="zh-CN"/>
        </w:rPr>
        <w:t>补偿</w:t>
      </w:r>
      <w:r>
        <w:rPr>
          <w:rFonts w:hint="eastAsia" w:ascii="宋体" w:hAnsi="宋体"/>
          <w:color w:val="auto"/>
          <w:sz w:val="24"/>
          <w:highlight w:val="none"/>
        </w:rPr>
        <w:t>额，应由承包人承担全部责任：</w:t>
      </w:r>
    </w:p>
    <w:p w14:paraId="36684CA4">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）承包人未按保险单规定的条件和期限及时向保险人报告事故情况；</w:t>
      </w:r>
    </w:p>
    <w:p w14:paraId="4AB16A5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）承包人未按</w:t>
      </w:r>
      <w:r>
        <w:rPr>
          <w:rFonts w:hint="eastAsia" w:ascii="宋体" w:hAnsi="宋体"/>
          <w:color w:val="auto"/>
          <w:sz w:val="24"/>
          <w:highlight w:val="none"/>
          <w:lang w:val="en-US" w:eastAsia="zh-CN"/>
        </w:rPr>
        <w:t>第</w:t>
      </w:r>
      <w:r>
        <w:rPr>
          <w:rFonts w:ascii="宋体" w:hAnsi="宋体"/>
          <w:color w:val="auto"/>
          <w:sz w:val="24"/>
          <w:highlight w:val="none"/>
        </w:rPr>
        <w:t>20.6.1</w:t>
      </w:r>
      <w:r>
        <w:rPr>
          <w:rFonts w:hint="eastAsia" w:ascii="宋体" w:hAnsi="宋体"/>
          <w:color w:val="auto"/>
          <w:sz w:val="24"/>
          <w:highlight w:val="none"/>
        </w:rPr>
        <w:t>项要求的期限投保；</w:t>
      </w:r>
    </w:p>
    <w:p w14:paraId="2841BDA7">
      <w:pPr>
        <w:adjustRightInd w:val="0"/>
        <w:snapToGrid w:val="0"/>
        <w:spacing w:line="360" w:lineRule="auto"/>
        <w:ind w:firstLine="480" w:firstLineChars="200"/>
        <w:jc w:val="left"/>
        <w:rPr>
          <w:rFonts w:hint="eastAsia" w:ascii="宋体" w:hAnsi="宋体" w:cs="Courier New"/>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）因承包人的其他原因导致本应却未能从保险人处收回</w:t>
      </w:r>
      <w:r>
        <w:rPr>
          <w:rFonts w:hint="eastAsia" w:ascii="宋体" w:hAnsi="宋体"/>
          <w:color w:val="auto"/>
          <w:sz w:val="24"/>
          <w:highlight w:val="none"/>
          <w:lang w:val="en-US" w:eastAsia="zh-CN"/>
        </w:rPr>
        <w:t>补偿</w:t>
      </w:r>
      <w:r>
        <w:rPr>
          <w:rFonts w:hint="eastAsia" w:ascii="宋体" w:hAnsi="宋体"/>
          <w:color w:val="auto"/>
          <w:sz w:val="24"/>
          <w:highlight w:val="none"/>
        </w:rPr>
        <w:t>额的。</w:t>
      </w:r>
    </w:p>
    <w:p w14:paraId="65F2542A">
      <w:pPr>
        <w:pStyle w:val="5"/>
        <w:keepLines w:val="0"/>
        <w:rPr>
          <w:rFonts w:hint="eastAsia" w:ascii="Arial" w:hAnsi="Arial"/>
          <w:b/>
          <w:color w:val="auto"/>
          <w:sz w:val="28"/>
          <w:szCs w:val="32"/>
          <w:highlight w:val="none"/>
        </w:rPr>
      </w:pPr>
      <w:bookmarkStart w:id="861" w:name="_Toc53685792"/>
      <w:r>
        <w:rPr>
          <w:rFonts w:hint="eastAsia" w:ascii="Arial" w:hAnsi="Arial"/>
          <w:b/>
          <w:color w:val="auto"/>
          <w:sz w:val="28"/>
          <w:szCs w:val="32"/>
          <w:highlight w:val="none"/>
        </w:rPr>
        <w:t>21. 不可抗力</w:t>
      </w:r>
      <w:bookmarkEnd w:id="861"/>
    </w:p>
    <w:p w14:paraId="58262010">
      <w:pPr>
        <w:pStyle w:val="6"/>
        <w:jc w:val="both"/>
        <w:rPr>
          <w:rFonts w:hint="eastAsia" w:ascii="黑体" w:hAnsi="黑体" w:cs="黑体"/>
          <w:b w:val="0"/>
          <w:bCs w:val="0"/>
          <w:color w:val="auto"/>
          <w:sz w:val="28"/>
          <w:szCs w:val="32"/>
          <w:highlight w:val="none"/>
        </w:rPr>
      </w:pPr>
      <w:bookmarkStart w:id="862" w:name="_Toc53685793"/>
      <w:r>
        <w:rPr>
          <w:rFonts w:hint="eastAsia" w:ascii="黑体" w:hAnsi="黑体" w:cs="黑体"/>
          <w:b w:val="0"/>
          <w:bCs w:val="0"/>
          <w:color w:val="auto"/>
          <w:sz w:val="28"/>
          <w:szCs w:val="32"/>
          <w:highlight w:val="none"/>
        </w:rPr>
        <w:t>21.1 不可抗力的确认</w:t>
      </w:r>
      <w:bookmarkEnd w:id="862"/>
    </w:p>
    <w:p w14:paraId="4080AFE0">
      <w:pPr>
        <w:spacing w:line="360" w:lineRule="auto"/>
        <w:rPr>
          <w:rFonts w:ascii="宋体" w:hAnsi="宋体"/>
          <w:color w:val="auto"/>
          <w:sz w:val="24"/>
          <w:highlight w:val="none"/>
        </w:rPr>
      </w:pPr>
      <w:r>
        <w:rPr>
          <w:rFonts w:ascii="宋体" w:hAnsi="宋体"/>
          <w:color w:val="auto"/>
          <w:sz w:val="24"/>
          <w:highlight w:val="none"/>
        </w:rPr>
        <w:t xml:space="preserve">  第21.1.1项（6）目约定为：</w:t>
      </w:r>
    </w:p>
    <w:p w14:paraId="63B25CD0">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6）不可抗力的其他情形：</w:t>
      </w:r>
      <w:r>
        <w:rPr>
          <w:rFonts w:ascii="宋体" w:hAnsi="宋体"/>
          <w:color w:val="auto"/>
          <w:sz w:val="24"/>
          <w:highlight w:val="none"/>
          <w:u w:val="single"/>
        </w:rPr>
        <w:t xml:space="preserve">                                       </w:t>
      </w:r>
      <w:r>
        <w:rPr>
          <w:rFonts w:hint="eastAsia" w:ascii="宋体" w:hAnsi="宋体"/>
          <w:color w:val="auto"/>
          <w:sz w:val="24"/>
          <w:highlight w:val="none"/>
        </w:rPr>
        <w:t>。</w:t>
      </w:r>
    </w:p>
    <w:p w14:paraId="1B6086FA">
      <w:pPr>
        <w:pStyle w:val="5"/>
        <w:keepLines w:val="0"/>
        <w:rPr>
          <w:rFonts w:hint="eastAsia" w:ascii="Arial" w:hAnsi="Arial"/>
          <w:b/>
          <w:color w:val="auto"/>
          <w:sz w:val="28"/>
          <w:szCs w:val="32"/>
          <w:highlight w:val="none"/>
        </w:rPr>
      </w:pPr>
      <w:bookmarkStart w:id="863" w:name="_Toc53685794"/>
      <w:r>
        <w:rPr>
          <w:rFonts w:hint="eastAsia" w:ascii="Arial" w:hAnsi="Arial"/>
          <w:b/>
          <w:color w:val="auto"/>
          <w:sz w:val="28"/>
          <w:szCs w:val="32"/>
          <w:highlight w:val="none"/>
        </w:rPr>
        <w:t>22.</w:t>
      </w:r>
      <w:r>
        <w:rPr>
          <w:rFonts w:hint="eastAsia" w:ascii="Arial" w:hAnsi="Arial"/>
          <w:b/>
          <w:color w:val="auto"/>
          <w:sz w:val="28"/>
          <w:szCs w:val="32"/>
          <w:highlight w:val="none"/>
          <w:lang w:val="en-US" w:eastAsia="zh-CN"/>
        </w:rPr>
        <w:t xml:space="preserve"> </w:t>
      </w:r>
      <w:r>
        <w:rPr>
          <w:rFonts w:hint="eastAsia" w:ascii="Arial" w:hAnsi="Arial"/>
          <w:b/>
          <w:color w:val="auto"/>
          <w:sz w:val="28"/>
          <w:szCs w:val="32"/>
          <w:highlight w:val="none"/>
        </w:rPr>
        <w:t>违约</w:t>
      </w:r>
      <w:bookmarkEnd w:id="863"/>
    </w:p>
    <w:p w14:paraId="61930B09">
      <w:pPr>
        <w:pStyle w:val="6"/>
        <w:jc w:val="both"/>
        <w:rPr>
          <w:rFonts w:hint="eastAsia" w:ascii="黑体" w:hAnsi="黑体" w:cs="黑体"/>
          <w:b w:val="0"/>
          <w:bCs w:val="0"/>
          <w:color w:val="auto"/>
          <w:sz w:val="28"/>
          <w:highlight w:val="none"/>
        </w:rPr>
      </w:pPr>
      <w:r>
        <w:rPr>
          <w:rFonts w:hint="eastAsia" w:ascii="黑体" w:hAnsi="黑体" w:cs="黑体"/>
          <w:b w:val="0"/>
          <w:bCs w:val="0"/>
          <w:color w:val="auto"/>
          <w:sz w:val="28"/>
          <w:szCs w:val="32"/>
          <w:highlight w:val="none"/>
        </w:rPr>
        <w:t>22.1 承包人违约</w:t>
      </w:r>
    </w:p>
    <w:p w14:paraId="64248AD2">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22.1.1</w:t>
      </w:r>
      <w:r>
        <w:rPr>
          <w:rFonts w:hint="eastAsia" w:ascii="黑体" w:hAnsi="黑体" w:eastAsia="黑体"/>
          <w:color w:val="auto"/>
          <w:sz w:val="24"/>
          <w:highlight w:val="none"/>
        </w:rPr>
        <w:t>承包人违约的情形</w:t>
      </w:r>
    </w:p>
    <w:p w14:paraId="1C78A868">
      <w:pPr>
        <w:adjustRightInd w:val="0"/>
        <w:snapToGrid w:val="0"/>
        <w:spacing w:line="360" w:lineRule="auto"/>
        <w:ind w:firstLine="480" w:firstLineChars="200"/>
        <w:rPr>
          <w:rFonts w:ascii="黑体" w:hAnsi="黑体" w:eastAsia="黑体"/>
          <w:color w:val="auto"/>
          <w:sz w:val="24"/>
          <w:highlight w:val="none"/>
        </w:rPr>
      </w:pPr>
      <w:r>
        <w:rPr>
          <w:rFonts w:hint="eastAsia" w:ascii="宋体" w:hAnsi="宋体" w:cs="Courier New"/>
          <w:color w:val="auto"/>
          <w:sz w:val="24"/>
          <w:highlight w:val="none"/>
        </w:rPr>
        <w:t>本项补充</w:t>
      </w:r>
      <w:r>
        <w:rPr>
          <w:rFonts w:hint="eastAsia" w:ascii="宋体" w:hAnsi="宋体" w:cs="Courier New"/>
          <w:color w:val="auto"/>
          <w:sz w:val="24"/>
          <w:highlight w:val="none"/>
          <w:lang w:val="en-US" w:eastAsia="zh-CN"/>
        </w:rPr>
        <w:t>第（11）</w:t>
      </w:r>
      <w:r>
        <w:rPr>
          <w:rFonts w:hint="eastAsia" w:ascii="宋体" w:hAnsi="宋体" w:eastAsia="宋体" w:cs="宋体"/>
          <w:color w:val="auto"/>
          <w:sz w:val="24"/>
          <w:highlight w:val="none"/>
          <w:lang w:val="en-US" w:eastAsia="zh-CN"/>
        </w:rPr>
        <w:t>～</w:t>
      </w:r>
      <w:r>
        <w:rPr>
          <w:rFonts w:hint="eastAsia" w:ascii="宋体" w:hAnsi="宋体" w:cs="Courier New"/>
          <w:color w:val="auto"/>
          <w:sz w:val="24"/>
          <w:highlight w:val="none"/>
          <w:lang w:val="en-US" w:eastAsia="zh-CN"/>
        </w:rPr>
        <w:t>（16）目</w:t>
      </w:r>
      <w:r>
        <w:rPr>
          <w:rFonts w:hint="eastAsia" w:ascii="宋体" w:hAnsi="宋体" w:cs="Courier New"/>
          <w:color w:val="auto"/>
          <w:sz w:val="24"/>
          <w:highlight w:val="none"/>
        </w:rPr>
        <w:t>：</w:t>
      </w:r>
    </w:p>
    <w:p w14:paraId="12425473">
      <w:pPr>
        <w:adjustRightInd w:val="0"/>
        <w:snapToGrid w:val="0"/>
        <w:spacing w:line="360" w:lineRule="auto"/>
        <w:ind w:firstLine="360" w:firstLineChars="150"/>
        <w:rPr>
          <w:rFonts w:ascii="宋体" w:hAnsi="宋体" w:cs="Courier New"/>
          <w:color w:val="auto"/>
          <w:sz w:val="24"/>
          <w:highlight w:val="none"/>
        </w:rPr>
      </w:pPr>
      <w:r>
        <w:rPr>
          <w:rFonts w:hint="eastAsia" w:ascii="宋体" w:hAnsi="宋体" w:cs="Courier New"/>
          <w:color w:val="auto"/>
          <w:sz w:val="24"/>
          <w:highlight w:val="none"/>
        </w:rPr>
        <w:t>（</w:t>
      </w:r>
      <w:r>
        <w:rPr>
          <w:rFonts w:ascii="宋体" w:hAnsi="宋体" w:cs="Courier New"/>
          <w:color w:val="auto"/>
          <w:sz w:val="24"/>
          <w:highlight w:val="none"/>
        </w:rPr>
        <w:t>11</w:t>
      </w:r>
      <w:r>
        <w:rPr>
          <w:rFonts w:hint="eastAsia" w:ascii="宋体" w:hAnsi="宋体" w:cs="Courier New"/>
          <w:color w:val="auto"/>
          <w:sz w:val="24"/>
          <w:highlight w:val="none"/>
        </w:rPr>
        <w:t>）承包人</w:t>
      </w:r>
      <w:r>
        <w:rPr>
          <w:rFonts w:hint="eastAsia" w:ascii="宋体" w:hAnsi="宋体"/>
          <w:color w:val="auto"/>
          <w:sz w:val="24"/>
          <w:highlight w:val="none"/>
        </w:rPr>
        <w:t>品质工程及“五化”建设</w:t>
      </w:r>
      <w:r>
        <w:rPr>
          <w:rFonts w:hint="eastAsia" w:ascii="宋体" w:hAnsi="宋体" w:cs="Courier New"/>
          <w:color w:val="auto"/>
          <w:sz w:val="24"/>
          <w:highlight w:val="none"/>
        </w:rPr>
        <w:t>违反第</w:t>
      </w:r>
      <w:r>
        <w:rPr>
          <w:rFonts w:ascii="宋体" w:hAnsi="宋体" w:cs="Courier New"/>
          <w:color w:val="auto"/>
          <w:sz w:val="24"/>
          <w:highlight w:val="none"/>
        </w:rPr>
        <w:t>4.1.11</w:t>
      </w:r>
      <w:r>
        <w:rPr>
          <w:rFonts w:hint="eastAsia" w:ascii="宋体" w:hAnsi="宋体" w:cs="Courier New"/>
          <w:color w:val="auto"/>
          <w:sz w:val="24"/>
          <w:highlight w:val="none"/>
        </w:rPr>
        <w:t>项的约定，且不按要求整改。</w:t>
      </w:r>
    </w:p>
    <w:p w14:paraId="23F2B6CB">
      <w:pPr>
        <w:adjustRightInd w:val="0"/>
        <w:snapToGrid w:val="0"/>
        <w:spacing w:line="360" w:lineRule="auto"/>
        <w:ind w:firstLine="360" w:firstLineChars="150"/>
        <w:rPr>
          <w:rFonts w:hint="eastAsia" w:ascii="宋体" w:hAnsi="宋体" w:eastAsia="宋体" w:cs="Courier New"/>
          <w:color w:val="auto"/>
          <w:sz w:val="24"/>
          <w:highlight w:val="none"/>
          <w:lang w:eastAsia="zh-CN"/>
        </w:rPr>
      </w:pPr>
      <w:r>
        <w:rPr>
          <w:rFonts w:hint="eastAsia" w:ascii="宋体" w:hAnsi="宋体" w:cs="Courier New"/>
          <w:color w:val="auto"/>
          <w:sz w:val="24"/>
          <w:highlight w:val="none"/>
        </w:rPr>
        <w:t>（</w:t>
      </w:r>
      <w:r>
        <w:rPr>
          <w:rFonts w:ascii="宋体" w:hAnsi="宋体" w:cs="Courier New"/>
          <w:color w:val="auto"/>
          <w:sz w:val="24"/>
          <w:highlight w:val="none"/>
        </w:rPr>
        <w:t>12</w:t>
      </w:r>
      <w:r>
        <w:rPr>
          <w:rFonts w:hint="eastAsia" w:ascii="宋体" w:hAnsi="宋体" w:cs="Courier New"/>
          <w:color w:val="auto"/>
          <w:sz w:val="24"/>
          <w:highlight w:val="none"/>
        </w:rPr>
        <w:t>）承包人</w:t>
      </w:r>
      <w:r>
        <w:rPr>
          <w:rFonts w:hint="eastAsia" w:ascii="宋体" w:hAnsi="宋体" w:cs="Courier New"/>
          <w:color w:val="auto"/>
          <w:sz w:val="24"/>
          <w:highlight w:val="none"/>
          <w:lang w:val="en-US" w:eastAsia="zh-CN"/>
        </w:rPr>
        <w:t>出现</w:t>
      </w:r>
      <w:r>
        <w:rPr>
          <w:rFonts w:hint="eastAsia" w:ascii="宋体" w:hAnsi="宋体" w:cs="Courier New"/>
          <w:color w:val="auto"/>
          <w:sz w:val="24"/>
          <w:highlight w:val="none"/>
        </w:rPr>
        <w:t>第</w:t>
      </w:r>
      <w:r>
        <w:rPr>
          <w:rFonts w:hint="eastAsia" w:ascii="宋体" w:hAnsi="宋体" w:cs="Courier New"/>
          <w:color w:val="auto"/>
          <w:sz w:val="24"/>
          <w:highlight w:val="none"/>
          <w:lang w:val="en-US" w:eastAsia="zh-CN"/>
        </w:rPr>
        <w:t>4.6.3项情形</w:t>
      </w:r>
      <w:r>
        <w:rPr>
          <w:rFonts w:hint="eastAsia" w:ascii="宋体" w:hAnsi="宋体"/>
          <w:color w:val="auto"/>
          <w:sz w:val="24"/>
          <w:highlight w:val="none"/>
        </w:rPr>
        <w:t>承包人更换主要人员</w:t>
      </w:r>
      <w:r>
        <w:rPr>
          <w:rFonts w:hint="eastAsia" w:ascii="宋体" w:hAnsi="宋体"/>
          <w:color w:val="auto"/>
          <w:sz w:val="24"/>
          <w:highlight w:val="none"/>
          <w:lang w:val="en-US" w:eastAsia="zh-CN"/>
        </w:rPr>
        <w:t>的</w:t>
      </w:r>
      <w:r>
        <w:rPr>
          <w:rFonts w:hint="eastAsia" w:ascii="宋体" w:hAnsi="宋体" w:cs="Arial"/>
          <w:color w:val="auto"/>
          <w:sz w:val="24"/>
          <w:highlight w:val="none"/>
        </w:rPr>
        <w:t>，须承担违约责任</w:t>
      </w:r>
      <w:r>
        <w:rPr>
          <w:rFonts w:hint="eastAsia" w:ascii="宋体" w:hAnsi="宋体" w:cs="Arial"/>
          <w:color w:val="auto"/>
          <w:sz w:val="24"/>
          <w:highlight w:val="none"/>
          <w:lang w:eastAsia="zh-CN"/>
        </w:rPr>
        <w:t>。</w:t>
      </w:r>
    </w:p>
    <w:p w14:paraId="29C1C6C7">
      <w:pPr>
        <w:adjustRightInd w:val="0"/>
        <w:snapToGrid w:val="0"/>
        <w:spacing w:line="360" w:lineRule="auto"/>
        <w:ind w:firstLine="360" w:firstLineChars="150"/>
        <w:rPr>
          <w:rFonts w:ascii="宋体" w:hAnsi="宋体" w:cs="Courier New"/>
          <w:color w:val="auto"/>
          <w:sz w:val="24"/>
          <w:highlight w:val="none"/>
        </w:rPr>
      </w:pPr>
      <w:r>
        <w:rPr>
          <w:rFonts w:hint="eastAsia" w:ascii="宋体" w:hAnsi="宋体" w:cs="Courier New"/>
          <w:color w:val="auto"/>
          <w:sz w:val="24"/>
          <w:highlight w:val="none"/>
        </w:rPr>
        <w:t>（</w:t>
      </w:r>
      <w:r>
        <w:rPr>
          <w:rFonts w:ascii="宋体" w:hAnsi="宋体" w:cs="Courier New"/>
          <w:color w:val="auto"/>
          <w:sz w:val="24"/>
          <w:highlight w:val="none"/>
        </w:rPr>
        <w:t>13</w:t>
      </w:r>
      <w:r>
        <w:rPr>
          <w:rFonts w:hint="eastAsia" w:ascii="宋体" w:hAnsi="宋体" w:cs="Courier New"/>
          <w:color w:val="auto"/>
          <w:sz w:val="24"/>
          <w:highlight w:val="none"/>
        </w:rPr>
        <w:t>）承包人农民工管理违反第</w:t>
      </w:r>
      <w:r>
        <w:rPr>
          <w:rFonts w:ascii="宋体" w:hAnsi="宋体" w:cs="Courier New"/>
          <w:color w:val="auto"/>
          <w:sz w:val="24"/>
          <w:highlight w:val="none"/>
        </w:rPr>
        <w:t>4.8.7项的约定，且不按要求整改。</w:t>
      </w:r>
    </w:p>
    <w:p w14:paraId="452F30D6">
      <w:pPr>
        <w:adjustRightInd w:val="0"/>
        <w:snapToGrid w:val="0"/>
        <w:spacing w:line="360" w:lineRule="auto"/>
        <w:ind w:firstLine="360" w:firstLineChars="150"/>
        <w:rPr>
          <w:rFonts w:ascii="宋体" w:hAnsi="宋体" w:cs="Courier New"/>
          <w:color w:val="auto"/>
          <w:sz w:val="24"/>
          <w:highlight w:val="none"/>
        </w:rPr>
      </w:pPr>
      <w:r>
        <w:rPr>
          <w:rFonts w:hint="eastAsia" w:ascii="宋体" w:hAnsi="宋体" w:cs="Courier New"/>
          <w:color w:val="auto"/>
          <w:sz w:val="24"/>
          <w:highlight w:val="none"/>
        </w:rPr>
        <w:t>（</w:t>
      </w:r>
      <w:r>
        <w:rPr>
          <w:rFonts w:ascii="宋体" w:hAnsi="宋体" w:cs="Courier New"/>
          <w:color w:val="auto"/>
          <w:sz w:val="24"/>
          <w:highlight w:val="none"/>
        </w:rPr>
        <w:t>14）</w:t>
      </w:r>
      <w:r>
        <w:rPr>
          <w:rFonts w:hint="eastAsia" w:ascii="宋体" w:hAnsi="宋体" w:cs="Arial"/>
          <w:color w:val="auto"/>
          <w:sz w:val="24"/>
          <w:highlight w:val="none"/>
        </w:rPr>
        <w:t>若承包人安全、环保、文明施工、卫生防疫违反第</w:t>
      </w:r>
      <w:r>
        <w:rPr>
          <w:rFonts w:ascii="宋体" w:hAnsi="宋体" w:cs="Arial"/>
          <w:color w:val="auto"/>
          <w:sz w:val="24"/>
          <w:highlight w:val="none"/>
        </w:rPr>
        <w:t>9</w:t>
      </w:r>
      <w:r>
        <w:rPr>
          <w:rFonts w:hint="eastAsia" w:ascii="宋体" w:hAnsi="宋体" w:cs="Arial"/>
          <w:color w:val="auto"/>
          <w:sz w:val="24"/>
          <w:highlight w:val="none"/>
          <w:lang w:val="en-US" w:eastAsia="zh-CN"/>
        </w:rPr>
        <w:t>条</w:t>
      </w:r>
      <w:r>
        <w:rPr>
          <w:rFonts w:hint="eastAsia" w:ascii="宋体" w:hAnsi="宋体" w:cs="Arial"/>
          <w:color w:val="auto"/>
          <w:sz w:val="24"/>
          <w:highlight w:val="none"/>
        </w:rPr>
        <w:t>的有关规定，须承担违约责任。</w:t>
      </w:r>
    </w:p>
    <w:p w14:paraId="67C6AE03">
      <w:pPr>
        <w:adjustRightInd w:val="0"/>
        <w:snapToGrid w:val="0"/>
        <w:spacing w:line="360" w:lineRule="auto"/>
        <w:ind w:firstLine="360" w:firstLineChars="150"/>
        <w:rPr>
          <w:rFonts w:ascii="宋体" w:hAnsi="宋体" w:cs="Courier New"/>
          <w:color w:val="auto"/>
          <w:sz w:val="24"/>
          <w:highlight w:val="none"/>
        </w:rPr>
      </w:pPr>
      <w:r>
        <w:rPr>
          <w:rFonts w:hint="eastAsia" w:ascii="宋体" w:hAnsi="宋体" w:cs="Courier New"/>
          <w:color w:val="auto"/>
          <w:sz w:val="24"/>
          <w:highlight w:val="none"/>
        </w:rPr>
        <w:t>（</w:t>
      </w:r>
      <w:r>
        <w:rPr>
          <w:rFonts w:ascii="宋体" w:hAnsi="宋体" w:cs="Courier New"/>
          <w:color w:val="auto"/>
          <w:sz w:val="24"/>
          <w:highlight w:val="none"/>
        </w:rPr>
        <w:t>15</w:t>
      </w:r>
      <w:r>
        <w:rPr>
          <w:rFonts w:hint="eastAsia" w:ascii="宋体" w:hAnsi="宋体" w:cs="Courier New"/>
          <w:color w:val="auto"/>
          <w:sz w:val="24"/>
          <w:highlight w:val="none"/>
        </w:rPr>
        <w:t>）</w:t>
      </w:r>
      <w:r>
        <w:rPr>
          <w:rFonts w:ascii="宋体" w:hAnsi="宋体" w:cs="Courier New"/>
          <w:color w:val="auto"/>
          <w:sz w:val="24"/>
          <w:highlight w:val="none"/>
        </w:rPr>
        <w:t>工程完工后，承包人拒绝按第18.8</w:t>
      </w:r>
      <w:r>
        <w:rPr>
          <w:rFonts w:hint="eastAsia" w:ascii="宋体" w:hAnsi="宋体" w:cs="Courier New"/>
          <w:color w:val="auto"/>
          <w:sz w:val="24"/>
          <w:highlight w:val="none"/>
        </w:rPr>
        <w:t>款的约定，撤除承包人提供的施工机械设备、临时设施、驻地建设设施以及人员的。</w:t>
      </w:r>
    </w:p>
    <w:p w14:paraId="3372D920">
      <w:pPr>
        <w:adjustRightInd w:val="0"/>
        <w:snapToGrid w:val="0"/>
        <w:spacing w:line="360" w:lineRule="auto"/>
        <w:ind w:firstLine="360" w:firstLineChars="150"/>
        <w:rPr>
          <w:rFonts w:ascii="黑体" w:hAnsi="黑体" w:eastAsia="黑体"/>
          <w:color w:val="auto"/>
          <w:sz w:val="24"/>
          <w:highlight w:val="none"/>
        </w:rPr>
      </w:pPr>
      <w:r>
        <w:rPr>
          <w:rFonts w:hint="eastAsia" w:ascii="宋体" w:hAnsi="宋体" w:cs="Courier New"/>
          <w:color w:val="auto"/>
          <w:sz w:val="24"/>
          <w:highlight w:val="none"/>
        </w:rPr>
        <w:t>（</w:t>
      </w:r>
      <w:r>
        <w:rPr>
          <w:rFonts w:ascii="宋体" w:hAnsi="宋体" w:cs="Courier New"/>
          <w:color w:val="auto"/>
          <w:sz w:val="24"/>
          <w:highlight w:val="none"/>
        </w:rPr>
        <w:t>16</w:t>
      </w:r>
      <w:r>
        <w:rPr>
          <w:rFonts w:hint="eastAsia" w:ascii="宋体" w:hAnsi="宋体" w:cs="Courier New"/>
          <w:color w:val="auto"/>
          <w:sz w:val="24"/>
          <w:highlight w:val="none"/>
        </w:rPr>
        <w:t>）承包人不按合同约定履行义务的其他情况。</w:t>
      </w:r>
    </w:p>
    <w:p w14:paraId="28EBE3EA">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 xml:space="preserve">22.1.2 </w:t>
      </w:r>
      <w:r>
        <w:rPr>
          <w:rFonts w:hint="eastAsia" w:ascii="黑体" w:hAnsi="黑体" w:eastAsia="黑体"/>
          <w:color w:val="auto"/>
          <w:sz w:val="24"/>
          <w:highlight w:val="none"/>
        </w:rPr>
        <w:t>对承包人违约的处理</w:t>
      </w:r>
    </w:p>
    <w:p w14:paraId="01E76DC7">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当</w:t>
      </w:r>
      <w:r>
        <w:rPr>
          <w:rFonts w:ascii="宋体" w:hAnsi="宋体"/>
          <w:color w:val="auto"/>
          <w:sz w:val="24"/>
          <w:highlight w:val="none"/>
        </w:rPr>
        <w:t>承包人发生第22.1.1项约定的违约情况时，发包人有权向承包人课以违约金，具体约定</w:t>
      </w:r>
      <w:r>
        <w:rPr>
          <w:rFonts w:hint="eastAsia" w:ascii="宋体" w:hAnsi="宋体"/>
          <w:color w:val="auto"/>
          <w:sz w:val="24"/>
          <w:highlight w:val="none"/>
          <w:lang w:val="en-US" w:eastAsia="zh-CN"/>
        </w:rPr>
        <w:t>为</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sz w:val="24"/>
          <w:highlight w:val="none"/>
          <w:lang w:val="en-US" w:eastAsia="zh-CN"/>
        </w:rPr>
        <w:t>同时发包人</w:t>
      </w:r>
      <w:r>
        <w:rPr>
          <w:rFonts w:hint="eastAsia" w:ascii="宋体" w:hAnsi="宋体" w:cs="宋体"/>
          <w:color w:val="auto"/>
          <w:sz w:val="24"/>
          <w:highlight w:val="none"/>
        </w:rPr>
        <w:t>将</w:t>
      </w:r>
      <w:r>
        <w:rPr>
          <w:rFonts w:hint="eastAsia" w:ascii="宋体" w:hAnsi="宋体" w:cs="宋体"/>
          <w:color w:val="auto"/>
          <w:sz w:val="24"/>
          <w:highlight w:val="none"/>
          <w:lang w:val="en-US" w:eastAsia="zh-CN"/>
        </w:rPr>
        <w:t>其违约行为上报交通运输主管部门</w:t>
      </w:r>
      <w:r>
        <w:rPr>
          <w:rFonts w:hint="eastAsia" w:ascii="宋体" w:hAnsi="宋体" w:cs="宋体"/>
          <w:color w:val="auto"/>
          <w:sz w:val="24"/>
          <w:highlight w:val="none"/>
        </w:rPr>
        <w:t>，作为不良记录纳入公路建设市场</w:t>
      </w:r>
      <w:r>
        <w:rPr>
          <w:rFonts w:hint="eastAsia" w:ascii="宋体" w:hAnsi="宋体" w:cs="宋体"/>
          <w:color w:val="auto"/>
          <w:sz w:val="24"/>
          <w:highlight w:val="none"/>
          <w:lang w:val="en-US" w:eastAsia="zh-CN"/>
        </w:rPr>
        <w:t>监督</w:t>
      </w:r>
      <w:r>
        <w:rPr>
          <w:rFonts w:hint="eastAsia" w:ascii="宋体" w:hAnsi="宋体" w:cs="宋体"/>
          <w:color w:val="auto"/>
          <w:sz w:val="24"/>
          <w:highlight w:val="none"/>
        </w:rPr>
        <w:t>管理系统。</w:t>
      </w:r>
    </w:p>
    <w:p w14:paraId="5FDD5590">
      <w:pPr>
        <w:pStyle w:val="6"/>
        <w:jc w:val="both"/>
        <w:rPr>
          <w:rFonts w:hint="eastAsia" w:ascii="黑体" w:hAnsi="黑体" w:cs="黑体"/>
          <w:b w:val="0"/>
          <w:bCs w:val="0"/>
          <w:color w:val="auto"/>
          <w:sz w:val="28"/>
          <w:szCs w:val="32"/>
          <w:highlight w:val="none"/>
        </w:rPr>
      </w:pPr>
      <w:bookmarkStart w:id="864" w:name="_Toc53685796"/>
      <w:r>
        <w:rPr>
          <w:rFonts w:hint="eastAsia" w:ascii="黑体" w:hAnsi="黑体" w:cs="黑体"/>
          <w:b w:val="0"/>
          <w:bCs w:val="0"/>
          <w:color w:val="auto"/>
          <w:sz w:val="28"/>
          <w:szCs w:val="32"/>
          <w:highlight w:val="none"/>
        </w:rPr>
        <w:t>22.2 发包人违约</w:t>
      </w:r>
      <w:bookmarkEnd w:id="864"/>
    </w:p>
    <w:p w14:paraId="3B3B8706">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 xml:space="preserve">22.2.2 </w:t>
      </w:r>
      <w:r>
        <w:rPr>
          <w:rFonts w:hint="eastAsia" w:ascii="黑体" w:hAnsi="黑体" w:eastAsia="黑体"/>
          <w:color w:val="auto"/>
          <w:sz w:val="24"/>
          <w:highlight w:val="none"/>
        </w:rPr>
        <w:t>承包人有权暂停施工</w:t>
      </w:r>
    </w:p>
    <w:p w14:paraId="79244F1C">
      <w:pPr>
        <w:adjustRightInd w:val="0"/>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发包人无正当理由不按时返还履约保证金、质量保证金或农民工工资保证金的，发包人应向承包人支付的违约金如下：</w:t>
      </w:r>
      <w:r>
        <w:rPr>
          <w:rFonts w:ascii="宋体" w:hAnsi="宋体"/>
          <w:color w:val="auto"/>
          <w:sz w:val="24"/>
          <w:highlight w:val="none"/>
          <w:u w:val="single"/>
        </w:rPr>
        <w:t xml:space="preserve">                                       </w:t>
      </w:r>
      <w:r>
        <w:rPr>
          <w:rFonts w:hint="eastAsia" w:ascii="宋体" w:hAnsi="宋体"/>
          <w:color w:val="auto"/>
          <w:sz w:val="24"/>
          <w:highlight w:val="none"/>
        </w:rPr>
        <w:t>。</w:t>
      </w:r>
    </w:p>
    <w:p w14:paraId="4014EF18">
      <w:pPr>
        <w:pStyle w:val="5"/>
        <w:keepLines w:val="0"/>
        <w:rPr>
          <w:rFonts w:hint="eastAsia" w:ascii="Arial" w:hAnsi="Arial"/>
          <w:b/>
          <w:color w:val="auto"/>
          <w:sz w:val="28"/>
          <w:szCs w:val="32"/>
          <w:highlight w:val="none"/>
        </w:rPr>
      </w:pPr>
      <w:bookmarkStart w:id="865" w:name="_Toc53685797"/>
      <w:r>
        <w:rPr>
          <w:rFonts w:hint="eastAsia" w:ascii="Arial" w:hAnsi="Arial"/>
          <w:b/>
          <w:color w:val="auto"/>
          <w:sz w:val="28"/>
          <w:szCs w:val="32"/>
          <w:highlight w:val="none"/>
        </w:rPr>
        <w:t>23. 索赔</w:t>
      </w:r>
      <w:bookmarkEnd w:id="865"/>
    </w:p>
    <w:p w14:paraId="6A356038">
      <w:pPr>
        <w:pStyle w:val="6"/>
        <w:jc w:val="both"/>
        <w:rPr>
          <w:rFonts w:hint="eastAsia" w:ascii="黑体" w:hAnsi="黑体" w:cs="黑体"/>
          <w:b w:val="0"/>
          <w:bCs w:val="0"/>
          <w:color w:val="auto"/>
          <w:sz w:val="28"/>
          <w:szCs w:val="32"/>
          <w:highlight w:val="none"/>
        </w:rPr>
      </w:pPr>
      <w:bookmarkStart w:id="866" w:name="_Toc53685798"/>
      <w:r>
        <w:rPr>
          <w:rFonts w:hint="eastAsia" w:ascii="黑体" w:hAnsi="黑体" w:cs="黑体"/>
          <w:b w:val="0"/>
          <w:bCs w:val="0"/>
          <w:color w:val="auto"/>
          <w:sz w:val="28"/>
          <w:szCs w:val="32"/>
          <w:highlight w:val="none"/>
        </w:rPr>
        <w:t>23.2 承包人索赔处理程序</w:t>
      </w:r>
      <w:bookmarkEnd w:id="866"/>
    </w:p>
    <w:p w14:paraId="2D43D77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本款第（</w:t>
      </w:r>
      <w:r>
        <w:rPr>
          <w:rFonts w:ascii="宋体" w:hAnsi="宋体"/>
          <w:color w:val="auto"/>
          <w:sz w:val="24"/>
          <w:highlight w:val="none"/>
        </w:rPr>
        <w:t>2）项</w:t>
      </w:r>
      <w:r>
        <w:rPr>
          <w:rFonts w:hint="eastAsia" w:ascii="宋体" w:hAnsi="宋体"/>
          <w:color w:val="auto"/>
          <w:sz w:val="24"/>
          <w:highlight w:val="none"/>
        </w:rPr>
        <w:t>最后补充：</w:t>
      </w:r>
    </w:p>
    <w:p w14:paraId="0892D4DF">
      <w:pPr>
        <w:spacing w:line="360" w:lineRule="auto"/>
        <w:ind w:firstLine="480"/>
        <w:rPr>
          <w:rFonts w:ascii="宋体" w:hAnsi="宋体"/>
          <w:color w:val="auto"/>
          <w:sz w:val="24"/>
          <w:highlight w:val="none"/>
        </w:rPr>
      </w:pPr>
      <w:bookmarkStart w:id="867" w:name="_Hlk100243543"/>
      <w:r>
        <w:rPr>
          <w:rFonts w:hint="eastAsia" w:ascii="宋体" w:hAnsi="宋体"/>
          <w:color w:val="auto"/>
          <w:sz w:val="24"/>
          <w:highlight w:val="none"/>
        </w:rPr>
        <w:t>如果承包人认为他有权获得工期延长或增加费用，承包人应按第</w:t>
      </w:r>
      <w:r>
        <w:rPr>
          <w:rFonts w:ascii="宋体" w:hAnsi="宋体"/>
          <w:color w:val="auto"/>
          <w:sz w:val="24"/>
          <w:highlight w:val="none"/>
        </w:rPr>
        <w:t>23.1</w:t>
      </w:r>
      <w:r>
        <w:rPr>
          <w:rFonts w:hint="eastAsia" w:ascii="宋体" w:hAnsi="宋体"/>
          <w:color w:val="auto"/>
          <w:sz w:val="24"/>
          <w:highlight w:val="none"/>
          <w:lang w:val="en-US" w:eastAsia="zh-CN"/>
        </w:rPr>
        <w:t>款</w:t>
      </w:r>
      <w:r>
        <w:rPr>
          <w:rFonts w:ascii="宋体" w:hAnsi="宋体"/>
          <w:color w:val="auto"/>
          <w:sz w:val="24"/>
          <w:highlight w:val="none"/>
        </w:rPr>
        <w:t>～</w:t>
      </w:r>
      <w:r>
        <w:rPr>
          <w:rFonts w:hint="eastAsia" w:ascii="宋体" w:hAnsi="宋体"/>
          <w:color w:val="auto"/>
          <w:sz w:val="24"/>
          <w:highlight w:val="none"/>
          <w:lang w:val="en-US" w:eastAsia="zh-CN"/>
        </w:rPr>
        <w:t>第</w:t>
      </w:r>
      <w:r>
        <w:rPr>
          <w:rFonts w:ascii="宋体" w:hAnsi="宋体"/>
          <w:color w:val="auto"/>
          <w:sz w:val="24"/>
          <w:highlight w:val="none"/>
        </w:rPr>
        <w:t>23.3款</w:t>
      </w:r>
      <w:r>
        <w:rPr>
          <w:rFonts w:hint="eastAsia" w:ascii="宋体" w:hAnsi="宋体"/>
          <w:color w:val="auto"/>
          <w:sz w:val="24"/>
          <w:highlight w:val="none"/>
          <w:lang w:eastAsia="zh-CN"/>
        </w:rPr>
        <w:t>（</w:t>
      </w:r>
      <w:r>
        <w:rPr>
          <w:rFonts w:hint="eastAsia" w:ascii="宋体" w:hAnsi="宋体"/>
          <w:color w:val="auto"/>
          <w:sz w:val="24"/>
          <w:highlight w:val="none"/>
        </w:rPr>
        <w:t>承包人索赔</w:t>
      </w:r>
      <w:r>
        <w:rPr>
          <w:rFonts w:hint="eastAsia" w:ascii="宋体" w:hAnsi="宋体"/>
          <w:color w:val="auto"/>
          <w:sz w:val="24"/>
          <w:highlight w:val="none"/>
          <w:lang w:eastAsia="zh-CN"/>
        </w:rPr>
        <w:t>）</w:t>
      </w:r>
      <w:r>
        <w:rPr>
          <w:rFonts w:hint="eastAsia" w:ascii="宋体" w:hAnsi="宋体"/>
          <w:color w:val="auto"/>
          <w:sz w:val="24"/>
          <w:highlight w:val="none"/>
        </w:rPr>
        <w:t>的规定，向监理人发出通知，承包人未按此程序提出索赔的，视为放弃索赔权利。</w:t>
      </w:r>
    </w:p>
    <w:p w14:paraId="64711E26">
      <w:pPr>
        <w:spacing w:line="360" w:lineRule="auto"/>
        <w:ind w:firstLine="480"/>
        <w:rPr>
          <w:rFonts w:ascii="宋体" w:hAnsi="宋体"/>
          <w:color w:val="auto"/>
          <w:sz w:val="24"/>
          <w:highlight w:val="none"/>
        </w:rPr>
      </w:pPr>
      <w:r>
        <w:rPr>
          <w:rFonts w:hint="eastAsia" w:ascii="宋体" w:hAnsi="宋体"/>
          <w:color w:val="auto"/>
          <w:sz w:val="24"/>
          <w:highlight w:val="none"/>
        </w:rPr>
        <w:t>任何一方在得到可能造成工程延迟或中断</w:t>
      </w:r>
      <w:r>
        <w:rPr>
          <w:rFonts w:hint="eastAsia" w:ascii="宋体" w:hAnsi="宋体"/>
          <w:color w:val="auto"/>
          <w:sz w:val="24"/>
          <w:highlight w:val="none"/>
          <w:lang w:eastAsia="zh-CN"/>
        </w:rPr>
        <w:t>，</w:t>
      </w:r>
      <w:r>
        <w:rPr>
          <w:rFonts w:hint="eastAsia" w:ascii="宋体" w:hAnsi="宋体"/>
          <w:color w:val="auto"/>
          <w:sz w:val="24"/>
          <w:highlight w:val="none"/>
        </w:rPr>
        <w:t>或可能导致额外费用索赔的任何情况时，应尽快通知对方。无论何种原因引起的延误，承包人均应采取所有合理措施将影响减至最小</w:t>
      </w:r>
      <w:r>
        <w:rPr>
          <w:rFonts w:hint="eastAsia" w:ascii="宋体" w:hAnsi="宋体"/>
          <w:color w:val="auto"/>
          <w:sz w:val="24"/>
          <w:highlight w:val="none"/>
          <w:lang w:eastAsia="zh-CN"/>
        </w:rPr>
        <w:t>；</w:t>
      </w:r>
      <w:r>
        <w:rPr>
          <w:rFonts w:hint="eastAsia" w:ascii="宋体" w:hAnsi="宋体"/>
          <w:color w:val="auto"/>
          <w:sz w:val="24"/>
          <w:highlight w:val="none"/>
        </w:rPr>
        <w:t>若承包人未采取合理措施降低损失的，无权就扩大部分损失进行索赔。</w:t>
      </w:r>
    </w:p>
    <w:p w14:paraId="3014018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承包人按照索赔程序向监理人发出索赔通知，说明延误的工期和人员、机械窝工的具体费用并附有相关证明材料。承包人未按索赔程序进行索赔的，无权要求增加费用和顺延工期。</w:t>
      </w:r>
      <w:bookmarkEnd w:id="867"/>
    </w:p>
    <w:p w14:paraId="02A00259">
      <w:pPr>
        <w:adjustRightInd w:val="0"/>
        <w:snapToGrid w:val="0"/>
        <w:spacing w:line="360" w:lineRule="auto"/>
        <w:ind w:firstLine="480" w:firstLineChars="200"/>
        <w:rPr>
          <w:rFonts w:hint="eastAsia" w:ascii="宋体" w:hAnsi="宋体"/>
          <w:b w:val="0"/>
          <w:color w:val="auto"/>
          <w:sz w:val="24"/>
          <w:highlight w:val="none"/>
        </w:rPr>
      </w:pPr>
      <w:r>
        <w:rPr>
          <w:rFonts w:hint="eastAsia" w:ascii="宋体" w:hAnsi="宋体"/>
          <w:b w:val="0"/>
          <w:color w:val="auto"/>
          <w:sz w:val="24"/>
          <w:highlight w:val="none"/>
          <w:lang w:val="en-US" w:eastAsia="zh-CN"/>
        </w:rPr>
        <w:t>本节</w:t>
      </w:r>
      <w:r>
        <w:rPr>
          <w:rFonts w:hint="eastAsia" w:ascii="宋体" w:hAnsi="宋体"/>
          <w:b w:val="0"/>
          <w:color w:val="auto"/>
          <w:sz w:val="24"/>
          <w:highlight w:val="none"/>
        </w:rPr>
        <w:t>补充第25</w:t>
      </w:r>
      <w:r>
        <w:rPr>
          <w:rFonts w:hint="eastAsia" w:ascii="宋体" w:hAnsi="宋体"/>
          <w:b w:val="0"/>
          <w:color w:val="auto"/>
          <w:sz w:val="24"/>
          <w:highlight w:val="none"/>
          <w:lang w:val="en-US" w:eastAsia="zh-CN"/>
        </w:rPr>
        <w:t>条</w:t>
      </w:r>
      <w:r>
        <w:rPr>
          <w:rFonts w:hint="eastAsia" w:ascii="宋体" w:hAnsi="宋体" w:cs="Times New Roman"/>
          <w:b w:val="0"/>
          <w:color w:val="auto"/>
          <w:sz w:val="24"/>
          <w:highlight w:val="none"/>
        </w:rPr>
        <w:t>～</w:t>
      </w:r>
      <w:r>
        <w:rPr>
          <w:rFonts w:hint="eastAsia" w:ascii="宋体" w:hAnsi="宋体" w:cs="Times New Roman"/>
          <w:b w:val="0"/>
          <w:color w:val="auto"/>
          <w:sz w:val="24"/>
          <w:highlight w:val="none"/>
          <w:lang w:val="en-US" w:eastAsia="zh-CN"/>
        </w:rPr>
        <w:t>第</w:t>
      </w:r>
      <w:r>
        <w:rPr>
          <w:rFonts w:hint="eastAsia" w:ascii="宋体" w:hAnsi="宋体"/>
          <w:b w:val="0"/>
          <w:color w:val="auto"/>
          <w:sz w:val="24"/>
          <w:highlight w:val="none"/>
          <w:lang w:val="en-US" w:eastAsia="zh-CN"/>
        </w:rPr>
        <w:t>30</w:t>
      </w:r>
      <w:r>
        <w:rPr>
          <w:rFonts w:hint="eastAsia" w:ascii="宋体" w:hAnsi="宋体"/>
          <w:b w:val="0"/>
          <w:color w:val="auto"/>
          <w:sz w:val="24"/>
          <w:highlight w:val="none"/>
        </w:rPr>
        <w:t>条：</w:t>
      </w:r>
    </w:p>
    <w:p w14:paraId="382B54F5">
      <w:pPr>
        <w:pStyle w:val="5"/>
        <w:keepLines w:val="0"/>
        <w:numPr>
          <w:ilvl w:val="-1"/>
          <w:numId w:val="0"/>
        </w:numPr>
        <w:rPr>
          <w:rFonts w:hint="eastAsia" w:ascii="Arial" w:hAnsi="Arial"/>
          <w:b/>
          <w:color w:val="auto"/>
          <w:sz w:val="28"/>
          <w:szCs w:val="32"/>
          <w:highlight w:val="none"/>
        </w:rPr>
      </w:pPr>
      <w:bookmarkStart w:id="868" w:name="_Toc53685800"/>
      <w:r>
        <w:rPr>
          <w:rFonts w:hint="eastAsia" w:ascii="Arial" w:hAnsi="Arial"/>
          <w:b/>
          <w:color w:val="auto"/>
          <w:sz w:val="28"/>
          <w:szCs w:val="32"/>
          <w:highlight w:val="none"/>
        </w:rPr>
        <w:t>2</w:t>
      </w:r>
      <w:r>
        <w:rPr>
          <w:rFonts w:hint="eastAsia" w:ascii="Arial" w:hAnsi="Arial"/>
          <w:b/>
          <w:color w:val="auto"/>
          <w:sz w:val="28"/>
          <w:szCs w:val="32"/>
          <w:highlight w:val="none"/>
          <w:lang w:val="en-US" w:eastAsia="zh-CN"/>
        </w:rPr>
        <w:t>5</w:t>
      </w:r>
      <w:r>
        <w:rPr>
          <w:rFonts w:hint="eastAsia" w:ascii="Arial" w:hAnsi="Arial"/>
          <w:b/>
          <w:color w:val="auto"/>
          <w:sz w:val="28"/>
          <w:szCs w:val="32"/>
          <w:highlight w:val="none"/>
        </w:rPr>
        <w:t>．从业单位信用等级</w:t>
      </w:r>
      <w:bookmarkEnd w:id="868"/>
    </w:p>
    <w:p w14:paraId="17B80872">
      <w:pPr>
        <w:pStyle w:val="27"/>
        <w:spacing w:line="360" w:lineRule="auto"/>
        <w:ind w:firstLine="480" w:firstLineChars="200"/>
        <w:rPr>
          <w:rFonts w:hAnsi="宋体"/>
          <w:color w:val="auto"/>
          <w:sz w:val="24"/>
          <w:szCs w:val="24"/>
          <w:highlight w:val="none"/>
        </w:rPr>
      </w:pPr>
      <w:r>
        <w:rPr>
          <w:rFonts w:hint="eastAsia" w:ascii="Times New Roman" w:hAnsi="Times New Roman"/>
          <w:color w:val="auto"/>
          <w:sz w:val="24"/>
          <w:szCs w:val="24"/>
          <w:highlight w:val="none"/>
        </w:rPr>
        <w:t>发包人将按照四川省交通运输厅</w:t>
      </w:r>
      <w:r>
        <w:rPr>
          <w:rFonts w:hint="eastAsia" w:ascii="宋体" w:hAnsi="宋体"/>
          <w:color w:val="auto"/>
          <w:sz w:val="24"/>
          <w:highlight w:val="none"/>
          <w:u w:val="none"/>
        </w:rPr>
        <w:t>信用管理办法</w:t>
      </w:r>
      <w:r>
        <w:rPr>
          <w:rFonts w:hint="eastAsia" w:ascii="Times New Roman" w:hAnsi="Times New Roman"/>
          <w:color w:val="auto"/>
          <w:sz w:val="24"/>
          <w:szCs w:val="24"/>
          <w:highlight w:val="none"/>
        </w:rPr>
        <w:t>要求，对承包人的人员设备履约、工程管理、安全生产、农民工工资支付、文明标准化施工、廉政建设等方面进行不定期和定期信用评价，并将评价结果上报上级主管单位和</w:t>
      </w:r>
      <w:r>
        <w:rPr>
          <w:rFonts w:hint="eastAsia" w:ascii="Times New Roman" w:hAnsi="Times New Roman"/>
          <w:color w:val="auto"/>
          <w:sz w:val="24"/>
          <w:szCs w:val="24"/>
          <w:highlight w:val="none"/>
          <w:lang w:eastAsia="zh-CN"/>
        </w:rPr>
        <w:t>交通运输主管部门</w:t>
      </w:r>
      <w:r>
        <w:rPr>
          <w:rFonts w:hint="eastAsia" w:ascii="Times New Roman" w:hAnsi="Times New Roman"/>
          <w:color w:val="auto"/>
          <w:sz w:val="24"/>
          <w:szCs w:val="24"/>
          <w:highlight w:val="none"/>
        </w:rPr>
        <w:t>。</w:t>
      </w:r>
    </w:p>
    <w:p w14:paraId="47A887F8">
      <w:pPr>
        <w:pStyle w:val="5"/>
        <w:keepNext w:val="0"/>
        <w:keepLines w:val="0"/>
        <w:rPr>
          <w:rFonts w:hint="eastAsia" w:ascii="Arial" w:hAnsi="Arial"/>
          <w:b/>
          <w:color w:val="auto"/>
          <w:sz w:val="28"/>
          <w:szCs w:val="32"/>
          <w:highlight w:val="none"/>
        </w:rPr>
      </w:pPr>
      <w:bookmarkStart w:id="869" w:name="_Toc53685801"/>
      <w:r>
        <w:rPr>
          <w:rFonts w:hint="eastAsia" w:ascii="Arial" w:hAnsi="Arial"/>
          <w:b/>
          <w:color w:val="auto"/>
          <w:sz w:val="28"/>
          <w:szCs w:val="32"/>
          <w:highlight w:val="none"/>
        </w:rPr>
        <w:t>2</w:t>
      </w:r>
      <w:r>
        <w:rPr>
          <w:rFonts w:hint="eastAsia" w:ascii="Arial" w:hAnsi="Arial"/>
          <w:b/>
          <w:color w:val="auto"/>
          <w:sz w:val="28"/>
          <w:szCs w:val="32"/>
          <w:highlight w:val="none"/>
          <w:lang w:val="en-US" w:eastAsia="zh-CN"/>
        </w:rPr>
        <w:t>6</w:t>
      </w:r>
      <w:r>
        <w:rPr>
          <w:rFonts w:hint="eastAsia" w:ascii="Arial" w:hAnsi="Arial"/>
          <w:b/>
          <w:color w:val="auto"/>
          <w:sz w:val="28"/>
          <w:szCs w:val="32"/>
          <w:highlight w:val="none"/>
        </w:rPr>
        <w:t>．后续管理办法</w:t>
      </w:r>
      <w:bookmarkEnd w:id="869"/>
    </w:p>
    <w:p w14:paraId="63BED5C3">
      <w:pPr>
        <w:adjustRightInd w:val="0"/>
        <w:snapToGrid w:val="0"/>
        <w:spacing w:line="360" w:lineRule="auto"/>
        <w:ind w:firstLine="480" w:firstLineChars="200"/>
        <w:rPr>
          <w:rFonts w:ascii="宋体" w:cs="Courier New"/>
          <w:color w:val="auto"/>
          <w:sz w:val="24"/>
          <w:highlight w:val="none"/>
        </w:rPr>
      </w:pPr>
      <w:r>
        <w:rPr>
          <w:rFonts w:hint="eastAsia" w:ascii="宋体" w:hAnsi="宋体" w:cs="Courier New"/>
          <w:color w:val="auto"/>
          <w:sz w:val="24"/>
          <w:highlight w:val="none"/>
        </w:rPr>
        <w:t>在工程实施过程中，如果有新的规程、办法、规范的颁布实施，本项目将按上级主管部门的决定采用执行，如有费用增减将按专用合同条款第</w:t>
      </w:r>
      <w:r>
        <w:rPr>
          <w:rFonts w:ascii="宋体" w:hAnsi="宋体" w:cs="Courier New"/>
          <w:color w:val="auto"/>
          <w:sz w:val="24"/>
          <w:highlight w:val="none"/>
        </w:rPr>
        <w:t>15</w:t>
      </w:r>
      <w:r>
        <w:rPr>
          <w:rFonts w:hint="eastAsia" w:ascii="宋体" w:hAnsi="宋体" w:cs="Courier New"/>
          <w:color w:val="auto"/>
          <w:sz w:val="24"/>
          <w:highlight w:val="none"/>
        </w:rPr>
        <w:t>条有关规定办理。</w:t>
      </w:r>
    </w:p>
    <w:p w14:paraId="54DEC5FA">
      <w:pPr>
        <w:adjustRightInd w:val="0"/>
        <w:snapToGrid w:val="0"/>
        <w:spacing w:line="360" w:lineRule="auto"/>
        <w:ind w:firstLine="410" w:firstLineChars="171"/>
        <w:rPr>
          <w:rFonts w:hAnsi="宋体"/>
          <w:color w:val="auto"/>
          <w:sz w:val="24"/>
          <w:highlight w:val="none"/>
        </w:rPr>
      </w:pPr>
      <w:r>
        <w:rPr>
          <w:rFonts w:hAnsi="宋体"/>
          <w:color w:val="auto"/>
          <w:sz w:val="24"/>
          <w:highlight w:val="none"/>
        </w:rPr>
        <w:t>施工期间，承包人还应执行发包人针对本项目制定的质量、安全、进度、计量、变更、奖励、资金管理</w:t>
      </w:r>
      <w:r>
        <w:rPr>
          <w:rFonts w:hint="eastAsia" w:hAnsi="宋体"/>
          <w:color w:val="auto"/>
          <w:sz w:val="24"/>
          <w:highlight w:val="none"/>
        </w:rPr>
        <w:t>、竣工文件编制归档</w:t>
      </w:r>
      <w:r>
        <w:rPr>
          <w:rFonts w:hAnsi="宋体"/>
          <w:color w:val="auto"/>
          <w:sz w:val="24"/>
          <w:highlight w:val="none"/>
        </w:rPr>
        <w:t>等方面的管理办法。</w:t>
      </w:r>
    </w:p>
    <w:p w14:paraId="6F00262A">
      <w:pPr>
        <w:pStyle w:val="5"/>
        <w:keepNext w:val="0"/>
        <w:keepLines w:val="0"/>
        <w:rPr>
          <w:rFonts w:hint="eastAsia" w:ascii="Arial" w:hAnsi="Arial"/>
          <w:b/>
          <w:color w:val="auto"/>
          <w:sz w:val="28"/>
          <w:szCs w:val="32"/>
          <w:highlight w:val="none"/>
        </w:rPr>
      </w:pPr>
      <w:bookmarkStart w:id="870" w:name="_Toc53685802"/>
      <w:r>
        <w:rPr>
          <w:rFonts w:hint="eastAsia" w:ascii="Arial" w:hAnsi="Arial"/>
          <w:b/>
          <w:color w:val="auto"/>
          <w:sz w:val="28"/>
          <w:szCs w:val="32"/>
          <w:highlight w:val="none"/>
        </w:rPr>
        <w:t>2</w:t>
      </w:r>
      <w:r>
        <w:rPr>
          <w:rFonts w:hint="eastAsia" w:ascii="Arial" w:hAnsi="Arial"/>
          <w:b/>
          <w:color w:val="auto"/>
          <w:sz w:val="28"/>
          <w:szCs w:val="32"/>
          <w:highlight w:val="none"/>
          <w:lang w:val="en-US" w:eastAsia="zh-CN"/>
        </w:rPr>
        <w:t>7</w:t>
      </w:r>
      <w:r>
        <w:rPr>
          <w:rFonts w:hint="eastAsia" w:ascii="Arial" w:hAnsi="Arial"/>
          <w:b/>
          <w:color w:val="auto"/>
          <w:sz w:val="28"/>
          <w:szCs w:val="32"/>
          <w:highlight w:val="none"/>
        </w:rPr>
        <w:t>．新材料、新工艺使用</w:t>
      </w:r>
      <w:bookmarkEnd w:id="870"/>
    </w:p>
    <w:p w14:paraId="23B4F5D2">
      <w:pPr>
        <w:pStyle w:val="27"/>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在工程实施过程中，发包人按上级要求推广使用新材料、新工艺，承包人应无条件执行，由此造成的造价变化按变更程序办理。</w:t>
      </w:r>
    </w:p>
    <w:p w14:paraId="1B4900C1">
      <w:pPr>
        <w:pStyle w:val="5"/>
        <w:keepLines w:val="0"/>
        <w:numPr>
          <w:ilvl w:val="-1"/>
          <w:numId w:val="0"/>
        </w:numPr>
        <w:rPr>
          <w:rFonts w:hint="eastAsia" w:ascii="黑体" w:hAnsi="黑体" w:cs="黑体"/>
          <w:b/>
          <w:color w:val="auto"/>
          <w:sz w:val="28"/>
          <w:szCs w:val="32"/>
          <w:highlight w:val="none"/>
        </w:rPr>
      </w:pPr>
      <w:bookmarkStart w:id="871" w:name="_Toc53685803"/>
      <w:r>
        <w:rPr>
          <w:rFonts w:hint="eastAsia" w:ascii="Arial" w:hAnsi="Arial"/>
          <w:b/>
          <w:color w:val="auto"/>
          <w:sz w:val="28"/>
          <w:szCs w:val="32"/>
          <w:highlight w:val="none"/>
        </w:rPr>
        <w:t>2</w:t>
      </w:r>
      <w:r>
        <w:rPr>
          <w:rFonts w:hint="eastAsia" w:ascii="Arial" w:hAnsi="Arial"/>
          <w:b/>
          <w:color w:val="auto"/>
          <w:sz w:val="28"/>
          <w:szCs w:val="32"/>
          <w:highlight w:val="none"/>
          <w:lang w:val="en-US" w:eastAsia="zh-CN"/>
        </w:rPr>
        <w:t>8</w:t>
      </w:r>
      <w:r>
        <w:rPr>
          <w:rFonts w:hint="eastAsia" w:ascii="Arial" w:hAnsi="Arial"/>
          <w:b/>
          <w:color w:val="auto"/>
          <w:sz w:val="28"/>
          <w:szCs w:val="32"/>
          <w:highlight w:val="none"/>
        </w:rPr>
        <w:t>．</w:t>
      </w:r>
      <w:r>
        <w:rPr>
          <w:rFonts w:hint="eastAsia" w:ascii="黑体" w:hAnsi="黑体" w:cs="黑体"/>
          <w:b/>
          <w:color w:val="auto"/>
          <w:sz w:val="28"/>
          <w:szCs w:val="32"/>
          <w:highlight w:val="none"/>
        </w:rPr>
        <w:t>开展扫黑除恶斗争</w:t>
      </w:r>
      <w:bookmarkEnd w:id="871"/>
    </w:p>
    <w:p w14:paraId="6A31D84E">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为进一步加强在全省公路水运建设领域内开展扫黑除恶专项斗争，依法严厉打击各类黑恶势力违法犯罪活动，有效净化建设市场和环境，维护企业和公民的合法权益，维护社会治安大局的持续稳定，确保全省重点公路水运项目建设有序进行。</w:t>
      </w:r>
    </w:p>
    <w:p w14:paraId="6315E68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发包人、监理人及承包人不得存在以下违法犯罪活动行为，且若发现</w:t>
      </w:r>
      <w:r>
        <w:rPr>
          <w:rFonts w:hint="eastAsia" w:ascii="宋体" w:hAnsi="宋体"/>
          <w:color w:val="auto"/>
          <w:sz w:val="24"/>
          <w:highlight w:val="none"/>
          <w:lang w:eastAsia="zh-CN"/>
        </w:rPr>
        <w:t>下述</w:t>
      </w:r>
      <w:r>
        <w:rPr>
          <w:rFonts w:hint="eastAsia" w:ascii="宋体" w:hAnsi="宋体"/>
          <w:color w:val="auto"/>
          <w:sz w:val="24"/>
          <w:highlight w:val="none"/>
        </w:rPr>
        <w:t>违法犯罪活动行为的应积极举报：</w:t>
      </w:r>
    </w:p>
    <w:p w14:paraId="05E9001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1）强揽工程行为</w:t>
      </w:r>
    </w:p>
    <w:p w14:paraId="14126A29">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强行推荐施工、劳务队伍，强行肢解分包工程的；</w:t>
      </w:r>
    </w:p>
    <w:p w14:paraId="37C589C4">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2 \* GB3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阻挠合法建筑材料进场，强行供料、租赁设备，强买强卖、强装强卸，强行提供运输服务的；</w:t>
      </w:r>
    </w:p>
    <w:p w14:paraId="40D69ED6">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3 \* GB3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ascii="宋体" w:hAnsi="宋体"/>
          <w:color w:val="auto"/>
          <w:sz w:val="24"/>
          <w:highlight w:val="none"/>
        </w:rPr>
        <w:t>以国家工作人员身份，利用权力强揽工程的。</w:t>
      </w:r>
    </w:p>
    <w:p w14:paraId="20429CC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2）恶意扰乱建设环境行为</w:t>
      </w:r>
    </w:p>
    <w:p w14:paraId="085F0021">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在征地拆迁中“抢栽、抢种、抢建”、煽动闹事、敲诈勒索，故意挑起纠纷事端，矿产压覆赔偿中漫天要价，以谋取不正当利益的；</w:t>
      </w:r>
    </w:p>
    <w:p w14:paraId="0D8BEA1C">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2 \* GB3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故意阻断施工道路、强行拉闸限电，阻挠正常施工的；</w:t>
      </w:r>
    </w:p>
    <w:p w14:paraId="51EF4F3F">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3 \* GB3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ascii="宋体" w:hAnsi="宋体"/>
          <w:color w:val="auto"/>
          <w:sz w:val="24"/>
          <w:highlight w:val="none"/>
        </w:rPr>
        <w:t>破坏、偷盗施工机具、建筑材料或实体工程的；</w:t>
      </w:r>
    </w:p>
    <w:p w14:paraId="20BC9FB6">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4 \* GB3 </w:instrText>
      </w:r>
      <w:r>
        <w:rPr>
          <w:rFonts w:ascii="宋体" w:hAnsi="宋体"/>
          <w:color w:val="auto"/>
          <w:sz w:val="24"/>
          <w:highlight w:val="none"/>
        </w:rPr>
        <w:fldChar w:fldCharType="separate"/>
      </w:r>
      <w:r>
        <w:rPr>
          <w:rFonts w:hint="eastAsia" w:ascii="宋体" w:hAnsi="宋体"/>
          <w:color w:val="auto"/>
          <w:sz w:val="24"/>
          <w:highlight w:val="none"/>
        </w:rPr>
        <w:t>④</w:t>
      </w:r>
      <w:r>
        <w:rPr>
          <w:rFonts w:ascii="宋体" w:hAnsi="宋体"/>
          <w:color w:val="auto"/>
          <w:sz w:val="24"/>
          <w:highlight w:val="none"/>
        </w:rPr>
        <w:fldChar w:fldCharType="end"/>
      </w:r>
      <w:r>
        <w:rPr>
          <w:rFonts w:ascii="宋体" w:hAnsi="宋体"/>
          <w:color w:val="auto"/>
          <w:sz w:val="24"/>
          <w:highlight w:val="none"/>
        </w:rPr>
        <w:t>以国家工作人员身份，利用权力充当黑恶势力“保护伞”的；</w:t>
      </w:r>
    </w:p>
    <w:p w14:paraId="043AAA8F">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5 \* GB3 </w:instrText>
      </w:r>
      <w:r>
        <w:rPr>
          <w:rFonts w:ascii="宋体" w:hAnsi="宋体"/>
          <w:color w:val="auto"/>
          <w:sz w:val="24"/>
          <w:highlight w:val="none"/>
        </w:rPr>
        <w:fldChar w:fldCharType="separate"/>
      </w:r>
      <w:r>
        <w:rPr>
          <w:rFonts w:hint="eastAsia" w:ascii="宋体" w:hAnsi="宋体"/>
          <w:color w:val="auto"/>
          <w:sz w:val="24"/>
          <w:highlight w:val="none"/>
        </w:rPr>
        <w:t>⑤</w:t>
      </w:r>
      <w:r>
        <w:rPr>
          <w:rFonts w:ascii="宋体" w:hAnsi="宋体"/>
          <w:color w:val="auto"/>
          <w:sz w:val="24"/>
          <w:highlight w:val="none"/>
        </w:rPr>
        <w:fldChar w:fldCharType="end"/>
      </w:r>
      <w:r>
        <w:rPr>
          <w:rFonts w:ascii="宋体" w:hAnsi="宋体"/>
          <w:color w:val="auto"/>
          <w:sz w:val="24"/>
          <w:highlight w:val="none"/>
        </w:rPr>
        <w:t>其他故意扰乱建设市场秩序和建设环境的。</w:t>
      </w:r>
    </w:p>
    <w:p w14:paraId="069E557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3）暴力施工行为</w:t>
      </w:r>
    </w:p>
    <w:p w14:paraId="3CA3144E">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施工队伍组织黑恶势力采用威胁、暴力、滋扰等方式胁迫业主、监理、农民工或沿线群众的。</w:t>
      </w:r>
    </w:p>
    <w:p w14:paraId="68E01B63">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对于</w:t>
      </w:r>
      <w:r>
        <w:rPr>
          <w:rFonts w:hint="eastAsia" w:ascii="宋体" w:hAnsi="宋体"/>
          <w:color w:val="auto"/>
          <w:sz w:val="24"/>
          <w:highlight w:val="none"/>
          <w:lang w:val="en-US" w:eastAsia="zh-CN"/>
        </w:rPr>
        <w:t>上述</w:t>
      </w:r>
      <w:r>
        <w:rPr>
          <w:rFonts w:ascii="宋体" w:hAnsi="宋体"/>
          <w:color w:val="auto"/>
          <w:sz w:val="24"/>
          <w:highlight w:val="none"/>
        </w:rPr>
        <w:t>举报线索</w:t>
      </w:r>
      <w:r>
        <w:rPr>
          <w:rFonts w:hint="eastAsia" w:ascii="宋体" w:hAnsi="宋体"/>
          <w:color w:val="auto"/>
          <w:sz w:val="24"/>
          <w:highlight w:val="none"/>
          <w:lang w:eastAsia="zh-CN"/>
        </w:rPr>
        <w:t>交通运输主管部门</w:t>
      </w:r>
      <w:r>
        <w:rPr>
          <w:rFonts w:ascii="宋体" w:hAnsi="宋体"/>
          <w:color w:val="auto"/>
          <w:sz w:val="24"/>
          <w:highlight w:val="none"/>
        </w:rPr>
        <w:t>将严格保密，一经查实将按照相关规定给予奖励；对举报人进行报复的，将依法从严、从重惩处。</w:t>
      </w:r>
    </w:p>
    <w:p w14:paraId="285E5B3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交通运输主管部门</w:t>
      </w:r>
      <w:r>
        <w:rPr>
          <w:rFonts w:ascii="宋体" w:hAnsi="宋体"/>
          <w:color w:val="auto"/>
          <w:sz w:val="24"/>
          <w:highlight w:val="none"/>
        </w:rPr>
        <w:t>将以“零容忍”的态度和“除恶务尽”的决心，集中力量，形成合力，深入排查，重拳出击，依法严厉打击工程建设领域各类涉黑涉恶违法犯罪，铲除黑恶势力滋生蔓延土壤</w:t>
      </w:r>
      <w:r>
        <w:rPr>
          <w:rFonts w:hint="eastAsia" w:ascii="宋体" w:hAnsi="宋体"/>
          <w:color w:val="auto"/>
          <w:sz w:val="24"/>
          <w:highlight w:val="none"/>
        </w:rPr>
        <w:t>。</w:t>
      </w:r>
    </w:p>
    <w:p w14:paraId="5CFB078F">
      <w:pPr>
        <w:pStyle w:val="5"/>
        <w:keepLines w:val="0"/>
        <w:numPr>
          <w:ilvl w:val="-1"/>
          <w:numId w:val="0"/>
        </w:numPr>
        <w:rPr>
          <w:rFonts w:hint="eastAsia" w:ascii="Arial" w:hAnsi="Arial"/>
          <w:b/>
          <w:color w:val="auto"/>
          <w:sz w:val="28"/>
          <w:szCs w:val="32"/>
          <w:highlight w:val="none"/>
        </w:rPr>
      </w:pPr>
      <w:bookmarkStart w:id="872" w:name="_Hlk94097073"/>
      <w:r>
        <w:rPr>
          <w:rFonts w:hint="eastAsia" w:ascii="Arial" w:hAnsi="Arial"/>
          <w:b/>
          <w:color w:val="auto"/>
          <w:sz w:val="28"/>
          <w:szCs w:val="32"/>
          <w:highlight w:val="none"/>
        </w:rPr>
        <w:t>2</w:t>
      </w:r>
      <w:r>
        <w:rPr>
          <w:rFonts w:hint="eastAsia" w:ascii="Arial" w:hAnsi="Arial"/>
          <w:b/>
          <w:color w:val="auto"/>
          <w:sz w:val="28"/>
          <w:szCs w:val="32"/>
          <w:highlight w:val="none"/>
          <w:lang w:val="en-US" w:eastAsia="zh-CN"/>
        </w:rPr>
        <w:t>9</w:t>
      </w:r>
      <w:r>
        <w:rPr>
          <w:rFonts w:hint="eastAsia" w:ascii="Arial" w:hAnsi="Arial"/>
          <w:b/>
          <w:color w:val="auto"/>
          <w:sz w:val="28"/>
          <w:szCs w:val="32"/>
          <w:highlight w:val="none"/>
        </w:rPr>
        <w:t>．节能减排</w:t>
      </w:r>
    </w:p>
    <w:p w14:paraId="4B9CF05C">
      <w:pPr>
        <w:adjustRightInd w:val="0"/>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（1）根据《中华人民共和国节约能源法》、交通运输部《公路工程节能规范》（J</w:t>
      </w:r>
      <w:r>
        <w:rPr>
          <w:rFonts w:ascii="宋体" w:hAnsi="宋体"/>
          <w:color w:val="auto"/>
          <w:sz w:val="24"/>
          <w:highlight w:val="none"/>
        </w:rPr>
        <w:t>TG/T 2340</w:t>
      </w:r>
      <w:r>
        <w:rPr>
          <w:rFonts w:hint="eastAsia" w:ascii="宋体" w:hAnsi="宋体"/>
          <w:color w:val="auto"/>
          <w:sz w:val="24"/>
          <w:highlight w:val="none"/>
          <w:lang w:val="en-US" w:eastAsia="zh-CN"/>
        </w:rPr>
        <w:t xml:space="preserve"> </w:t>
      </w:r>
      <w:r>
        <w:rPr>
          <w:rFonts w:ascii="宋体" w:hAnsi="宋体"/>
          <w:color w:val="auto"/>
          <w:sz w:val="24"/>
          <w:highlight w:val="none"/>
        </w:rPr>
        <w:t>-</w:t>
      </w:r>
      <w:r>
        <w:rPr>
          <w:rFonts w:hint="eastAsia" w:ascii="宋体" w:hAnsi="宋体"/>
          <w:color w:val="auto"/>
          <w:sz w:val="24"/>
          <w:highlight w:val="none"/>
          <w:lang w:val="en-US" w:eastAsia="zh-CN"/>
        </w:rPr>
        <w:t xml:space="preserve"> </w:t>
      </w:r>
      <w:r>
        <w:rPr>
          <w:rFonts w:ascii="宋体" w:hAnsi="宋体"/>
          <w:color w:val="auto"/>
          <w:sz w:val="24"/>
          <w:highlight w:val="none"/>
        </w:rPr>
        <w:t>2020</w:t>
      </w:r>
      <w:r>
        <w:rPr>
          <w:rFonts w:hint="eastAsia" w:ascii="宋体" w:hAnsi="宋体"/>
          <w:color w:val="auto"/>
          <w:sz w:val="24"/>
          <w:highlight w:val="none"/>
        </w:rPr>
        <w:t>）规定，承包人应切实落实设计阶段提出的节能设计方案，并根据实际施工情况，对节能方案进行优化和细化，对选用的设备和系统进行容量核算，降低施工能耗。</w:t>
      </w:r>
    </w:p>
    <w:p w14:paraId="5B1A671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（2）编制施工组织方案时，应将能耗作为重要指标，通过信息化管理优化施工场地布设、施工方法、标准化工艺、作业流程、工序等降低施工期能耗。</w:t>
      </w:r>
    </w:p>
    <w:p w14:paraId="704A11B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（3）施工场地布设应充分利用地形条件，注重节约用地，提高人、车、物资转移的效率，应兼顾永久用地、永久用能设施需求，做好施工期临时用地和临时用能的总体规划。</w:t>
      </w:r>
    </w:p>
    <w:p w14:paraId="1E13DF1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（4）筑路材料的选择应有利于降低材料消耗，提高材料的循环使用率。原材料的采购、运输、堆放、加工、处理、存储、配发等环节应以减少材料损耗和运转能耗为原则实施。</w:t>
      </w:r>
    </w:p>
    <w:p w14:paraId="1661C2F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（5）施工阶段应对重点用能环节进行能耗统计和监测，对主要施工机械加强能耗计量管理。</w:t>
      </w:r>
    </w:p>
    <w:p w14:paraId="781D3278">
      <w:pPr>
        <w:adjustRightInd w:val="0"/>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（6）施工阶段应根据设计的节能产品清单及国家对节能产品的相关规定，优先选用国家、行业相关节能技术目录中的技术或产品。</w:t>
      </w:r>
    </w:p>
    <w:p w14:paraId="2009A2D6">
      <w:pPr>
        <w:pStyle w:val="5"/>
        <w:keepLines w:val="0"/>
        <w:rPr>
          <w:rFonts w:hint="eastAsia" w:ascii="Arial" w:hAnsi="Arial"/>
          <w:b/>
          <w:color w:val="auto"/>
          <w:sz w:val="28"/>
          <w:szCs w:val="32"/>
          <w:highlight w:val="none"/>
        </w:rPr>
      </w:pPr>
      <w:r>
        <w:rPr>
          <w:rFonts w:hint="eastAsia" w:ascii="Arial" w:hAnsi="Arial"/>
          <w:b/>
          <w:color w:val="auto"/>
          <w:sz w:val="28"/>
          <w:szCs w:val="32"/>
          <w:highlight w:val="none"/>
        </w:rPr>
        <w:t>3</w:t>
      </w:r>
      <w:r>
        <w:rPr>
          <w:rFonts w:hint="eastAsia" w:ascii="Arial" w:hAnsi="Arial"/>
          <w:b/>
          <w:color w:val="auto"/>
          <w:sz w:val="28"/>
          <w:szCs w:val="32"/>
          <w:highlight w:val="none"/>
          <w:lang w:val="en-US" w:eastAsia="zh-CN"/>
        </w:rPr>
        <w:t>0</w:t>
      </w:r>
      <w:r>
        <w:rPr>
          <w:rFonts w:hint="eastAsia" w:ascii="Arial" w:hAnsi="Arial"/>
          <w:b/>
          <w:color w:val="auto"/>
          <w:sz w:val="28"/>
          <w:szCs w:val="32"/>
          <w:highlight w:val="none"/>
        </w:rPr>
        <w:t>.</w:t>
      </w:r>
      <w:r>
        <w:rPr>
          <w:rFonts w:hint="eastAsia" w:ascii="Arial" w:hAnsi="Arial"/>
          <w:b/>
          <w:color w:val="auto"/>
          <w:sz w:val="28"/>
          <w:szCs w:val="32"/>
          <w:highlight w:val="none"/>
          <w:lang w:val="en-US" w:eastAsia="zh-CN"/>
        </w:rPr>
        <w:t xml:space="preserve"> </w:t>
      </w:r>
      <w:r>
        <w:rPr>
          <w:rFonts w:hint="eastAsia" w:ascii="Arial" w:hAnsi="Arial"/>
          <w:b/>
          <w:color w:val="auto"/>
          <w:sz w:val="28"/>
          <w:szCs w:val="32"/>
          <w:highlight w:val="none"/>
        </w:rPr>
        <w:t>智慧工地</w:t>
      </w:r>
    </w:p>
    <w:p w14:paraId="0ACE117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承包人应推行建筑信息模型（</w:t>
      </w:r>
      <w:r>
        <w:rPr>
          <w:rFonts w:ascii="宋体" w:hAnsi="宋体"/>
          <w:color w:val="auto"/>
          <w:sz w:val="24"/>
          <w:highlight w:val="none"/>
        </w:rPr>
        <w:t>BIM）技术在施工中的应用。</w:t>
      </w:r>
    </w:p>
    <w:p w14:paraId="416D4EA4">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承包人应开展基于物联网、云计算、移动</w:t>
      </w:r>
      <w:r>
        <w:rPr>
          <w:rFonts w:hint="eastAsia" w:ascii="宋体" w:hAnsi="宋体"/>
          <w:color w:val="auto"/>
          <w:sz w:val="24"/>
          <w:highlight w:val="none"/>
          <w:lang w:eastAsia="zh-CN"/>
        </w:rPr>
        <w:t>通信</w:t>
      </w:r>
      <w:r>
        <w:rPr>
          <w:rFonts w:hint="eastAsia" w:ascii="宋体" w:hAnsi="宋体"/>
          <w:color w:val="auto"/>
          <w:sz w:val="24"/>
          <w:highlight w:val="none"/>
        </w:rPr>
        <w:t>等技术的“智慧工地”建设。</w:t>
      </w:r>
    </w:p>
    <w:p w14:paraId="33E6AEDD">
      <w:pPr>
        <w:adjustRightInd/>
        <w:snapToGrid/>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承包人应纳入联网联控的公路水运建设项目信息化管理系统建设。</w:t>
      </w:r>
    </w:p>
    <w:p w14:paraId="2B3A1D22">
      <w:pPr>
        <w:adjustRightInd/>
        <w:snapToGrid/>
        <w:spacing w:line="240" w:lineRule="auto"/>
        <w:ind w:firstLine="0" w:firstLineChars="0"/>
        <w:rPr>
          <w:rFonts w:hint="eastAsia" w:ascii="宋体" w:hAnsi="宋体"/>
          <w:color w:val="auto"/>
          <w:sz w:val="24"/>
          <w:highlight w:val="none"/>
        </w:rPr>
      </w:pPr>
      <w:r>
        <w:rPr>
          <w:rFonts w:hint="eastAsia" w:ascii="宋体" w:hAnsi="宋体"/>
          <w:color w:val="auto"/>
          <w:sz w:val="24"/>
          <w:highlight w:val="none"/>
        </w:rPr>
        <w:br w:type="page"/>
      </w:r>
    </w:p>
    <w:bookmarkEnd w:id="872"/>
    <w:p w14:paraId="543C11EE">
      <w:pPr>
        <w:pStyle w:val="5"/>
        <w:ind w:firstLine="2400" w:firstLineChars="600"/>
        <w:rPr>
          <w:b w:val="0"/>
          <w:bCs/>
          <w:color w:val="auto"/>
          <w:szCs w:val="40"/>
          <w:highlight w:val="none"/>
          <w:lang w:eastAsia="zh-CN"/>
        </w:rPr>
        <w:sectPr>
          <w:headerReference r:id="rId10" w:type="default"/>
          <w:footnotePr>
            <w:numFmt w:val="decimalEnclosedCircleChinese"/>
            <w:numRestart w:val="eachPage"/>
          </w:footnotePr>
          <w:pgSz w:w="11900" w:h="16838"/>
          <w:pgMar w:top="1417" w:right="1417" w:bottom="1417" w:left="1701" w:header="850" w:footer="624" w:gutter="0"/>
          <w:cols w:space="0" w:num="1"/>
          <w:rtlGutter w:val="0"/>
          <w:docGrid w:linePitch="312" w:charSpace="0"/>
        </w:sectPr>
      </w:pPr>
      <w:bookmarkStart w:id="873" w:name="_Toc27060727"/>
      <w:bookmarkStart w:id="874" w:name="_Toc27059929"/>
      <w:bookmarkStart w:id="875" w:name="_Toc27059827"/>
      <w:bookmarkStart w:id="876" w:name="_Toc27059737"/>
      <w:bookmarkStart w:id="877" w:name="_Toc27059556"/>
      <w:bookmarkStart w:id="878" w:name="_Toc53685804"/>
      <w:r>
        <w:rPr>
          <w:b w:val="0"/>
          <w:bCs/>
          <w:color w:val="auto"/>
          <w:sz w:val="40"/>
          <w:szCs w:val="72"/>
          <w:highlight w:val="none"/>
          <w:lang w:eastAsia="zh-CN"/>
        </w:rPr>
        <w:t>第三</w:t>
      </w:r>
      <w:r>
        <w:rPr>
          <w:rFonts w:hint="default"/>
          <w:b w:val="0"/>
          <w:bCs/>
          <w:color w:val="auto"/>
          <w:sz w:val="40"/>
          <w:szCs w:val="72"/>
          <w:highlight w:val="none"/>
          <w:lang w:eastAsia="zh-CN"/>
        </w:rPr>
        <w:t>节</w:t>
      </w:r>
      <w:r>
        <w:rPr>
          <w:b w:val="0"/>
          <w:bCs/>
          <w:color w:val="auto"/>
          <w:sz w:val="40"/>
          <w:szCs w:val="72"/>
          <w:highlight w:val="none"/>
          <w:lang w:eastAsia="zh-CN"/>
        </w:rPr>
        <w:tab/>
      </w:r>
      <w:r>
        <w:rPr>
          <w:b w:val="0"/>
          <w:bCs/>
          <w:color w:val="auto"/>
          <w:sz w:val="40"/>
          <w:szCs w:val="72"/>
          <w:highlight w:val="none"/>
          <w:lang w:eastAsia="zh-CN"/>
        </w:rPr>
        <w:t xml:space="preserve">  合同附</w:t>
      </w:r>
      <w:r>
        <w:rPr>
          <w:rFonts w:hint="default"/>
          <w:b w:val="0"/>
          <w:bCs/>
          <w:color w:val="auto"/>
          <w:sz w:val="40"/>
          <w:szCs w:val="72"/>
          <w:highlight w:val="none"/>
          <w:lang w:eastAsia="zh-CN"/>
        </w:rPr>
        <w:t>件格式</w:t>
      </w:r>
      <w:bookmarkEnd w:id="873"/>
      <w:bookmarkEnd w:id="874"/>
      <w:bookmarkEnd w:id="875"/>
      <w:bookmarkEnd w:id="876"/>
      <w:bookmarkEnd w:id="877"/>
      <w:bookmarkEnd w:id="878"/>
    </w:p>
    <w:p w14:paraId="292DF51C">
      <w:pPr>
        <w:pStyle w:val="22"/>
        <w:spacing w:before="188" w:line="360" w:lineRule="auto"/>
        <w:ind w:right="-6605"/>
        <w:rPr>
          <w:rFonts w:ascii="黑体" w:hAnsi="黑体" w:eastAsia="黑体"/>
          <w:color w:val="auto"/>
          <w:sz w:val="30"/>
          <w:szCs w:val="30"/>
          <w:highlight w:val="none"/>
        </w:rPr>
      </w:pPr>
      <w:r>
        <w:rPr>
          <w:rFonts w:ascii="黑体" w:hAnsi="黑体" w:eastAsia="黑体"/>
          <w:color w:val="auto"/>
          <w:sz w:val="30"/>
          <w:szCs w:val="30"/>
          <w:highlight w:val="none"/>
        </w:rPr>
        <w:br w:type="page"/>
      </w:r>
    </w:p>
    <w:p w14:paraId="2E844055">
      <w:pPr>
        <w:pStyle w:val="6"/>
        <w:jc w:val="left"/>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附件一 合同协议书</w:t>
      </w:r>
    </w:p>
    <w:p w14:paraId="1D07D67B">
      <w:pPr>
        <w:spacing w:before="198" w:line="360" w:lineRule="auto"/>
        <w:ind w:left="144"/>
        <w:jc w:val="center"/>
        <w:rPr>
          <w:rFonts w:ascii="黑体" w:hAnsi="黑体" w:eastAsia="黑体" w:cs="宋体"/>
          <w:color w:val="auto"/>
          <w:sz w:val="30"/>
          <w:szCs w:val="30"/>
          <w:highlight w:val="none"/>
        </w:rPr>
      </w:pPr>
      <w:r>
        <w:rPr>
          <w:rFonts w:hint="eastAsia" w:ascii="黑体" w:hAnsi="黑体" w:eastAsia="黑体"/>
          <w:color w:val="auto"/>
          <w:sz w:val="28"/>
          <w:szCs w:val="28"/>
          <w:highlight w:val="none"/>
        </w:rPr>
        <w:t>合</w:t>
      </w:r>
      <w:r>
        <w:rPr>
          <w:rFonts w:ascii="黑体" w:hAnsi="黑体" w:eastAsia="黑体"/>
          <w:color w:val="auto"/>
          <w:sz w:val="28"/>
          <w:szCs w:val="28"/>
          <w:highlight w:val="none"/>
        </w:rPr>
        <w:t xml:space="preserve"> 同 </w:t>
      </w:r>
      <w:r>
        <w:rPr>
          <w:rFonts w:hint="eastAsia" w:ascii="黑体" w:hAnsi="黑体" w:eastAsia="黑体" w:cs="宋体"/>
          <w:color w:val="auto"/>
          <w:sz w:val="28"/>
          <w:szCs w:val="28"/>
          <w:highlight w:val="none"/>
        </w:rPr>
        <w:t>协</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议</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书</w:t>
      </w:r>
    </w:p>
    <w:p w14:paraId="47C5947E">
      <w:pPr>
        <w:pStyle w:val="22"/>
        <w:spacing w:line="360" w:lineRule="auto"/>
        <w:rPr>
          <w:color w:val="auto"/>
          <w:highlight w:val="none"/>
        </w:rPr>
      </w:pPr>
    </w:p>
    <w:p w14:paraId="4561B265">
      <w:pPr>
        <w:pStyle w:val="22"/>
        <w:tabs>
          <w:tab w:val="left" w:pos="2304"/>
          <w:tab w:val="left" w:pos="2643"/>
          <w:tab w:val="left" w:pos="8093"/>
          <w:tab w:val="left" w:pos="8254"/>
        </w:tabs>
        <w:spacing w:line="360" w:lineRule="auto"/>
        <w:ind w:right="104" w:firstLine="600" w:firstLineChars="250"/>
        <w:rPr>
          <w:color w:val="auto"/>
          <w:highlight w:val="none"/>
        </w:rPr>
      </w:pPr>
      <w:r>
        <w:rPr>
          <w:color w:val="auto"/>
          <w:highlight w:val="none"/>
          <w:u w:val="single"/>
        </w:rPr>
        <w:tab/>
      </w:r>
      <w:r>
        <w:rPr>
          <w:color w:val="auto"/>
          <w:highlight w:val="none"/>
        </w:rPr>
        <w:t>（</w:t>
      </w:r>
      <w:r>
        <w:rPr>
          <w:rFonts w:hint="eastAsia" w:cs="宋体"/>
          <w:color w:val="auto"/>
          <w:highlight w:val="none"/>
        </w:rPr>
        <w:t>发包人名称，以下简称</w:t>
      </w:r>
      <w:r>
        <w:rPr>
          <w:color w:val="auto"/>
          <w:highlight w:val="none"/>
        </w:rPr>
        <w:t>“</w:t>
      </w:r>
      <w:r>
        <w:rPr>
          <w:rFonts w:hint="eastAsia" w:cs="宋体"/>
          <w:color w:val="auto"/>
          <w:highlight w:val="none"/>
        </w:rPr>
        <w:t>发包人</w:t>
      </w:r>
      <w:r>
        <w:rPr>
          <w:color w:val="auto"/>
          <w:highlight w:val="none"/>
        </w:rPr>
        <w:t>”）</w:t>
      </w:r>
      <w:r>
        <w:rPr>
          <w:rFonts w:hint="eastAsia" w:cs="宋体"/>
          <w:color w:val="auto"/>
          <w:highlight w:val="none"/>
        </w:rPr>
        <w:t>为实施</w:t>
      </w:r>
      <w:r>
        <w:rPr>
          <w:color w:val="auto"/>
          <w:highlight w:val="none"/>
          <w:u w:val="single"/>
        </w:rPr>
        <w:t xml:space="preserve">       </w:t>
      </w:r>
      <w:r>
        <w:rPr>
          <w:color w:val="auto"/>
          <w:highlight w:val="none"/>
        </w:rPr>
        <w:t>（</w:t>
      </w:r>
      <w:r>
        <w:rPr>
          <w:rFonts w:hint="eastAsia" w:cs="宋体"/>
          <w:color w:val="auto"/>
          <w:highlight w:val="none"/>
        </w:rPr>
        <w:t>项目名称</w:t>
      </w:r>
      <w:r>
        <w:rPr>
          <w:color w:val="auto"/>
          <w:highlight w:val="none"/>
        </w:rPr>
        <w:t>）</w:t>
      </w:r>
      <w:r>
        <w:rPr>
          <w:rFonts w:hint="eastAsia" w:cs="宋体"/>
          <w:color w:val="auto"/>
          <w:highlight w:val="none"/>
        </w:rPr>
        <w:t>，已接受</w:t>
      </w:r>
      <w:r>
        <w:rPr>
          <w:color w:val="auto"/>
          <w:highlight w:val="none"/>
          <w:u w:val="single"/>
        </w:rPr>
        <w:t xml:space="preserve"> </w:t>
      </w:r>
      <w:r>
        <w:rPr>
          <w:color w:val="auto"/>
          <w:highlight w:val="none"/>
          <w:u w:val="single"/>
        </w:rPr>
        <w:tab/>
      </w:r>
      <w:r>
        <w:rPr>
          <w:color w:val="auto"/>
          <w:highlight w:val="none"/>
        </w:rPr>
        <w:t>（</w:t>
      </w:r>
      <w:r>
        <w:rPr>
          <w:rFonts w:hint="eastAsia" w:cs="宋体"/>
          <w:color w:val="auto"/>
          <w:highlight w:val="none"/>
        </w:rPr>
        <w:t>承包人名称，以下简称</w:t>
      </w:r>
      <w:r>
        <w:rPr>
          <w:color w:val="auto"/>
          <w:highlight w:val="none"/>
        </w:rPr>
        <w:t>“</w:t>
      </w:r>
      <w:r>
        <w:rPr>
          <w:rFonts w:hint="eastAsia" w:cs="宋体"/>
          <w:color w:val="auto"/>
          <w:highlight w:val="none"/>
        </w:rPr>
        <w:t>承包人</w:t>
      </w:r>
      <w:r>
        <w:rPr>
          <w:color w:val="auto"/>
          <w:highlight w:val="none"/>
        </w:rPr>
        <w:t>”）</w:t>
      </w:r>
      <w:r>
        <w:rPr>
          <w:rFonts w:hint="eastAsia" w:cs="宋体"/>
          <w:color w:val="auto"/>
          <w:highlight w:val="none"/>
        </w:rPr>
        <w:t>对该项目第</w:t>
      </w:r>
      <w:r>
        <w:rPr>
          <w:color w:val="auto"/>
          <w:highlight w:val="none"/>
          <w:u w:val="single"/>
        </w:rPr>
        <w:t xml:space="preserve">   </w:t>
      </w:r>
      <w:r>
        <w:rPr>
          <w:rFonts w:hint="eastAsia" w:cs="宋体"/>
          <w:color w:val="auto"/>
          <w:highlight w:val="none"/>
        </w:rPr>
        <w:t>标段</w:t>
      </w:r>
      <w:r>
        <w:rPr>
          <w:rFonts w:hint="eastAsia" w:cs="宋体"/>
          <w:color w:val="auto"/>
          <w:highlight w:val="none"/>
          <w:lang w:val="en-US" w:eastAsia="zh-CN"/>
        </w:rPr>
        <w:t>施工</w:t>
      </w:r>
      <w:r>
        <w:rPr>
          <w:rFonts w:hint="eastAsia" w:cs="宋体"/>
          <w:color w:val="auto"/>
          <w:highlight w:val="none"/>
        </w:rPr>
        <w:t>的投标。发包人和承包人共同达成如下协议。</w:t>
      </w:r>
    </w:p>
    <w:p w14:paraId="08A3E275">
      <w:pPr>
        <w:pStyle w:val="22"/>
        <w:tabs>
          <w:tab w:val="left" w:pos="1943"/>
        </w:tabs>
        <w:spacing w:line="360" w:lineRule="auto"/>
        <w:ind w:right="102" w:firstLine="480" w:firstLineChars="200"/>
        <w:rPr>
          <w:color w:val="auto"/>
          <w:highlight w:val="none"/>
        </w:rPr>
      </w:pPr>
      <w:r>
        <w:rPr>
          <w:color w:val="auto"/>
          <w:highlight w:val="none"/>
        </w:rPr>
        <w:t>1.</w:t>
      </w:r>
      <w:r>
        <w:rPr>
          <w:rFonts w:hint="eastAsia" w:cs="宋体"/>
          <w:color w:val="auto"/>
          <w:highlight w:val="none"/>
        </w:rPr>
        <w:t>第</w:t>
      </w:r>
      <w:r>
        <w:rPr>
          <w:color w:val="auto"/>
          <w:highlight w:val="none"/>
          <w:u w:val="single"/>
        </w:rPr>
        <w:t xml:space="preserve">     </w:t>
      </w:r>
      <w:r>
        <w:rPr>
          <w:rFonts w:hint="eastAsia" w:cs="宋体"/>
          <w:color w:val="auto"/>
          <w:highlight w:val="none"/>
        </w:rPr>
        <w:t>标段由</w:t>
      </w:r>
      <w:r>
        <w:rPr>
          <w:color w:val="auto"/>
          <w:highlight w:val="none"/>
        </w:rPr>
        <w:t>K</w:t>
      </w:r>
      <w:r>
        <w:rPr>
          <w:color w:val="auto"/>
          <w:highlight w:val="none"/>
          <w:u w:val="single"/>
        </w:rPr>
        <w:t xml:space="preserve">  </w:t>
      </w:r>
      <w:r>
        <w:rPr>
          <w:rFonts w:hint="eastAsia" w:cs="宋体"/>
          <w:color w:val="auto"/>
          <w:highlight w:val="none"/>
        </w:rPr>
        <w:t>＋</w:t>
      </w:r>
      <w:r>
        <w:rPr>
          <w:color w:val="auto"/>
          <w:highlight w:val="none"/>
          <w:u w:val="single"/>
        </w:rPr>
        <w:t xml:space="preserve">  </w:t>
      </w:r>
      <w:r>
        <w:rPr>
          <w:rFonts w:hint="eastAsia" w:cs="宋体"/>
          <w:color w:val="auto"/>
          <w:highlight w:val="none"/>
        </w:rPr>
        <w:t>至</w:t>
      </w:r>
      <w:r>
        <w:rPr>
          <w:color w:val="auto"/>
          <w:highlight w:val="none"/>
        </w:rPr>
        <w:t>K</w:t>
      </w:r>
      <w:r>
        <w:rPr>
          <w:color w:val="auto"/>
          <w:highlight w:val="none"/>
          <w:u w:val="single"/>
        </w:rPr>
        <w:t xml:space="preserve">  </w:t>
      </w:r>
      <w:r>
        <w:rPr>
          <w:rFonts w:hint="eastAsia" w:cs="宋体"/>
          <w:color w:val="auto"/>
          <w:highlight w:val="none"/>
        </w:rPr>
        <w:t>＋</w:t>
      </w:r>
      <w:r>
        <w:rPr>
          <w:color w:val="auto"/>
          <w:highlight w:val="none"/>
          <w:u w:val="single"/>
        </w:rPr>
        <w:t xml:space="preserve">  </w:t>
      </w:r>
      <w:r>
        <w:rPr>
          <w:rFonts w:hint="eastAsia" w:cs="宋体"/>
          <w:color w:val="auto"/>
          <w:highlight w:val="none"/>
        </w:rPr>
        <w:t>，长约</w:t>
      </w:r>
      <w:r>
        <w:rPr>
          <w:color w:val="auto"/>
          <w:highlight w:val="none"/>
          <w:u w:val="single"/>
        </w:rPr>
        <w:t xml:space="preserve">  </w:t>
      </w:r>
      <w:r>
        <w:rPr>
          <w:color w:val="auto"/>
          <w:highlight w:val="none"/>
        </w:rPr>
        <w:t>km</w:t>
      </w:r>
      <w:r>
        <w:rPr>
          <w:rFonts w:hint="eastAsia" w:cs="宋体"/>
          <w:color w:val="auto"/>
          <w:highlight w:val="none"/>
        </w:rPr>
        <w:t>，公路等级为</w:t>
      </w:r>
      <w:r>
        <w:rPr>
          <w:color w:val="auto"/>
          <w:highlight w:val="none"/>
          <w:u w:val="single"/>
        </w:rPr>
        <w:t xml:space="preserve">  </w:t>
      </w:r>
      <w:r>
        <w:rPr>
          <w:rFonts w:hint="eastAsia" w:cs="宋体"/>
          <w:color w:val="auto"/>
          <w:highlight w:val="none"/>
        </w:rPr>
        <w:t>，设计</w:t>
      </w:r>
      <w:r>
        <w:rPr>
          <w:rFonts w:hint="eastAsia" w:cs="宋体"/>
          <w:color w:val="auto"/>
          <w:highlight w:val="none"/>
          <w:lang w:val="en-US" w:eastAsia="zh-CN"/>
        </w:rPr>
        <w:t>速度</w:t>
      </w:r>
      <w:r>
        <w:rPr>
          <w:rFonts w:hint="eastAsia" w:cs="宋体"/>
          <w:color w:val="auto"/>
          <w:highlight w:val="none"/>
        </w:rPr>
        <w:t>为</w:t>
      </w:r>
      <w:r>
        <w:rPr>
          <w:color w:val="auto"/>
          <w:highlight w:val="none"/>
          <w:u w:val="single"/>
        </w:rPr>
        <w:t xml:space="preserve">    </w:t>
      </w:r>
      <w:r>
        <w:rPr>
          <w:rFonts w:hint="eastAsia" w:cs="宋体"/>
          <w:color w:val="auto"/>
          <w:spacing w:val="-6"/>
          <w:highlight w:val="none"/>
        </w:rPr>
        <w:t>，</w:t>
      </w:r>
      <w:r>
        <w:rPr>
          <w:color w:val="auto"/>
          <w:spacing w:val="-6"/>
          <w:highlight w:val="none"/>
          <w:u w:val="single"/>
        </w:rPr>
        <w:t xml:space="preserve">        </w:t>
      </w:r>
      <w:r>
        <w:rPr>
          <w:rFonts w:hint="eastAsia" w:cs="宋体"/>
          <w:color w:val="auto"/>
          <w:highlight w:val="none"/>
        </w:rPr>
        <w:t>路面</w:t>
      </w:r>
      <w:r>
        <w:rPr>
          <w:rFonts w:hint="eastAsia" w:cs="宋体"/>
          <w:color w:val="auto"/>
          <w:highlight w:val="none"/>
          <w:lang w:eastAsia="zh-CN"/>
        </w:rPr>
        <w:t>。</w:t>
      </w:r>
      <w:r>
        <w:rPr>
          <w:rFonts w:hint="eastAsia" w:cs="宋体"/>
          <w:color w:val="auto"/>
          <w:highlight w:val="none"/>
        </w:rPr>
        <w:t>有</w:t>
      </w:r>
      <w:r>
        <w:rPr>
          <w:rFonts w:cs="宋体"/>
          <w:color w:val="auto"/>
          <w:highlight w:val="none"/>
          <w:u w:val="single"/>
        </w:rPr>
        <w:t xml:space="preserve">   </w:t>
      </w:r>
      <w:r>
        <w:rPr>
          <w:rFonts w:hint="eastAsia" w:cs="宋体"/>
          <w:color w:val="auto"/>
          <w:highlight w:val="none"/>
        </w:rPr>
        <w:t>立交</w:t>
      </w:r>
      <w:r>
        <w:rPr>
          <w:color w:val="auto"/>
          <w:spacing w:val="-6"/>
          <w:highlight w:val="none"/>
          <w:u w:val="single"/>
        </w:rPr>
        <w:t xml:space="preserve">    </w:t>
      </w:r>
      <w:r>
        <w:rPr>
          <w:rFonts w:hint="eastAsia" w:cs="宋体"/>
          <w:color w:val="auto"/>
          <w:highlight w:val="none"/>
        </w:rPr>
        <w:t>处；特大桥</w:t>
      </w:r>
      <w:r>
        <w:rPr>
          <w:color w:val="auto"/>
          <w:spacing w:val="-6"/>
          <w:highlight w:val="none"/>
          <w:u w:val="single"/>
        </w:rPr>
        <w:t xml:space="preserve">     </w:t>
      </w:r>
      <w:r>
        <w:rPr>
          <w:rFonts w:hint="eastAsia" w:cs="宋体"/>
          <w:color w:val="auto"/>
          <w:highlight w:val="none"/>
        </w:rPr>
        <w:t>座，</w:t>
      </w:r>
      <w:r>
        <w:rPr>
          <w:rFonts w:hint="eastAsia"/>
          <w:color w:val="auto"/>
          <w:highlight w:val="none"/>
        </w:rPr>
        <w:t>合</w:t>
      </w:r>
      <w:r>
        <w:rPr>
          <w:rFonts w:hint="eastAsia" w:cs="宋体"/>
          <w:color w:val="auto"/>
          <w:highlight w:val="none"/>
        </w:rPr>
        <w:t>计长</w:t>
      </w:r>
      <w:r>
        <w:rPr>
          <w:color w:val="auto"/>
          <w:spacing w:val="-6"/>
          <w:highlight w:val="none"/>
          <w:u w:val="single"/>
        </w:rPr>
        <w:t xml:space="preserve">      </w:t>
      </w:r>
      <w:r>
        <w:rPr>
          <w:color w:val="auto"/>
          <w:highlight w:val="none"/>
        </w:rPr>
        <w:t>m</w:t>
      </w:r>
      <w:r>
        <w:rPr>
          <w:rFonts w:hint="eastAsia" w:cs="宋体"/>
          <w:color w:val="auto"/>
          <w:highlight w:val="none"/>
        </w:rPr>
        <w:t>；大中桥</w:t>
      </w:r>
      <w:r>
        <w:rPr>
          <w:color w:val="auto"/>
          <w:spacing w:val="-6"/>
          <w:highlight w:val="none"/>
          <w:u w:val="single"/>
        </w:rPr>
        <w:t xml:space="preserve">     </w:t>
      </w:r>
      <w:r>
        <w:rPr>
          <w:rFonts w:hint="eastAsia" w:cs="宋体"/>
          <w:color w:val="auto"/>
          <w:highlight w:val="none"/>
        </w:rPr>
        <w:t>座，</w:t>
      </w:r>
      <w:r>
        <w:rPr>
          <w:rFonts w:hint="eastAsia"/>
          <w:color w:val="auto"/>
          <w:highlight w:val="none"/>
        </w:rPr>
        <w:t>合</w:t>
      </w:r>
      <w:r>
        <w:rPr>
          <w:rFonts w:hint="eastAsia" w:cs="宋体"/>
          <w:color w:val="auto"/>
          <w:highlight w:val="none"/>
        </w:rPr>
        <w:t>计长</w:t>
      </w:r>
      <w:r>
        <w:rPr>
          <w:color w:val="auto"/>
          <w:spacing w:val="-6"/>
          <w:highlight w:val="none"/>
          <w:u w:val="single"/>
        </w:rPr>
        <w:t xml:space="preserve">       </w:t>
      </w:r>
      <w:r>
        <w:rPr>
          <w:color w:val="auto"/>
          <w:highlight w:val="none"/>
        </w:rPr>
        <w:t>m</w:t>
      </w:r>
      <w:r>
        <w:rPr>
          <w:rFonts w:hint="eastAsia" w:cs="宋体"/>
          <w:color w:val="auto"/>
          <w:highlight w:val="none"/>
        </w:rPr>
        <w:t>；隧道</w:t>
      </w:r>
      <w:r>
        <w:rPr>
          <w:color w:val="auto"/>
          <w:spacing w:val="-6"/>
          <w:highlight w:val="none"/>
          <w:u w:val="single"/>
        </w:rPr>
        <w:t xml:space="preserve">      </w:t>
      </w:r>
      <w:r>
        <w:rPr>
          <w:rFonts w:hint="eastAsia" w:cs="宋体"/>
          <w:color w:val="auto"/>
          <w:highlight w:val="none"/>
        </w:rPr>
        <w:t>座，计长</w:t>
      </w:r>
      <w:r>
        <w:rPr>
          <w:color w:val="auto"/>
          <w:spacing w:val="-6"/>
          <w:highlight w:val="none"/>
          <w:u w:val="single"/>
        </w:rPr>
        <w:t xml:space="preserve">      </w:t>
      </w:r>
      <w:r>
        <w:rPr>
          <w:color w:val="auto"/>
          <w:highlight w:val="none"/>
        </w:rPr>
        <w:t>m</w:t>
      </w:r>
      <w:r>
        <w:rPr>
          <w:color w:val="auto"/>
          <w:spacing w:val="-1"/>
          <w:highlight w:val="none"/>
        </w:rPr>
        <w:t xml:space="preserve"> </w:t>
      </w:r>
      <w:r>
        <w:rPr>
          <w:rFonts w:hint="eastAsia" w:cs="宋体"/>
          <w:color w:val="auto"/>
          <w:highlight w:val="none"/>
        </w:rPr>
        <w:t>以及其他构造物工程等。</w:t>
      </w:r>
      <w:r>
        <w:rPr>
          <w:rStyle w:val="59"/>
          <w:rFonts w:hint="eastAsia" w:ascii="宋体" w:hAnsi="宋体" w:cs="宋体"/>
          <w:color w:val="auto"/>
          <w:highlight w:val="none"/>
        </w:rPr>
        <w:footnoteReference w:id="230"/>
      </w:r>
    </w:p>
    <w:p w14:paraId="77AF89C2">
      <w:pPr>
        <w:pStyle w:val="22"/>
        <w:spacing w:line="360" w:lineRule="auto"/>
        <w:ind w:right="103" w:firstLine="480" w:firstLineChars="200"/>
        <w:rPr>
          <w:color w:val="auto"/>
          <w:highlight w:val="none"/>
        </w:rPr>
      </w:pPr>
      <w:r>
        <w:rPr>
          <w:color w:val="auto"/>
          <w:highlight w:val="none"/>
        </w:rPr>
        <w:t>2.</w:t>
      </w:r>
      <w:r>
        <w:rPr>
          <w:rFonts w:hint="eastAsia" w:cs="宋体"/>
          <w:color w:val="auto"/>
          <w:highlight w:val="none"/>
        </w:rPr>
        <w:t>下列文件应视为构成合同文件的组成部分：</w:t>
      </w:r>
    </w:p>
    <w:p w14:paraId="49330BC2">
      <w:pPr>
        <w:pStyle w:val="22"/>
        <w:spacing w:line="360" w:lineRule="auto"/>
        <w:ind w:left="0" w:right="103" w:firstLine="480" w:firstLineChars="200"/>
        <w:rPr>
          <w:color w:val="auto"/>
          <w:highlight w:val="none"/>
        </w:rPr>
      </w:pPr>
      <w:r>
        <w:rPr>
          <w:color w:val="auto"/>
          <w:highlight w:val="none"/>
        </w:rPr>
        <w:t>（1）</w:t>
      </w:r>
      <w:r>
        <w:rPr>
          <w:rFonts w:hint="eastAsia" w:cs="宋体"/>
          <w:color w:val="auto"/>
          <w:highlight w:val="none"/>
        </w:rPr>
        <w:t>本协议书及各种合同附件</w:t>
      </w:r>
      <w:r>
        <w:rPr>
          <w:color w:val="auto"/>
          <w:highlight w:val="none"/>
        </w:rPr>
        <w:t>（</w:t>
      </w:r>
      <w:r>
        <w:rPr>
          <w:rFonts w:hint="eastAsia" w:cs="宋体"/>
          <w:color w:val="auto"/>
          <w:highlight w:val="none"/>
        </w:rPr>
        <w:t>含评标期间和合同谈判过程中的澄清文件和补充资料</w:t>
      </w:r>
      <w:r>
        <w:rPr>
          <w:color w:val="auto"/>
          <w:highlight w:val="none"/>
        </w:rPr>
        <w:t>）</w:t>
      </w:r>
      <w:r>
        <w:rPr>
          <w:rFonts w:hint="eastAsia" w:cs="宋体"/>
          <w:color w:val="auto"/>
          <w:highlight w:val="none"/>
        </w:rPr>
        <w:t>；</w:t>
      </w:r>
    </w:p>
    <w:p w14:paraId="3E91F226">
      <w:pPr>
        <w:pStyle w:val="22"/>
        <w:spacing w:line="360" w:lineRule="auto"/>
        <w:ind w:left="0" w:right="240" w:firstLine="480" w:firstLineChars="200"/>
        <w:rPr>
          <w:color w:val="auto"/>
          <w:highlight w:val="none"/>
        </w:rPr>
      </w:pPr>
      <w:r>
        <w:rPr>
          <w:color w:val="auto"/>
          <w:highlight w:val="none"/>
        </w:rPr>
        <w:t>（2）</w:t>
      </w:r>
      <w:r>
        <w:rPr>
          <w:rFonts w:hint="eastAsia" w:cs="宋体"/>
          <w:color w:val="auto"/>
          <w:highlight w:val="none"/>
        </w:rPr>
        <w:t>中标通知书；</w:t>
      </w:r>
    </w:p>
    <w:p w14:paraId="236B0A8A">
      <w:pPr>
        <w:pStyle w:val="22"/>
        <w:spacing w:line="360" w:lineRule="auto"/>
        <w:ind w:left="0" w:right="130" w:firstLine="480" w:firstLineChars="200"/>
        <w:rPr>
          <w:color w:val="auto"/>
          <w:highlight w:val="none"/>
        </w:rPr>
      </w:pPr>
      <w:r>
        <w:rPr>
          <w:color w:val="auto"/>
          <w:highlight w:val="none"/>
        </w:rPr>
        <w:t>（3）</w:t>
      </w:r>
      <w:r>
        <w:rPr>
          <w:rFonts w:hint="eastAsia" w:cs="宋体"/>
          <w:color w:val="auto"/>
          <w:highlight w:val="none"/>
        </w:rPr>
        <w:t>投标函及投标函附录</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含投标函（第二个信封）</w:t>
      </w:r>
      <w:r>
        <w:rPr>
          <w:rFonts w:hint="eastAsia" w:ascii="宋体" w:hAnsi="宋体" w:eastAsia="宋体" w:cs="宋体"/>
          <w:color w:val="auto"/>
          <w:highlight w:val="none"/>
          <w:lang w:eastAsia="zh-CN"/>
        </w:rPr>
        <w:t>］</w:t>
      </w:r>
      <w:r>
        <w:rPr>
          <w:rFonts w:hint="eastAsia" w:cs="宋体"/>
          <w:color w:val="auto"/>
          <w:highlight w:val="none"/>
        </w:rPr>
        <w:t>；</w:t>
      </w:r>
    </w:p>
    <w:p w14:paraId="24E1DF10">
      <w:pPr>
        <w:pStyle w:val="22"/>
        <w:spacing w:line="360" w:lineRule="auto"/>
        <w:ind w:left="0" w:right="240" w:firstLine="480" w:firstLineChars="200"/>
        <w:rPr>
          <w:color w:val="auto"/>
          <w:highlight w:val="none"/>
        </w:rPr>
      </w:pPr>
      <w:r>
        <w:rPr>
          <w:color w:val="auto"/>
          <w:highlight w:val="none"/>
        </w:rPr>
        <w:t>（4）</w:t>
      </w:r>
      <w:r>
        <w:rPr>
          <w:rFonts w:hint="eastAsia" w:cs="宋体"/>
          <w:color w:val="auto"/>
          <w:highlight w:val="none"/>
        </w:rPr>
        <w:t>项目专用合同条款；</w:t>
      </w:r>
    </w:p>
    <w:p w14:paraId="4D718DE1">
      <w:pPr>
        <w:pStyle w:val="22"/>
        <w:spacing w:line="360" w:lineRule="auto"/>
        <w:ind w:left="0" w:right="130" w:firstLine="480" w:firstLineChars="200"/>
        <w:rPr>
          <w:color w:val="auto"/>
          <w:highlight w:val="none"/>
        </w:rPr>
      </w:pPr>
      <w:r>
        <w:rPr>
          <w:color w:val="auto"/>
          <w:highlight w:val="none"/>
        </w:rPr>
        <w:t>（5）</w:t>
      </w:r>
      <w:r>
        <w:rPr>
          <w:rFonts w:hint="eastAsia"/>
          <w:color w:val="auto"/>
          <w:highlight w:val="none"/>
        </w:rPr>
        <w:t>公路工程专用合同条款</w:t>
      </w:r>
      <w:r>
        <w:rPr>
          <w:rFonts w:hint="eastAsia" w:cs="宋体"/>
          <w:color w:val="auto"/>
          <w:highlight w:val="none"/>
        </w:rPr>
        <w:t>；</w:t>
      </w:r>
    </w:p>
    <w:p w14:paraId="6EB2F8C1">
      <w:pPr>
        <w:pStyle w:val="22"/>
        <w:spacing w:line="360" w:lineRule="auto"/>
        <w:ind w:left="0" w:right="130" w:firstLine="480" w:firstLineChars="200"/>
        <w:rPr>
          <w:color w:val="auto"/>
          <w:highlight w:val="none"/>
        </w:rPr>
      </w:pPr>
      <w:r>
        <w:rPr>
          <w:color w:val="auto"/>
          <w:highlight w:val="none"/>
        </w:rPr>
        <w:t>（6）</w:t>
      </w:r>
      <w:r>
        <w:rPr>
          <w:rFonts w:hint="eastAsia" w:cs="宋体"/>
          <w:color w:val="auto"/>
          <w:highlight w:val="none"/>
        </w:rPr>
        <w:t>通用合同条款；</w:t>
      </w:r>
    </w:p>
    <w:p w14:paraId="6F6E99E5">
      <w:pPr>
        <w:pStyle w:val="22"/>
        <w:spacing w:line="360" w:lineRule="auto"/>
        <w:ind w:left="0" w:right="240" w:firstLine="480" w:firstLineChars="200"/>
        <w:rPr>
          <w:color w:val="auto"/>
          <w:highlight w:val="none"/>
        </w:rPr>
      </w:pPr>
      <w:r>
        <w:rPr>
          <w:color w:val="auto"/>
          <w:highlight w:val="none"/>
        </w:rPr>
        <w:t>（7）</w:t>
      </w:r>
      <w:r>
        <w:rPr>
          <w:rFonts w:hint="eastAsia" w:cs="宋体"/>
          <w:color w:val="auto"/>
          <w:highlight w:val="none"/>
        </w:rPr>
        <w:t>工程量清单计量</w:t>
      </w:r>
      <w:r>
        <w:rPr>
          <w:rFonts w:hint="eastAsia" w:cs="宋体"/>
          <w:color w:val="auto"/>
          <w:highlight w:val="none"/>
          <w:lang w:val="en-US" w:eastAsia="zh-CN"/>
        </w:rPr>
        <w:t>规则</w:t>
      </w:r>
      <w:r>
        <w:rPr>
          <w:rFonts w:hint="eastAsia" w:cs="宋体"/>
          <w:color w:val="auto"/>
          <w:highlight w:val="none"/>
        </w:rPr>
        <w:t>（含补充工程量清单计量</w:t>
      </w:r>
      <w:r>
        <w:rPr>
          <w:rFonts w:hint="eastAsia" w:cs="宋体"/>
          <w:color w:val="auto"/>
          <w:highlight w:val="none"/>
          <w:lang w:val="en-US" w:eastAsia="zh-CN"/>
        </w:rPr>
        <w:t>规则</w:t>
      </w:r>
      <w:r>
        <w:rPr>
          <w:rFonts w:hint="eastAsia" w:cs="宋体"/>
          <w:color w:val="auto"/>
          <w:highlight w:val="none"/>
        </w:rPr>
        <w:t>，如有）；</w:t>
      </w:r>
    </w:p>
    <w:p w14:paraId="6AF73896">
      <w:pPr>
        <w:pStyle w:val="22"/>
        <w:spacing w:line="360" w:lineRule="auto"/>
        <w:ind w:left="0" w:right="240" w:firstLine="480" w:firstLineChars="200"/>
        <w:rPr>
          <w:rFonts w:cs="宋体"/>
          <w:color w:val="auto"/>
          <w:highlight w:val="none"/>
        </w:rPr>
      </w:pPr>
      <w:r>
        <w:rPr>
          <w:color w:val="auto"/>
          <w:highlight w:val="none"/>
        </w:rPr>
        <w:t>（8）</w:t>
      </w:r>
      <w:r>
        <w:rPr>
          <w:rFonts w:hint="eastAsia" w:cs="宋体"/>
          <w:color w:val="auto"/>
          <w:highlight w:val="none"/>
        </w:rPr>
        <w:t>技术规范（含补充技术规范，如有）；</w:t>
      </w:r>
    </w:p>
    <w:p w14:paraId="5C9238B1">
      <w:pPr>
        <w:pStyle w:val="22"/>
        <w:spacing w:line="360" w:lineRule="auto"/>
        <w:ind w:left="0" w:right="240" w:firstLine="480" w:firstLineChars="200"/>
        <w:rPr>
          <w:color w:val="auto"/>
          <w:highlight w:val="none"/>
        </w:rPr>
      </w:pPr>
      <w:r>
        <w:rPr>
          <w:color w:val="auto"/>
          <w:highlight w:val="none"/>
        </w:rPr>
        <w:t>（9）</w:t>
      </w:r>
      <w:r>
        <w:rPr>
          <w:rFonts w:hint="eastAsia" w:cs="宋体"/>
          <w:color w:val="auto"/>
          <w:highlight w:val="none"/>
        </w:rPr>
        <w:t>图纸；</w:t>
      </w:r>
    </w:p>
    <w:p w14:paraId="383F167B">
      <w:pPr>
        <w:pStyle w:val="22"/>
        <w:spacing w:line="360" w:lineRule="auto"/>
        <w:ind w:left="0" w:right="240" w:firstLine="480" w:firstLineChars="200"/>
        <w:rPr>
          <w:rFonts w:cs="宋体"/>
          <w:color w:val="auto"/>
          <w:highlight w:val="none"/>
        </w:rPr>
      </w:pPr>
      <w:r>
        <w:rPr>
          <w:color w:val="auto"/>
          <w:highlight w:val="none"/>
        </w:rPr>
        <w:t>（10）</w:t>
      </w:r>
      <w:r>
        <w:rPr>
          <w:rFonts w:hint="eastAsia" w:cs="宋体"/>
          <w:color w:val="auto"/>
          <w:highlight w:val="none"/>
        </w:rPr>
        <w:t>已标价工程量清单（含工程量清单说明）；</w:t>
      </w:r>
    </w:p>
    <w:p w14:paraId="40BE06B7">
      <w:pPr>
        <w:pStyle w:val="22"/>
        <w:spacing w:line="360" w:lineRule="auto"/>
        <w:ind w:left="0" w:right="240" w:firstLine="480" w:firstLineChars="200"/>
        <w:rPr>
          <w:rFonts w:cs="宋体"/>
          <w:color w:val="auto"/>
          <w:highlight w:val="none"/>
        </w:rPr>
      </w:pPr>
      <w:r>
        <w:rPr>
          <w:color w:val="auto"/>
          <w:highlight w:val="none"/>
        </w:rPr>
        <w:t>（11）</w:t>
      </w:r>
      <w:r>
        <w:rPr>
          <w:rFonts w:hint="eastAsia" w:cs="宋体"/>
          <w:color w:val="auto"/>
          <w:highlight w:val="none"/>
        </w:rPr>
        <w:t>承包人有关人员、设备投入的承诺及投标文件中的施工组织设计；</w:t>
      </w:r>
    </w:p>
    <w:p w14:paraId="382BF9BA">
      <w:pPr>
        <w:pStyle w:val="22"/>
        <w:spacing w:line="360" w:lineRule="auto"/>
        <w:ind w:left="0" w:right="240" w:firstLine="480" w:firstLineChars="200"/>
        <w:rPr>
          <w:color w:val="auto"/>
          <w:highlight w:val="none"/>
        </w:rPr>
      </w:pPr>
      <w:r>
        <w:rPr>
          <w:color w:val="auto"/>
          <w:highlight w:val="none"/>
        </w:rPr>
        <w:t>（12）</w:t>
      </w:r>
      <w:r>
        <w:rPr>
          <w:rFonts w:hint="eastAsia" w:cs="宋体"/>
          <w:color w:val="auto"/>
          <w:highlight w:val="none"/>
        </w:rPr>
        <w:t>其他合同文件。</w:t>
      </w:r>
    </w:p>
    <w:p w14:paraId="22B1D17F">
      <w:pPr>
        <w:pStyle w:val="22"/>
        <w:spacing w:line="360" w:lineRule="auto"/>
        <w:ind w:left="0" w:right="103" w:firstLine="480" w:firstLineChars="200"/>
        <w:rPr>
          <w:color w:val="auto"/>
          <w:highlight w:val="none"/>
        </w:rPr>
      </w:pPr>
      <w:r>
        <w:rPr>
          <w:rFonts w:hint="eastAsia" w:cs="宋体"/>
          <w:color w:val="auto"/>
          <w:highlight w:val="none"/>
        </w:rPr>
        <w:t>上述</w:t>
      </w:r>
      <w:r>
        <w:rPr>
          <w:rFonts w:hint="eastAsia" w:cs="宋体"/>
          <w:color w:val="auto"/>
          <w:highlight w:val="none"/>
          <w:lang w:val="en-US" w:eastAsia="zh-CN"/>
        </w:rPr>
        <w:t>合同</w:t>
      </w:r>
      <w:r>
        <w:rPr>
          <w:rFonts w:hint="eastAsia" w:cs="宋体"/>
          <w:color w:val="auto"/>
          <w:highlight w:val="none"/>
        </w:rPr>
        <w:t>文件互相补充和解释，如果合同文件之间存在矛盾或不一致之处，以上述文件的排列顺序在先者为准。</w:t>
      </w:r>
    </w:p>
    <w:p w14:paraId="7470F22C">
      <w:pPr>
        <w:pStyle w:val="22"/>
        <w:spacing w:line="360" w:lineRule="auto"/>
        <w:ind w:right="103" w:firstLine="480" w:firstLineChars="200"/>
        <w:rPr>
          <w:color w:val="auto"/>
          <w:highlight w:val="none"/>
        </w:rPr>
      </w:pPr>
      <w:r>
        <w:rPr>
          <w:color w:val="auto"/>
          <w:highlight w:val="none"/>
        </w:rPr>
        <w:t>3.</w:t>
      </w:r>
      <w:r>
        <w:rPr>
          <w:rFonts w:hint="eastAsia" w:cs="宋体"/>
          <w:color w:val="auto"/>
          <w:highlight w:val="none"/>
        </w:rPr>
        <w:t>根据工程量清单所列的预计数量和单价或总额价计算的签约合同价：人民币</w:t>
      </w:r>
      <w:r>
        <w:rPr>
          <w:color w:val="auto"/>
          <w:highlight w:val="none"/>
        </w:rPr>
        <w:t>（</w:t>
      </w:r>
      <w:r>
        <w:rPr>
          <w:rFonts w:hint="eastAsia" w:cs="宋体"/>
          <w:color w:val="auto"/>
          <w:highlight w:val="none"/>
        </w:rPr>
        <w:t>大写</w:t>
      </w:r>
      <w:r>
        <w:rPr>
          <w:color w:val="auto"/>
          <w:highlight w:val="none"/>
        </w:rPr>
        <w:t>）</w:t>
      </w:r>
      <w:r>
        <w:rPr>
          <w:color w:val="auto"/>
          <w:highlight w:val="none"/>
          <w:u w:val="single"/>
        </w:rPr>
        <w:t xml:space="preserve"> </w:t>
      </w:r>
      <w:r>
        <w:rPr>
          <w:color w:val="auto"/>
          <w:highlight w:val="none"/>
          <w:u w:val="single"/>
        </w:rPr>
        <w:tab/>
      </w:r>
      <w:r>
        <w:rPr>
          <w:color w:val="auto"/>
          <w:highlight w:val="none"/>
          <w:u w:val="single"/>
        </w:rPr>
        <w:t xml:space="preserve">        </w:t>
      </w:r>
      <w:r>
        <w:rPr>
          <w:rFonts w:hint="eastAsia" w:cs="宋体"/>
          <w:color w:val="auto"/>
          <w:highlight w:val="none"/>
        </w:rPr>
        <w:t>元</w:t>
      </w:r>
      <w:r>
        <w:rPr>
          <w:color w:val="auto"/>
          <w:highlight w:val="none"/>
        </w:rPr>
        <w:t>（¥</w:t>
      </w:r>
      <w:r>
        <w:rPr>
          <w:color w:val="auto"/>
          <w:highlight w:val="none"/>
          <w:u w:val="single"/>
        </w:rPr>
        <w:t xml:space="preserve"> </w:t>
      </w:r>
      <w:r>
        <w:rPr>
          <w:color w:val="auto"/>
          <w:highlight w:val="none"/>
          <w:u w:val="single"/>
        </w:rPr>
        <w:tab/>
      </w:r>
      <w:r>
        <w:rPr>
          <w:color w:val="auto"/>
          <w:highlight w:val="none"/>
          <w:u w:val="single"/>
        </w:rPr>
        <w:t xml:space="preserve">     </w:t>
      </w:r>
      <w:r>
        <w:rPr>
          <w:color w:val="auto"/>
          <w:highlight w:val="none"/>
        </w:rPr>
        <w:t>）</w:t>
      </w:r>
      <w:r>
        <w:rPr>
          <w:rFonts w:hint="eastAsia"/>
          <w:color w:val="auto"/>
          <w:spacing w:val="4"/>
          <w:highlight w:val="none"/>
        </w:rPr>
        <w:t>（其中</w:t>
      </w:r>
      <w:r>
        <w:rPr>
          <w:rFonts w:hint="eastAsia"/>
          <w:color w:val="auto"/>
          <w:spacing w:val="4"/>
          <w:highlight w:val="none"/>
          <w:lang w:eastAsia="zh-CN"/>
        </w:rPr>
        <w:t>，</w:t>
      </w:r>
      <w:r>
        <w:rPr>
          <w:rFonts w:hint="eastAsia"/>
          <w:color w:val="auto"/>
          <w:spacing w:val="4"/>
          <w:highlight w:val="none"/>
        </w:rPr>
        <w:t>增值税税率为</w:t>
      </w:r>
      <w:r>
        <w:rPr>
          <w:color w:val="auto"/>
          <w:spacing w:val="4"/>
          <w:highlight w:val="none"/>
          <w:u w:val="single"/>
        </w:rPr>
        <w:t xml:space="preserve">        </w:t>
      </w:r>
      <w:r>
        <w:rPr>
          <w:rFonts w:hint="eastAsia"/>
          <w:color w:val="auto"/>
          <w:spacing w:val="4"/>
          <w:highlight w:val="none"/>
        </w:rPr>
        <w:t>）</w:t>
      </w:r>
      <w:r>
        <w:rPr>
          <w:rFonts w:hint="eastAsia" w:cs="宋体"/>
          <w:color w:val="auto"/>
          <w:highlight w:val="none"/>
        </w:rPr>
        <w:t>。</w:t>
      </w:r>
      <w:r>
        <w:rPr>
          <w:rStyle w:val="59"/>
          <w:rFonts w:hint="eastAsia" w:ascii="宋体" w:hAnsi="宋体"/>
          <w:color w:val="auto"/>
          <w:sz w:val="24"/>
          <w:highlight w:val="none"/>
        </w:rPr>
        <w:footnoteReference w:id="231"/>
      </w:r>
    </w:p>
    <w:p w14:paraId="48FF6366">
      <w:pPr>
        <w:pStyle w:val="22"/>
        <w:tabs>
          <w:tab w:val="left" w:pos="4420"/>
          <w:tab w:val="left" w:pos="8500"/>
        </w:tabs>
        <w:spacing w:line="360" w:lineRule="auto"/>
        <w:ind w:right="103" w:firstLine="480" w:firstLineChars="200"/>
        <w:rPr>
          <w:color w:val="auto"/>
          <w:highlight w:val="none"/>
        </w:rPr>
      </w:pPr>
      <w:r>
        <w:rPr>
          <w:color w:val="auto"/>
          <w:highlight w:val="none"/>
        </w:rPr>
        <w:t>4.</w:t>
      </w:r>
      <w:r>
        <w:rPr>
          <w:rFonts w:hint="eastAsia" w:cs="宋体"/>
          <w:color w:val="auto"/>
          <w:highlight w:val="none"/>
        </w:rPr>
        <w:t>承包人项目经理：</w:t>
      </w:r>
      <w:r>
        <w:rPr>
          <w:color w:val="auto"/>
          <w:highlight w:val="none"/>
          <w:u w:val="single"/>
        </w:rPr>
        <w:t xml:space="preserve"> </w:t>
      </w:r>
      <w:r>
        <w:rPr>
          <w:color w:val="auto"/>
          <w:highlight w:val="none"/>
          <w:u w:val="single"/>
        </w:rPr>
        <w:tab/>
      </w:r>
      <w:r>
        <w:rPr>
          <w:rFonts w:hint="eastAsia" w:cs="宋体"/>
          <w:color w:val="auto"/>
          <w:highlight w:val="none"/>
        </w:rPr>
        <w:t>。承包人项目总工：</w:t>
      </w:r>
      <w:r>
        <w:rPr>
          <w:color w:val="auto"/>
          <w:highlight w:val="none"/>
          <w:u w:val="single"/>
        </w:rPr>
        <w:t xml:space="preserve">      </w:t>
      </w:r>
      <w:r>
        <w:rPr>
          <w:rFonts w:hint="eastAsia" w:cs="宋体"/>
          <w:color w:val="auto"/>
          <w:highlight w:val="none"/>
        </w:rPr>
        <w:t>。</w:t>
      </w:r>
    </w:p>
    <w:p w14:paraId="742C3B35">
      <w:pPr>
        <w:pStyle w:val="22"/>
        <w:tabs>
          <w:tab w:val="left" w:pos="4060"/>
          <w:tab w:val="left" w:pos="8380"/>
        </w:tabs>
        <w:spacing w:line="360" w:lineRule="auto"/>
        <w:ind w:right="103" w:firstLine="480" w:firstLineChars="200"/>
        <w:rPr>
          <w:color w:val="auto"/>
          <w:highlight w:val="none"/>
        </w:rPr>
      </w:pPr>
      <w:r>
        <w:rPr>
          <w:color w:val="auto"/>
          <w:highlight w:val="none"/>
        </w:rPr>
        <w:t>5.</w:t>
      </w:r>
      <w:r>
        <w:rPr>
          <w:rFonts w:hint="eastAsia" w:cs="宋体"/>
          <w:color w:val="auto"/>
          <w:highlight w:val="none"/>
        </w:rPr>
        <w:t>工程质量符合</w:t>
      </w:r>
      <w:r>
        <w:rPr>
          <w:color w:val="auto"/>
          <w:highlight w:val="none"/>
          <w:u w:val="single"/>
        </w:rPr>
        <w:t xml:space="preserve"> </w:t>
      </w:r>
      <w:r>
        <w:rPr>
          <w:color w:val="auto"/>
          <w:highlight w:val="none"/>
          <w:u w:val="single"/>
        </w:rPr>
        <w:tab/>
      </w:r>
      <w:r>
        <w:rPr>
          <w:rFonts w:hint="eastAsia" w:cs="宋体"/>
          <w:color w:val="auto"/>
          <w:highlight w:val="none"/>
        </w:rPr>
        <w:t>标准。工程安全目标：</w:t>
      </w:r>
      <w:r>
        <w:rPr>
          <w:color w:val="auto"/>
          <w:highlight w:val="none"/>
          <w:u w:val="single"/>
        </w:rPr>
        <w:t xml:space="preserve"> </w:t>
      </w:r>
      <w:r>
        <w:rPr>
          <w:color w:val="auto"/>
          <w:highlight w:val="none"/>
          <w:u w:val="single"/>
        </w:rPr>
        <w:tab/>
      </w:r>
      <w:r>
        <w:rPr>
          <w:rFonts w:hint="eastAsia" w:cs="宋体"/>
          <w:color w:val="auto"/>
          <w:highlight w:val="none"/>
        </w:rPr>
        <w:t>。</w:t>
      </w:r>
    </w:p>
    <w:p w14:paraId="56E85264">
      <w:pPr>
        <w:pStyle w:val="22"/>
        <w:spacing w:line="360" w:lineRule="auto"/>
        <w:ind w:right="103" w:firstLine="480" w:firstLineChars="200"/>
        <w:rPr>
          <w:color w:val="auto"/>
          <w:highlight w:val="none"/>
        </w:rPr>
      </w:pPr>
      <w:r>
        <w:rPr>
          <w:color w:val="auto"/>
          <w:highlight w:val="none"/>
        </w:rPr>
        <w:t>6.</w:t>
      </w:r>
      <w:r>
        <w:rPr>
          <w:rFonts w:hint="eastAsia" w:cs="宋体"/>
          <w:color w:val="auto"/>
          <w:highlight w:val="none"/>
        </w:rPr>
        <w:t>承包人承诺按合同约定承担工程的实施、完成及缺陷修复。</w:t>
      </w:r>
    </w:p>
    <w:p w14:paraId="0C0F6AAB">
      <w:pPr>
        <w:pStyle w:val="22"/>
        <w:spacing w:line="360" w:lineRule="auto"/>
        <w:ind w:right="103" w:firstLine="480" w:firstLineChars="200"/>
        <w:rPr>
          <w:color w:val="auto"/>
          <w:highlight w:val="none"/>
        </w:rPr>
      </w:pPr>
      <w:r>
        <w:rPr>
          <w:color w:val="auto"/>
          <w:highlight w:val="none"/>
        </w:rPr>
        <w:t>7.</w:t>
      </w:r>
      <w:r>
        <w:rPr>
          <w:rFonts w:hint="eastAsia" w:cs="宋体"/>
          <w:color w:val="auto"/>
          <w:highlight w:val="none"/>
        </w:rPr>
        <w:t>发包人承诺按合同约定的条件、时间和方式向承包人支付合同价款。</w:t>
      </w:r>
    </w:p>
    <w:p w14:paraId="0E295628">
      <w:pPr>
        <w:pStyle w:val="22"/>
        <w:tabs>
          <w:tab w:val="left" w:pos="5620"/>
        </w:tabs>
        <w:spacing w:line="360" w:lineRule="auto"/>
        <w:ind w:right="144" w:firstLine="480" w:firstLineChars="200"/>
        <w:rPr>
          <w:rFonts w:cs="宋体"/>
          <w:color w:val="auto"/>
          <w:highlight w:val="none"/>
        </w:rPr>
      </w:pPr>
      <w:r>
        <w:rPr>
          <w:color w:val="auto"/>
          <w:highlight w:val="none"/>
        </w:rPr>
        <w:t>8.</w:t>
      </w:r>
      <w:r>
        <w:rPr>
          <w:rFonts w:hint="eastAsia" w:cs="宋体"/>
          <w:color w:val="auto"/>
          <w:highlight w:val="none"/>
        </w:rPr>
        <w:t>承包人应按照监理人指示开工，工期为</w:t>
      </w:r>
      <w:r>
        <w:rPr>
          <w:color w:val="auto"/>
          <w:highlight w:val="none"/>
          <w:u w:val="single"/>
        </w:rPr>
        <w:t xml:space="preserve"> </w:t>
      </w:r>
      <w:r>
        <w:rPr>
          <w:color w:val="auto"/>
          <w:highlight w:val="none"/>
          <w:u w:val="single"/>
        </w:rPr>
        <w:tab/>
      </w:r>
      <w:r>
        <w:rPr>
          <w:rFonts w:hint="eastAsia"/>
          <w:color w:val="auto"/>
          <w:highlight w:val="none"/>
          <w:u w:val="none"/>
          <w:lang w:val="en-US" w:eastAsia="zh-CN"/>
        </w:rPr>
        <w:t>个</w:t>
      </w:r>
      <w:r>
        <w:rPr>
          <w:rFonts w:hint="eastAsia" w:cs="宋体"/>
          <w:color w:val="auto"/>
          <w:highlight w:val="none"/>
        </w:rPr>
        <w:t>月。</w:t>
      </w:r>
    </w:p>
    <w:p w14:paraId="291ADEC9">
      <w:pPr>
        <w:pStyle w:val="22"/>
        <w:tabs>
          <w:tab w:val="left" w:pos="5620"/>
        </w:tabs>
        <w:spacing w:line="360" w:lineRule="auto"/>
        <w:ind w:right="144" w:firstLine="480" w:firstLineChars="200"/>
        <w:rPr>
          <w:rFonts w:cs="宋体"/>
          <w:color w:val="auto"/>
          <w:highlight w:val="none"/>
        </w:rPr>
      </w:pPr>
      <w:r>
        <w:rPr>
          <w:color w:val="auto"/>
          <w:highlight w:val="none"/>
        </w:rPr>
        <w:t>9.</w:t>
      </w:r>
      <w:r>
        <w:rPr>
          <w:rFonts w:hint="eastAsia" w:cs="宋体"/>
          <w:color w:val="auto"/>
          <w:highlight w:val="none"/>
        </w:rPr>
        <w:t>本协议书在承包人提供履约保证金后，由双方法定代表人或其委托代理人签署并加盖单位章后生效。全部工程完工后经交工验收合格、缺陷责任期满签发缺陷责任终止证书后失效。</w:t>
      </w:r>
    </w:p>
    <w:p w14:paraId="0758D35E">
      <w:pPr>
        <w:pStyle w:val="22"/>
        <w:tabs>
          <w:tab w:val="left" w:pos="5620"/>
        </w:tabs>
        <w:spacing w:line="360" w:lineRule="auto"/>
        <w:ind w:firstLine="480" w:firstLineChars="200"/>
        <w:rPr>
          <w:rFonts w:cs="宋体"/>
          <w:color w:val="auto"/>
          <w:highlight w:val="none"/>
        </w:rPr>
      </w:pPr>
      <w:r>
        <w:rPr>
          <w:color w:val="auto"/>
          <w:highlight w:val="none"/>
        </w:rPr>
        <w:t>10.</w:t>
      </w:r>
      <w:r>
        <w:rPr>
          <w:rFonts w:hint="eastAsia" w:cs="宋体"/>
          <w:color w:val="auto"/>
          <w:highlight w:val="none"/>
        </w:rPr>
        <w:t>本协议书正本二份、副本</w:t>
      </w:r>
      <w:r>
        <w:rPr>
          <w:color w:val="auto"/>
          <w:highlight w:val="none"/>
          <w:u w:val="single"/>
        </w:rPr>
        <w:t xml:space="preserve">    </w:t>
      </w:r>
      <w:r>
        <w:rPr>
          <w:rFonts w:hint="eastAsia" w:cs="宋体"/>
          <w:color w:val="auto"/>
          <w:highlight w:val="none"/>
        </w:rPr>
        <w:t>份，合同双方各执正本一份，副本</w:t>
      </w:r>
      <w:r>
        <w:rPr>
          <w:color w:val="auto"/>
          <w:highlight w:val="none"/>
          <w:u w:val="single"/>
        </w:rPr>
        <w:t xml:space="preserve">   </w:t>
      </w:r>
      <w:r>
        <w:rPr>
          <w:rFonts w:hint="eastAsia" w:cs="宋体"/>
          <w:color w:val="auto"/>
          <w:highlight w:val="none"/>
        </w:rPr>
        <w:t>份，</w:t>
      </w:r>
      <w:r>
        <w:rPr>
          <w:color w:val="auto"/>
          <w:highlight w:val="none"/>
        </w:rPr>
        <w:t xml:space="preserve"> </w:t>
      </w:r>
      <w:r>
        <w:rPr>
          <w:rFonts w:hint="eastAsia" w:cs="宋体"/>
          <w:color w:val="auto"/>
          <w:highlight w:val="none"/>
        </w:rPr>
        <w:t>当正本与副本的内容不一致时，以正本为准。</w:t>
      </w:r>
    </w:p>
    <w:p w14:paraId="657F425D">
      <w:pPr>
        <w:pStyle w:val="22"/>
        <w:tabs>
          <w:tab w:val="left" w:pos="5620"/>
        </w:tabs>
        <w:spacing w:line="360" w:lineRule="auto"/>
        <w:ind w:firstLine="480" w:firstLineChars="200"/>
        <w:rPr>
          <w:color w:val="auto"/>
          <w:highlight w:val="none"/>
        </w:rPr>
      </w:pPr>
      <w:r>
        <w:rPr>
          <w:color w:val="auto"/>
          <w:highlight w:val="none"/>
        </w:rPr>
        <w:t>11.</w:t>
      </w:r>
      <w:r>
        <w:rPr>
          <w:rFonts w:hint="eastAsia" w:cs="宋体"/>
          <w:color w:val="auto"/>
          <w:highlight w:val="none"/>
        </w:rPr>
        <w:t>合同未尽事宜，双方另行签订补充协议。补充协议是合同的组成部分。</w:t>
      </w:r>
    </w:p>
    <w:p w14:paraId="70F12ED8">
      <w:pPr>
        <w:pStyle w:val="22"/>
        <w:spacing w:line="360" w:lineRule="auto"/>
        <w:rPr>
          <w:color w:val="auto"/>
          <w:highlight w:val="none"/>
        </w:rPr>
      </w:pPr>
    </w:p>
    <w:p w14:paraId="791241F7">
      <w:pPr>
        <w:pStyle w:val="22"/>
        <w:spacing w:line="360" w:lineRule="auto"/>
        <w:rPr>
          <w:color w:val="auto"/>
          <w:highlight w:val="none"/>
        </w:rPr>
      </w:pPr>
    </w:p>
    <w:p w14:paraId="7E14E883">
      <w:pPr>
        <w:pStyle w:val="22"/>
        <w:tabs>
          <w:tab w:val="left" w:pos="3510"/>
          <w:tab w:val="left" w:pos="3721"/>
          <w:tab w:val="left" w:pos="4845"/>
          <w:tab w:val="left" w:pos="7380"/>
          <w:tab w:val="left" w:pos="8177"/>
        </w:tabs>
        <w:spacing w:line="500" w:lineRule="exact"/>
        <w:ind w:left="144" w:right="144"/>
        <w:rPr>
          <w:color w:val="auto"/>
          <w:highlight w:val="none"/>
        </w:rPr>
      </w:pPr>
      <w:r>
        <w:rPr>
          <w:rFonts w:hint="eastAsia" w:cs="宋体"/>
          <w:color w:val="auto"/>
          <w:highlight w:val="none"/>
        </w:rPr>
        <w:t>发包人：</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rFonts w:cs="宋体"/>
          <w:color w:val="auto"/>
          <w:highlight w:val="none"/>
        </w:rPr>
        <w:t>（单位电子印章/盖单位章）</w:t>
      </w:r>
      <w:r>
        <w:rPr>
          <w:color w:val="auto"/>
          <w:highlight w:val="none"/>
        </w:rPr>
        <w:t xml:space="preserve"> </w:t>
      </w:r>
    </w:p>
    <w:p w14:paraId="0E461071">
      <w:pPr>
        <w:pStyle w:val="22"/>
        <w:tabs>
          <w:tab w:val="left" w:pos="2903"/>
          <w:tab w:val="left" w:pos="3721"/>
          <w:tab w:val="left" w:pos="6300"/>
          <w:tab w:val="left" w:pos="8177"/>
        </w:tabs>
        <w:spacing w:line="500" w:lineRule="exact"/>
        <w:ind w:left="144" w:right="144"/>
        <w:jc w:val="left"/>
        <w:rPr>
          <w:color w:val="auto"/>
          <w:highlight w:val="none"/>
          <w:u w:val="single"/>
        </w:rPr>
      </w:pPr>
      <w:r>
        <w:rPr>
          <w:rFonts w:hint="eastAsia" w:cs="宋体"/>
          <w:color w:val="auto"/>
          <w:highlight w:val="none"/>
        </w:rPr>
        <w:t>法定代表人或其委托代理人：</w:t>
      </w:r>
      <w:r>
        <w:rPr>
          <w:rFonts w:cs="宋体"/>
          <w:color w:val="auto"/>
          <w:highlight w:val="none"/>
          <w:u w:val="single"/>
        </w:rPr>
        <w:t xml:space="preserve">     </w:t>
      </w:r>
      <w:r>
        <w:rPr>
          <w:rFonts w:hint="eastAsia"/>
          <w:color w:val="auto"/>
          <w:highlight w:val="none"/>
        </w:rPr>
        <w:t>（个人电子签名章或个人电子印章</w:t>
      </w:r>
      <w:r>
        <w:rPr>
          <w:color w:val="auto"/>
          <w:highlight w:val="none"/>
        </w:rPr>
        <w:t>/签字）</w:t>
      </w:r>
    </w:p>
    <w:p w14:paraId="1C4B9B22">
      <w:pPr>
        <w:pStyle w:val="22"/>
        <w:tabs>
          <w:tab w:val="left" w:pos="2903"/>
          <w:tab w:val="left" w:pos="3721"/>
          <w:tab w:val="left" w:pos="6300"/>
          <w:tab w:val="left" w:pos="8177"/>
        </w:tabs>
        <w:spacing w:line="500" w:lineRule="exact"/>
        <w:ind w:left="144" w:right="144" w:firstLine="5280" w:firstLineChars="2200"/>
        <w:jc w:val="left"/>
        <w:rPr>
          <w:color w:val="auto"/>
          <w:highlight w:val="none"/>
          <w:u w:val="singl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597DBFF2">
      <w:pPr>
        <w:pStyle w:val="22"/>
        <w:tabs>
          <w:tab w:val="left" w:pos="2903"/>
          <w:tab w:val="left" w:pos="3721"/>
          <w:tab w:val="left" w:pos="6300"/>
          <w:tab w:val="left" w:pos="8177"/>
        </w:tabs>
        <w:spacing w:line="500" w:lineRule="exact"/>
        <w:ind w:left="144" w:right="144"/>
        <w:jc w:val="left"/>
        <w:rPr>
          <w:rFonts w:cs="宋体"/>
          <w:color w:val="auto"/>
          <w:highlight w:val="none"/>
        </w:rPr>
      </w:pPr>
      <w:r>
        <w:rPr>
          <w:rFonts w:cs="宋体"/>
          <w:color w:val="auto"/>
          <w:highlight w:val="none"/>
        </w:rPr>
        <w:t xml:space="preserve"> </w:t>
      </w:r>
    </w:p>
    <w:p w14:paraId="7ADA8E4B">
      <w:pPr>
        <w:pStyle w:val="22"/>
        <w:tabs>
          <w:tab w:val="left" w:pos="2903"/>
          <w:tab w:val="left" w:pos="3721"/>
          <w:tab w:val="left" w:pos="6300"/>
          <w:tab w:val="left" w:pos="8177"/>
        </w:tabs>
        <w:spacing w:line="500" w:lineRule="exact"/>
        <w:ind w:left="144" w:right="144"/>
        <w:jc w:val="left"/>
        <w:rPr>
          <w:color w:val="auto"/>
          <w:highlight w:val="none"/>
        </w:rPr>
      </w:pPr>
      <w:r>
        <w:rPr>
          <w:rFonts w:hint="eastAsia" w:cs="宋体"/>
          <w:color w:val="auto"/>
          <w:highlight w:val="none"/>
        </w:rPr>
        <w:t>承包人：</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rFonts w:cs="宋体"/>
          <w:color w:val="auto"/>
          <w:highlight w:val="none"/>
        </w:rPr>
        <w:t>（单位电子印章/盖单位章）</w:t>
      </w:r>
    </w:p>
    <w:p w14:paraId="520EE34C">
      <w:pPr>
        <w:pStyle w:val="22"/>
        <w:tabs>
          <w:tab w:val="left" w:pos="2903"/>
          <w:tab w:val="left" w:pos="3721"/>
          <w:tab w:val="left" w:pos="6300"/>
          <w:tab w:val="left" w:pos="8177"/>
        </w:tabs>
        <w:spacing w:line="500" w:lineRule="exact"/>
        <w:ind w:left="144" w:right="144"/>
        <w:jc w:val="left"/>
        <w:rPr>
          <w:color w:val="auto"/>
          <w:highlight w:val="none"/>
          <w:u w:val="single"/>
        </w:rPr>
      </w:pPr>
      <w:r>
        <w:rPr>
          <w:rFonts w:hint="eastAsia" w:cs="宋体"/>
          <w:color w:val="auto"/>
          <w:spacing w:val="-3"/>
          <w:highlight w:val="none"/>
        </w:rPr>
        <w:t>法定代表人或其委托代理人：</w:t>
      </w:r>
      <w:r>
        <w:rPr>
          <w:rFonts w:cs="宋体"/>
          <w:color w:val="auto"/>
          <w:highlight w:val="none"/>
          <w:u w:val="single"/>
        </w:rPr>
        <w:t xml:space="preserve">     </w:t>
      </w:r>
      <w:r>
        <w:rPr>
          <w:rFonts w:hint="eastAsia"/>
          <w:color w:val="auto"/>
          <w:highlight w:val="none"/>
        </w:rPr>
        <w:t>（个人电子签名章或个人电子印章</w:t>
      </w:r>
      <w:r>
        <w:rPr>
          <w:color w:val="auto"/>
          <w:highlight w:val="none"/>
        </w:rPr>
        <w:t>/签字）</w:t>
      </w:r>
    </w:p>
    <w:p w14:paraId="6F85FCED">
      <w:pPr>
        <w:pStyle w:val="22"/>
        <w:tabs>
          <w:tab w:val="left" w:pos="2903"/>
          <w:tab w:val="left" w:pos="3721"/>
          <w:tab w:val="left" w:pos="6300"/>
          <w:tab w:val="left" w:pos="8177"/>
        </w:tabs>
        <w:spacing w:line="500" w:lineRule="exact"/>
        <w:ind w:left="144" w:right="144" w:firstLine="5400" w:firstLineChars="2250"/>
        <w:jc w:val="left"/>
        <w:rPr>
          <w:color w:val="auto"/>
          <w:highlight w:val="none"/>
          <w:u w:val="singl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7B72F3EC">
      <w:pPr>
        <w:pStyle w:val="22"/>
        <w:spacing w:before="188" w:line="360" w:lineRule="auto"/>
        <w:ind w:left="144" w:right="-6955"/>
        <w:rPr>
          <w:b/>
          <w:color w:val="auto"/>
          <w:sz w:val="30"/>
          <w:szCs w:val="30"/>
          <w:highlight w:val="none"/>
        </w:rPr>
      </w:pPr>
      <w:r>
        <w:rPr>
          <w:b/>
          <w:color w:val="auto"/>
          <w:sz w:val="30"/>
          <w:szCs w:val="30"/>
          <w:highlight w:val="none"/>
        </w:rPr>
        <w:t xml:space="preserve">               </w:t>
      </w:r>
    </w:p>
    <w:p w14:paraId="67458DE6">
      <w:pPr>
        <w:pStyle w:val="22"/>
        <w:spacing w:before="188" w:line="360" w:lineRule="auto"/>
        <w:ind w:left="144" w:right="-6955"/>
        <w:rPr>
          <w:b/>
          <w:color w:val="auto"/>
          <w:sz w:val="30"/>
          <w:szCs w:val="30"/>
          <w:highlight w:val="none"/>
        </w:rPr>
      </w:pPr>
    </w:p>
    <w:p w14:paraId="24905827">
      <w:pPr>
        <w:pStyle w:val="22"/>
        <w:spacing w:before="188" w:line="360" w:lineRule="auto"/>
        <w:ind w:left="144" w:right="-6955"/>
        <w:rPr>
          <w:b/>
          <w:color w:val="auto"/>
          <w:sz w:val="30"/>
          <w:szCs w:val="30"/>
          <w:highlight w:val="none"/>
        </w:rPr>
      </w:pPr>
    </w:p>
    <w:p w14:paraId="00AA31D5">
      <w:pPr>
        <w:pStyle w:val="22"/>
        <w:spacing w:before="188" w:line="360" w:lineRule="auto"/>
        <w:ind w:left="144" w:right="-6955"/>
        <w:rPr>
          <w:b/>
          <w:color w:val="auto"/>
          <w:sz w:val="30"/>
          <w:szCs w:val="30"/>
          <w:highlight w:val="none"/>
        </w:rPr>
      </w:pPr>
    </w:p>
    <w:p w14:paraId="4417BC06">
      <w:pPr>
        <w:pStyle w:val="22"/>
        <w:spacing w:before="188" w:line="360" w:lineRule="auto"/>
        <w:ind w:right="-6605"/>
        <w:rPr>
          <w:rFonts w:ascii="黑体" w:hAnsi="黑体" w:eastAsia="黑体"/>
          <w:color w:val="auto"/>
          <w:sz w:val="30"/>
          <w:szCs w:val="30"/>
          <w:highlight w:val="none"/>
        </w:rPr>
      </w:pPr>
      <w:r>
        <w:rPr>
          <w:rFonts w:ascii="黑体" w:hAnsi="黑体" w:eastAsia="黑体"/>
          <w:color w:val="auto"/>
          <w:sz w:val="30"/>
          <w:szCs w:val="30"/>
          <w:highlight w:val="none"/>
        </w:rPr>
        <w:br w:type="page"/>
      </w:r>
    </w:p>
    <w:p w14:paraId="2A6FF96A">
      <w:pPr>
        <w:pStyle w:val="6"/>
        <w:jc w:val="left"/>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附件二 廉政合同</w:t>
      </w:r>
    </w:p>
    <w:p w14:paraId="43FCD3BA">
      <w:pPr>
        <w:pStyle w:val="22"/>
        <w:spacing w:before="188" w:line="360" w:lineRule="auto"/>
        <w:ind w:right="30"/>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廉</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政</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合</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同</w:t>
      </w:r>
    </w:p>
    <w:p w14:paraId="6D574E1A">
      <w:pPr>
        <w:pStyle w:val="22"/>
        <w:spacing w:line="360" w:lineRule="auto"/>
        <w:ind w:right="30" w:firstLine="464" w:firstLineChars="200"/>
        <w:rPr>
          <w:rFonts w:cs="宋体"/>
          <w:color w:val="auto"/>
          <w:spacing w:val="-4"/>
          <w:highlight w:val="none"/>
        </w:rPr>
      </w:pPr>
    </w:p>
    <w:p w14:paraId="0ABAAFEB">
      <w:pPr>
        <w:pStyle w:val="22"/>
        <w:spacing w:line="360" w:lineRule="auto"/>
        <w:ind w:right="30" w:firstLine="464" w:firstLineChars="200"/>
        <w:rPr>
          <w:rFonts w:cs="宋体"/>
          <w:color w:val="auto"/>
          <w:highlight w:val="none"/>
        </w:rPr>
      </w:pPr>
      <w:r>
        <w:rPr>
          <w:rFonts w:hint="eastAsia" w:cs="宋体"/>
          <w:color w:val="auto"/>
          <w:spacing w:val="-4"/>
          <w:highlight w:val="none"/>
        </w:rPr>
        <w:t>根据《关于在交通基础设施建设中加强廉政建设的若干意见》以及有关工程建</w:t>
      </w:r>
      <w:r>
        <w:rPr>
          <w:rFonts w:hint="eastAsia" w:cs="宋体"/>
          <w:color w:val="auto"/>
          <w:spacing w:val="-3"/>
          <w:highlight w:val="none"/>
        </w:rPr>
        <w:t>设、廉政建设的规定，为做好工程建设中的党风廉政建设，保证工程建设高效优质，</w:t>
      </w:r>
      <w:r>
        <w:rPr>
          <w:color w:val="auto"/>
          <w:spacing w:val="-3"/>
          <w:highlight w:val="none"/>
        </w:rPr>
        <w:t xml:space="preserve"> </w:t>
      </w:r>
      <w:r>
        <w:rPr>
          <w:rFonts w:hint="eastAsia" w:cs="宋体"/>
          <w:color w:val="auto"/>
          <w:highlight w:val="none"/>
        </w:rPr>
        <w:t>保证建设资金的安全和</w:t>
      </w:r>
      <w:r>
        <w:rPr>
          <w:rFonts w:hint="eastAsia" w:cs="宋体"/>
          <w:color w:val="auto"/>
          <w:spacing w:val="-4"/>
          <w:highlight w:val="none"/>
        </w:rPr>
        <w:t>有效使用以及投资效益，</w:t>
      </w:r>
      <w:r>
        <w:rPr>
          <w:rFonts w:cs="宋体"/>
          <w:color w:val="auto"/>
          <w:spacing w:val="-4"/>
          <w:highlight w:val="none"/>
          <w:u w:val="single"/>
        </w:rPr>
        <w:t xml:space="preserve"> </w:t>
      </w:r>
      <w:r>
        <w:rPr>
          <w:rFonts w:cs="宋体"/>
          <w:color w:val="auto"/>
          <w:spacing w:val="-4"/>
          <w:highlight w:val="none"/>
          <w:u w:val="single"/>
        </w:rPr>
        <w:tab/>
      </w:r>
      <w:r>
        <w:rPr>
          <w:rFonts w:cs="宋体"/>
          <w:color w:val="auto"/>
          <w:spacing w:val="-4"/>
          <w:highlight w:val="none"/>
          <w:u w:val="single"/>
        </w:rPr>
        <w:t xml:space="preserve">    </w:t>
      </w:r>
      <w:r>
        <w:rPr>
          <w:rFonts w:hint="eastAsia" w:cs="宋体"/>
          <w:color w:val="auto"/>
          <w:spacing w:val="-4"/>
          <w:highlight w:val="none"/>
        </w:rPr>
        <w:t>（项目名称）的项目法人</w:t>
      </w:r>
      <w:r>
        <w:rPr>
          <w:rFonts w:cs="宋体"/>
          <w:color w:val="auto"/>
          <w:spacing w:val="-4"/>
          <w:highlight w:val="none"/>
          <w:u w:val="single"/>
        </w:rPr>
        <w:t xml:space="preserve">     </w:t>
      </w:r>
      <w:r>
        <w:rPr>
          <w:rFonts w:cs="宋体"/>
          <w:color w:val="auto"/>
          <w:spacing w:val="-4"/>
          <w:highlight w:val="none"/>
        </w:rPr>
        <w:t>（</w:t>
      </w:r>
      <w:r>
        <w:rPr>
          <w:rFonts w:hint="eastAsia" w:cs="宋体"/>
          <w:color w:val="auto"/>
          <w:spacing w:val="-4"/>
          <w:highlight w:val="none"/>
        </w:rPr>
        <w:t>项目法人名称，以下</w:t>
      </w:r>
      <w:r>
        <w:rPr>
          <w:rFonts w:hint="eastAsia" w:cs="宋体"/>
          <w:color w:val="auto"/>
          <w:highlight w:val="none"/>
        </w:rPr>
        <w:t>简称</w:t>
      </w:r>
      <w:r>
        <w:rPr>
          <w:color w:val="auto"/>
          <w:highlight w:val="none"/>
        </w:rPr>
        <w:t>“</w:t>
      </w:r>
      <w:r>
        <w:rPr>
          <w:rFonts w:hint="eastAsia" w:cs="宋体"/>
          <w:color w:val="auto"/>
          <w:highlight w:val="none"/>
        </w:rPr>
        <w:t>发包人</w:t>
      </w:r>
      <w:r>
        <w:rPr>
          <w:color w:val="auto"/>
          <w:highlight w:val="none"/>
        </w:rPr>
        <w:t>”）</w:t>
      </w:r>
      <w:r>
        <w:rPr>
          <w:rFonts w:hint="eastAsia" w:cs="宋体"/>
          <w:color w:val="auto"/>
          <w:spacing w:val="-1"/>
          <w:highlight w:val="none"/>
        </w:rPr>
        <w:t>与</w:t>
      </w:r>
      <w:r>
        <w:rPr>
          <w:color w:val="auto"/>
          <w:highlight w:val="none"/>
          <w:u w:val="single"/>
        </w:rPr>
        <w:tab/>
      </w:r>
      <w:r>
        <w:rPr>
          <w:color w:val="auto"/>
          <w:highlight w:val="none"/>
          <w:u w:val="single"/>
        </w:rPr>
        <w:t xml:space="preserve">    </w:t>
      </w:r>
      <w:r>
        <w:rPr>
          <w:rFonts w:hint="eastAsia" w:cs="宋体"/>
          <w:color w:val="auto"/>
          <w:highlight w:val="none"/>
        </w:rPr>
        <w:t>（项目名称）招标</w:t>
      </w:r>
      <w:r>
        <w:rPr>
          <w:rFonts w:hint="eastAsia" w:cs="宋体"/>
          <w:color w:val="auto"/>
          <w:spacing w:val="-4"/>
          <w:highlight w:val="none"/>
        </w:rPr>
        <w:t>第</w:t>
      </w:r>
      <w:r>
        <w:rPr>
          <w:color w:val="auto"/>
          <w:highlight w:val="none"/>
          <w:u w:val="single"/>
        </w:rPr>
        <w:t xml:space="preserve">   </w:t>
      </w:r>
      <w:r>
        <w:rPr>
          <w:rFonts w:hint="eastAsia" w:cs="宋体"/>
          <w:color w:val="auto"/>
          <w:highlight w:val="none"/>
        </w:rPr>
        <w:t>标段的施工单位</w:t>
      </w:r>
      <w:r>
        <w:rPr>
          <w:color w:val="auto"/>
          <w:highlight w:val="none"/>
          <w:u w:val="single"/>
        </w:rPr>
        <w:t xml:space="preserve">  </w:t>
      </w:r>
      <w:r>
        <w:rPr>
          <w:color w:val="auto"/>
          <w:highlight w:val="none"/>
          <w:u w:val="single"/>
        </w:rPr>
        <w:tab/>
      </w:r>
      <w:r>
        <w:rPr>
          <w:color w:val="auto"/>
          <w:highlight w:val="none"/>
          <w:u w:val="single"/>
        </w:rPr>
        <w:t xml:space="preserve">    </w:t>
      </w:r>
      <w:r>
        <w:rPr>
          <w:color w:val="auto"/>
          <w:highlight w:val="none"/>
        </w:rPr>
        <w:t>（</w:t>
      </w:r>
      <w:r>
        <w:rPr>
          <w:rFonts w:hint="eastAsia" w:cs="宋体"/>
          <w:color w:val="auto"/>
          <w:highlight w:val="none"/>
        </w:rPr>
        <w:t>施工单位名称，以下简称</w:t>
      </w:r>
      <w:r>
        <w:rPr>
          <w:color w:val="auto"/>
          <w:highlight w:val="none"/>
        </w:rPr>
        <w:t>“</w:t>
      </w:r>
      <w:r>
        <w:rPr>
          <w:rFonts w:hint="eastAsia" w:cs="宋体"/>
          <w:color w:val="auto"/>
          <w:highlight w:val="none"/>
        </w:rPr>
        <w:t>承包人</w:t>
      </w:r>
      <w:r>
        <w:rPr>
          <w:color w:val="auto"/>
          <w:highlight w:val="none"/>
        </w:rPr>
        <w:t>”）</w:t>
      </w:r>
      <w:r>
        <w:rPr>
          <w:rFonts w:hint="eastAsia" w:cs="宋体"/>
          <w:color w:val="auto"/>
          <w:highlight w:val="none"/>
        </w:rPr>
        <w:t>，特订立如下合同。</w:t>
      </w:r>
    </w:p>
    <w:p w14:paraId="7BD516FB">
      <w:pPr>
        <w:pStyle w:val="22"/>
        <w:spacing w:line="360" w:lineRule="auto"/>
        <w:ind w:right="86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1.发包人和承包人双方的权利和义务</w:t>
      </w:r>
    </w:p>
    <w:p w14:paraId="1FC9B173">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1）</w:t>
      </w:r>
      <w:r>
        <w:rPr>
          <w:rFonts w:hint="eastAsia" w:cs="宋体"/>
          <w:color w:val="auto"/>
          <w:highlight w:val="none"/>
        </w:rPr>
        <w:t>严格遵守党的政策规定和国家有关法律法规及交通运输部</w:t>
      </w:r>
      <w:r>
        <w:rPr>
          <w:rFonts w:hint="eastAsia" w:cs="宋体"/>
          <w:color w:val="auto"/>
          <w:highlight w:val="none"/>
          <w:lang w:eastAsia="zh-CN"/>
        </w:rPr>
        <w:t>、</w:t>
      </w:r>
      <w:r>
        <w:rPr>
          <w:rFonts w:hint="eastAsia" w:cs="宋体"/>
          <w:color w:val="auto"/>
          <w:highlight w:val="none"/>
          <w:lang w:val="en-US" w:eastAsia="zh-CN"/>
        </w:rPr>
        <w:t>四川省交通运输厅等</w:t>
      </w:r>
      <w:r>
        <w:rPr>
          <w:rFonts w:hint="eastAsia" w:cs="宋体"/>
          <w:color w:val="auto"/>
          <w:highlight w:val="none"/>
        </w:rPr>
        <w:t>的有关规定。</w:t>
      </w:r>
    </w:p>
    <w:p w14:paraId="365742EE">
      <w:pPr>
        <w:pStyle w:val="22"/>
        <w:tabs>
          <w:tab w:val="left" w:pos="3193"/>
          <w:tab w:val="left" w:pos="5340"/>
        </w:tabs>
        <w:spacing w:line="360" w:lineRule="auto"/>
        <w:ind w:right="7" w:firstLine="480" w:firstLineChars="200"/>
        <w:rPr>
          <w:rFonts w:cs="宋体"/>
          <w:color w:val="auto"/>
          <w:highlight w:val="none"/>
        </w:rPr>
      </w:pPr>
      <w:r>
        <w:rPr>
          <w:rFonts w:hint="eastAsia"/>
          <w:color w:val="auto"/>
          <w:highlight w:val="none"/>
        </w:rPr>
        <w:t>（</w:t>
      </w:r>
      <w:r>
        <w:rPr>
          <w:color w:val="auto"/>
          <w:highlight w:val="none"/>
        </w:rPr>
        <w:t>2）</w:t>
      </w:r>
      <w:r>
        <w:rPr>
          <w:rFonts w:hint="eastAsia" w:cs="宋体"/>
          <w:color w:val="auto"/>
          <w:highlight w:val="none"/>
        </w:rPr>
        <w:t>严格执行</w:t>
      </w:r>
      <w:r>
        <w:rPr>
          <w:color w:val="auto"/>
          <w:highlight w:val="none"/>
          <w:u w:val="single"/>
        </w:rPr>
        <w:t xml:space="preserve"> </w:t>
      </w:r>
      <w:r>
        <w:rPr>
          <w:color w:val="auto"/>
          <w:highlight w:val="none"/>
          <w:u w:val="single"/>
        </w:rPr>
        <w:tab/>
      </w:r>
      <w:r>
        <w:rPr>
          <w:rFonts w:hint="eastAsia" w:cs="宋体"/>
          <w:color w:val="auto"/>
          <w:highlight w:val="none"/>
        </w:rPr>
        <w:t>（项目名称）招标第</w:t>
      </w:r>
      <w:r>
        <w:rPr>
          <w:color w:val="auto"/>
          <w:highlight w:val="none"/>
          <w:u w:val="single"/>
        </w:rPr>
        <w:t xml:space="preserve">   </w:t>
      </w:r>
      <w:r>
        <w:rPr>
          <w:color w:val="auto"/>
          <w:highlight w:val="none"/>
          <w:u w:val="single"/>
        </w:rPr>
        <w:tab/>
      </w:r>
      <w:r>
        <w:rPr>
          <w:rFonts w:hint="eastAsia" w:cs="宋体"/>
          <w:color w:val="auto"/>
          <w:highlight w:val="none"/>
        </w:rPr>
        <w:t>标段合同文件，自觉按合同办事。</w:t>
      </w:r>
    </w:p>
    <w:p w14:paraId="496CA659">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3）</w:t>
      </w:r>
      <w:r>
        <w:rPr>
          <w:rFonts w:hint="eastAsia" w:cs="宋体"/>
          <w:color w:val="auto"/>
          <w:highlight w:val="none"/>
        </w:rPr>
        <w:t>双方的业务活动坚持公开、公正、诚信、透明的原则</w:t>
      </w:r>
      <w:r>
        <w:rPr>
          <w:color w:val="auto"/>
          <w:highlight w:val="none"/>
        </w:rPr>
        <w:t>（</w:t>
      </w:r>
      <w:r>
        <w:rPr>
          <w:rFonts w:hint="eastAsia" w:cs="宋体"/>
          <w:color w:val="auto"/>
          <w:highlight w:val="none"/>
        </w:rPr>
        <w:t>法律认定的商业秘密和合同文件另有规定除外</w:t>
      </w:r>
      <w:r>
        <w:rPr>
          <w:color w:val="auto"/>
          <w:highlight w:val="none"/>
        </w:rPr>
        <w:t>）</w:t>
      </w:r>
      <w:r>
        <w:rPr>
          <w:rFonts w:hint="eastAsia" w:cs="宋体"/>
          <w:color w:val="auto"/>
          <w:highlight w:val="none"/>
        </w:rPr>
        <w:t>，不得损害国家和集体利益，不得违反工程建设管理规章制度。</w:t>
      </w:r>
    </w:p>
    <w:p w14:paraId="6FBC7ED9">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4）</w:t>
      </w:r>
      <w:r>
        <w:rPr>
          <w:rFonts w:hint="eastAsia" w:cs="宋体"/>
          <w:color w:val="auto"/>
          <w:highlight w:val="none"/>
        </w:rPr>
        <w:t>建立健全廉政制度，开展廉政教育，设立廉政告示牌，公布举报电话，监督并认真查处违法违纪行为。</w:t>
      </w:r>
    </w:p>
    <w:p w14:paraId="595C49E7">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5）</w:t>
      </w:r>
      <w:r>
        <w:rPr>
          <w:rFonts w:hint="eastAsia" w:cs="宋体"/>
          <w:color w:val="auto"/>
          <w:highlight w:val="none"/>
        </w:rPr>
        <w:t>发现对方在业务活动中有违反廉政规定的行为，有及时提醒对方纠正的权利和义务。</w:t>
      </w:r>
    </w:p>
    <w:p w14:paraId="21DEFE0D">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6）</w:t>
      </w:r>
      <w:r>
        <w:rPr>
          <w:rFonts w:hint="eastAsia" w:cs="宋体"/>
          <w:color w:val="auto"/>
          <w:highlight w:val="none"/>
        </w:rPr>
        <w:t>发现对方严重违反本合同义务条款的行为，有向其上级有关部门举报、建议给予处理并要求告知处理结果的权利。</w:t>
      </w:r>
    </w:p>
    <w:p w14:paraId="7B2F6818">
      <w:pPr>
        <w:pStyle w:val="22"/>
        <w:spacing w:line="360" w:lineRule="auto"/>
        <w:ind w:right="86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2.发包人的义务</w:t>
      </w:r>
    </w:p>
    <w:p w14:paraId="32917039">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1）</w:t>
      </w:r>
      <w:r>
        <w:rPr>
          <w:rFonts w:hint="eastAsia" w:cs="宋体"/>
          <w:color w:val="auto"/>
          <w:highlight w:val="none"/>
        </w:rPr>
        <w:t>发包人及其工作人员不得索要或接受承包人的礼金、有价证券和贵重物品，不得让承包人报销任何应由发包人或发包人工作人员个人支付的费用等。</w:t>
      </w:r>
    </w:p>
    <w:p w14:paraId="3C49148F">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2）</w:t>
      </w:r>
      <w:r>
        <w:rPr>
          <w:rFonts w:hint="eastAsia" w:cs="宋体"/>
          <w:color w:val="auto"/>
          <w:highlight w:val="none"/>
        </w:rPr>
        <w:t>发包人工作人员不得参加承包人安排的超标准宴请和娱乐活动；不得接受承包人提供的</w:t>
      </w:r>
      <w:r>
        <w:rPr>
          <w:rFonts w:hint="eastAsia" w:cs="宋体"/>
          <w:color w:val="auto"/>
          <w:highlight w:val="none"/>
          <w:lang w:eastAsia="zh-CN"/>
        </w:rPr>
        <w:t>通信</w:t>
      </w:r>
      <w:r>
        <w:rPr>
          <w:rFonts w:hint="eastAsia" w:cs="宋体"/>
          <w:color w:val="auto"/>
          <w:highlight w:val="none"/>
        </w:rPr>
        <w:t>工具、交通工具和高档办公用品等。</w:t>
      </w:r>
    </w:p>
    <w:p w14:paraId="6659C432">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3）</w:t>
      </w:r>
      <w:r>
        <w:rPr>
          <w:rFonts w:hint="eastAsia" w:cs="宋体"/>
          <w:color w:val="auto"/>
          <w:highlight w:val="none"/>
        </w:rPr>
        <w:t>发包人及其工作人员不得要求或者接受承包人为其住房装修、婚丧嫁娶活动、配偶子女的工作安排以及出国出境、旅游等提供方便等。</w:t>
      </w:r>
    </w:p>
    <w:p w14:paraId="23D9C343">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4）</w:t>
      </w:r>
      <w:r>
        <w:rPr>
          <w:rFonts w:hint="eastAsia" w:cs="宋体"/>
          <w:color w:val="auto"/>
          <w:highlight w:val="none"/>
        </w:rPr>
        <w:t>发包人工作人员及其配偶、子女不得从事与发包人工程有关的材料设备供应、工程分包、劳务等经济活动等。</w:t>
      </w:r>
    </w:p>
    <w:p w14:paraId="7181FDFA">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5）</w:t>
      </w:r>
      <w:r>
        <w:rPr>
          <w:rFonts w:hint="eastAsia" w:cs="宋体"/>
          <w:color w:val="auto"/>
          <w:highlight w:val="none"/>
        </w:rPr>
        <w:t>发包人及其工作人员不得以任何理由向承包人推荐分包单位或推销材料，不得要求承包人购买合同规</w:t>
      </w:r>
      <w:r>
        <w:rPr>
          <w:rFonts w:hint="eastAsia" w:cs="宋体"/>
          <w:color w:val="auto"/>
          <w:highlight w:val="none"/>
          <w:lang w:eastAsia="zh-CN"/>
        </w:rPr>
        <w:t>定以</w:t>
      </w:r>
      <w:r>
        <w:rPr>
          <w:rFonts w:hint="eastAsia" w:cs="宋体"/>
          <w:color w:val="auto"/>
          <w:highlight w:val="none"/>
        </w:rPr>
        <w:t>外的材料和设备。</w:t>
      </w:r>
    </w:p>
    <w:p w14:paraId="07F82542">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6）</w:t>
      </w:r>
      <w:r>
        <w:rPr>
          <w:rFonts w:hint="eastAsia" w:cs="宋体"/>
          <w:color w:val="auto"/>
          <w:highlight w:val="none"/>
        </w:rPr>
        <w:t>发包人工作人员要秉公办事，不准营私舞弊，不准利用职权从事各种个人有偿中介活动和安排个人施工队伍。</w:t>
      </w:r>
    </w:p>
    <w:p w14:paraId="25045E0B">
      <w:pPr>
        <w:pStyle w:val="22"/>
        <w:spacing w:line="360" w:lineRule="auto"/>
        <w:ind w:right="86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3.承包人的义务</w:t>
      </w:r>
    </w:p>
    <w:p w14:paraId="76D3D91B">
      <w:pPr>
        <w:pStyle w:val="22"/>
        <w:spacing w:line="360" w:lineRule="auto"/>
        <w:ind w:right="117" w:firstLine="480" w:firstLineChars="200"/>
        <w:rPr>
          <w:color w:val="auto"/>
          <w:highlight w:val="none"/>
        </w:rPr>
      </w:pPr>
      <w:r>
        <w:rPr>
          <w:rFonts w:hint="eastAsia"/>
          <w:color w:val="auto"/>
          <w:highlight w:val="none"/>
        </w:rPr>
        <w:t>（</w:t>
      </w:r>
      <w:r>
        <w:rPr>
          <w:color w:val="auto"/>
          <w:highlight w:val="none"/>
        </w:rPr>
        <w:t>1）</w:t>
      </w:r>
      <w:r>
        <w:rPr>
          <w:rFonts w:hint="eastAsia" w:cs="宋体"/>
          <w:color w:val="auto"/>
          <w:highlight w:val="none"/>
        </w:rPr>
        <w:t>承包人不得以任何理由向发包人及其工作人员行贿或馈赠礼金、有价证券、贵重礼品。</w:t>
      </w:r>
    </w:p>
    <w:p w14:paraId="3544C0EB">
      <w:pPr>
        <w:pStyle w:val="22"/>
        <w:spacing w:line="360" w:lineRule="auto"/>
        <w:ind w:right="117" w:firstLine="480" w:firstLineChars="200"/>
        <w:rPr>
          <w:color w:val="auto"/>
          <w:highlight w:val="none"/>
        </w:rPr>
      </w:pPr>
      <w:r>
        <w:rPr>
          <w:rFonts w:hint="eastAsia"/>
          <w:color w:val="auto"/>
          <w:highlight w:val="none"/>
        </w:rPr>
        <w:t>（</w:t>
      </w:r>
      <w:r>
        <w:rPr>
          <w:color w:val="auto"/>
          <w:highlight w:val="none"/>
        </w:rPr>
        <w:t>2）</w:t>
      </w:r>
      <w:r>
        <w:rPr>
          <w:rFonts w:hint="eastAsia" w:cs="宋体"/>
          <w:color w:val="auto"/>
          <w:highlight w:val="none"/>
        </w:rPr>
        <w:t>承包人不得以任何名义为发包人及其工作人员报销应由发包人单位或个人支付的任何费用。</w:t>
      </w:r>
    </w:p>
    <w:p w14:paraId="5231EC89">
      <w:pPr>
        <w:pStyle w:val="22"/>
        <w:spacing w:line="360" w:lineRule="auto"/>
        <w:ind w:right="117" w:firstLine="480" w:firstLineChars="200"/>
        <w:rPr>
          <w:color w:val="auto"/>
          <w:highlight w:val="none"/>
        </w:rPr>
      </w:pPr>
      <w:r>
        <w:rPr>
          <w:rFonts w:hint="eastAsia"/>
          <w:color w:val="auto"/>
          <w:highlight w:val="none"/>
        </w:rPr>
        <w:t>（</w:t>
      </w:r>
      <w:r>
        <w:rPr>
          <w:color w:val="auto"/>
          <w:highlight w:val="none"/>
        </w:rPr>
        <w:t>3）</w:t>
      </w:r>
      <w:r>
        <w:rPr>
          <w:rFonts w:hint="eastAsia" w:cs="宋体"/>
          <w:color w:val="auto"/>
          <w:highlight w:val="none"/>
        </w:rPr>
        <w:t>承包人不得以任何理由安排发包人工作人员参加超标准宴请及娱乐活动。</w:t>
      </w:r>
    </w:p>
    <w:p w14:paraId="760027E9">
      <w:pPr>
        <w:pStyle w:val="22"/>
        <w:spacing w:line="360" w:lineRule="auto"/>
        <w:ind w:right="123" w:firstLine="480" w:firstLineChars="200"/>
        <w:rPr>
          <w:color w:val="auto"/>
          <w:highlight w:val="none"/>
        </w:rPr>
      </w:pPr>
      <w:r>
        <w:rPr>
          <w:rFonts w:hint="eastAsia"/>
          <w:color w:val="auto"/>
          <w:highlight w:val="none"/>
        </w:rPr>
        <w:t>（</w:t>
      </w:r>
      <w:r>
        <w:rPr>
          <w:color w:val="auto"/>
          <w:highlight w:val="none"/>
        </w:rPr>
        <w:t>4）</w:t>
      </w:r>
      <w:r>
        <w:rPr>
          <w:rFonts w:hint="eastAsia" w:cs="宋体"/>
          <w:color w:val="auto"/>
          <w:highlight w:val="none"/>
        </w:rPr>
        <w:t>承包人不得为发包人单位和个人购置或提供通信工具、交通工具和高档办公用品等。</w:t>
      </w:r>
    </w:p>
    <w:p w14:paraId="1CEB1A69">
      <w:pPr>
        <w:pStyle w:val="22"/>
        <w:spacing w:line="360" w:lineRule="auto"/>
        <w:ind w:right="86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4.违约责任</w:t>
      </w:r>
    </w:p>
    <w:p w14:paraId="11875636">
      <w:pPr>
        <w:pStyle w:val="22"/>
        <w:spacing w:line="360" w:lineRule="auto"/>
        <w:ind w:right="123" w:firstLine="480" w:firstLineChars="200"/>
        <w:rPr>
          <w:color w:val="auto"/>
          <w:highlight w:val="none"/>
        </w:rPr>
      </w:pPr>
      <w:r>
        <w:rPr>
          <w:rFonts w:hint="eastAsia"/>
          <w:color w:val="auto"/>
          <w:highlight w:val="none"/>
        </w:rPr>
        <w:t>（</w:t>
      </w:r>
      <w:r>
        <w:rPr>
          <w:color w:val="auto"/>
          <w:highlight w:val="none"/>
        </w:rPr>
        <w:t>1）</w:t>
      </w:r>
      <w:r>
        <w:rPr>
          <w:rFonts w:hint="eastAsia" w:cs="宋体"/>
          <w:color w:val="auto"/>
          <w:highlight w:val="none"/>
        </w:rPr>
        <w:t>发包人及其工作人员违反本合同第</w:t>
      </w:r>
      <w:r>
        <w:rPr>
          <w:color w:val="auto"/>
          <w:highlight w:val="none"/>
        </w:rPr>
        <w:t>1</w:t>
      </w:r>
      <w:r>
        <w:rPr>
          <w:rFonts w:hint="eastAsia" w:cs="宋体"/>
          <w:color w:val="auto"/>
          <w:highlight w:val="none"/>
        </w:rPr>
        <w:t>、</w:t>
      </w:r>
      <w:r>
        <w:rPr>
          <w:color w:val="auto"/>
          <w:highlight w:val="none"/>
        </w:rPr>
        <w:t>2</w:t>
      </w:r>
      <w:r>
        <w:rPr>
          <w:rFonts w:hint="eastAsia" w:cs="宋体"/>
          <w:color w:val="auto"/>
          <w:highlight w:val="none"/>
        </w:rPr>
        <w:t>条，按管理权限，依据有关规定给予党纪、政纪或组织处理；涉嫌犯罪的，移交司法机关追究刑事责任；给承包人单位造成经济损失的，应予以赔偿。</w:t>
      </w:r>
    </w:p>
    <w:p w14:paraId="01BDA7D4">
      <w:pPr>
        <w:pStyle w:val="22"/>
        <w:spacing w:line="360" w:lineRule="auto"/>
        <w:ind w:right="123" w:firstLine="480" w:firstLineChars="200"/>
        <w:rPr>
          <w:color w:val="auto"/>
          <w:highlight w:val="none"/>
        </w:rPr>
      </w:pPr>
      <w:r>
        <w:rPr>
          <w:rFonts w:hint="eastAsia"/>
          <w:color w:val="auto"/>
          <w:highlight w:val="none"/>
        </w:rPr>
        <w:t>（</w:t>
      </w:r>
      <w:r>
        <w:rPr>
          <w:color w:val="auto"/>
          <w:highlight w:val="none"/>
        </w:rPr>
        <w:t>2）</w:t>
      </w:r>
      <w:r>
        <w:rPr>
          <w:rFonts w:hint="eastAsia" w:cs="宋体"/>
          <w:color w:val="auto"/>
          <w:highlight w:val="none"/>
        </w:rPr>
        <w:t>承包人及其工作人员违反本合同第</w:t>
      </w:r>
      <w:r>
        <w:rPr>
          <w:color w:val="auto"/>
          <w:highlight w:val="none"/>
        </w:rPr>
        <w:t>1</w:t>
      </w:r>
      <w:r>
        <w:rPr>
          <w:rFonts w:hint="eastAsia" w:cs="宋体"/>
          <w:color w:val="auto"/>
          <w:highlight w:val="none"/>
        </w:rPr>
        <w:t>、</w:t>
      </w:r>
      <w:r>
        <w:rPr>
          <w:color w:val="auto"/>
          <w:highlight w:val="none"/>
        </w:rPr>
        <w:t>3</w:t>
      </w:r>
      <w:r>
        <w:rPr>
          <w:rFonts w:hint="eastAsia" w:cs="宋体"/>
          <w:color w:val="auto"/>
          <w:highlight w:val="none"/>
        </w:rPr>
        <w:t>条，按管理权限，依据有关规定给予党纪、政纪或组织处理；给发包人单位造成经济损失的，应予以赔偿；情节严重的，发包人建议交通运输主管部门给予承包人一至三年内不得进入其主管的公路</w:t>
      </w:r>
      <w:r>
        <w:rPr>
          <w:color w:val="auto"/>
          <w:highlight w:val="none"/>
        </w:rPr>
        <w:t xml:space="preserve"> </w:t>
      </w:r>
      <w:r>
        <w:rPr>
          <w:rFonts w:hint="eastAsia" w:cs="宋体"/>
          <w:color w:val="auto"/>
          <w:highlight w:val="none"/>
        </w:rPr>
        <w:t>建设市场的处罚。</w:t>
      </w:r>
    </w:p>
    <w:p w14:paraId="159FA28E">
      <w:pPr>
        <w:pStyle w:val="22"/>
        <w:spacing w:line="360" w:lineRule="auto"/>
        <w:ind w:right="122" w:firstLine="480" w:firstLineChars="200"/>
        <w:rPr>
          <w:color w:val="auto"/>
          <w:highlight w:val="none"/>
        </w:rPr>
      </w:pPr>
      <w:r>
        <w:rPr>
          <w:color w:val="auto"/>
          <w:highlight w:val="none"/>
        </w:rPr>
        <w:t>5.</w:t>
      </w:r>
      <w:r>
        <w:rPr>
          <w:rFonts w:hint="eastAsia" w:cs="宋体"/>
          <w:color w:val="auto"/>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442D637">
      <w:pPr>
        <w:pStyle w:val="22"/>
        <w:spacing w:line="360" w:lineRule="auto"/>
        <w:ind w:right="122" w:firstLine="480" w:firstLineChars="200"/>
        <w:rPr>
          <w:color w:val="auto"/>
          <w:highlight w:val="none"/>
        </w:rPr>
      </w:pPr>
      <w:r>
        <w:rPr>
          <w:color w:val="auto"/>
          <w:highlight w:val="none"/>
        </w:rPr>
        <w:t>6.</w:t>
      </w:r>
      <w:r>
        <w:rPr>
          <w:rFonts w:hint="eastAsia" w:cs="宋体"/>
          <w:color w:val="auto"/>
          <w:highlight w:val="none"/>
        </w:rPr>
        <w:t>本合同有效期为发包人和承包人签署之日起至该工程项目竣工验收后止。</w:t>
      </w:r>
    </w:p>
    <w:p w14:paraId="6F2CE4C9">
      <w:pPr>
        <w:pStyle w:val="22"/>
        <w:tabs>
          <w:tab w:val="left" w:pos="3371"/>
        </w:tabs>
        <w:spacing w:line="360" w:lineRule="auto"/>
        <w:ind w:right="119" w:firstLine="480" w:firstLineChars="200"/>
        <w:rPr>
          <w:color w:val="auto"/>
          <w:highlight w:val="none"/>
        </w:rPr>
      </w:pPr>
      <w:r>
        <w:rPr>
          <w:color w:val="auto"/>
          <w:highlight w:val="none"/>
        </w:rPr>
        <w:t>7.</w:t>
      </w:r>
      <w:r>
        <w:rPr>
          <w:rFonts w:hint="eastAsia" w:cs="宋体"/>
          <w:color w:val="auto"/>
          <w:highlight w:val="none"/>
        </w:rPr>
        <w:t>本合同作为</w:t>
      </w:r>
      <w:r>
        <w:rPr>
          <w:color w:val="auto"/>
          <w:highlight w:val="none"/>
          <w:u w:val="single"/>
        </w:rPr>
        <w:t xml:space="preserve"> </w:t>
      </w:r>
      <w:r>
        <w:rPr>
          <w:color w:val="auto"/>
          <w:highlight w:val="none"/>
          <w:u w:val="single"/>
        </w:rPr>
        <w:tab/>
      </w:r>
      <w:r>
        <w:rPr>
          <w:rFonts w:hint="eastAsia" w:cs="宋体"/>
          <w:color w:val="auto"/>
          <w:spacing w:val="2"/>
          <w:highlight w:val="none"/>
        </w:rPr>
        <w:t>（项目名称）</w:t>
      </w:r>
      <w:r>
        <w:rPr>
          <w:rFonts w:hint="eastAsia" w:cs="宋体"/>
          <w:color w:val="auto"/>
          <w:highlight w:val="none"/>
        </w:rPr>
        <w:t>招标第</w:t>
      </w:r>
      <w:r>
        <w:rPr>
          <w:color w:val="auto"/>
          <w:spacing w:val="2"/>
          <w:highlight w:val="none"/>
          <w:u w:val="single"/>
        </w:rPr>
        <w:t xml:space="preserve">    </w:t>
      </w:r>
      <w:r>
        <w:rPr>
          <w:rFonts w:hint="eastAsia" w:cs="宋体"/>
          <w:color w:val="auto"/>
          <w:highlight w:val="none"/>
        </w:rPr>
        <w:t>标段</w:t>
      </w:r>
      <w:r>
        <w:rPr>
          <w:rFonts w:hint="eastAsia" w:cs="宋体"/>
          <w:color w:val="auto"/>
          <w:highlight w:val="none"/>
          <w:lang w:val="en-US" w:eastAsia="zh-CN"/>
        </w:rPr>
        <w:t>施工</w:t>
      </w:r>
      <w:r>
        <w:rPr>
          <w:rFonts w:hint="eastAsia" w:cs="宋体"/>
          <w:color w:val="auto"/>
          <w:highlight w:val="none"/>
        </w:rPr>
        <w:t>合同的附件，与工程施工合同具有同等的法律效力，经合同双方签署后立即生效。</w:t>
      </w:r>
    </w:p>
    <w:p w14:paraId="6050AD76">
      <w:pPr>
        <w:pStyle w:val="22"/>
        <w:spacing w:line="360" w:lineRule="auto"/>
        <w:ind w:right="122" w:firstLine="480" w:firstLineChars="200"/>
        <w:rPr>
          <w:color w:val="auto"/>
          <w:highlight w:val="none"/>
        </w:rPr>
      </w:pPr>
      <w:r>
        <w:rPr>
          <w:color w:val="auto"/>
          <w:highlight w:val="none"/>
        </w:rPr>
        <w:t>8.</w:t>
      </w:r>
      <w:r>
        <w:rPr>
          <w:rFonts w:hint="eastAsia" w:cs="宋体"/>
          <w:color w:val="auto"/>
          <w:highlight w:val="none"/>
        </w:rPr>
        <w:t>本合同一式四份，由发包人和承包人各执一份，送交发包人和承包人的监督单位各一份。</w:t>
      </w:r>
    </w:p>
    <w:p w14:paraId="387D01E3">
      <w:pPr>
        <w:pStyle w:val="22"/>
        <w:tabs>
          <w:tab w:val="left" w:pos="2903"/>
          <w:tab w:val="left" w:pos="3721"/>
          <w:tab w:val="left" w:pos="4601"/>
          <w:tab w:val="left" w:pos="7264"/>
          <w:tab w:val="left" w:pos="8177"/>
        </w:tabs>
        <w:spacing w:line="360" w:lineRule="auto"/>
        <w:ind w:left="144" w:right="124"/>
        <w:rPr>
          <w:rFonts w:cs="宋体"/>
          <w:color w:val="auto"/>
          <w:highlight w:val="none"/>
        </w:rPr>
      </w:pPr>
    </w:p>
    <w:p w14:paraId="08691217">
      <w:pPr>
        <w:pStyle w:val="22"/>
        <w:tabs>
          <w:tab w:val="left" w:pos="2903"/>
          <w:tab w:val="left" w:pos="3721"/>
          <w:tab w:val="left" w:pos="4601"/>
          <w:tab w:val="left" w:pos="7264"/>
          <w:tab w:val="left" w:pos="8177"/>
        </w:tabs>
        <w:spacing w:line="360" w:lineRule="auto"/>
        <w:ind w:left="144" w:right="124"/>
        <w:rPr>
          <w:rFonts w:cs="宋体"/>
          <w:color w:val="auto"/>
          <w:highlight w:val="none"/>
        </w:rPr>
      </w:pPr>
    </w:p>
    <w:p w14:paraId="1275141B">
      <w:pPr>
        <w:pStyle w:val="22"/>
        <w:tabs>
          <w:tab w:val="left" w:pos="2903"/>
          <w:tab w:val="left" w:pos="3721"/>
          <w:tab w:val="left" w:pos="4601"/>
          <w:tab w:val="left" w:pos="7264"/>
          <w:tab w:val="left" w:pos="8177"/>
        </w:tabs>
        <w:spacing w:line="360" w:lineRule="auto"/>
        <w:ind w:left="144" w:right="124"/>
        <w:rPr>
          <w:color w:val="auto"/>
          <w:highlight w:val="none"/>
        </w:rPr>
      </w:pPr>
      <w:r>
        <w:rPr>
          <w:rFonts w:hint="eastAsia" w:cs="宋体"/>
          <w:color w:val="auto"/>
          <w:highlight w:val="none"/>
        </w:rPr>
        <w:t>发包人：</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rFonts w:hint="eastAsia"/>
          <w:color w:val="auto"/>
          <w:highlight w:val="none"/>
        </w:rPr>
        <w:t>（</w:t>
      </w:r>
      <w:r>
        <w:rPr>
          <w:rFonts w:hint="eastAsia" w:cs="宋体"/>
          <w:color w:val="auto"/>
          <w:highlight w:val="none"/>
        </w:rPr>
        <w:t>盖单位章</w:t>
      </w:r>
      <w:r>
        <w:rPr>
          <w:rFonts w:hint="eastAsia"/>
          <w:color w:val="auto"/>
          <w:highlight w:val="none"/>
        </w:rPr>
        <w:t>）</w:t>
      </w:r>
      <w:r>
        <w:rPr>
          <w:rFonts w:hint="eastAsia"/>
          <w:color w:val="auto"/>
          <w:highlight w:val="none"/>
          <w:lang w:val="en-US" w:eastAsia="zh-CN"/>
        </w:rPr>
        <w:t xml:space="preserve"> </w:t>
      </w:r>
      <w:r>
        <w:rPr>
          <w:rFonts w:hint="eastAsia" w:cs="宋体"/>
          <w:color w:val="auto"/>
          <w:highlight w:val="none"/>
        </w:rPr>
        <w:t>承包人：</w:t>
      </w:r>
      <w:r>
        <w:rPr>
          <w:color w:val="auto"/>
          <w:highlight w:val="none"/>
          <w:u w:val="single"/>
        </w:rPr>
        <w:t xml:space="preserve"> </w:t>
      </w:r>
      <w:r>
        <w:rPr>
          <w:color w:val="auto"/>
          <w:highlight w:val="none"/>
          <w:u w:val="single"/>
        </w:rPr>
        <w:tab/>
      </w:r>
      <w:r>
        <w:rPr>
          <w:rFonts w:hint="eastAsia"/>
          <w:color w:val="auto"/>
          <w:highlight w:val="none"/>
        </w:rPr>
        <w:t>（</w:t>
      </w:r>
      <w:r>
        <w:rPr>
          <w:rFonts w:hint="eastAsia" w:cs="宋体"/>
          <w:color w:val="auto"/>
          <w:highlight w:val="none"/>
        </w:rPr>
        <w:t>盖单位章</w:t>
      </w:r>
      <w:r>
        <w:rPr>
          <w:rFonts w:hint="eastAsia"/>
          <w:color w:val="auto"/>
          <w:highlight w:val="none"/>
        </w:rPr>
        <w:t>）</w:t>
      </w:r>
      <w:r>
        <w:rPr>
          <w:color w:val="auto"/>
          <w:highlight w:val="none"/>
        </w:rPr>
        <w:t xml:space="preserve"> </w:t>
      </w:r>
    </w:p>
    <w:p w14:paraId="55AA4F01">
      <w:pPr>
        <w:pStyle w:val="22"/>
        <w:tabs>
          <w:tab w:val="left" w:pos="2903"/>
          <w:tab w:val="left" w:pos="3721"/>
          <w:tab w:val="left" w:pos="4601"/>
          <w:tab w:val="left" w:pos="7264"/>
          <w:tab w:val="left" w:pos="8177"/>
        </w:tabs>
        <w:spacing w:line="360" w:lineRule="auto"/>
        <w:ind w:left="144" w:right="124"/>
        <w:rPr>
          <w:color w:val="auto"/>
          <w:highlight w:val="none"/>
        </w:rPr>
      </w:pPr>
      <w:r>
        <w:rPr>
          <w:rFonts w:hint="eastAsia" w:cs="宋体"/>
          <w:color w:val="auto"/>
          <w:highlight w:val="none"/>
        </w:rPr>
        <w:t>法定代表人或其委托代理人：</w:t>
      </w:r>
      <w:r>
        <w:rPr>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w:t>
      </w:r>
      <w:r>
        <w:rPr>
          <w:rFonts w:hint="eastAsia" w:cs="宋体"/>
          <w:color w:val="auto"/>
          <w:highlight w:val="none"/>
        </w:rPr>
        <w:t>签字</w:t>
      </w:r>
      <w:r>
        <w:rPr>
          <w:rFonts w:hint="eastAsia"/>
          <w:color w:val="auto"/>
          <w:highlight w:val="none"/>
        </w:rPr>
        <w:t>）</w:t>
      </w:r>
      <w:r>
        <w:rPr>
          <w:rFonts w:hint="eastAsia"/>
          <w:color w:val="auto"/>
          <w:highlight w:val="none"/>
          <w:lang w:val="en-US" w:eastAsia="zh-CN"/>
        </w:rPr>
        <w:t xml:space="preserve"> </w:t>
      </w:r>
      <w:r>
        <w:rPr>
          <w:rFonts w:hint="eastAsia" w:cs="宋体"/>
          <w:color w:val="auto"/>
          <w:spacing w:val="-3"/>
          <w:highlight w:val="none"/>
        </w:rPr>
        <w:t>法定代表人或其委托代理人：</w:t>
      </w:r>
      <w:r>
        <w:rPr>
          <w:color w:val="auto"/>
          <w:spacing w:val="-3"/>
          <w:highlight w:val="none"/>
          <w:u w:val="single"/>
        </w:rPr>
        <w:t xml:space="preserve"> </w:t>
      </w:r>
      <w:r>
        <w:rPr>
          <w:rFonts w:hint="eastAsia"/>
          <w:color w:val="auto"/>
          <w:spacing w:val="-3"/>
          <w:highlight w:val="none"/>
          <w:u w:val="single"/>
          <w:lang w:val="en-US" w:eastAsia="zh-CN"/>
        </w:rPr>
        <w:t xml:space="preserve"> </w:t>
      </w:r>
      <w:r>
        <w:rPr>
          <w:rFonts w:hint="eastAsia"/>
          <w:color w:val="auto"/>
          <w:highlight w:val="none"/>
        </w:rPr>
        <w:t>（</w:t>
      </w:r>
      <w:r>
        <w:rPr>
          <w:rFonts w:hint="eastAsia" w:cs="宋体"/>
          <w:color w:val="auto"/>
          <w:highlight w:val="none"/>
        </w:rPr>
        <w:t>签字</w:t>
      </w:r>
      <w:r>
        <w:rPr>
          <w:rFonts w:hint="eastAsia"/>
          <w:color w:val="auto"/>
          <w:highlight w:val="none"/>
        </w:rPr>
        <w:t>）</w:t>
      </w:r>
    </w:p>
    <w:p w14:paraId="5B5BF052">
      <w:pPr>
        <w:pStyle w:val="22"/>
        <w:tabs>
          <w:tab w:val="left" w:pos="1583"/>
          <w:tab w:val="left" w:pos="2663"/>
          <w:tab w:val="left" w:pos="3503"/>
          <w:tab w:val="left" w:pos="4943"/>
          <w:tab w:val="left" w:pos="6023"/>
          <w:tab w:val="left" w:pos="7103"/>
          <w:tab w:val="left" w:pos="8303"/>
        </w:tabs>
        <w:spacing w:line="360" w:lineRule="auto"/>
        <w:ind w:left="504" w:right="107" w:firstLine="1920" w:firstLineChars="800"/>
        <w:rPr>
          <w:color w:val="auto"/>
          <w:highlight w:val="none"/>
        </w:rPr>
      </w:pPr>
      <w:r>
        <w:rPr>
          <w:color w:val="auto"/>
          <w:highlight w:val="none"/>
          <w:u w:val="single"/>
        </w:rPr>
        <w:t xml:space="preserve"> </w:t>
      </w:r>
      <w:r>
        <w:rPr>
          <w:rFonts w:hint="eastAsia"/>
          <w:color w:val="auto"/>
          <w:highlight w:val="none"/>
          <w:u w:val="single"/>
          <w:lang w:val="en-US" w:eastAsia="zh-CN"/>
        </w:rPr>
        <w:t xml:space="preserve">   </w:t>
      </w:r>
      <w:r>
        <w:rPr>
          <w:rFonts w:hint="eastAsia" w:cs="宋体"/>
          <w:color w:val="auto"/>
          <w:highlight w:val="none"/>
        </w:rPr>
        <w:t>年</w:t>
      </w:r>
      <w:r>
        <w:rPr>
          <w:color w:val="auto"/>
          <w:highlight w:val="none"/>
          <w:u w:val="single"/>
        </w:rPr>
        <w:t xml:space="preserve"> </w:t>
      </w:r>
      <w:r>
        <w:rPr>
          <w:rFonts w:hint="eastAsia"/>
          <w:color w:val="auto"/>
          <w:highlight w:val="none"/>
          <w:u w:val="single"/>
          <w:lang w:val="en-US" w:eastAsia="zh-CN"/>
        </w:rPr>
        <w:t xml:space="preserve">  </w:t>
      </w:r>
      <w:r>
        <w:rPr>
          <w:rFonts w:hint="eastAsia" w:cs="宋体"/>
          <w:color w:val="auto"/>
          <w:highlight w:val="none"/>
        </w:rPr>
        <w:t>月</w:t>
      </w:r>
      <w:r>
        <w:rPr>
          <w:rFonts w:hint="eastAsia"/>
          <w:color w:val="auto"/>
          <w:highlight w:val="none"/>
          <w:u w:val="single"/>
          <w:lang w:val="en-US" w:eastAsia="zh-CN"/>
        </w:rPr>
        <w:t xml:space="preserve">   </w:t>
      </w:r>
      <w:r>
        <w:rPr>
          <w:rFonts w:hint="eastAsia" w:cs="宋体"/>
          <w:color w:val="auto"/>
          <w:highlight w:val="none"/>
        </w:rPr>
        <w:t>日</w:t>
      </w:r>
      <w:r>
        <w:rPr>
          <w:color w:val="auto"/>
          <w:highlight w:val="none"/>
        </w:rPr>
        <w:tab/>
      </w:r>
      <w:r>
        <w:rPr>
          <w:rFonts w:hint="eastAsia"/>
          <w:color w:val="auto"/>
          <w:highlight w:val="none"/>
          <w:lang w:val="en-US" w:eastAsia="zh-CN"/>
        </w:rPr>
        <w:t xml:space="preserve">              </w:t>
      </w:r>
      <w:r>
        <w:rPr>
          <w:color w:val="auto"/>
          <w:highlight w:val="none"/>
          <w:u w:val="single"/>
        </w:rPr>
        <w:t xml:space="preserve"> </w:t>
      </w:r>
      <w:r>
        <w:rPr>
          <w:color w:val="auto"/>
          <w:highlight w:val="none"/>
          <w:u w:val="single"/>
        </w:rPr>
        <w:tab/>
      </w:r>
      <w:r>
        <w:rPr>
          <w:rFonts w:hint="eastAsia" w:cs="宋体"/>
          <w:color w:val="auto"/>
          <w:highlight w:val="none"/>
        </w:rPr>
        <w:t>年</w:t>
      </w:r>
      <w:r>
        <w:rPr>
          <w:color w:val="auto"/>
          <w:highlight w:val="none"/>
          <w:u w:val="single"/>
        </w:rPr>
        <w:t xml:space="preserve"> </w:t>
      </w:r>
      <w:r>
        <w:rPr>
          <w:rFonts w:hint="eastAsia"/>
          <w:color w:val="auto"/>
          <w:highlight w:val="none"/>
          <w:u w:val="single"/>
          <w:lang w:val="en-US" w:eastAsia="zh-CN"/>
        </w:rPr>
        <w:t xml:space="preserve">  </w:t>
      </w:r>
      <w:r>
        <w:rPr>
          <w:rFonts w:hint="eastAsia" w:cs="宋体"/>
          <w:color w:val="auto"/>
          <w:highlight w:val="none"/>
        </w:rPr>
        <w:t>月</w:t>
      </w:r>
      <w:r>
        <w:rPr>
          <w:rFonts w:hint="eastAsia" w:cs="宋体"/>
          <w:color w:val="auto"/>
          <w:highlight w:val="none"/>
          <w:u w:val="single"/>
          <w:lang w:val="en-US" w:eastAsia="zh-CN"/>
        </w:rPr>
        <w:t xml:space="preserve">  </w:t>
      </w:r>
      <w:r>
        <w:rPr>
          <w:color w:val="auto"/>
          <w:highlight w:val="none"/>
          <w:u w:val="single"/>
        </w:rPr>
        <w:tab/>
      </w:r>
      <w:r>
        <w:rPr>
          <w:rFonts w:hint="eastAsia" w:cs="宋体"/>
          <w:color w:val="auto"/>
          <w:highlight w:val="none"/>
        </w:rPr>
        <w:t>日</w:t>
      </w:r>
    </w:p>
    <w:p w14:paraId="65104632">
      <w:pPr>
        <w:pStyle w:val="22"/>
        <w:tabs>
          <w:tab w:val="left" w:pos="2944"/>
          <w:tab w:val="left" w:pos="4664"/>
          <w:tab w:val="left" w:pos="7465"/>
        </w:tabs>
        <w:spacing w:line="360" w:lineRule="auto"/>
        <w:ind w:left="144" w:right="107"/>
        <w:rPr>
          <w:rFonts w:hint="eastAsia" w:cs="宋体"/>
          <w:color w:val="auto"/>
          <w:highlight w:val="none"/>
        </w:rPr>
      </w:pPr>
    </w:p>
    <w:p w14:paraId="6106C6C7">
      <w:pPr>
        <w:pStyle w:val="22"/>
        <w:tabs>
          <w:tab w:val="left" w:pos="2944"/>
          <w:tab w:val="left" w:pos="4664"/>
          <w:tab w:val="left" w:pos="7465"/>
        </w:tabs>
        <w:spacing w:line="360" w:lineRule="auto"/>
        <w:ind w:left="144" w:right="107"/>
        <w:rPr>
          <w:color w:val="auto"/>
          <w:highlight w:val="none"/>
        </w:rPr>
      </w:pPr>
      <w:r>
        <w:rPr>
          <w:rFonts w:hint="eastAsia" w:cs="宋体"/>
          <w:color w:val="auto"/>
          <w:highlight w:val="none"/>
        </w:rPr>
        <w:t>发包人监督单位：</w:t>
      </w:r>
      <w:r>
        <w:rPr>
          <w:rFonts w:hint="eastAsia"/>
          <w:color w:val="auto"/>
          <w:highlight w:val="none"/>
          <w:u w:val="single"/>
        </w:rPr>
        <w:t>（</w:t>
      </w:r>
      <w:r>
        <w:rPr>
          <w:rFonts w:hint="eastAsia" w:cs="宋体"/>
          <w:color w:val="auto"/>
          <w:highlight w:val="none"/>
          <w:u w:val="single"/>
        </w:rPr>
        <w:t>全称</w:t>
      </w:r>
      <w:r>
        <w:rPr>
          <w:rFonts w:hint="eastAsia"/>
          <w:color w:val="auto"/>
          <w:highlight w:val="none"/>
          <w:u w:val="single"/>
        </w:rPr>
        <w:t>）（</w:t>
      </w:r>
      <w:r>
        <w:rPr>
          <w:rFonts w:hint="eastAsia" w:cs="宋体"/>
          <w:color w:val="auto"/>
          <w:highlight w:val="none"/>
          <w:u w:val="single"/>
        </w:rPr>
        <w:t>盖单位章</w:t>
      </w:r>
      <w:r>
        <w:rPr>
          <w:rFonts w:hint="eastAsia"/>
          <w:color w:val="auto"/>
          <w:highlight w:val="none"/>
          <w:u w:val="single"/>
        </w:rPr>
        <w:t>）</w:t>
      </w:r>
      <w:r>
        <w:rPr>
          <w:color w:val="auto"/>
          <w:highlight w:val="none"/>
        </w:rPr>
        <w:tab/>
      </w:r>
      <w:r>
        <w:rPr>
          <w:rFonts w:hint="eastAsia" w:cs="宋体"/>
          <w:color w:val="auto"/>
          <w:highlight w:val="none"/>
        </w:rPr>
        <w:t>承包人监督单位：</w:t>
      </w:r>
      <w:r>
        <w:rPr>
          <w:rFonts w:hint="eastAsia"/>
          <w:color w:val="auto"/>
          <w:highlight w:val="none"/>
          <w:u w:val="single"/>
        </w:rPr>
        <w:t>（</w:t>
      </w:r>
      <w:r>
        <w:rPr>
          <w:rFonts w:hint="eastAsia" w:cs="宋体"/>
          <w:color w:val="auto"/>
          <w:highlight w:val="none"/>
          <w:u w:val="single"/>
        </w:rPr>
        <w:t>全称</w:t>
      </w:r>
      <w:r>
        <w:rPr>
          <w:rFonts w:hint="eastAsia"/>
          <w:color w:val="auto"/>
          <w:highlight w:val="none"/>
          <w:u w:val="single"/>
        </w:rPr>
        <w:t>）（</w:t>
      </w:r>
      <w:r>
        <w:rPr>
          <w:rFonts w:hint="eastAsia" w:cs="宋体"/>
          <w:color w:val="auto"/>
          <w:highlight w:val="none"/>
          <w:u w:val="single"/>
        </w:rPr>
        <w:t>盖单位章</w:t>
      </w:r>
      <w:r>
        <w:rPr>
          <w:rFonts w:hint="eastAsia"/>
          <w:color w:val="auto"/>
          <w:highlight w:val="none"/>
          <w:u w:val="single"/>
        </w:rPr>
        <w:t>）</w:t>
      </w:r>
    </w:p>
    <w:p w14:paraId="45A63E02">
      <w:pPr>
        <w:pStyle w:val="22"/>
        <w:spacing w:before="0" w:line="360" w:lineRule="auto"/>
        <w:ind w:right="-6605"/>
        <w:outlineLvl w:val="2"/>
        <w:rPr>
          <w:rStyle w:val="152"/>
          <w:b w:val="0"/>
          <w:bCs w:val="0"/>
          <w:color w:val="auto"/>
          <w:highlight w:val="none"/>
        </w:rPr>
      </w:pPr>
      <w:r>
        <w:rPr>
          <w:rFonts w:cs="宋体"/>
          <w:b/>
          <w:color w:val="auto"/>
          <w:sz w:val="30"/>
          <w:szCs w:val="30"/>
          <w:highlight w:val="none"/>
        </w:rPr>
        <w:br w:type="page"/>
      </w:r>
      <w:r>
        <w:rPr>
          <w:rStyle w:val="152"/>
          <w:b w:val="0"/>
          <w:bCs w:val="0"/>
          <w:color w:val="auto"/>
          <w:highlight w:val="none"/>
        </w:rPr>
        <w:t>附件三 安全生产合同</w:t>
      </w:r>
    </w:p>
    <w:p w14:paraId="570F0C88">
      <w:pPr>
        <w:jc w:val="center"/>
        <w:rPr>
          <w:rFonts w:ascii="黑体" w:hAnsi="黑体" w:eastAsia="黑体"/>
          <w:color w:val="auto"/>
          <w:sz w:val="28"/>
          <w:szCs w:val="28"/>
          <w:highlight w:val="none"/>
        </w:rPr>
      </w:pPr>
      <w:r>
        <w:rPr>
          <w:rFonts w:hint="eastAsia" w:ascii="黑体" w:hAnsi="黑体" w:eastAsia="黑体" w:cs="宋体"/>
          <w:color w:val="auto"/>
          <w:sz w:val="28"/>
          <w:szCs w:val="28"/>
          <w:highlight w:val="none"/>
        </w:rPr>
        <w:t>安全</w:t>
      </w:r>
      <w:r>
        <w:rPr>
          <w:rFonts w:hint="eastAsia" w:ascii="黑体" w:hAnsi="黑体" w:eastAsia="黑体"/>
          <w:color w:val="auto"/>
          <w:sz w:val="28"/>
          <w:szCs w:val="28"/>
          <w:highlight w:val="none"/>
        </w:rPr>
        <w:t>生产合</w:t>
      </w:r>
      <w:r>
        <w:rPr>
          <w:rFonts w:hint="eastAsia" w:ascii="黑体" w:hAnsi="黑体" w:eastAsia="黑体" w:cs="宋体"/>
          <w:color w:val="auto"/>
          <w:sz w:val="28"/>
          <w:szCs w:val="28"/>
          <w:highlight w:val="none"/>
        </w:rPr>
        <w:t>同</w:t>
      </w:r>
    </w:p>
    <w:p w14:paraId="4A5397B4">
      <w:pPr>
        <w:pStyle w:val="22"/>
        <w:rPr>
          <w:color w:val="auto"/>
          <w:sz w:val="28"/>
          <w:szCs w:val="28"/>
          <w:highlight w:val="none"/>
        </w:rPr>
      </w:pPr>
    </w:p>
    <w:p w14:paraId="4B325591">
      <w:pPr>
        <w:pStyle w:val="22"/>
        <w:spacing w:before="1"/>
        <w:rPr>
          <w:color w:val="auto"/>
          <w:sz w:val="14"/>
          <w:highlight w:val="none"/>
        </w:rPr>
      </w:pPr>
    </w:p>
    <w:p w14:paraId="51EC889D">
      <w:pPr>
        <w:pStyle w:val="22"/>
        <w:tabs>
          <w:tab w:val="left" w:pos="2800"/>
          <w:tab w:val="left" w:pos="5401"/>
          <w:tab w:val="left" w:pos="8256"/>
        </w:tabs>
        <w:spacing w:line="360" w:lineRule="auto"/>
        <w:ind w:left="144" w:right="221" w:firstLine="480" w:firstLineChars="200"/>
        <w:jc w:val="left"/>
        <w:rPr>
          <w:color w:val="auto"/>
          <w:highlight w:val="none"/>
        </w:rPr>
      </w:pPr>
      <w:r>
        <w:rPr>
          <w:rFonts w:hint="eastAsia" w:cs="宋体"/>
          <w:color w:val="auto"/>
          <w:highlight w:val="none"/>
        </w:rPr>
        <w:t>为在</w:t>
      </w:r>
      <w:r>
        <w:rPr>
          <w:color w:val="auto"/>
          <w:highlight w:val="none"/>
          <w:u w:val="single"/>
        </w:rPr>
        <w:t xml:space="preserve">             </w:t>
      </w:r>
      <w:r>
        <w:rPr>
          <w:rFonts w:hint="eastAsia"/>
          <w:color w:val="auto"/>
          <w:highlight w:val="none"/>
        </w:rPr>
        <w:t>（</w:t>
      </w:r>
      <w:r>
        <w:rPr>
          <w:rFonts w:hint="eastAsia" w:cs="宋体"/>
          <w:color w:val="auto"/>
          <w:highlight w:val="none"/>
        </w:rPr>
        <w:t>项目名称</w:t>
      </w:r>
      <w:r>
        <w:rPr>
          <w:rFonts w:hint="eastAsia"/>
          <w:color w:val="auto"/>
          <w:highlight w:val="none"/>
        </w:rPr>
        <w:t>）</w:t>
      </w:r>
      <w:r>
        <w:rPr>
          <w:rFonts w:hint="eastAsia" w:cs="宋体"/>
          <w:color w:val="auto"/>
          <w:highlight w:val="none"/>
        </w:rPr>
        <w:t>第</w:t>
      </w:r>
      <w:r>
        <w:rPr>
          <w:color w:val="auto"/>
          <w:highlight w:val="none"/>
          <w:u w:val="single"/>
        </w:rPr>
        <w:t xml:space="preserve">    </w:t>
      </w:r>
      <w:r>
        <w:rPr>
          <w:color w:val="auto"/>
          <w:spacing w:val="38"/>
          <w:highlight w:val="none"/>
          <w:u w:val="single"/>
        </w:rPr>
        <w:t xml:space="preserve"> </w:t>
      </w:r>
      <w:r>
        <w:rPr>
          <w:rFonts w:hint="eastAsia" w:cs="宋体"/>
          <w:color w:val="auto"/>
          <w:highlight w:val="none"/>
        </w:rPr>
        <w:t>标段</w:t>
      </w:r>
      <w:r>
        <w:rPr>
          <w:rFonts w:hint="eastAsia" w:cs="宋体"/>
          <w:color w:val="auto"/>
          <w:highlight w:val="none"/>
          <w:lang w:val="en-US" w:eastAsia="zh-CN"/>
        </w:rPr>
        <w:t>施工</w:t>
      </w:r>
      <w:r>
        <w:rPr>
          <w:rFonts w:hint="eastAsia" w:cs="宋体"/>
          <w:color w:val="auto"/>
          <w:highlight w:val="none"/>
        </w:rPr>
        <w:t>合同的实施过程中创造安全、高效的施工环境，切实</w:t>
      </w:r>
      <w:r>
        <w:rPr>
          <w:rFonts w:hint="eastAsia" w:cs="宋体"/>
          <w:color w:val="auto"/>
          <w:highlight w:val="none"/>
          <w:lang w:eastAsia="zh-CN"/>
        </w:rPr>
        <w:t>做好</w:t>
      </w:r>
      <w:r>
        <w:rPr>
          <w:rFonts w:hint="eastAsia" w:cs="宋体"/>
          <w:color w:val="auto"/>
          <w:highlight w:val="none"/>
        </w:rPr>
        <w:t>本项目的安全管理工作，本项目发包人</w:t>
      </w:r>
      <w:r>
        <w:rPr>
          <w:rFonts w:cs="宋体"/>
          <w:color w:val="auto"/>
          <w:highlight w:val="none"/>
          <w:u w:val="single"/>
        </w:rPr>
        <w:t xml:space="preserve">       </w:t>
      </w:r>
      <w:r>
        <w:rPr>
          <w:rFonts w:hint="eastAsia"/>
          <w:color w:val="auto"/>
          <w:highlight w:val="none"/>
        </w:rPr>
        <w:t>（</w:t>
      </w:r>
      <w:r>
        <w:rPr>
          <w:rFonts w:hint="eastAsia" w:cs="宋体"/>
          <w:color w:val="auto"/>
          <w:highlight w:val="none"/>
        </w:rPr>
        <w:t>发包</w:t>
      </w:r>
      <w:r>
        <w:rPr>
          <w:rFonts w:hint="eastAsia" w:cs="宋体"/>
          <w:color w:val="auto"/>
          <w:spacing w:val="-5"/>
          <w:highlight w:val="none"/>
        </w:rPr>
        <w:t>人名称，以下简称</w:t>
      </w:r>
      <w:r>
        <w:rPr>
          <w:color w:val="auto"/>
          <w:spacing w:val="-5"/>
          <w:highlight w:val="none"/>
        </w:rPr>
        <w:t>“</w:t>
      </w:r>
      <w:r>
        <w:rPr>
          <w:rFonts w:hint="eastAsia" w:cs="宋体"/>
          <w:color w:val="auto"/>
          <w:spacing w:val="-5"/>
          <w:highlight w:val="none"/>
        </w:rPr>
        <w:t>发包人</w:t>
      </w:r>
      <w:r>
        <w:rPr>
          <w:color w:val="auto"/>
          <w:spacing w:val="-5"/>
          <w:highlight w:val="none"/>
        </w:rPr>
        <w:t>”</w:t>
      </w:r>
      <w:r>
        <w:rPr>
          <w:rFonts w:hint="eastAsia"/>
          <w:color w:val="auto"/>
          <w:highlight w:val="none"/>
        </w:rPr>
        <w:t>）</w:t>
      </w:r>
      <w:r>
        <w:rPr>
          <w:rFonts w:hint="eastAsia" w:cs="宋体"/>
          <w:color w:val="auto"/>
          <w:spacing w:val="-5"/>
          <w:highlight w:val="none"/>
        </w:rPr>
        <w:t>与承包人</w:t>
      </w:r>
      <w:r>
        <w:rPr>
          <w:color w:val="auto"/>
          <w:spacing w:val="-5"/>
          <w:highlight w:val="none"/>
          <w:u w:val="single"/>
        </w:rPr>
        <w:t xml:space="preserve">           </w:t>
      </w:r>
      <w:r>
        <w:rPr>
          <w:rFonts w:hint="eastAsia"/>
          <w:color w:val="auto"/>
          <w:spacing w:val="-5"/>
          <w:highlight w:val="none"/>
        </w:rPr>
        <w:t>（</w:t>
      </w:r>
      <w:r>
        <w:rPr>
          <w:rFonts w:hint="eastAsia" w:cs="宋体"/>
          <w:color w:val="auto"/>
          <w:spacing w:val="-5"/>
          <w:highlight w:val="none"/>
        </w:rPr>
        <w:t>承包人名称，以下简称</w:t>
      </w:r>
      <w:r>
        <w:rPr>
          <w:color w:val="auto"/>
          <w:spacing w:val="-5"/>
          <w:highlight w:val="none"/>
        </w:rPr>
        <w:t>“</w:t>
      </w:r>
      <w:r>
        <w:rPr>
          <w:rFonts w:hint="eastAsia" w:cs="宋体"/>
          <w:color w:val="auto"/>
          <w:spacing w:val="-5"/>
          <w:highlight w:val="none"/>
        </w:rPr>
        <w:t>承包人</w:t>
      </w:r>
      <w:r>
        <w:rPr>
          <w:color w:val="auto"/>
          <w:spacing w:val="-5"/>
          <w:highlight w:val="none"/>
        </w:rPr>
        <w:t>”</w:t>
      </w:r>
      <w:r>
        <w:rPr>
          <w:rFonts w:hint="eastAsia"/>
          <w:color w:val="auto"/>
          <w:spacing w:val="-5"/>
          <w:highlight w:val="none"/>
        </w:rPr>
        <w:t>）</w:t>
      </w:r>
      <w:r>
        <w:rPr>
          <w:rFonts w:hint="eastAsia" w:cs="宋体"/>
          <w:color w:val="auto"/>
          <w:highlight w:val="none"/>
        </w:rPr>
        <w:t>特此签订安全生产合同：</w:t>
      </w:r>
    </w:p>
    <w:p w14:paraId="4AEB8D3C">
      <w:pPr>
        <w:pStyle w:val="22"/>
        <w:spacing w:line="360" w:lineRule="auto"/>
        <w:ind w:right="7" w:firstLine="480" w:firstLineChars="200"/>
        <w:rPr>
          <w:rFonts w:hint="eastAsia" w:ascii="宋体" w:hAnsi="宋体" w:eastAsia="宋体" w:cs="宋体"/>
          <w:b/>
          <w:color w:val="auto"/>
          <w:highlight w:val="none"/>
        </w:rPr>
      </w:pPr>
      <w:r>
        <w:rPr>
          <w:rFonts w:hint="eastAsia" w:ascii="宋体" w:hAnsi="宋体" w:eastAsia="宋体" w:cs="宋体"/>
          <w:b w:val="0"/>
          <w:color w:val="auto"/>
          <w:highlight w:val="none"/>
        </w:rPr>
        <w:t>1.发包人职责</w:t>
      </w:r>
    </w:p>
    <w:p w14:paraId="2DD00DDC">
      <w:pPr>
        <w:pStyle w:val="22"/>
        <w:spacing w:line="360" w:lineRule="auto"/>
        <w:ind w:right="223" w:firstLine="480" w:firstLineChars="200"/>
        <w:rPr>
          <w:color w:val="auto"/>
          <w:highlight w:val="none"/>
        </w:rPr>
      </w:pPr>
      <w:r>
        <w:rPr>
          <w:rFonts w:hint="eastAsia"/>
          <w:color w:val="auto"/>
          <w:highlight w:val="none"/>
        </w:rPr>
        <w:t>（</w:t>
      </w:r>
      <w:r>
        <w:rPr>
          <w:color w:val="auto"/>
          <w:highlight w:val="none"/>
        </w:rPr>
        <w:t>1）</w:t>
      </w:r>
      <w:r>
        <w:rPr>
          <w:rFonts w:hint="eastAsia" w:cs="宋体"/>
          <w:color w:val="auto"/>
          <w:highlight w:val="none"/>
        </w:rPr>
        <w:t>严格遵守国家有关安全生产的法律法规，认真执行工程承包合同中的有关安全要求。</w:t>
      </w:r>
    </w:p>
    <w:p w14:paraId="35166684">
      <w:pPr>
        <w:pStyle w:val="22"/>
        <w:spacing w:line="360" w:lineRule="auto"/>
        <w:ind w:right="221" w:firstLine="480" w:firstLineChars="200"/>
        <w:rPr>
          <w:color w:val="auto"/>
          <w:highlight w:val="none"/>
        </w:rPr>
      </w:pPr>
      <w:r>
        <w:rPr>
          <w:rFonts w:hint="eastAsia"/>
          <w:color w:val="auto"/>
          <w:highlight w:val="none"/>
        </w:rPr>
        <w:t>（</w:t>
      </w:r>
      <w:r>
        <w:rPr>
          <w:color w:val="auto"/>
          <w:highlight w:val="none"/>
        </w:rPr>
        <w:t>2）</w:t>
      </w:r>
      <w:r>
        <w:rPr>
          <w:rFonts w:hint="eastAsia" w:cs="宋体"/>
          <w:color w:val="auto"/>
          <w:highlight w:val="none"/>
        </w:rPr>
        <w:t>按照</w:t>
      </w:r>
      <w:r>
        <w:rPr>
          <w:color w:val="auto"/>
          <w:highlight w:val="none"/>
        </w:rPr>
        <w:t>“</w:t>
      </w:r>
      <w:r>
        <w:rPr>
          <w:rFonts w:hint="eastAsia" w:cs="宋体"/>
          <w:color w:val="auto"/>
          <w:highlight w:val="none"/>
        </w:rPr>
        <w:t>安全第一、预防为主</w:t>
      </w:r>
      <w:r>
        <w:rPr>
          <w:rFonts w:hint="eastAsia" w:cs="宋体"/>
          <w:color w:val="auto"/>
          <w:highlight w:val="none"/>
          <w:lang w:eastAsia="zh-CN"/>
        </w:rPr>
        <w:t>、</w:t>
      </w:r>
      <w:r>
        <w:rPr>
          <w:rFonts w:hint="eastAsia" w:cs="宋体"/>
          <w:color w:val="auto"/>
          <w:highlight w:val="none"/>
          <w:lang w:val="en-US" w:eastAsia="zh-CN"/>
        </w:rPr>
        <w:t>综合治理</w:t>
      </w:r>
      <w:r>
        <w:rPr>
          <w:color w:val="auto"/>
          <w:highlight w:val="none"/>
        </w:rPr>
        <w:t>”</w:t>
      </w:r>
      <w:r>
        <w:rPr>
          <w:rFonts w:hint="eastAsia" w:cs="宋体"/>
          <w:color w:val="auto"/>
          <w:highlight w:val="none"/>
        </w:rPr>
        <w:t>和坚持</w:t>
      </w:r>
      <w:r>
        <w:rPr>
          <w:color w:val="auto"/>
          <w:highlight w:val="none"/>
        </w:rPr>
        <w:t>“</w:t>
      </w:r>
      <w:r>
        <w:rPr>
          <w:rFonts w:hint="eastAsia" w:cs="宋体"/>
          <w:color w:val="auto"/>
          <w:highlight w:val="none"/>
        </w:rPr>
        <w:t>管生产必须管安全</w:t>
      </w:r>
      <w:r>
        <w:rPr>
          <w:color w:val="auto"/>
          <w:highlight w:val="none"/>
        </w:rPr>
        <w:t>”</w:t>
      </w:r>
      <w:r>
        <w:rPr>
          <w:rFonts w:hint="eastAsia" w:cs="宋体"/>
          <w:color w:val="auto"/>
          <w:highlight w:val="none"/>
        </w:rPr>
        <w:t>的原则进行安全生产管理，做到生产与安全工作同时计划、布置、检查、总结和评比。</w:t>
      </w:r>
    </w:p>
    <w:p w14:paraId="59393641">
      <w:pPr>
        <w:pStyle w:val="22"/>
        <w:spacing w:line="360" w:lineRule="auto"/>
        <w:ind w:right="223" w:firstLine="480" w:firstLineChars="200"/>
        <w:rPr>
          <w:color w:val="auto"/>
          <w:highlight w:val="none"/>
        </w:rPr>
      </w:pPr>
      <w:r>
        <w:rPr>
          <w:rFonts w:hint="eastAsia"/>
          <w:color w:val="auto"/>
          <w:highlight w:val="none"/>
        </w:rPr>
        <w:t>（</w:t>
      </w:r>
      <w:r>
        <w:rPr>
          <w:color w:val="auto"/>
          <w:highlight w:val="none"/>
        </w:rPr>
        <w:t>3）</w:t>
      </w:r>
      <w:r>
        <w:rPr>
          <w:rFonts w:hint="eastAsia" w:cs="宋体"/>
          <w:color w:val="auto"/>
          <w:highlight w:val="none"/>
        </w:rPr>
        <w:t>重要的安全设施必须坚持与主体工程</w:t>
      </w:r>
      <w:r>
        <w:rPr>
          <w:color w:val="auto"/>
          <w:highlight w:val="none"/>
        </w:rPr>
        <w:t>“</w:t>
      </w:r>
      <w:r>
        <w:rPr>
          <w:rFonts w:hint="eastAsia" w:cs="宋体"/>
          <w:color w:val="auto"/>
          <w:highlight w:val="none"/>
        </w:rPr>
        <w:t>三同时</w:t>
      </w:r>
      <w:r>
        <w:rPr>
          <w:color w:val="auto"/>
          <w:highlight w:val="none"/>
        </w:rPr>
        <w:t>”</w:t>
      </w:r>
      <w:r>
        <w:rPr>
          <w:rFonts w:hint="eastAsia" w:cs="宋体"/>
          <w:color w:val="auto"/>
          <w:highlight w:val="none"/>
        </w:rPr>
        <w:t>的原则，即：同时设计、审批，同时施工，同时验收</w:t>
      </w:r>
      <w:r>
        <w:rPr>
          <w:rFonts w:hint="eastAsia" w:cs="宋体"/>
          <w:color w:val="auto"/>
          <w:highlight w:val="none"/>
          <w:lang w:eastAsia="zh-CN"/>
        </w:rPr>
        <w:t>、</w:t>
      </w:r>
      <w:r>
        <w:rPr>
          <w:rFonts w:hint="eastAsia" w:cs="宋体"/>
          <w:color w:val="auto"/>
          <w:highlight w:val="none"/>
        </w:rPr>
        <w:t>投入使用。</w:t>
      </w:r>
    </w:p>
    <w:p w14:paraId="06FA56BE">
      <w:pPr>
        <w:pStyle w:val="22"/>
        <w:spacing w:line="360" w:lineRule="auto"/>
        <w:ind w:right="223" w:firstLine="480" w:firstLineChars="200"/>
        <w:rPr>
          <w:color w:val="auto"/>
          <w:highlight w:val="none"/>
        </w:rPr>
      </w:pPr>
      <w:r>
        <w:rPr>
          <w:rFonts w:hint="eastAsia"/>
          <w:color w:val="auto"/>
          <w:highlight w:val="none"/>
        </w:rPr>
        <w:t>（</w:t>
      </w:r>
      <w:r>
        <w:rPr>
          <w:color w:val="auto"/>
          <w:highlight w:val="none"/>
        </w:rPr>
        <w:t>4）</w:t>
      </w:r>
      <w:r>
        <w:rPr>
          <w:rFonts w:hint="eastAsia" w:cs="宋体"/>
          <w:color w:val="auto"/>
          <w:highlight w:val="none"/>
        </w:rPr>
        <w:t>定期召开安全生产调度会，及时传达中央及地方有关安全生产的精神。</w:t>
      </w:r>
    </w:p>
    <w:p w14:paraId="2586DF91">
      <w:pPr>
        <w:pStyle w:val="22"/>
        <w:spacing w:line="360" w:lineRule="auto"/>
        <w:ind w:right="223" w:firstLine="480" w:firstLineChars="200"/>
        <w:rPr>
          <w:rFonts w:hint="eastAsia" w:ascii="黑体" w:hAnsi="黑体" w:eastAsia="黑体" w:cs="MS Gothic"/>
          <w:color w:val="auto"/>
          <w:highlight w:val="none"/>
        </w:rPr>
      </w:pPr>
      <w:r>
        <w:rPr>
          <w:rFonts w:hint="eastAsia"/>
          <w:color w:val="auto"/>
          <w:highlight w:val="none"/>
        </w:rPr>
        <w:t>（</w:t>
      </w:r>
      <w:r>
        <w:rPr>
          <w:color w:val="auto"/>
          <w:highlight w:val="none"/>
        </w:rPr>
        <w:t>5）</w:t>
      </w:r>
      <w:r>
        <w:rPr>
          <w:rFonts w:hint="eastAsia" w:cs="宋体"/>
          <w:color w:val="auto"/>
          <w:highlight w:val="none"/>
        </w:rPr>
        <w:t>组织对承包人施工现场进行安全生产检查，监督承包人及时处理发现的各种安全隐患。</w:t>
      </w:r>
    </w:p>
    <w:p w14:paraId="4F915CE6">
      <w:pPr>
        <w:pStyle w:val="22"/>
        <w:spacing w:line="360" w:lineRule="auto"/>
        <w:ind w:right="7" w:firstLine="480" w:firstLineChars="200"/>
        <w:rPr>
          <w:rFonts w:hint="eastAsia" w:ascii="宋体" w:hAnsi="宋体" w:eastAsia="宋体" w:cs="宋体"/>
          <w:b/>
          <w:color w:val="auto"/>
          <w:highlight w:val="none"/>
        </w:rPr>
      </w:pPr>
      <w:r>
        <w:rPr>
          <w:rFonts w:hint="eastAsia" w:ascii="宋体" w:hAnsi="宋体" w:eastAsia="宋体" w:cs="宋体"/>
          <w:b w:val="0"/>
          <w:color w:val="auto"/>
          <w:highlight w:val="none"/>
        </w:rPr>
        <w:t>2.承包人职责</w:t>
      </w:r>
    </w:p>
    <w:p w14:paraId="28C0F330">
      <w:pPr>
        <w:pStyle w:val="22"/>
        <w:spacing w:line="360" w:lineRule="auto"/>
        <w:ind w:right="223" w:firstLine="480" w:firstLineChars="200"/>
        <w:rPr>
          <w:rFonts w:hint="eastAsia"/>
          <w:color w:val="auto"/>
          <w:highlight w:val="none"/>
        </w:rPr>
      </w:pPr>
      <w:r>
        <w:rPr>
          <w:rFonts w:hint="eastAsia"/>
          <w:color w:val="auto"/>
          <w:highlight w:val="none"/>
        </w:rPr>
        <w:t>（1）严格遵守《中华人民共和国安全生产法》《建设工程安全生产管理条例》等国家有关安全生产的法律法规</w:t>
      </w:r>
      <w:r>
        <w:rPr>
          <w:rFonts w:hint="eastAsia"/>
          <w:color w:val="auto"/>
          <w:highlight w:val="none"/>
          <w:lang w:eastAsia="zh-CN"/>
        </w:rPr>
        <w:t>，</w:t>
      </w:r>
      <w:r>
        <w:rPr>
          <w:rFonts w:hint="eastAsia"/>
          <w:color w:val="auto"/>
          <w:highlight w:val="none"/>
        </w:rPr>
        <w:t>《公路水运工程安全生产监督管理办法》《公路工程施工安全技术</w:t>
      </w:r>
      <w:r>
        <w:rPr>
          <w:rFonts w:hint="eastAsia"/>
          <w:color w:val="auto"/>
          <w:highlight w:val="none"/>
          <w:lang w:val="en-US" w:eastAsia="zh-CN"/>
        </w:rPr>
        <w:t>规范</w:t>
      </w:r>
      <w:r>
        <w:rPr>
          <w:rFonts w:hint="eastAsia"/>
          <w:color w:val="auto"/>
          <w:highlight w:val="none"/>
        </w:rPr>
        <w:t>》和《公路筑养路机械操作规程》等有关安全生产的规定。认真执行工程承包合同中的有关安全要求。</w:t>
      </w:r>
    </w:p>
    <w:p w14:paraId="649A89BD">
      <w:pPr>
        <w:pStyle w:val="22"/>
        <w:spacing w:line="360" w:lineRule="auto"/>
        <w:ind w:right="221" w:firstLine="480" w:firstLineChars="200"/>
        <w:rPr>
          <w:color w:val="auto"/>
          <w:highlight w:val="none"/>
        </w:rPr>
      </w:pPr>
      <w:r>
        <w:rPr>
          <w:rFonts w:hint="eastAsia"/>
          <w:color w:val="auto"/>
          <w:highlight w:val="none"/>
        </w:rPr>
        <w:t>（</w:t>
      </w:r>
      <w:r>
        <w:rPr>
          <w:color w:val="auto"/>
          <w:highlight w:val="none"/>
        </w:rPr>
        <w:t>2）</w:t>
      </w:r>
      <w:r>
        <w:rPr>
          <w:rFonts w:hint="eastAsia" w:cs="宋体"/>
          <w:color w:val="auto"/>
          <w:highlight w:val="none"/>
        </w:rPr>
        <w:t>坚持</w:t>
      </w:r>
      <w:r>
        <w:rPr>
          <w:color w:val="auto"/>
          <w:highlight w:val="none"/>
        </w:rPr>
        <w:t>“</w:t>
      </w:r>
      <w:r>
        <w:rPr>
          <w:rFonts w:hint="eastAsia" w:cs="宋体"/>
          <w:color w:val="auto"/>
          <w:highlight w:val="none"/>
        </w:rPr>
        <w:t>安全第一、预防为主</w:t>
      </w:r>
      <w:r>
        <w:rPr>
          <w:rFonts w:hint="eastAsia" w:cs="宋体"/>
          <w:color w:val="auto"/>
          <w:highlight w:val="none"/>
          <w:lang w:eastAsia="zh-CN"/>
        </w:rPr>
        <w:t>、</w:t>
      </w:r>
      <w:r>
        <w:rPr>
          <w:rFonts w:hint="eastAsia" w:cs="宋体"/>
          <w:color w:val="auto"/>
          <w:highlight w:val="none"/>
          <w:lang w:val="en-US" w:eastAsia="zh-CN"/>
        </w:rPr>
        <w:t>综合治理</w:t>
      </w:r>
      <w:r>
        <w:rPr>
          <w:color w:val="auto"/>
          <w:highlight w:val="none"/>
        </w:rPr>
        <w:t>”</w:t>
      </w:r>
      <w:r>
        <w:rPr>
          <w:rFonts w:hint="eastAsia" w:cs="宋体"/>
          <w:color w:val="auto"/>
          <w:highlight w:val="none"/>
        </w:rPr>
        <w:t>和</w:t>
      </w:r>
      <w:r>
        <w:rPr>
          <w:color w:val="auto"/>
          <w:highlight w:val="none"/>
        </w:rPr>
        <w:t>“</w:t>
      </w:r>
      <w:r>
        <w:rPr>
          <w:rFonts w:hint="eastAsia" w:cs="宋体"/>
          <w:color w:val="auto"/>
          <w:highlight w:val="none"/>
        </w:rPr>
        <w:t>管生产必须管安全</w:t>
      </w:r>
      <w:r>
        <w:rPr>
          <w:color w:val="auto"/>
          <w:highlight w:val="none"/>
        </w:rPr>
        <w:t>”</w:t>
      </w:r>
      <w:r>
        <w:rPr>
          <w:rFonts w:hint="eastAsia" w:cs="宋体"/>
          <w:color w:val="auto"/>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BF3CA34">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3）</w:t>
      </w:r>
      <w:r>
        <w:rPr>
          <w:rFonts w:hint="eastAsia" w:cs="宋体"/>
          <w:color w:val="auto"/>
          <w:spacing w:val="0"/>
          <w:highlight w:val="none"/>
        </w:rPr>
        <w:t>建立健全安全生产责任制。</w:t>
      </w:r>
      <w:r>
        <w:rPr>
          <w:rFonts w:hint="eastAsia" w:cs="宋体"/>
          <w:color w:val="auto"/>
          <w:highlight w:val="none"/>
        </w:rPr>
        <w:t>从派往项目实施的项目经理到生产工人</w:t>
      </w:r>
      <w:r>
        <w:rPr>
          <w:color w:val="auto"/>
          <w:highlight w:val="none"/>
        </w:rPr>
        <w:t>（</w:t>
      </w:r>
      <w:r>
        <w:rPr>
          <w:rFonts w:hint="eastAsia" w:cs="宋体"/>
          <w:color w:val="auto"/>
          <w:highlight w:val="none"/>
        </w:rPr>
        <w:t>包括临时雇请的民工</w:t>
      </w:r>
      <w:r>
        <w:rPr>
          <w:color w:val="auto"/>
          <w:highlight w:val="none"/>
        </w:rPr>
        <w:t>）</w:t>
      </w:r>
      <w:r>
        <w:rPr>
          <w:rFonts w:hint="eastAsia" w:cs="宋体"/>
          <w:color w:val="auto"/>
          <w:highlight w:val="none"/>
        </w:rPr>
        <w:t>的安全生产管理系统必须做到纵向到底，</w:t>
      </w:r>
      <w:r>
        <w:rPr>
          <w:rFonts w:hint="eastAsia" w:cs="宋体"/>
          <w:color w:val="auto"/>
          <w:highlight w:val="none"/>
          <w:lang w:val="en-US" w:eastAsia="zh-CN"/>
        </w:rPr>
        <w:t>一</w:t>
      </w:r>
      <w:r>
        <w:rPr>
          <w:rFonts w:hint="eastAsia" w:cs="宋体"/>
          <w:color w:val="auto"/>
          <w:highlight w:val="none"/>
        </w:rPr>
        <w:t>环不漏；各职能部门、人</w:t>
      </w:r>
      <w:r>
        <w:rPr>
          <w:rFonts w:hint="eastAsia" w:cs="宋体"/>
          <w:color w:val="auto"/>
          <w:spacing w:val="0"/>
          <w:highlight w:val="none"/>
        </w:rPr>
        <w:t>员的安全生产责任制做到横向到边，人人有责。项目经理是安全生产的第一责任人。</w:t>
      </w:r>
      <w:r>
        <w:rPr>
          <w:rFonts w:hint="eastAsia" w:cs="宋体"/>
          <w:color w:val="auto"/>
          <w:highlight w:val="none"/>
        </w:rPr>
        <w:t>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0742C37">
      <w:pPr>
        <w:pStyle w:val="22"/>
        <w:spacing w:line="360" w:lineRule="auto"/>
        <w:ind w:right="123" w:firstLine="480" w:firstLineChars="200"/>
        <w:rPr>
          <w:color w:val="auto"/>
          <w:highlight w:val="none"/>
        </w:rPr>
      </w:pPr>
      <w:r>
        <w:rPr>
          <w:rFonts w:hint="eastAsia"/>
          <w:color w:val="auto"/>
          <w:highlight w:val="none"/>
        </w:rPr>
        <w:t>（</w:t>
      </w:r>
      <w:r>
        <w:rPr>
          <w:color w:val="auto"/>
          <w:highlight w:val="none"/>
        </w:rPr>
        <w:t>4）承包人在任何时候都应采取各种合理的预防措施，防止其员工发生任何违法、违禁、暴力或妨碍治安的行为。</w:t>
      </w:r>
    </w:p>
    <w:p w14:paraId="16FA43D6">
      <w:pPr>
        <w:pStyle w:val="22"/>
        <w:spacing w:line="360" w:lineRule="auto"/>
        <w:ind w:right="123" w:firstLine="480" w:firstLineChars="200"/>
        <w:rPr>
          <w:color w:val="auto"/>
          <w:highlight w:val="none"/>
        </w:rPr>
      </w:pPr>
      <w:r>
        <w:rPr>
          <w:rFonts w:hint="eastAsia"/>
          <w:color w:val="auto"/>
          <w:highlight w:val="none"/>
        </w:rPr>
        <w:t>（</w:t>
      </w:r>
      <w:r>
        <w:rPr>
          <w:color w:val="auto"/>
          <w:highlight w:val="none"/>
        </w:rPr>
        <w:t>5）</w:t>
      </w:r>
      <w:r>
        <w:rPr>
          <w:rFonts w:hint="eastAsia" w:cs="宋体"/>
          <w:color w:val="auto"/>
          <w:highlight w:val="none"/>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9FCF214">
      <w:pPr>
        <w:pStyle w:val="22"/>
        <w:spacing w:line="360" w:lineRule="auto"/>
        <w:ind w:right="123" w:firstLine="480" w:firstLineChars="200"/>
        <w:rPr>
          <w:color w:val="auto"/>
          <w:highlight w:val="none"/>
        </w:rPr>
      </w:pPr>
      <w:r>
        <w:rPr>
          <w:rFonts w:hint="eastAsia"/>
          <w:color w:val="auto"/>
          <w:highlight w:val="none"/>
        </w:rPr>
        <w:t>（</w:t>
      </w:r>
      <w:r>
        <w:rPr>
          <w:color w:val="auto"/>
          <w:highlight w:val="none"/>
        </w:rPr>
        <w:t>6）</w:t>
      </w:r>
      <w:r>
        <w:rPr>
          <w:rFonts w:hint="eastAsia" w:cs="宋体"/>
          <w:color w:val="auto"/>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BE95AE3">
      <w:pPr>
        <w:pStyle w:val="22"/>
        <w:spacing w:line="360" w:lineRule="auto"/>
        <w:ind w:right="123" w:firstLine="480" w:firstLineChars="200"/>
        <w:rPr>
          <w:color w:val="auto"/>
          <w:highlight w:val="none"/>
        </w:rPr>
      </w:pPr>
      <w:r>
        <w:rPr>
          <w:rFonts w:hint="eastAsia"/>
          <w:color w:val="auto"/>
          <w:highlight w:val="none"/>
        </w:rPr>
        <w:t>（</w:t>
      </w:r>
      <w:r>
        <w:rPr>
          <w:color w:val="auto"/>
          <w:highlight w:val="none"/>
        </w:rPr>
        <w:t>7）</w:t>
      </w:r>
      <w:r>
        <w:rPr>
          <w:rFonts w:hint="eastAsia" w:cs="宋体"/>
          <w:color w:val="auto"/>
          <w:highlight w:val="none"/>
        </w:rPr>
        <w:t>操作人员上岗，必须按规定穿戴防护用品。施工负责人和安全检查员应随时检查劳动防护用品的穿戴情况，不按规定穿戴防护用品的人员不得上岗。</w:t>
      </w:r>
    </w:p>
    <w:p w14:paraId="26BEE6EB">
      <w:pPr>
        <w:pStyle w:val="22"/>
        <w:spacing w:line="360" w:lineRule="auto"/>
        <w:ind w:right="123" w:firstLine="480" w:firstLineChars="200"/>
        <w:rPr>
          <w:color w:val="auto"/>
          <w:highlight w:val="none"/>
        </w:rPr>
      </w:pPr>
      <w:r>
        <w:rPr>
          <w:rFonts w:hint="eastAsia"/>
          <w:color w:val="auto"/>
          <w:highlight w:val="none"/>
        </w:rPr>
        <w:t>（</w:t>
      </w:r>
      <w:r>
        <w:rPr>
          <w:color w:val="auto"/>
          <w:highlight w:val="none"/>
        </w:rPr>
        <w:t>8）</w:t>
      </w:r>
      <w:r>
        <w:rPr>
          <w:rFonts w:hint="eastAsia" w:cs="宋体"/>
          <w:color w:val="auto"/>
          <w:highlight w:val="none"/>
        </w:rPr>
        <w:t>所有施工机具设备和高空作业的设备均应定期检查，并有安全员的签字记录，保证其经常处于完好状态；不合格的机具、设备和劳动保护用品严禁使用。</w:t>
      </w:r>
    </w:p>
    <w:p w14:paraId="3A6F7FA5">
      <w:pPr>
        <w:pStyle w:val="22"/>
        <w:spacing w:line="360" w:lineRule="auto"/>
        <w:ind w:right="124" w:firstLine="480" w:firstLineChars="200"/>
        <w:rPr>
          <w:color w:val="auto"/>
          <w:highlight w:val="none"/>
        </w:rPr>
      </w:pPr>
      <w:r>
        <w:rPr>
          <w:rFonts w:hint="eastAsia"/>
          <w:color w:val="auto"/>
          <w:highlight w:val="none"/>
        </w:rPr>
        <w:t>（</w:t>
      </w:r>
      <w:r>
        <w:rPr>
          <w:color w:val="auto"/>
          <w:highlight w:val="none"/>
        </w:rPr>
        <w:t>9）</w:t>
      </w:r>
      <w:r>
        <w:rPr>
          <w:rFonts w:hint="eastAsia" w:cs="宋体"/>
          <w:color w:val="auto"/>
          <w:highlight w:val="none"/>
        </w:rPr>
        <w:t>施工中采用新技术、新工艺、新设备、新材料时，必须制定相应的安全技术措施，施工现场必须具有相关的安全标志牌。</w:t>
      </w:r>
    </w:p>
    <w:p w14:paraId="78E22B2C">
      <w:pPr>
        <w:pStyle w:val="22"/>
        <w:spacing w:line="360" w:lineRule="auto"/>
        <w:ind w:right="120" w:firstLine="480" w:firstLineChars="200"/>
        <w:rPr>
          <w:color w:val="auto"/>
          <w:highlight w:val="none"/>
        </w:rPr>
      </w:pPr>
      <w:r>
        <w:rPr>
          <w:rFonts w:hint="eastAsia"/>
          <w:color w:val="auto"/>
          <w:highlight w:val="none"/>
        </w:rPr>
        <w:t>（</w:t>
      </w:r>
      <w:r>
        <w:rPr>
          <w:color w:val="auto"/>
          <w:highlight w:val="none"/>
        </w:rPr>
        <w:t>10）</w:t>
      </w:r>
      <w:r>
        <w:rPr>
          <w:rFonts w:hint="eastAsia" w:cs="宋体"/>
          <w:color w:val="auto"/>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color w:val="auto"/>
          <w:highlight w:val="none"/>
        </w:rPr>
        <w:t>“</w:t>
      </w:r>
      <w:r>
        <w:rPr>
          <w:rFonts w:hint="eastAsia" w:cs="宋体"/>
          <w:color w:val="auto"/>
          <w:highlight w:val="none"/>
        </w:rPr>
        <w:t>四不放过</w:t>
      </w:r>
      <w:r>
        <w:rPr>
          <w:color w:val="auto"/>
          <w:highlight w:val="none"/>
        </w:rPr>
        <w:t>”</w:t>
      </w:r>
      <w:r>
        <w:rPr>
          <w:rFonts w:hint="eastAsia" w:cs="宋体"/>
          <w:color w:val="auto"/>
          <w:highlight w:val="none"/>
        </w:rPr>
        <w:t>的原则，</w:t>
      </w:r>
      <w:r>
        <w:rPr>
          <w:color w:val="auto"/>
          <w:highlight w:val="none"/>
        </w:rPr>
        <w:t xml:space="preserve"> </w:t>
      </w:r>
      <w:r>
        <w:rPr>
          <w:rFonts w:hint="eastAsia" w:cs="宋体"/>
          <w:color w:val="auto"/>
          <w:highlight w:val="none"/>
        </w:rPr>
        <w:t>严肃处理相关责任人。</w:t>
      </w:r>
    </w:p>
    <w:p w14:paraId="1270CB1D">
      <w:pPr>
        <w:pStyle w:val="22"/>
        <w:spacing w:line="360" w:lineRule="auto"/>
        <w:ind w:right="121" w:firstLine="480" w:firstLineChars="200"/>
        <w:rPr>
          <w:color w:val="auto"/>
          <w:highlight w:val="none"/>
        </w:rPr>
      </w:pPr>
      <w:r>
        <w:rPr>
          <w:rFonts w:hint="eastAsia"/>
          <w:color w:val="auto"/>
          <w:highlight w:val="none"/>
        </w:rPr>
        <w:t>（</w:t>
      </w:r>
      <w:r>
        <w:rPr>
          <w:color w:val="auto"/>
          <w:highlight w:val="none"/>
        </w:rPr>
        <w:t>11）</w:t>
      </w:r>
      <w:r>
        <w:rPr>
          <w:rFonts w:hint="eastAsia" w:cs="宋体"/>
          <w:color w:val="auto"/>
          <w:highlight w:val="none"/>
        </w:rPr>
        <w:t>安全生产费用按照</w:t>
      </w:r>
      <w:r>
        <w:rPr>
          <w:rFonts w:hint="eastAsia" w:ascii="宋体" w:hAnsi="宋体"/>
          <w:bCs/>
          <w:color w:val="auto"/>
          <w:sz w:val="24"/>
          <w:highlight w:val="none"/>
          <w:shd w:val="clear" w:color="auto" w:fill="FFFFFF"/>
        </w:rPr>
        <w:t>《</w:t>
      </w:r>
      <w:r>
        <w:rPr>
          <w:rFonts w:hint="eastAsia" w:ascii="宋体" w:hAnsi="宋体"/>
          <w:color w:val="auto"/>
          <w:sz w:val="24"/>
          <w:highlight w:val="none"/>
          <w:shd w:val="clear" w:color="auto" w:fill="FFFFFF"/>
        </w:rPr>
        <w:t>财政部</w:t>
      </w:r>
      <w:r>
        <w:rPr>
          <w:rFonts w:hint="eastAsia" w:ascii="宋体" w:hAnsi="宋体"/>
          <w:color w:val="auto"/>
          <w:sz w:val="24"/>
          <w:highlight w:val="none"/>
          <w:shd w:val="clear" w:color="auto" w:fill="FFFFFF"/>
          <w:lang w:val="en-US" w:eastAsia="zh-CN"/>
        </w:rPr>
        <w:t xml:space="preserve"> </w:t>
      </w:r>
      <w:r>
        <w:rPr>
          <w:rFonts w:hint="eastAsia"/>
          <w:color w:val="auto"/>
          <w:sz w:val="24"/>
          <w:highlight w:val="none"/>
          <w:shd w:val="clear" w:color="auto" w:fill="FFFFFF"/>
          <w:lang w:val="en-US" w:eastAsia="zh-CN"/>
        </w:rPr>
        <w:t>应急部</w:t>
      </w:r>
      <w:r>
        <w:rPr>
          <w:rFonts w:hint="eastAsia" w:ascii="宋体" w:hAnsi="宋体"/>
          <w:bCs/>
          <w:color w:val="auto"/>
          <w:sz w:val="24"/>
          <w:highlight w:val="none"/>
          <w:shd w:val="clear" w:color="auto" w:fill="FFFFFF"/>
        </w:rPr>
        <w:t>关于印发〈企业安全生产费用提取和使用管理办法〉的通知》（财资</w:t>
      </w:r>
      <w:r>
        <w:rPr>
          <w:rFonts w:hint="eastAsia" w:ascii="宋体" w:hAnsi="宋体" w:eastAsia="宋体" w:cs="宋体"/>
          <w:bCs/>
          <w:color w:val="auto"/>
          <w:sz w:val="24"/>
          <w:highlight w:val="none"/>
          <w:shd w:val="clear" w:color="auto" w:fill="FFFFFF"/>
        </w:rPr>
        <w:t>〔2022〕1</w:t>
      </w:r>
      <w:r>
        <w:rPr>
          <w:rFonts w:hint="eastAsia" w:ascii="宋体" w:hAnsi="宋体"/>
          <w:bCs/>
          <w:color w:val="auto"/>
          <w:sz w:val="24"/>
          <w:highlight w:val="none"/>
          <w:shd w:val="clear" w:color="auto" w:fill="FFFFFF"/>
        </w:rPr>
        <w:t>36号</w:t>
      </w:r>
      <w:r>
        <w:rPr>
          <w:rFonts w:hint="eastAsia"/>
          <w:bCs/>
          <w:color w:val="auto"/>
          <w:sz w:val="24"/>
          <w:highlight w:val="none"/>
          <w:shd w:val="clear" w:color="auto" w:fill="FFFFFF"/>
          <w:lang w:eastAsia="zh-CN"/>
        </w:rPr>
        <w:t>）、</w:t>
      </w:r>
      <w:r>
        <w:rPr>
          <w:rFonts w:hint="eastAsia" w:cs="宋体"/>
          <w:color w:val="auto"/>
          <w:highlight w:val="none"/>
        </w:rPr>
        <w:t>《公路水运工程安全生产监督管理办法》</w:t>
      </w:r>
      <w:r>
        <w:rPr>
          <w:rFonts w:hint="eastAsia" w:ascii="宋体" w:hAnsi="宋体"/>
          <w:bCs w:val="0"/>
          <w:color w:val="auto"/>
          <w:sz w:val="24"/>
          <w:szCs w:val="24"/>
          <w:highlight w:val="none"/>
          <w:shd w:val="clear" w:color="auto" w:fill="FFFFFF"/>
          <w:lang w:val="en-US" w:eastAsia="zh-CN"/>
        </w:rPr>
        <w:t>《四川省交通运输厅</w:t>
      </w:r>
      <w:r>
        <w:rPr>
          <w:rFonts w:hint="eastAsia"/>
          <w:bCs w:val="0"/>
          <w:color w:val="auto"/>
          <w:sz w:val="24"/>
          <w:szCs w:val="24"/>
          <w:highlight w:val="none"/>
          <w:shd w:val="clear" w:color="auto" w:fill="FFFFFF"/>
          <w:lang w:val="en-US" w:eastAsia="zh-CN"/>
        </w:rPr>
        <w:t>〈</w:t>
      </w:r>
      <w:r>
        <w:rPr>
          <w:rFonts w:hint="eastAsia" w:ascii="宋体" w:hAnsi="宋体"/>
          <w:bCs w:val="0"/>
          <w:color w:val="auto"/>
          <w:sz w:val="24"/>
          <w:szCs w:val="24"/>
          <w:highlight w:val="none"/>
          <w:shd w:val="clear" w:color="auto" w:fill="FFFFFF"/>
          <w:lang w:val="en-US" w:eastAsia="zh-CN"/>
        </w:rPr>
        <w:t>关于进一步规范公路水运工程建设项目安全生产费用管理工作</w:t>
      </w:r>
      <w:r>
        <w:rPr>
          <w:rFonts w:hint="eastAsia"/>
          <w:bCs w:val="0"/>
          <w:color w:val="auto"/>
          <w:sz w:val="24"/>
          <w:szCs w:val="24"/>
          <w:highlight w:val="none"/>
          <w:shd w:val="clear" w:color="auto" w:fill="FFFFFF"/>
          <w:lang w:val="en-US" w:eastAsia="zh-CN"/>
        </w:rPr>
        <w:t>〉</w:t>
      </w:r>
      <w:r>
        <w:rPr>
          <w:rFonts w:hint="eastAsia" w:ascii="宋体" w:hAnsi="宋体"/>
          <w:bCs w:val="0"/>
          <w:color w:val="auto"/>
          <w:sz w:val="24"/>
          <w:szCs w:val="24"/>
          <w:highlight w:val="none"/>
          <w:shd w:val="clear" w:color="auto" w:fill="FFFFFF"/>
          <w:lang w:val="en-US" w:eastAsia="zh-CN"/>
        </w:rPr>
        <w:t>的通知》（川交规</w:t>
      </w:r>
      <w:r>
        <w:rPr>
          <w:rFonts w:hint="eastAsia" w:ascii="宋体" w:hAnsi="宋体" w:eastAsia="宋体" w:cs="Times New Roman"/>
          <w:bCs w:val="0"/>
          <w:color w:val="auto"/>
          <w:sz w:val="24"/>
          <w:szCs w:val="24"/>
          <w:highlight w:val="none"/>
          <w:shd w:val="clear" w:color="auto" w:fill="FFFFFF"/>
        </w:rPr>
        <w:t>〔</w:t>
      </w:r>
      <w:r>
        <w:rPr>
          <w:rFonts w:hint="eastAsia" w:ascii="宋体" w:hAnsi="宋体"/>
          <w:bCs w:val="0"/>
          <w:color w:val="auto"/>
          <w:sz w:val="24"/>
          <w:szCs w:val="24"/>
          <w:highlight w:val="none"/>
          <w:shd w:val="clear" w:color="auto" w:fill="FFFFFF"/>
          <w:lang w:val="en-US" w:eastAsia="zh-CN"/>
        </w:rPr>
        <w:t>2023</w:t>
      </w:r>
      <w:r>
        <w:rPr>
          <w:rFonts w:hint="eastAsia" w:ascii="宋体" w:hAnsi="宋体" w:eastAsia="宋体" w:cs="Times New Roman"/>
          <w:bCs w:val="0"/>
          <w:color w:val="auto"/>
          <w:sz w:val="24"/>
          <w:szCs w:val="24"/>
          <w:highlight w:val="none"/>
          <w:shd w:val="clear" w:color="auto" w:fill="FFFFFF"/>
        </w:rPr>
        <w:t>〕</w:t>
      </w:r>
      <w:r>
        <w:rPr>
          <w:rFonts w:hint="eastAsia" w:ascii="宋体" w:hAnsi="宋体" w:eastAsia="宋体" w:cs="Times New Roman"/>
          <w:bCs w:val="0"/>
          <w:color w:val="auto"/>
          <w:sz w:val="24"/>
          <w:szCs w:val="24"/>
          <w:highlight w:val="none"/>
          <w:shd w:val="clear" w:color="auto" w:fill="FFFFFF"/>
          <w:lang w:val="en-US" w:eastAsia="zh-CN"/>
        </w:rPr>
        <w:t>13</w:t>
      </w:r>
      <w:r>
        <w:rPr>
          <w:rFonts w:hint="eastAsia" w:ascii="宋体" w:hAnsi="宋体"/>
          <w:bCs w:val="0"/>
          <w:color w:val="auto"/>
          <w:sz w:val="24"/>
          <w:szCs w:val="24"/>
          <w:highlight w:val="none"/>
          <w:shd w:val="clear" w:color="auto" w:fill="FFFFFF"/>
        </w:rPr>
        <w:t>号</w:t>
      </w:r>
      <w:r>
        <w:rPr>
          <w:rFonts w:hint="eastAsia" w:ascii="宋体" w:hAnsi="宋体"/>
          <w:bCs w:val="0"/>
          <w:color w:val="auto"/>
          <w:sz w:val="24"/>
          <w:szCs w:val="24"/>
          <w:highlight w:val="none"/>
          <w:shd w:val="clear" w:color="auto" w:fill="FFFFFF"/>
          <w:lang w:val="en-US" w:eastAsia="zh-CN"/>
        </w:rPr>
        <w:t>）</w:t>
      </w:r>
      <w:r>
        <w:rPr>
          <w:rFonts w:hint="eastAsia" w:cs="宋体"/>
          <w:color w:val="auto"/>
          <w:highlight w:val="none"/>
        </w:rPr>
        <w:t>的相关规定使用和管理。</w:t>
      </w:r>
    </w:p>
    <w:p w14:paraId="1D482581">
      <w:pPr>
        <w:pStyle w:val="22"/>
        <w:spacing w:line="360" w:lineRule="auto"/>
        <w:ind w:right="7" w:firstLine="480" w:firstLineChars="200"/>
        <w:rPr>
          <w:rFonts w:hint="eastAsia" w:ascii="宋体" w:hAnsi="宋体" w:eastAsia="宋体" w:cs="宋体"/>
          <w:b/>
          <w:color w:val="auto"/>
          <w:highlight w:val="none"/>
        </w:rPr>
      </w:pPr>
      <w:r>
        <w:rPr>
          <w:rFonts w:hint="eastAsia" w:ascii="宋体" w:hAnsi="宋体" w:eastAsia="宋体" w:cs="宋体"/>
          <w:b w:val="0"/>
          <w:color w:val="auto"/>
          <w:highlight w:val="none"/>
        </w:rPr>
        <w:t>3.违约责任</w:t>
      </w:r>
    </w:p>
    <w:p w14:paraId="2A4A41BE">
      <w:pPr>
        <w:pStyle w:val="22"/>
        <w:spacing w:line="360" w:lineRule="auto"/>
        <w:ind w:right="866" w:firstLine="480" w:firstLineChars="200"/>
        <w:rPr>
          <w:color w:val="auto"/>
          <w:highlight w:val="none"/>
        </w:rPr>
      </w:pPr>
      <w:r>
        <w:rPr>
          <w:rFonts w:hint="eastAsia" w:cs="宋体"/>
          <w:color w:val="auto"/>
          <w:highlight w:val="none"/>
        </w:rPr>
        <w:t>如因发包人或承包人违约造成安全事故，将依法追究责任。</w:t>
      </w:r>
    </w:p>
    <w:p w14:paraId="5E8407D0">
      <w:pPr>
        <w:pStyle w:val="22"/>
        <w:spacing w:line="360" w:lineRule="auto"/>
        <w:ind w:right="122" w:firstLine="480" w:firstLineChars="200"/>
        <w:rPr>
          <w:color w:val="auto"/>
          <w:highlight w:val="none"/>
        </w:rPr>
      </w:pPr>
      <w:r>
        <w:rPr>
          <w:b w:val="0"/>
          <w:bCs/>
          <w:color w:val="auto"/>
          <w:highlight w:val="none"/>
        </w:rPr>
        <w:t>4.</w:t>
      </w:r>
      <w:r>
        <w:rPr>
          <w:rFonts w:hint="eastAsia" w:cs="宋体"/>
          <w:color w:val="auto"/>
          <w:highlight w:val="none"/>
        </w:rPr>
        <w:t>本合同由双方法定代表人或其授权的代理人签署并加盖单位章后生效，全部工程竣工验收后失效。</w:t>
      </w:r>
    </w:p>
    <w:p w14:paraId="1C281BB1">
      <w:pPr>
        <w:pStyle w:val="22"/>
        <w:spacing w:line="360" w:lineRule="auto"/>
        <w:ind w:right="121" w:firstLine="480" w:firstLineChars="200"/>
        <w:rPr>
          <w:color w:val="auto"/>
          <w:highlight w:val="none"/>
        </w:rPr>
      </w:pPr>
      <w:r>
        <w:rPr>
          <w:b w:val="0"/>
          <w:bCs/>
          <w:color w:val="auto"/>
          <w:highlight w:val="none"/>
        </w:rPr>
        <w:t>5.</w:t>
      </w:r>
      <w:r>
        <w:rPr>
          <w:rFonts w:hint="eastAsia" w:cs="宋体"/>
          <w:color w:val="auto"/>
          <w:highlight w:val="none"/>
        </w:rPr>
        <w:t>本合同正本二份、副本</w:t>
      </w:r>
      <w:r>
        <w:rPr>
          <w:rFonts w:cs="宋体"/>
          <w:color w:val="auto"/>
          <w:highlight w:val="none"/>
          <w:u w:val="single"/>
        </w:rPr>
        <w:t xml:space="preserve">  </w:t>
      </w:r>
      <w:r>
        <w:rPr>
          <w:color w:val="auto"/>
          <w:highlight w:val="none"/>
          <w:u w:val="single"/>
        </w:rPr>
        <w:t xml:space="preserve"> </w:t>
      </w:r>
      <w:r>
        <w:rPr>
          <w:rFonts w:hint="eastAsia" w:cs="宋体"/>
          <w:color w:val="auto"/>
          <w:highlight w:val="none"/>
        </w:rPr>
        <w:t>份，合同双方各执正本一份，副本</w:t>
      </w:r>
      <w:r>
        <w:rPr>
          <w:color w:val="auto"/>
          <w:highlight w:val="none"/>
          <w:u w:val="single"/>
        </w:rPr>
        <w:t xml:space="preserve">   </w:t>
      </w:r>
      <w:r>
        <w:rPr>
          <w:rFonts w:hint="eastAsia" w:cs="宋体"/>
          <w:color w:val="auto"/>
          <w:highlight w:val="none"/>
        </w:rPr>
        <w:t>份，当正本与副本的内容不一致时，以正本为准。</w:t>
      </w:r>
    </w:p>
    <w:p w14:paraId="18D28E2E">
      <w:pPr>
        <w:pStyle w:val="22"/>
        <w:spacing w:line="360" w:lineRule="auto"/>
        <w:rPr>
          <w:color w:val="auto"/>
          <w:highlight w:val="none"/>
        </w:rPr>
      </w:pPr>
    </w:p>
    <w:p w14:paraId="058245BC">
      <w:pPr>
        <w:pStyle w:val="22"/>
        <w:tabs>
          <w:tab w:val="left" w:pos="2903"/>
          <w:tab w:val="left" w:pos="3721"/>
          <w:tab w:val="left" w:pos="4601"/>
          <w:tab w:val="left" w:pos="7264"/>
          <w:tab w:val="left" w:pos="8177"/>
        </w:tabs>
        <w:spacing w:line="360" w:lineRule="auto"/>
        <w:ind w:left="144" w:right="124"/>
        <w:rPr>
          <w:color w:val="auto"/>
          <w:highlight w:val="none"/>
        </w:rPr>
      </w:pPr>
      <w:r>
        <w:rPr>
          <w:rFonts w:hint="eastAsia" w:cs="宋体"/>
          <w:color w:val="auto"/>
          <w:highlight w:val="none"/>
        </w:rPr>
        <w:t>发包人：</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rFonts w:hint="eastAsia"/>
          <w:color w:val="auto"/>
          <w:highlight w:val="none"/>
        </w:rPr>
        <w:t>（</w:t>
      </w:r>
      <w:r>
        <w:rPr>
          <w:rFonts w:hint="eastAsia" w:cs="宋体"/>
          <w:color w:val="auto"/>
          <w:highlight w:val="none"/>
        </w:rPr>
        <w:t>盖单位章</w:t>
      </w:r>
      <w:r>
        <w:rPr>
          <w:rFonts w:hint="eastAsia"/>
          <w:color w:val="auto"/>
          <w:highlight w:val="none"/>
        </w:rPr>
        <w:t>）</w:t>
      </w:r>
      <w:r>
        <w:rPr>
          <w:color w:val="auto"/>
          <w:highlight w:val="none"/>
        </w:rPr>
        <w:tab/>
      </w:r>
      <w:r>
        <w:rPr>
          <w:rFonts w:hint="eastAsia" w:cs="宋体"/>
          <w:color w:val="auto"/>
          <w:highlight w:val="none"/>
        </w:rPr>
        <w:t>承包人：</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rFonts w:hint="eastAsia"/>
          <w:color w:val="auto"/>
          <w:highlight w:val="none"/>
        </w:rPr>
        <w:t>（</w:t>
      </w:r>
      <w:r>
        <w:rPr>
          <w:rFonts w:hint="eastAsia" w:cs="宋体"/>
          <w:color w:val="auto"/>
          <w:highlight w:val="none"/>
        </w:rPr>
        <w:t>盖单位章</w:t>
      </w:r>
      <w:r>
        <w:rPr>
          <w:rFonts w:hint="eastAsia"/>
          <w:color w:val="auto"/>
          <w:highlight w:val="none"/>
        </w:rPr>
        <w:t>）</w:t>
      </w:r>
    </w:p>
    <w:p w14:paraId="21CCE1D4">
      <w:pPr>
        <w:pStyle w:val="22"/>
        <w:tabs>
          <w:tab w:val="left" w:pos="2903"/>
          <w:tab w:val="left" w:pos="3721"/>
          <w:tab w:val="left" w:pos="4601"/>
          <w:tab w:val="left" w:pos="7264"/>
          <w:tab w:val="left" w:pos="8177"/>
        </w:tabs>
        <w:spacing w:line="360" w:lineRule="auto"/>
        <w:ind w:left="144" w:right="124"/>
        <w:rPr>
          <w:color w:val="auto"/>
          <w:highlight w:val="none"/>
        </w:rPr>
      </w:pPr>
      <w:r>
        <w:rPr>
          <w:rFonts w:hint="eastAsia" w:cs="宋体"/>
          <w:color w:val="auto"/>
          <w:highlight w:val="none"/>
        </w:rPr>
        <w:t>法定代表人或其委托代理人：</w:t>
      </w:r>
      <w:r>
        <w:rPr>
          <w:color w:val="auto"/>
          <w:highlight w:val="none"/>
          <w:u w:val="single"/>
        </w:rPr>
        <w:t xml:space="preserve">  </w:t>
      </w:r>
      <w:r>
        <w:rPr>
          <w:rFonts w:hint="eastAsia"/>
          <w:color w:val="auto"/>
          <w:highlight w:val="none"/>
        </w:rPr>
        <w:t>（</w:t>
      </w:r>
      <w:r>
        <w:rPr>
          <w:rFonts w:hint="eastAsia" w:cs="宋体"/>
          <w:color w:val="auto"/>
          <w:highlight w:val="none"/>
        </w:rPr>
        <w:t>签字</w:t>
      </w:r>
      <w:r>
        <w:rPr>
          <w:rFonts w:hint="eastAsia"/>
          <w:color w:val="auto"/>
          <w:highlight w:val="none"/>
        </w:rPr>
        <w:t>）</w:t>
      </w:r>
      <w:r>
        <w:rPr>
          <w:color w:val="auto"/>
          <w:highlight w:val="none"/>
        </w:rPr>
        <w:tab/>
      </w:r>
      <w:r>
        <w:rPr>
          <w:rFonts w:hint="eastAsia" w:cs="宋体"/>
          <w:color w:val="auto"/>
          <w:spacing w:val="-3"/>
          <w:highlight w:val="none"/>
        </w:rPr>
        <w:t>法定代表人或其委托代理人：</w:t>
      </w:r>
      <w:r>
        <w:rPr>
          <w:color w:val="auto"/>
          <w:spacing w:val="-3"/>
          <w:highlight w:val="none"/>
          <w:u w:val="single"/>
        </w:rPr>
        <w:t xml:space="preserve">  </w:t>
      </w:r>
      <w:r>
        <w:rPr>
          <w:rFonts w:hint="eastAsia"/>
          <w:color w:val="auto"/>
          <w:highlight w:val="none"/>
        </w:rPr>
        <w:t>（</w:t>
      </w:r>
      <w:r>
        <w:rPr>
          <w:rFonts w:hint="eastAsia" w:cs="宋体"/>
          <w:color w:val="auto"/>
          <w:highlight w:val="none"/>
        </w:rPr>
        <w:t>签字</w:t>
      </w:r>
      <w:r>
        <w:rPr>
          <w:rFonts w:hint="eastAsia"/>
          <w:color w:val="auto"/>
          <w:highlight w:val="none"/>
        </w:rPr>
        <w:t>）</w:t>
      </w:r>
    </w:p>
    <w:p w14:paraId="5D7910F9">
      <w:pPr>
        <w:pStyle w:val="22"/>
        <w:tabs>
          <w:tab w:val="left" w:pos="1583"/>
          <w:tab w:val="left" w:pos="2663"/>
          <w:tab w:val="left" w:pos="5664"/>
          <w:tab w:val="left" w:pos="6023"/>
          <w:tab w:val="left" w:pos="7103"/>
          <w:tab w:val="left" w:pos="8303"/>
        </w:tabs>
        <w:spacing w:line="360" w:lineRule="auto"/>
        <w:ind w:left="504" w:right="107" w:firstLine="720" w:firstLineChars="300"/>
        <w:rPr>
          <w:color w:val="auto"/>
          <w:highlight w:val="none"/>
          <w:u w:val="single"/>
        </w:rPr>
      </w:pP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r>
        <w:rPr>
          <w:color w:val="auto"/>
          <w:highlight w:val="none"/>
        </w:rPr>
        <w:tab/>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color w:val="auto"/>
          <w:highlight w:val="none"/>
        </w:rPr>
        <w:t>日</w:t>
      </w:r>
    </w:p>
    <w:p w14:paraId="25D9CC81">
      <w:pPr>
        <w:pStyle w:val="22"/>
        <w:tabs>
          <w:tab w:val="left" w:pos="1583"/>
          <w:tab w:val="left" w:pos="2663"/>
          <w:tab w:val="left" w:pos="5664"/>
          <w:tab w:val="left" w:pos="6023"/>
          <w:tab w:val="left" w:pos="7103"/>
          <w:tab w:val="left" w:pos="8303"/>
        </w:tabs>
        <w:spacing w:line="360" w:lineRule="auto"/>
        <w:ind w:left="504" w:right="107" w:firstLine="720" w:firstLineChars="300"/>
        <w:rPr>
          <w:color w:val="auto"/>
          <w:highlight w:val="none"/>
          <w:u w:val="single"/>
        </w:rPr>
      </w:pPr>
    </w:p>
    <w:p w14:paraId="48ED34AC">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012375CE">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5CB20A7D">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05E1AE4F">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1B033F68">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323FACB9">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507B70AE">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1C75FBEF">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6BFE1E02">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13C571F8">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633B0AC3">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34F7F211">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19D32B7C">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64CB6737">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30D80508">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6CD803D7">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51D6A0D6">
      <w:pPr>
        <w:pStyle w:val="22"/>
        <w:tabs>
          <w:tab w:val="left" w:pos="1583"/>
          <w:tab w:val="left" w:pos="2663"/>
          <w:tab w:val="left" w:pos="5664"/>
          <w:tab w:val="left" w:pos="6023"/>
          <w:tab w:val="left" w:pos="7103"/>
          <w:tab w:val="left" w:pos="8303"/>
        </w:tabs>
        <w:spacing w:line="480" w:lineRule="exact"/>
        <w:ind w:right="107"/>
        <w:rPr>
          <w:rFonts w:ascii="黑体" w:hAnsi="黑体" w:eastAsia="黑体"/>
          <w:color w:val="auto"/>
          <w:highlight w:val="none"/>
        </w:rPr>
      </w:pPr>
    </w:p>
    <w:p w14:paraId="4A046122">
      <w:pPr>
        <w:pStyle w:val="22"/>
        <w:spacing w:line="360" w:lineRule="auto"/>
        <w:ind w:right="-6605"/>
        <w:outlineLvl w:val="2"/>
        <w:rPr>
          <w:rStyle w:val="152"/>
          <w:rFonts w:hint="eastAsia" w:ascii="Times New Roman" w:hAnsi="Times New Roman"/>
          <w:b w:val="0"/>
          <w:bCs w:val="0"/>
          <w:color w:val="auto"/>
          <w:highlight w:val="none"/>
        </w:rPr>
      </w:pPr>
      <w:r>
        <w:rPr>
          <w:rStyle w:val="152"/>
          <w:rFonts w:ascii="Times New Roman" w:hAnsi="Times New Roman"/>
          <w:b w:val="0"/>
          <w:bCs w:val="0"/>
          <w:color w:val="auto"/>
          <w:highlight w:val="none"/>
        </w:rPr>
        <w:t>附件四</w:t>
      </w:r>
      <w:r>
        <w:rPr>
          <w:rStyle w:val="152"/>
          <w:rFonts w:hint="eastAsia" w:ascii="Times New Roman" w:hAnsi="Times New Roman"/>
          <w:b w:val="0"/>
          <w:bCs w:val="0"/>
          <w:color w:val="auto"/>
          <w:highlight w:val="none"/>
        </w:rPr>
        <w:t xml:space="preserve"> </w:t>
      </w:r>
      <w:r>
        <w:rPr>
          <w:rStyle w:val="152"/>
          <w:rFonts w:ascii="Times New Roman" w:hAnsi="Times New Roman"/>
          <w:b w:val="0"/>
          <w:bCs w:val="0"/>
          <w:color w:val="auto"/>
          <w:highlight w:val="none"/>
        </w:rPr>
        <w:t>主要人员最低</w:t>
      </w:r>
      <w:r>
        <w:rPr>
          <w:rStyle w:val="152"/>
          <w:rFonts w:hint="eastAsia" w:ascii="Times New Roman" w:hAnsi="Times New Roman"/>
          <w:b w:val="0"/>
          <w:bCs w:val="0"/>
          <w:color w:val="auto"/>
          <w:highlight w:val="none"/>
        </w:rPr>
        <w:t>要求</w:t>
      </w:r>
      <w:r>
        <w:rPr>
          <w:rStyle w:val="152"/>
          <w:rFonts w:hint="eastAsia" w:ascii="Times New Roman" w:hAnsi="Times New Roman"/>
          <w:b w:val="0"/>
          <w:bCs w:val="0"/>
          <w:color w:val="auto"/>
          <w:highlight w:val="none"/>
          <w:vertAlign w:val="superscript"/>
        </w:rPr>
        <w:footnoteReference w:id="232"/>
      </w:r>
      <w:bookmarkStart w:id="879" w:name="_Toc53685805"/>
    </w:p>
    <w:p w14:paraId="48474D5B">
      <w:pPr>
        <w:pStyle w:val="22"/>
        <w:spacing w:before="188" w:line="360" w:lineRule="auto"/>
        <w:ind w:right="-6605"/>
        <w:rPr>
          <w:rFonts w:hint="eastAsia" w:ascii="黑体" w:hAnsi="黑体" w:eastAsia="黑体"/>
          <w:color w:val="auto"/>
          <w:highlight w:val="none"/>
        </w:rPr>
      </w:pPr>
      <w:r>
        <w:rPr>
          <w:rFonts w:ascii="黑体" w:hAnsi="黑体" w:eastAsia="黑体"/>
          <w:b/>
          <w:bCs/>
          <w:color w:val="auto"/>
          <w:highlight w:val="none"/>
        </w:rPr>
        <w:t xml:space="preserve">                                 </w:t>
      </w:r>
      <w:r>
        <w:rPr>
          <w:rFonts w:hint="eastAsia" w:ascii="黑体" w:hAnsi="黑体" w:eastAsia="黑体"/>
          <w:color w:val="auto"/>
          <w:highlight w:val="none"/>
        </w:rPr>
        <w:t>□</w:t>
      </w:r>
      <w:r>
        <w:rPr>
          <w:rFonts w:ascii="黑体" w:hAnsi="黑体" w:eastAsia="黑体"/>
          <w:color w:val="auto"/>
          <w:highlight w:val="none"/>
        </w:rPr>
        <w:t xml:space="preserve"> </w:t>
      </w:r>
      <w:r>
        <w:rPr>
          <w:rFonts w:hint="eastAsia" w:ascii="黑体" w:hAnsi="黑体" w:eastAsia="黑体"/>
          <w:color w:val="auto"/>
          <w:highlight w:val="none"/>
        </w:rPr>
        <w:t>项目经理</w:t>
      </w:r>
    </w:p>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99"/>
        <w:gridCol w:w="5844"/>
        <w:gridCol w:w="1381"/>
      </w:tblGrid>
      <w:tr w14:paraId="071C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902" w:type="dxa"/>
            <w:tcBorders>
              <w:bottom w:val="single" w:color="auto" w:sz="4" w:space="0"/>
            </w:tcBorders>
            <w:vAlign w:val="center"/>
          </w:tcPr>
          <w:p w14:paraId="5A3D6CAC">
            <w:pPr>
              <w:spacing w:line="400" w:lineRule="exact"/>
              <w:jc w:val="center"/>
              <w:rPr>
                <w:rFonts w:ascii="宋体" w:hAnsi="宋体"/>
                <w:color w:val="auto"/>
                <w:szCs w:val="21"/>
                <w:highlight w:val="none"/>
              </w:rPr>
            </w:pPr>
            <w:r>
              <w:rPr>
                <w:rFonts w:hint="eastAsia" w:ascii="宋体" w:hAnsi="宋体"/>
                <w:color w:val="auto"/>
                <w:szCs w:val="21"/>
                <w:highlight w:val="none"/>
              </w:rPr>
              <w:t>标段</w:t>
            </w:r>
          </w:p>
        </w:tc>
        <w:tc>
          <w:tcPr>
            <w:tcW w:w="799" w:type="dxa"/>
            <w:tcBorders>
              <w:bottom w:val="single" w:color="auto" w:sz="4" w:space="0"/>
            </w:tcBorders>
            <w:vAlign w:val="center"/>
          </w:tcPr>
          <w:p w14:paraId="6E01C18E">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5844" w:type="dxa"/>
            <w:tcBorders>
              <w:bottom w:val="single" w:color="auto" w:sz="4" w:space="0"/>
            </w:tcBorders>
            <w:vAlign w:val="center"/>
          </w:tcPr>
          <w:p w14:paraId="2445A31A">
            <w:pPr>
              <w:spacing w:line="400" w:lineRule="exact"/>
              <w:jc w:val="center"/>
              <w:rPr>
                <w:rFonts w:ascii="宋体" w:hAnsi="宋体"/>
                <w:color w:val="auto"/>
                <w:szCs w:val="21"/>
                <w:highlight w:val="none"/>
              </w:rPr>
            </w:pPr>
            <w:r>
              <w:rPr>
                <w:rFonts w:hint="eastAsia" w:ascii="宋体" w:hAnsi="宋体"/>
                <w:color w:val="auto"/>
                <w:szCs w:val="21"/>
                <w:highlight w:val="none"/>
              </w:rPr>
              <w:t>资格要求</w:t>
            </w:r>
          </w:p>
        </w:tc>
        <w:tc>
          <w:tcPr>
            <w:tcW w:w="1381" w:type="dxa"/>
            <w:tcBorders>
              <w:bottom w:val="single" w:color="auto" w:sz="4" w:space="0"/>
            </w:tcBorders>
            <w:vAlign w:val="center"/>
          </w:tcPr>
          <w:p w14:paraId="562F5F1C">
            <w:pPr>
              <w:spacing w:line="400" w:lineRule="exact"/>
              <w:jc w:val="center"/>
              <w:rPr>
                <w:rFonts w:ascii="宋体" w:hAnsi="宋体"/>
                <w:b/>
                <w:color w:val="auto"/>
                <w:szCs w:val="21"/>
                <w:highlight w:val="none"/>
              </w:rPr>
            </w:pPr>
            <w:r>
              <w:rPr>
                <w:rFonts w:hint="eastAsia" w:ascii="宋体" w:hAnsi="宋体"/>
                <w:color w:val="auto"/>
                <w:szCs w:val="21"/>
                <w:highlight w:val="none"/>
              </w:rPr>
              <w:t>在岗情况</w:t>
            </w:r>
            <w:r>
              <w:rPr>
                <w:rStyle w:val="59"/>
                <w:rFonts w:ascii="宋体" w:hAnsi="宋体"/>
                <w:color w:val="auto"/>
                <w:szCs w:val="21"/>
                <w:highlight w:val="none"/>
              </w:rPr>
              <w:footnoteReference w:id="233"/>
            </w:r>
          </w:p>
        </w:tc>
      </w:tr>
      <w:tr w14:paraId="30F9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jc w:val="center"/>
        </w:trPr>
        <w:tc>
          <w:tcPr>
            <w:tcW w:w="902" w:type="dxa"/>
            <w:vAlign w:val="center"/>
          </w:tcPr>
          <w:p w14:paraId="4FADDAC4">
            <w:pPr>
              <w:spacing w:line="400" w:lineRule="exact"/>
              <w:jc w:val="center"/>
              <w:rPr>
                <w:rFonts w:ascii="宋体" w:hAnsi="宋体"/>
                <w:color w:val="auto"/>
                <w:szCs w:val="21"/>
                <w:highlight w:val="none"/>
                <w:u w:val="single"/>
              </w:rPr>
            </w:pPr>
          </w:p>
        </w:tc>
        <w:tc>
          <w:tcPr>
            <w:tcW w:w="799" w:type="dxa"/>
            <w:vAlign w:val="center"/>
          </w:tcPr>
          <w:p w14:paraId="714A5A5F">
            <w:pPr>
              <w:spacing w:line="400" w:lineRule="exact"/>
              <w:jc w:val="center"/>
              <w:rPr>
                <w:rFonts w:ascii="宋体" w:hAnsi="宋体"/>
                <w:color w:val="auto"/>
                <w:szCs w:val="21"/>
                <w:highlight w:val="none"/>
              </w:rPr>
            </w:pPr>
          </w:p>
        </w:tc>
        <w:tc>
          <w:tcPr>
            <w:tcW w:w="5844" w:type="dxa"/>
            <w:vAlign w:val="center"/>
          </w:tcPr>
          <w:p w14:paraId="3F6052ED">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具有</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kern w:val="0"/>
                <w:szCs w:val="21"/>
                <w:highlight w:val="none"/>
              </w:rPr>
              <w:t>专业</w:t>
            </w:r>
            <w:r>
              <w:rPr>
                <w:rFonts w:hint="eastAsia" w:ascii="宋体" w:hAnsi="宋体"/>
                <w:color w:val="auto"/>
                <w:szCs w:val="21"/>
                <w:highlight w:val="none"/>
              </w:rPr>
              <w:t>）（□工程师；□高级工程师）</w:t>
            </w:r>
            <w:r>
              <w:rPr>
                <w:rStyle w:val="59"/>
                <w:rFonts w:ascii="宋体" w:hAnsi="宋体" w:cs="宋体"/>
                <w:color w:val="auto"/>
                <w:szCs w:val="21"/>
                <w:highlight w:val="none"/>
              </w:rPr>
              <w:footnoteReference w:id="234"/>
            </w:r>
            <w:r>
              <w:rPr>
                <w:rFonts w:hint="eastAsia" w:ascii="宋体" w:hAnsi="宋体"/>
                <w:color w:val="auto"/>
                <w:szCs w:val="21"/>
                <w:highlight w:val="none"/>
              </w:rPr>
              <w:t>及以上</w:t>
            </w:r>
          </w:p>
          <w:p w14:paraId="4C674503">
            <w:pPr>
              <w:adjustRightInd w:val="0"/>
              <w:snapToGrid w:val="0"/>
              <w:spacing w:line="40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技术职称</w:t>
            </w:r>
            <w:r>
              <w:rPr>
                <w:rFonts w:hint="eastAsia" w:ascii="宋体" w:hAnsi="宋体"/>
                <w:color w:val="auto"/>
                <w:szCs w:val="21"/>
                <w:highlight w:val="none"/>
                <w:lang w:eastAsia="zh-CN"/>
              </w:rPr>
              <w:t>。</w:t>
            </w:r>
          </w:p>
          <w:p w14:paraId="006AA661">
            <w:pPr>
              <w:adjustRightInd w:val="0"/>
              <w:snapToGrid w:val="0"/>
              <w:spacing w:line="400" w:lineRule="exact"/>
              <w:rPr>
                <w:rFonts w:ascii="宋体" w:hAnsi="宋体"/>
                <w:color w:val="auto"/>
                <w:kern w:val="0"/>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具有</w:t>
            </w:r>
            <w:r>
              <w:rPr>
                <w:rFonts w:hint="eastAsia" w:ascii="宋体" w:hAnsi="宋体"/>
                <w:color w:val="auto"/>
                <w:kern w:val="0"/>
                <w:szCs w:val="21"/>
                <w:highlight w:val="none"/>
              </w:rPr>
              <w:t>注册建造师</w:t>
            </w:r>
            <w:r>
              <w:rPr>
                <w:rFonts w:ascii="宋体" w:hAnsi="宋体"/>
                <w:color w:val="auto"/>
                <w:kern w:val="0"/>
                <w:szCs w:val="21"/>
                <w:highlight w:val="none"/>
                <w:u w:val="single"/>
              </w:rPr>
              <w:t xml:space="preserve">      </w:t>
            </w:r>
            <w:r>
              <w:rPr>
                <w:rFonts w:hint="eastAsia" w:ascii="宋体" w:hAnsi="宋体"/>
                <w:color w:val="auto"/>
                <w:kern w:val="0"/>
                <w:szCs w:val="21"/>
                <w:highlight w:val="none"/>
              </w:rPr>
              <w:t>级（专业：</w:t>
            </w:r>
            <w:r>
              <w:rPr>
                <w:rFonts w:ascii="宋体" w:hAnsi="宋体"/>
                <w:color w:val="auto"/>
                <w:kern w:val="0"/>
                <w:szCs w:val="21"/>
                <w:highlight w:val="none"/>
                <w:u w:val="single"/>
              </w:rPr>
              <w:t xml:space="preserve">      </w:t>
            </w:r>
            <w:r>
              <w:rPr>
                <w:rFonts w:hint="eastAsia" w:ascii="宋体" w:hAnsi="宋体"/>
                <w:color w:val="auto"/>
                <w:kern w:val="0"/>
                <w:szCs w:val="21"/>
                <w:highlight w:val="none"/>
              </w:rPr>
              <w:t>）执业资格证书</w:t>
            </w:r>
          </w:p>
          <w:p w14:paraId="32FF1B3F">
            <w:pPr>
              <w:adjustRightInd w:val="0"/>
              <w:snapToGrid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（注册在该投标单位）且未处于暂停执业处罚期内，未被</w:t>
            </w:r>
          </w:p>
          <w:p w14:paraId="79E4A346">
            <w:pPr>
              <w:adjustRightInd w:val="0"/>
              <w:snapToGrid w:val="0"/>
              <w:spacing w:line="40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取消资格</w:t>
            </w:r>
            <w:r>
              <w:rPr>
                <w:rFonts w:hint="eastAsia" w:ascii="宋体" w:hAnsi="宋体"/>
                <w:color w:val="auto"/>
                <w:szCs w:val="21"/>
                <w:highlight w:val="none"/>
                <w:lang w:eastAsia="zh-CN"/>
              </w:rPr>
              <w:t>。</w:t>
            </w:r>
          </w:p>
          <w:p w14:paraId="3E8D2FF4">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b/>
                <w:color w:val="auto"/>
                <w:szCs w:val="21"/>
                <w:highlight w:val="none"/>
              </w:rPr>
              <w:t>□</w:t>
            </w:r>
            <w:r>
              <w:rPr>
                <w:rFonts w:ascii="宋体" w:hAnsi="宋体"/>
                <w:b/>
                <w:color w:val="auto"/>
                <w:szCs w:val="21"/>
                <w:highlight w:val="none"/>
              </w:rPr>
              <w:t xml:space="preserve"> </w:t>
            </w:r>
            <w:r>
              <w:rPr>
                <w:rFonts w:hint="eastAsia" w:ascii="宋体" w:hAnsi="宋体"/>
                <w:color w:val="auto"/>
                <w:szCs w:val="21"/>
                <w:highlight w:val="none"/>
              </w:rPr>
              <w:t>持有安全生产考核合格“</w:t>
            </w:r>
            <w:r>
              <w:rPr>
                <w:rFonts w:ascii="宋体" w:hAnsi="宋体"/>
                <w:color w:val="auto"/>
                <w:szCs w:val="21"/>
                <w:highlight w:val="none"/>
              </w:rPr>
              <w:t>B”类证书（□交安类）</w:t>
            </w:r>
            <w:r>
              <w:rPr>
                <w:rFonts w:hint="eastAsia" w:ascii="宋体" w:hAnsi="宋体"/>
                <w:color w:val="auto"/>
                <w:szCs w:val="21"/>
                <w:highlight w:val="none"/>
                <w:lang w:eastAsia="zh-CN"/>
              </w:rPr>
              <w:t>。</w:t>
            </w:r>
          </w:p>
          <w:p w14:paraId="472E9309">
            <w:pPr>
              <w:adjustRightInd w:val="0"/>
              <w:snapToGrid w:val="0"/>
              <w:spacing w:line="400" w:lineRule="exact"/>
              <w:ind w:left="422" w:hanging="422" w:hangingChars="200"/>
              <w:rPr>
                <w:rFonts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color w:val="auto"/>
                <w:highlight w:val="none"/>
              </w:rPr>
              <w:t>投标截止日所在月上个月或上上个月起之前在其</w:t>
            </w:r>
            <w:r>
              <w:rPr>
                <w:rFonts w:hint="eastAsia" w:ascii="宋体" w:hAnsi="宋体" w:cs="宋体"/>
                <w:color w:val="auto"/>
                <w:szCs w:val="21"/>
                <w:highlight w:val="none"/>
              </w:rPr>
              <w:t>投标单位</w:t>
            </w:r>
          </w:p>
          <w:p w14:paraId="48AB41B7">
            <w:pPr>
              <w:adjustRightInd w:val="0"/>
              <w:snapToGrid w:val="0"/>
              <w:spacing w:line="400" w:lineRule="exact"/>
              <w:ind w:firstLine="315" w:firstLineChars="150"/>
              <w:rPr>
                <w:rFonts w:hint="eastAsia" w:ascii="宋体" w:hAnsi="宋体" w:eastAsia="宋体"/>
                <w:color w:val="auto"/>
                <w:szCs w:val="21"/>
                <w:highlight w:val="none"/>
                <w:lang w:eastAsia="zh-CN"/>
              </w:rPr>
            </w:pPr>
            <w:r>
              <w:rPr>
                <w:rFonts w:hint="eastAsia" w:ascii="宋体" w:hAnsi="宋体" w:cs="宋体"/>
                <w:color w:val="auto"/>
                <w:szCs w:val="21"/>
                <w:highlight w:val="none"/>
              </w:rPr>
              <w:t>连续</w:t>
            </w:r>
            <w:r>
              <w:rPr>
                <w:rFonts w:ascii="宋体" w:hAnsi="宋体" w:cs="宋体"/>
                <w:color w:val="auto"/>
                <w:szCs w:val="21"/>
                <w:highlight w:val="none"/>
              </w:rPr>
              <w:t>6个月参加社保</w:t>
            </w:r>
            <w:r>
              <w:rPr>
                <w:rFonts w:hint="eastAsia" w:ascii="宋体" w:hAnsi="宋体"/>
                <w:color w:val="auto"/>
                <w:szCs w:val="21"/>
                <w:highlight w:val="none"/>
                <w:lang w:eastAsia="zh-CN"/>
              </w:rPr>
              <w:t>。</w:t>
            </w:r>
            <w:r>
              <w:rPr>
                <w:rStyle w:val="59"/>
                <w:color w:val="auto"/>
                <w:highlight w:val="none"/>
              </w:rPr>
              <w:footnoteReference w:id="235"/>
            </w:r>
          </w:p>
          <w:p w14:paraId="2F5A6B4E">
            <w:pPr>
              <w:pStyle w:val="299"/>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w:t>
            </w:r>
            <w:r>
              <w:rPr>
                <w:rStyle w:val="59"/>
                <w:rFonts w:ascii="宋体" w:hAnsi="宋体" w:cs="宋体"/>
                <w:color w:val="auto"/>
                <w:szCs w:val="21"/>
                <w:highlight w:val="none"/>
              </w:rPr>
              <w:footnoteReference w:id="236"/>
            </w:r>
            <w:r>
              <w:rPr>
                <w:rFonts w:hint="eastAsia" w:ascii="宋体" w:hAnsi="宋体" w:cs="宋体"/>
                <w:color w:val="auto"/>
                <w:szCs w:val="21"/>
                <w:highlight w:val="none"/>
              </w:rPr>
              <w:t>国内（□新建；□改扩建；□新建或改扩建）</w:t>
            </w:r>
          </w:p>
          <w:p w14:paraId="0DC5C495">
            <w:pPr>
              <w:pStyle w:val="299"/>
              <w:adjustRightInd w:val="0"/>
              <w:snapToGrid w:val="0"/>
              <w:spacing w:line="400" w:lineRule="exact"/>
              <w:ind w:left="315" w:leftChars="150"/>
              <w:rPr>
                <w:rFonts w:ascii="宋体" w:hAnsi="宋体" w:cs="宋体"/>
                <w:color w:val="auto"/>
                <w:szCs w:val="21"/>
                <w:highlight w:val="none"/>
              </w:rPr>
            </w:pPr>
            <w:r>
              <w:rPr>
                <w:rStyle w:val="59"/>
                <w:rFonts w:ascii="宋体" w:hAnsi="宋体" w:cs="宋体"/>
                <w:color w:val="auto"/>
                <w:szCs w:val="21"/>
                <w:highlight w:val="none"/>
              </w:rPr>
              <w:footnoteReference w:id="237"/>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公路路基土建工程</w:t>
            </w:r>
            <w:r>
              <w:rPr>
                <w:rStyle w:val="59"/>
                <w:rFonts w:ascii="宋体" w:hAnsi="宋体" w:cs="宋体"/>
                <w:color w:val="auto"/>
                <w:szCs w:val="21"/>
                <w:highlight w:val="none"/>
              </w:rPr>
              <w:footnoteReference w:id="238"/>
            </w:r>
            <w:r>
              <w:rPr>
                <w:rFonts w:hint="eastAsia" w:ascii="宋体" w:hAnsi="宋体" w:cs="宋体"/>
                <w:color w:val="auto"/>
                <w:szCs w:val="21"/>
                <w:highlight w:val="none"/>
              </w:rPr>
              <w:t>施工项目中担任过（□项目经理、□或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w:t>
            </w:r>
            <w:r>
              <w:rPr>
                <w:rStyle w:val="59"/>
                <w:rFonts w:ascii="宋体" w:hAnsi="宋体" w:cs="宋体"/>
                <w:color w:val="auto"/>
                <w:szCs w:val="21"/>
                <w:highlight w:val="none"/>
              </w:rPr>
              <w:footnoteReference w:id="239"/>
            </w:r>
            <w:r>
              <w:rPr>
                <w:rFonts w:hint="eastAsia" w:ascii="宋体" w:hAnsi="宋体" w:cs="宋体"/>
                <w:color w:val="auto"/>
                <w:szCs w:val="21"/>
                <w:highlight w:val="none"/>
              </w:rPr>
              <w:t>职务。</w:t>
            </w:r>
          </w:p>
          <w:p w14:paraId="18B12491">
            <w:pPr>
              <w:pStyle w:val="299"/>
              <w:adjustRightInd w:val="0"/>
              <w:snapToGrid w:val="0"/>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座国内（□新建；□改扩建；□新建或改扩建）</w:t>
            </w:r>
          </w:p>
          <w:p w14:paraId="27859D7B">
            <w:pPr>
              <w:pStyle w:val="299"/>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Fonts w:ascii="宋体" w:hAnsi="宋体" w:cs="宋体"/>
                <w:color w:val="auto"/>
                <w:szCs w:val="21"/>
                <w:highlight w:val="none"/>
                <w:vertAlign w:val="superscript"/>
              </w:rPr>
              <w:footnoteReference w:id="240"/>
            </w:r>
            <w:r>
              <w:rPr>
                <w:rFonts w:hint="eastAsia" w:ascii="宋体" w:hAnsi="宋体" w:cs="宋体"/>
                <w:color w:val="auto"/>
                <w:szCs w:val="21"/>
                <w:highlight w:val="none"/>
              </w:rPr>
              <w:t>的施工项目中担任过（</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项目经</w:t>
            </w:r>
          </w:p>
          <w:p w14:paraId="158FCB5E">
            <w:pPr>
              <w:pStyle w:val="299"/>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理、</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）职务，□其中须至</w:t>
            </w:r>
          </w:p>
          <w:p w14:paraId="20937A6C">
            <w:pPr>
              <w:pStyle w:val="299"/>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少包含（</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同时包含；□包含其中之一）主跨桥梁类型</w:t>
            </w:r>
            <w:r>
              <w:rPr>
                <w:rFonts w:ascii="宋体" w:hAnsi="宋体" w:cs="宋体"/>
                <w:color w:val="auto"/>
                <w:szCs w:val="21"/>
                <w:highlight w:val="none"/>
                <w:vertAlign w:val="superscript"/>
              </w:rPr>
              <w:footnoteReference w:id="241"/>
            </w:r>
            <w:r>
              <w:rPr>
                <w:rFonts w:hint="eastAsia" w:ascii="宋体" w:hAnsi="宋体" w:cs="宋体"/>
                <w:color w:val="auto"/>
                <w:szCs w:val="21"/>
                <w:highlight w:val="none"/>
              </w:rPr>
              <w:t>：</w:t>
            </w:r>
          </w:p>
          <w:p w14:paraId="6C39B791">
            <w:pPr>
              <w:pStyle w:val="299"/>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□拱式桥，主跨跨径</w:t>
            </w:r>
            <w:r>
              <w:rPr>
                <w:rStyle w:val="59"/>
                <w:rFonts w:ascii="宋体" w:hAnsi="宋体" w:cs="宋体"/>
                <w:color w:val="auto"/>
                <w:szCs w:val="21"/>
                <w:highlight w:val="none"/>
              </w:rPr>
              <w:footnoteReference w:id="242"/>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409B45DA">
            <w:pPr>
              <w:pStyle w:val="299"/>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□悬索桥，主跨跨径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座</w:t>
            </w:r>
          </w:p>
          <w:p w14:paraId="75757430">
            <w:pPr>
              <w:pStyle w:val="299"/>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□斜拉桥，主跨跨径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座  </w:t>
            </w:r>
          </w:p>
          <w:p w14:paraId="5F1B102A">
            <w:pPr>
              <w:pStyle w:val="299"/>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□刚构桥，主跨跨径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座</w:t>
            </w:r>
          </w:p>
          <w:p w14:paraId="232FD1FB">
            <w:pPr>
              <w:pStyle w:val="299"/>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□组合体系桥，主跨跨径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座</w:t>
            </w:r>
          </w:p>
          <w:p w14:paraId="2821A14F">
            <w:pPr>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hint="eastAsia" w:ascii="宋体" w:hAnsi="宋体" w:cs="宋体"/>
                <w:color w:val="auto"/>
                <w:szCs w:val="21"/>
                <w:highlight w:val="none"/>
              </w:rPr>
              <w:t>，主跨跨径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座</w:t>
            </w:r>
          </w:p>
          <w:p w14:paraId="3CED8E97">
            <w:pPr>
              <w:adjustRightInd w:val="0"/>
              <w:snapToGrid w:val="0"/>
              <w:spacing w:line="400" w:lineRule="exact"/>
              <w:ind w:left="316" w:hanging="316" w:hangingChars="150"/>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座国内（□新建；□改扩建；□新建或改扩建）</w:t>
            </w:r>
          </w:p>
          <w:p w14:paraId="2D2A3128">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公路（□中隧道及以上；□长隧道及以上；</w:t>
            </w:r>
          </w:p>
          <w:p w14:paraId="5A392450">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sym w:font="Wingdings 2" w:char="00A3"/>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特长隧道；□单洞长度</w:t>
            </w:r>
            <w:r>
              <w:rPr>
                <w:rStyle w:val="59"/>
                <w:rFonts w:ascii="宋体" w:hAnsi="宋体" w:cs="宋体"/>
                <w:color w:val="auto"/>
                <w:szCs w:val="21"/>
                <w:highlight w:val="none"/>
              </w:rPr>
              <w:footnoteReference w:id="243"/>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米及以上特长隧道）</w:t>
            </w:r>
            <w:r>
              <w:rPr>
                <w:rStyle w:val="59"/>
                <w:rFonts w:ascii="宋体" w:hAnsi="宋体" w:cs="宋体"/>
                <w:color w:val="auto"/>
                <w:szCs w:val="21"/>
                <w:highlight w:val="none"/>
              </w:rPr>
              <w:footnoteReference w:id="244"/>
            </w:r>
            <w:r>
              <w:rPr>
                <w:rFonts w:hint="eastAsia" w:ascii="宋体" w:hAnsi="宋体" w:cs="宋体"/>
                <w:color w:val="auto"/>
                <w:szCs w:val="21"/>
                <w:highlight w:val="none"/>
              </w:rPr>
              <w:t>施</w:t>
            </w:r>
          </w:p>
          <w:p w14:paraId="4FEAB570">
            <w:pPr>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工项目中担任过（□项目经理、□或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w:t>
            </w:r>
          </w:p>
          <w:p w14:paraId="2A35FB51">
            <w:pPr>
              <w:adjustRightInd w:val="0"/>
              <w:snapToGrid w:val="0"/>
              <w:spacing w:line="400" w:lineRule="exact"/>
              <w:ind w:left="0" w:firstLine="0" w:firstLineChars="0"/>
              <w:rPr>
                <w:rFonts w:ascii="宋体" w:hAnsi="宋体" w:cs="宋体"/>
                <w:color w:val="auto"/>
                <w:szCs w:val="21"/>
                <w:highlight w:val="none"/>
              </w:rPr>
            </w:pPr>
            <w:r>
              <w:rPr>
                <w:rFonts w:hint="eastAsia" w:ascii="宋体" w:hAnsi="宋体"/>
                <w:color w:val="auto"/>
                <w:szCs w:val="21"/>
                <w:highlight w:val="none"/>
                <w:lang w:val="en-US" w:eastAsia="zh-CN"/>
              </w:rPr>
              <w:t xml:space="preserve">   </w:t>
            </w:r>
            <w:r>
              <w:rPr>
                <w:rFonts w:ascii="宋体" w:hAnsi="宋体"/>
                <w:color w:val="auto"/>
                <w:szCs w:val="21"/>
                <w:highlight w:val="none"/>
              </w:rPr>
              <w:t>目总工</w:t>
            </w:r>
            <w:r>
              <w:rPr>
                <w:rFonts w:hint="eastAsia" w:ascii="宋体" w:hAnsi="宋体" w:cs="宋体"/>
                <w:color w:val="auto"/>
                <w:szCs w:val="21"/>
                <w:highlight w:val="none"/>
              </w:rPr>
              <w:t>）职务。</w:t>
            </w:r>
          </w:p>
          <w:p w14:paraId="3089760F">
            <w:pPr>
              <w:adjustRightInd w:val="0"/>
              <w:snapToGrid w:val="0"/>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个国内（□新建；□改扩建；□新建或改扩建）</w:t>
            </w:r>
          </w:p>
          <w:p w14:paraId="08AF43A0">
            <w:pPr>
              <w:adjustRightInd w:val="0"/>
              <w:snapToGrid w:val="0"/>
              <w:spacing w:line="400" w:lineRule="exact"/>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级及以上</w:t>
            </w:r>
            <w:r>
              <w:rPr>
                <w:rFonts w:hint="eastAsia" w:ascii="宋体" w:hAnsi="宋体" w:cs="宋体"/>
                <w:color w:val="auto"/>
                <w:szCs w:val="21"/>
                <w:highlight w:val="none"/>
              </w:rPr>
              <w:t>公路路面工程施工项目中担任过（□项目经</w:t>
            </w:r>
          </w:p>
          <w:p w14:paraId="4B4F9304">
            <w:pPr>
              <w:adjustRightInd w:val="0"/>
              <w:snapToGrid w:val="0"/>
              <w:spacing w:line="400" w:lineRule="exact"/>
              <w:ind w:left="420" w:hanging="420" w:hangingChars="200"/>
              <w:rPr>
                <w:rFonts w:ascii="宋体" w:hAnsi="宋体"/>
                <w:b/>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理、</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）职务。</w:t>
            </w:r>
          </w:p>
          <w:p w14:paraId="4E8ED88A">
            <w:pPr>
              <w:adjustRightInd w:val="0"/>
              <w:snapToGrid w:val="0"/>
              <w:spacing w:line="400" w:lineRule="exact"/>
              <w:rPr>
                <w:rFonts w:hint="eastAsia"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lang w:val="en-US" w:eastAsia="zh-CN"/>
              </w:rPr>
              <w:t>至少</w:t>
            </w:r>
            <w:r>
              <w:rPr>
                <w:rFonts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lang w:val="en-US" w:eastAsia="zh-CN"/>
              </w:rPr>
              <w:t>个</w:t>
            </w:r>
            <w:r>
              <w:rPr>
                <w:rFonts w:hint="eastAsia" w:ascii="宋体" w:hAnsi="宋体"/>
                <w:color w:val="auto"/>
                <w:szCs w:val="21"/>
                <w:highlight w:val="none"/>
              </w:rPr>
              <w:t>国内</w:t>
            </w:r>
            <w:r>
              <w:rPr>
                <w:rFonts w:hint="eastAsia" w:ascii="宋体" w:hAnsi="宋体" w:cs="宋体"/>
                <w:color w:val="auto"/>
                <w:szCs w:val="21"/>
                <w:highlight w:val="none"/>
              </w:rPr>
              <w:t>（□新建；□改扩建；□新建或改扩建）</w:t>
            </w:r>
          </w:p>
          <w:p w14:paraId="3392D7F0">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olor w:val="auto"/>
                <w:szCs w:val="21"/>
                <w:highlight w:val="none"/>
              </w:rPr>
              <w:t>公路交通安全设施工程施工项目中</w:t>
            </w:r>
            <w:r>
              <w:rPr>
                <w:rFonts w:hint="eastAsia" w:ascii="宋体" w:hAnsi="宋体" w:cs="宋体"/>
                <w:color w:val="auto"/>
                <w:szCs w:val="21"/>
                <w:highlight w:val="none"/>
              </w:rPr>
              <w:t>担任过</w:t>
            </w:r>
          </w:p>
          <w:p w14:paraId="2C5F1DCC">
            <w:pPr>
              <w:adjustRightInd w:val="0"/>
              <w:snapToGrid w:val="0"/>
              <w:spacing w:line="40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（□项目经理、□或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w:t>
            </w:r>
            <w:r>
              <w:rPr>
                <w:rFonts w:hint="eastAsia" w:ascii="宋体" w:hAnsi="宋体"/>
                <w:color w:val="auto"/>
                <w:szCs w:val="21"/>
                <w:highlight w:val="none"/>
              </w:rPr>
              <w:t>职务。</w:t>
            </w:r>
          </w:p>
          <w:p w14:paraId="1A2ED30E">
            <w:pPr>
              <w:adjustRightInd w:val="0"/>
              <w:snapToGrid w:val="0"/>
              <w:spacing w:line="400" w:lineRule="exact"/>
              <w:rPr>
                <w:rFonts w:hint="eastAsia"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lang w:val="en-US" w:eastAsia="zh-CN"/>
              </w:rPr>
              <w:t>至少</w:t>
            </w:r>
            <w:r>
              <w:rPr>
                <w:rFonts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lang w:val="en-US" w:eastAsia="zh-CN"/>
              </w:rPr>
              <w:t>个</w:t>
            </w:r>
            <w:r>
              <w:rPr>
                <w:rFonts w:hint="eastAsia" w:ascii="宋体" w:hAnsi="宋体"/>
                <w:color w:val="auto"/>
                <w:szCs w:val="21"/>
                <w:highlight w:val="none"/>
              </w:rPr>
              <w:t>国内</w:t>
            </w:r>
            <w:r>
              <w:rPr>
                <w:rFonts w:hint="eastAsia" w:ascii="宋体" w:hAnsi="宋体" w:cs="宋体"/>
                <w:color w:val="auto"/>
                <w:szCs w:val="21"/>
                <w:highlight w:val="none"/>
              </w:rPr>
              <w:t>（□新建；□改扩建；□新建或改扩建）</w:t>
            </w:r>
          </w:p>
          <w:p w14:paraId="27161CD4">
            <w:pPr>
              <w:adjustRightInd w:val="0"/>
              <w:snapToGrid w:val="0"/>
              <w:spacing w:line="400" w:lineRule="exact"/>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olor w:val="auto"/>
                <w:szCs w:val="21"/>
                <w:highlight w:val="none"/>
              </w:rPr>
              <w:t>公路</w:t>
            </w:r>
            <w:r>
              <w:rPr>
                <w:rFonts w:hint="eastAsia" w:ascii="宋体" w:hAnsi="宋体" w:cs="宋体"/>
                <w:color w:val="auto"/>
                <w:szCs w:val="21"/>
                <w:highlight w:val="none"/>
              </w:rPr>
              <w:t>隧道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施工项目中</w:t>
            </w:r>
            <w:r>
              <w:rPr>
                <w:rFonts w:hint="eastAsia" w:ascii="宋体" w:hAnsi="宋体" w:cs="宋体"/>
                <w:color w:val="auto"/>
                <w:szCs w:val="21"/>
                <w:highlight w:val="none"/>
              </w:rPr>
              <w:t>担任过（□项</w:t>
            </w:r>
          </w:p>
          <w:p w14:paraId="70DA0F0A">
            <w:pPr>
              <w:adjustRightInd w:val="0"/>
              <w:snapToGrid w:val="0"/>
              <w:spacing w:line="400" w:lineRule="exact"/>
              <w:ind w:left="0" w:firstLine="0" w:firstLineChars="0"/>
              <w:rPr>
                <w:rFonts w:hint="eastAsia" w:ascii="宋体" w:hAnsi="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目经理、□或</w:t>
            </w:r>
            <w:r>
              <w:rPr>
                <w:rFonts w:ascii="宋体" w:hAnsi="宋体"/>
                <w:color w:val="auto"/>
                <w:szCs w:val="21"/>
                <w:highlight w:val="none"/>
              </w:rPr>
              <w:t>项目副经理</w:t>
            </w:r>
            <w:r>
              <w:rPr>
                <w:rFonts w:hint="eastAsia" w:ascii="宋体" w:hAnsi="宋体"/>
                <w:color w:val="auto"/>
                <w:szCs w:val="21"/>
                <w:highlight w:val="none"/>
              </w:rPr>
              <w:t>、</w:t>
            </w:r>
            <w:r>
              <w:rPr>
                <w:rFonts w:hint="eastAsia" w:ascii="宋体" w:hAnsi="宋体" w:cs="宋体"/>
                <w:color w:val="auto"/>
                <w:szCs w:val="21"/>
                <w:highlight w:val="none"/>
              </w:rPr>
              <w:t>□或</w:t>
            </w:r>
            <w:r>
              <w:rPr>
                <w:rFonts w:ascii="宋体" w:hAnsi="宋体"/>
                <w:color w:val="auto"/>
                <w:szCs w:val="21"/>
                <w:highlight w:val="none"/>
              </w:rPr>
              <w:t>项目总工</w:t>
            </w:r>
            <w:r>
              <w:rPr>
                <w:rFonts w:hint="eastAsia" w:ascii="宋体" w:hAnsi="宋体" w:cs="宋体"/>
                <w:color w:val="auto"/>
                <w:szCs w:val="21"/>
                <w:highlight w:val="none"/>
              </w:rPr>
              <w:t>）</w:t>
            </w:r>
            <w:r>
              <w:rPr>
                <w:rFonts w:hint="eastAsia" w:ascii="宋体" w:hAnsi="宋体"/>
                <w:color w:val="auto"/>
                <w:szCs w:val="21"/>
                <w:highlight w:val="none"/>
              </w:rPr>
              <w:t>职务。</w:t>
            </w:r>
          </w:p>
          <w:p w14:paraId="044D9D3C">
            <w:pPr>
              <w:widowControl/>
              <w:adjustRightInd w:val="0"/>
              <w:snapToGrid w:val="0"/>
              <w:spacing w:line="400" w:lineRule="exact"/>
              <w:ind w:left="422" w:hanging="422" w:hangingChars="200"/>
              <w:jc w:val="left"/>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至少</w:t>
            </w:r>
            <w:r>
              <w:rPr>
                <w:rFonts w:hint="eastAsia" w:ascii="宋体" w:hAnsi="宋体"/>
                <w:color w:val="auto"/>
                <w:szCs w:val="21"/>
                <w:highlight w:val="none"/>
              </w:rPr>
              <w:t>在</w:t>
            </w:r>
            <w:r>
              <w:rPr>
                <w:rFonts w:hint="eastAsia" w:ascii="宋体" w:hAnsi="宋体"/>
                <w:color w:val="auto"/>
                <w:szCs w:val="21"/>
                <w:highlight w:val="none"/>
                <w:u w:val="single"/>
              </w:rPr>
              <w:t xml:space="preserve">   </w:t>
            </w:r>
            <w:r>
              <w:rPr>
                <w:rFonts w:hint="eastAsia" w:ascii="宋体" w:hAnsi="宋体"/>
                <w:color w:val="auto"/>
                <w:szCs w:val="21"/>
                <w:highlight w:val="none"/>
              </w:rPr>
              <w:t>个国内房建工程施工项目中担任过（□项目经理；</w:t>
            </w:r>
            <w:r>
              <w:rPr>
                <w:rFonts w:hint="eastAsia" w:ascii="宋体" w:hAnsi="宋体"/>
                <w:color w:val="auto"/>
                <w:szCs w:val="21"/>
                <w:highlight w:val="none"/>
              </w:rPr>
              <w:sym w:font="Wingdings 2" w:char="00A3"/>
            </w:r>
            <w:r>
              <w:rPr>
                <w:rFonts w:hint="eastAsia" w:ascii="宋体" w:hAnsi="宋体"/>
                <w:color w:val="auto"/>
                <w:szCs w:val="21"/>
                <w:highlight w:val="none"/>
              </w:rPr>
              <w:t>或项目副经理；□或项目总工）职务</w:t>
            </w:r>
            <w:r>
              <w:rPr>
                <w:rFonts w:hint="eastAsia" w:ascii="宋体" w:hAnsi="宋体"/>
                <w:color w:val="auto"/>
                <w:szCs w:val="21"/>
                <w:highlight w:val="none"/>
                <w:lang w:eastAsia="zh-CN"/>
              </w:rPr>
              <w:t>。</w:t>
            </w:r>
          </w:p>
          <w:p w14:paraId="56F19047">
            <w:pPr>
              <w:pStyle w:val="299"/>
              <w:adjustRightInd w:val="0"/>
              <w:snapToGrid w:val="0"/>
              <w:spacing w:line="400" w:lineRule="exact"/>
              <w:rPr>
                <w:rFonts w:ascii="宋体" w:hAnsi="宋体"/>
                <w:color w:val="auto"/>
                <w:szCs w:val="21"/>
                <w:highlight w:val="none"/>
                <w:u w:val="single"/>
              </w:rPr>
            </w:pPr>
            <w:r>
              <w:rPr>
                <w:rFonts w:hint="eastAsia" w:ascii="宋体" w:hAnsi="宋体"/>
                <w:b/>
                <w:color w:val="auto"/>
                <w:szCs w:val="21"/>
                <w:highlight w:val="none"/>
              </w:rPr>
              <w:t>□</w:t>
            </w:r>
            <w:r>
              <w:rPr>
                <w:rFonts w:ascii="宋体" w:hAnsi="宋体"/>
                <w:color w:val="auto"/>
                <w:szCs w:val="21"/>
                <w:highlight w:val="none"/>
              </w:rPr>
              <w:t xml:space="preserve"> 其他</w:t>
            </w:r>
            <w:r>
              <w:rPr>
                <w:rStyle w:val="59"/>
                <w:rFonts w:ascii="宋体" w:hAnsi="宋体" w:cs="宋体"/>
                <w:color w:val="auto"/>
                <w:szCs w:val="21"/>
                <w:highlight w:val="none"/>
              </w:rPr>
              <w:footnoteReference w:id="245"/>
            </w:r>
            <w:r>
              <w:rPr>
                <w:rFonts w:ascii="宋体" w:hAnsi="宋体"/>
                <w:color w:val="auto"/>
                <w:szCs w:val="21"/>
                <w:highlight w:val="none"/>
              </w:rPr>
              <w:t>：</w:t>
            </w:r>
            <w:r>
              <w:rPr>
                <w:rFonts w:ascii="宋体" w:hAnsi="宋体"/>
                <w:color w:val="auto"/>
                <w:szCs w:val="21"/>
                <w:highlight w:val="none"/>
                <w:u w:val="single"/>
              </w:rPr>
              <w:t xml:space="preserve">          </w:t>
            </w:r>
          </w:p>
          <w:p w14:paraId="0E82F59B">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联合体应满足下列要求：</w:t>
            </w:r>
            <w:r>
              <w:rPr>
                <w:rFonts w:ascii="宋体" w:hAnsi="宋体"/>
                <w:color w:val="auto"/>
                <w:szCs w:val="21"/>
                <w:highlight w:val="none"/>
                <w:u w:val="single"/>
              </w:rPr>
              <w:t xml:space="preserve">                 </w:t>
            </w:r>
          </w:p>
        </w:tc>
        <w:tc>
          <w:tcPr>
            <w:tcW w:w="1381" w:type="dxa"/>
            <w:vAlign w:val="center"/>
          </w:tcPr>
          <w:p w14:paraId="42E90F2F">
            <w:pPr>
              <w:spacing w:line="400" w:lineRule="exact"/>
              <w:jc w:val="left"/>
              <w:rPr>
                <w:rFonts w:ascii="宋体" w:hAnsi="宋体"/>
                <w:color w:val="auto"/>
                <w:szCs w:val="21"/>
                <w:highlight w:val="none"/>
              </w:rPr>
            </w:pPr>
            <w:r>
              <w:rPr>
                <w:rFonts w:hint="eastAsia" w:ascii="宋体" w:hAnsi="宋体"/>
                <w:color w:val="auto"/>
                <w:szCs w:val="21"/>
                <w:highlight w:val="none"/>
              </w:rPr>
              <w:t>无在岗项目（指目前未在其他项目上任职，或虽在其他项目上任职但本项目中标后能够从该项目撤离）</w:t>
            </w:r>
          </w:p>
        </w:tc>
      </w:tr>
      <w:tr w14:paraId="42DA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2" w:type="dxa"/>
            <w:vAlign w:val="center"/>
          </w:tcPr>
          <w:p w14:paraId="75D25074">
            <w:pPr>
              <w:spacing w:line="400" w:lineRule="exact"/>
              <w:jc w:val="center"/>
              <w:rPr>
                <w:rFonts w:ascii="宋体" w:hAnsi="宋体"/>
                <w:color w:val="auto"/>
                <w:szCs w:val="21"/>
                <w:highlight w:val="none"/>
                <w:u w:val="single"/>
              </w:rPr>
            </w:pPr>
            <w:r>
              <w:rPr>
                <w:rFonts w:hint="eastAsia" w:ascii="宋体" w:hAnsi="宋体"/>
                <w:color w:val="auto"/>
                <w:szCs w:val="21"/>
                <w:highlight w:val="none"/>
              </w:rPr>
              <w:t>……</w:t>
            </w:r>
          </w:p>
        </w:tc>
        <w:tc>
          <w:tcPr>
            <w:tcW w:w="799" w:type="dxa"/>
            <w:vAlign w:val="center"/>
          </w:tcPr>
          <w:p w14:paraId="79A2E324">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5844" w:type="dxa"/>
            <w:vAlign w:val="center"/>
          </w:tcPr>
          <w:p w14:paraId="17E1D934">
            <w:pPr>
              <w:spacing w:line="400" w:lineRule="exact"/>
              <w:jc w:val="left"/>
              <w:rPr>
                <w:rFonts w:ascii="宋体" w:hAnsi="宋体"/>
                <w:color w:val="auto"/>
                <w:szCs w:val="21"/>
                <w:highlight w:val="none"/>
              </w:rPr>
            </w:pPr>
            <w:r>
              <w:rPr>
                <w:rFonts w:hint="eastAsia" w:ascii="宋体" w:hAnsi="宋体"/>
                <w:color w:val="auto"/>
                <w:szCs w:val="21"/>
                <w:highlight w:val="none"/>
              </w:rPr>
              <w:t>……</w:t>
            </w:r>
          </w:p>
        </w:tc>
        <w:tc>
          <w:tcPr>
            <w:tcW w:w="1381" w:type="dxa"/>
            <w:vAlign w:val="center"/>
          </w:tcPr>
          <w:p w14:paraId="28C3D03C">
            <w:pPr>
              <w:spacing w:line="400" w:lineRule="exact"/>
              <w:jc w:val="center"/>
              <w:rPr>
                <w:rFonts w:ascii="宋体" w:hAnsi="宋体"/>
                <w:color w:val="auto"/>
                <w:szCs w:val="21"/>
                <w:highlight w:val="none"/>
              </w:rPr>
            </w:pPr>
            <w:r>
              <w:rPr>
                <w:rFonts w:hint="eastAsia" w:ascii="宋体" w:hAnsi="宋体"/>
                <w:color w:val="auto"/>
                <w:szCs w:val="21"/>
                <w:highlight w:val="none"/>
              </w:rPr>
              <w:t>……</w:t>
            </w:r>
          </w:p>
        </w:tc>
      </w:tr>
    </w:tbl>
    <w:p w14:paraId="0F8EF94D">
      <w:pPr>
        <w:pStyle w:val="22"/>
        <w:spacing w:before="188" w:line="276" w:lineRule="auto"/>
        <w:ind w:right="-6605"/>
        <w:rPr>
          <w:rFonts w:hint="eastAsia" w:ascii="黑体" w:hAnsi="黑体" w:eastAsia="黑体"/>
          <w:color w:val="auto"/>
          <w:highlight w:val="none"/>
        </w:rPr>
      </w:pPr>
    </w:p>
    <w:bookmarkEnd w:id="879"/>
    <w:p w14:paraId="3185E8EB">
      <w:pPr>
        <w:pStyle w:val="299"/>
        <w:adjustRightInd w:val="0"/>
        <w:snapToGrid w:val="0"/>
        <w:jc w:val="center"/>
        <w:rPr>
          <w:rFonts w:ascii="黑体" w:hAnsi="黑体" w:eastAsia="黑体"/>
          <w:bCs/>
          <w:color w:val="auto"/>
          <w:sz w:val="24"/>
          <w:highlight w:val="none"/>
        </w:rPr>
      </w:pPr>
    </w:p>
    <w:p w14:paraId="5DFF9F25">
      <w:pPr>
        <w:pStyle w:val="299"/>
        <w:adjustRightInd w:val="0"/>
        <w:snapToGrid w:val="0"/>
        <w:jc w:val="center"/>
        <w:rPr>
          <w:rFonts w:ascii="黑体" w:hAnsi="黑体" w:eastAsia="黑体"/>
          <w:bCs/>
          <w:color w:val="auto"/>
          <w:sz w:val="24"/>
          <w:highlight w:val="none"/>
        </w:rPr>
      </w:pPr>
    </w:p>
    <w:p w14:paraId="1FA09AD0">
      <w:pPr>
        <w:pStyle w:val="299"/>
        <w:adjustRightInd w:val="0"/>
        <w:snapToGrid w:val="0"/>
        <w:jc w:val="center"/>
        <w:rPr>
          <w:rFonts w:ascii="黑体" w:hAnsi="黑体" w:eastAsia="黑体"/>
          <w:bCs/>
          <w:color w:val="auto"/>
          <w:sz w:val="24"/>
          <w:highlight w:val="none"/>
        </w:rPr>
      </w:pPr>
    </w:p>
    <w:p w14:paraId="5A0F6FDB">
      <w:pPr>
        <w:pStyle w:val="299"/>
        <w:adjustRightInd w:val="0"/>
        <w:snapToGrid w:val="0"/>
        <w:jc w:val="center"/>
        <w:rPr>
          <w:rFonts w:ascii="黑体" w:hAnsi="黑体" w:eastAsia="黑体"/>
          <w:bCs/>
          <w:color w:val="auto"/>
          <w:sz w:val="24"/>
          <w:highlight w:val="none"/>
        </w:rPr>
      </w:pPr>
    </w:p>
    <w:p w14:paraId="60FCA211">
      <w:pPr>
        <w:pStyle w:val="299"/>
        <w:adjustRightInd w:val="0"/>
        <w:snapToGrid w:val="0"/>
        <w:jc w:val="center"/>
        <w:rPr>
          <w:rFonts w:ascii="黑体" w:hAnsi="黑体" w:eastAsia="黑体"/>
          <w:bCs/>
          <w:color w:val="auto"/>
          <w:sz w:val="24"/>
          <w:highlight w:val="none"/>
        </w:rPr>
      </w:pPr>
    </w:p>
    <w:p w14:paraId="131218EE">
      <w:pPr>
        <w:pStyle w:val="299"/>
        <w:adjustRightInd w:val="0"/>
        <w:snapToGrid w:val="0"/>
        <w:jc w:val="center"/>
        <w:rPr>
          <w:rFonts w:ascii="黑体" w:hAnsi="黑体" w:eastAsia="黑体"/>
          <w:bCs/>
          <w:color w:val="auto"/>
          <w:sz w:val="24"/>
          <w:highlight w:val="none"/>
        </w:rPr>
      </w:pPr>
    </w:p>
    <w:p w14:paraId="29114D1A">
      <w:pPr>
        <w:pStyle w:val="299"/>
        <w:adjustRightInd w:val="0"/>
        <w:snapToGrid w:val="0"/>
        <w:jc w:val="center"/>
        <w:rPr>
          <w:rFonts w:ascii="黑体" w:hAnsi="黑体" w:eastAsia="黑体"/>
          <w:bCs/>
          <w:color w:val="auto"/>
          <w:sz w:val="24"/>
          <w:highlight w:val="none"/>
        </w:rPr>
      </w:pPr>
    </w:p>
    <w:p w14:paraId="49FD2E65">
      <w:pPr>
        <w:pStyle w:val="299"/>
        <w:adjustRightInd w:val="0"/>
        <w:snapToGrid w:val="0"/>
        <w:jc w:val="center"/>
        <w:rPr>
          <w:rFonts w:ascii="黑体" w:hAnsi="黑体" w:eastAsia="黑体"/>
          <w:bCs/>
          <w:color w:val="auto"/>
          <w:sz w:val="24"/>
          <w:highlight w:val="none"/>
        </w:rPr>
      </w:pPr>
    </w:p>
    <w:p w14:paraId="4CA0A857">
      <w:pPr>
        <w:rPr>
          <w:rFonts w:hint="eastAsia" w:ascii="黑体" w:hAnsi="黑体" w:eastAsia="黑体"/>
          <w:bCs/>
          <w:color w:val="auto"/>
          <w:sz w:val="24"/>
          <w:highlight w:val="none"/>
        </w:rPr>
      </w:pPr>
      <w:r>
        <w:rPr>
          <w:rFonts w:hint="eastAsia" w:ascii="黑体" w:hAnsi="黑体" w:eastAsia="黑体"/>
          <w:bCs/>
          <w:color w:val="auto"/>
          <w:sz w:val="24"/>
          <w:highlight w:val="none"/>
        </w:rPr>
        <w:br w:type="page"/>
      </w:r>
    </w:p>
    <w:p w14:paraId="5B1F0D7E">
      <w:pPr>
        <w:spacing w:line="360" w:lineRule="auto"/>
        <w:ind w:firstLine="3600" w:firstLineChars="1500"/>
        <w:rPr>
          <w:rFonts w:hint="eastAsia" w:ascii="黑体" w:hAnsi="黑体" w:eastAsia="黑体"/>
          <w:bCs/>
          <w:color w:val="auto"/>
          <w:sz w:val="24"/>
          <w:highlight w:val="none"/>
        </w:rPr>
      </w:pPr>
      <w:r>
        <w:rPr>
          <w:rFonts w:hint="eastAsia" w:ascii="黑体" w:hAnsi="黑体" w:eastAsia="黑体"/>
          <w:bCs/>
          <w:color w:val="auto"/>
          <w:sz w:val="24"/>
          <w:highlight w:val="none"/>
        </w:rPr>
        <w:t>□</w:t>
      </w:r>
      <w:r>
        <w:rPr>
          <w:rFonts w:ascii="黑体" w:hAnsi="黑体" w:eastAsia="黑体"/>
          <w:bCs/>
          <w:color w:val="auto"/>
          <w:sz w:val="24"/>
          <w:highlight w:val="none"/>
        </w:rPr>
        <w:t xml:space="preserve"> </w:t>
      </w:r>
      <w:r>
        <w:rPr>
          <w:rFonts w:hint="eastAsia" w:ascii="黑体" w:hAnsi="黑体" w:eastAsia="黑体"/>
          <w:bCs/>
          <w:color w:val="auto"/>
          <w:sz w:val="24"/>
          <w:highlight w:val="none"/>
        </w:rPr>
        <w:t>项目总工</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769"/>
        <w:gridCol w:w="5800"/>
        <w:gridCol w:w="1273"/>
      </w:tblGrid>
      <w:tr w14:paraId="67F5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939" w:type="dxa"/>
            <w:vAlign w:val="center"/>
          </w:tcPr>
          <w:p w14:paraId="700FED48">
            <w:pPr>
              <w:spacing w:line="400" w:lineRule="exact"/>
              <w:jc w:val="center"/>
              <w:rPr>
                <w:rFonts w:ascii="宋体" w:hAnsi="宋体"/>
                <w:color w:val="auto"/>
                <w:szCs w:val="21"/>
                <w:highlight w:val="none"/>
              </w:rPr>
            </w:pPr>
            <w:r>
              <w:rPr>
                <w:rFonts w:hint="eastAsia" w:ascii="宋体" w:hAnsi="宋体"/>
                <w:color w:val="auto"/>
                <w:szCs w:val="21"/>
                <w:highlight w:val="none"/>
              </w:rPr>
              <w:t>标段</w:t>
            </w:r>
          </w:p>
        </w:tc>
        <w:tc>
          <w:tcPr>
            <w:tcW w:w="769" w:type="dxa"/>
            <w:vAlign w:val="center"/>
          </w:tcPr>
          <w:p w14:paraId="2C26A6B1">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5800" w:type="dxa"/>
            <w:vAlign w:val="center"/>
          </w:tcPr>
          <w:p w14:paraId="66FAA62A">
            <w:pPr>
              <w:spacing w:line="400" w:lineRule="exact"/>
              <w:jc w:val="center"/>
              <w:rPr>
                <w:rFonts w:ascii="宋体" w:hAnsi="宋体"/>
                <w:color w:val="auto"/>
                <w:szCs w:val="21"/>
                <w:highlight w:val="none"/>
              </w:rPr>
            </w:pPr>
            <w:r>
              <w:rPr>
                <w:rFonts w:hint="eastAsia" w:ascii="宋体" w:hAnsi="宋体"/>
                <w:color w:val="auto"/>
                <w:szCs w:val="21"/>
                <w:highlight w:val="none"/>
              </w:rPr>
              <w:t>资格要求</w:t>
            </w:r>
          </w:p>
        </w:tc>
        <w:tc>
          <w:tcPr>
            <w:tcW w:w="1273" w:type="dxa"/>
            <w:vAlign w:val="center"/>
          </w:tcPr>
          <w:p w14:paraId="3F13464F">
            <w:pPr>
              <w:spacing w:line="400" w:lineRule="exact"/>
              <w:jc w:val="center"/>
              <w:rPr>
                <w:rFonts w:ascii="宋体" w:hAnsi="宋体"/>
                <w:color w:val="auto"/>
                <w:szCs w:val="21"/>
                <w:highlight w:val="none"/>
              </w:rPr>
            </w:pPr>
            <w:r>
              <w:rPr>
                <w:rFonts w:hint="eastAsia" w:ascii="宋体" w:hAnsi="宋体"/>
                <w:color w:val="auto"/>
                <w:szCs w:val="21"/>
                <w:highlight w:val="none"/>
              </w:rPr>
              <w:t>在岗情况</w:t>
            </w:r>
            <w:r>
              <w:rPr>
                <w:rFonts w:ascii="宋体" w:hAnsi="宋体"/>
                <w:color w:val="auto"/>
                <w:szCs w:val="21"/>
                <w:highlight w:val="none"/>
                <w:vertAlign w:val="superscript"/>
              </w:rPr>
              <w:footnoteReference w:id="246"/>
            </w:r>
          </w:p>
        </w:tc>
      </w:tr>
      <w:tr w14:paraId="35CD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trPr>
        <w:tc>
          <w:tcPr>
            <w:tcW w:w="939" w:type="dxa"/>
            <w:vAlign w:val="center"/>
          </w:tcPr>
          <w:p w14:paraId="7362067D">
            <w:pPr>
              <w:spacing w:line="400" w:lineRule="exact"/>
              <w:rPr>
                <w:rFonts w:ascii="宋体" w:hAnsi="宋体"/>
                <w:color w:val="auto"/>
                <w:szCs w:val="21"/>
                <w:highlight w:val="none"/>
              </w:rPr>
            </w:pPr>
          </w:p>
        </w:tc>
        <w:tc>
          <w:tcPr>
            <w:tcW w:w="769" w:type="dxa"/>
            <w:vAlign w:val="center"/>
          </w:tcPr>
          <w:p w14:paraId="777596B1">
            <w:pPr>
              <w:spacing w:line="400" w:lineRule="exact"/>
              <w:jc w:val="center"/>
              <w:rPr>
                <w:rFonts w:ascii="宋体" w:hAnsi="宋体"/>
                <w:color w:val="auto"/>
                <w:szCs w:val="21"/>
                <w:highlight w:val="none"/>
              </w:rPr>
            </w:pPr>
          </w:p>
        </w:tc>
        <w:tc>
          <w:tcPr>
            <w:tcW w:w="5800" w:type="dxa"/>
            <w:vAlign w:val="center"/>
          </w:tcPr>
          <w:p w14:paraId="281E1897">
            <w:pPr>
              <w:spacing w:line="42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具有</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kern w:val="0"/>
                <w:szCs w:val="21"/>
                <w:highlight w:val="none"/>
              </w:rPr>
              <w:t>专业</w:t>
            </w:r>
            <w:r>
              <w:rPr>
                <w:rFonts w:hint="eastAsia" w:ascii="宋体" w:hAnsi="宋体"/>
                <w:color w:val="auto"/>
                <w:szCs w:val="21"/>
                <w:highlight w:val="none"/>
              </w:rPr>
              <w:t>）（□工程师；□高级工程师）</w:t>
            </w:r>
            <w:r>
              <w:rPr>
                <w:rStyle w:val="59"/>
                <w:rFonts w:ascii="宋体" w:hAnsi="宋体" w:cs="宋体"/>
                <w:color w:val="auto"/>
                <w:szCs w:val="21"/>
                <w:highlight w:val="none"/>
              </w:rPr>
              <w:footnoteReference w:id="247"/>
            </w:r>
            <w:r>
              <w:rPr>
                <w:rFonts w:hint="eastAsia" w:ascii="宋体" w:hAnsi="宋体"/>
                <w:color w:val="auto"/>
                <w:szCs w:val="21"/>
                <w:highlight w:val="none"/>
              </w:rPr>
              <w:t>及以</w:t>
            </w:r>
          </w:p>
          <w:p w14:paraId="6E24557B">
            <w:pPr>
              <w:spacing w:line="42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上技术职称</w:t>
            </w:r>
            <w:r>
              <w:rPr>
                <w:rFonts w:hint="eastAsia" w:ascii="宋体" w:hAnsi="宋体"/>
                <w:color w:val="auto"/>
                <w:szCs w:val="21"/>
                <w:highlight w:val="none"/>
                <w:lang w:eastAsia="zh-CN"/>
              </w:rPr>
              <w:t>。</w:t>
            </w:r>
          </w:p>
          <w:p w14:paraId="09CEB023">
            <w:pPr>
              <w:spacing w:line="420" w:lineRule="exact"/>
              <w:rPr>
                <w:rFonts w:hint="eastAsia" w:ascii="宋体" w:hAnsi="宋体" w:eastAsia="宋体"/>
                <w:color w:val="auto"/>
                <w:szCs w:val="21"/>
                <w:highlight w:val="none"/>
                <w:lang w:eastAsia="zh-CN"/>
              </w:rPr>
            </w:pPr>
            <w:r>
              <w:rPr>
                <w:rFonts w:hint="eastAsia" w:ascii="宋体" w:hAnsi="宋体"/>
                <w:b/>
                <w:color w:val="auto"/>
                <w:szCs w:val="21"/>
                <w:highlight w:val="none"/>
              </w:rPr>
              <w:t>□</w:t>
            </w:r>
            <w:r>
              <w:rPr>
                <w:rFonts w:ascii="宋体" w:hAnsi="宋体"/>
                <w:color w:val="auto"/>
                <w:szCs w:val="21"/>
                <w:highlight w:val="none"/>
              </w:rPr>
              <w:t xml:space="preserve"> 持有安全生产考核合格“B”类证书（□交安类）</w:t>
            </w:r>
            <w:r>
              <w:rPr>
                <w:rFonts w:hint="eastAsia" w:ascii="宋体" w:hAnsi="宋体"/>
                <w:color w:val="auto"/>
                <w:szCs w:val="21"/>
                <w:highlight w:val="none"/>
                <w:lang w:eastAsia="zh-CN"/>
              </w:rPr>
              <w:t>。</w:t>
            </w:r>
          </w:p>
          <w:p w14:paraId="65E46231">
            <w:pPr>
              <w:spacing w:line="420" w:lineRule="exact"/>
              <w:ind w:left="422" w:hanging="422" w:hangingChars="200"/>
              <w:rPr>
                <w:rFonts w:hint="eastAsia"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color w:val="auto"/>
                <w:highlight w:val="none"/>
              </w:rPr>
              <w:t>投标截止日所在月上个月或上上个月起之前在其</w:t>
            </w:r>
            <w:r>
              <w:rPr>
                <w:rFonts w:hint="eastAsia" w:ascii="宋体" w:hAnsi="宋体" w:cs="宋体"/>
                <w:color w:val="auto"/>
                <w:szCs w:val="21"/>
                <w:highlight w:val="none"/>
              </w:rPr>
              <w:t>投标单位</w:t>
            </w:r>
          </w:p>
          <w:p w14:paraId="53DED33B">
            <w:pPr>
              <w:spacing w:line="420" w:lineRule="exact"/>
              <w:ind w:left="422" w:hanging="420" w:hangingChars="200"/>
              <w:rPr>
                <w:rFonts w:ascii="宋体" w:hAnsi="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连续</w:t>
            </w:r>
            <w:r>
              <w:rPr>
                <w:rFonts w:ascii="宋体" w:hAnsi="宋体" w:cs="宋体"/>
                <w:color w:val="auto"/>
                <w:szCs w:val="21"/>
                <w:highlight w:val="none"/>
              </w:rPr>
              <w:t>6个月参加社保</w:t>
            </w:r>
            <w:r>
              <w:rPr>
                <w:rFonts w:hint="eastAsia" w:ascii="宋体" w:hAnsi="宋体"/>
                <w:color w:val="auto"/>
                <w:szCs w:val="21"/>
                <w:highlight w:val="none"/>
                <w:lang w:eastAsia="zh-CN"/>
              </w:rPr>
              <w:t>。</w:t>
            </w:r>
            <w:r>
              <w:rPr>
                <w:rStyle w:val="59"/>
                <w:color w:val="auto"/>
                <w:highlight w:val="none"/>
              </w:rPr>
              <w:footnoteReference w:id="248"/>
            </w:r>
          </w:p>
          <w:p w14:paraId="1B5F7BB7">
            <w:pPr>
              <w:pStyle w:val="299"/>
              <w:adjustRightInd w:val="0"/>
              <w:snapToGrid w:val="0"/>
              <w:spacing w:line="42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w:t>
            </w:r>
            <w:r>
              <w:rPr>
                <w:rStyle w:val="59"/>
                <w:rFonts w:ascii="宋体" w:hAnsi="宋体" w:cs="宋体"/>
                <w:color w:val="auto"/>
                <w:szCs w:val="21"/>
                <w:highlight w:val="none"/>
              </w:rPr>
              <w:footnoteReference w:id="249"/>
            </w:r>
            <w:r>
              <w:rPr>
                <w:rFonts w:hint="eastAsia" w:ascii="宋体" w:hAnsi="宋体" w:cs="宋体"/>
                <w:color w:val="auto"/>
                <w:szCs w:val="21"/>
                <w:highlight w:val="none"/>
              </w:rPr>
              <w:t>国内（□新建；□改扩建；□新建或改扩</w:t>
            </w:r>
          </w:p>
          <w:p w14:paraId="207CF5B2">
            <w:pPr>
              <w:pStyle w:val="299"/>
              <w:adjustRightInd w:val="0"/>
              <w:snapToGrid w:val="0"/>
              <w:spacing w:line="420" w:lineRule="exact"/>
              <w:ind w:left="420" w:leftChars="200" w:firstLine="0" w:firstLineChars="0"/>
              <w:rPr>
                <w:rFonts w:ascii="宋体" w:hAnsi="宋体" w:cs="宋体"/>
                <w:color w:val="auto"/>
                <w:szCs w:val="21"/>
                <w:highlight w:val="none"/>
              </w:rPr>
            </w:pPr>
            <w:r>
              <w:rPr>
                <w:rFonts w:hint="eastAsia" w:ascii="宋体" w:hAnsi="宋体" w:cs="宋体"/>
                <w:color w:val="auto"/>
                <w:szCs w:val="21"/>
                <w:highlight w:val="none"/>
              </w:rPr>
              <w:t>建）</w:t>
            </w:r>
            <w:r>
              <w:rPr>
                <w:rStyle w:val="59"/>
                <w:rFonts w:ascii="宋体" w:hAnsi="宋体" w:cs="宋体"/>
                <w:color w:val="auto"/>
                <w:szCs w:val="21"/>
                <w:highlight w:val="none"/>
              </w:rPr>
              <w:footnoteReference w:id="250"/>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公路路基土建工程</w:t>
            </w:r>
            <w:r>
              <w:rPr>
                <w:rStyle w:val="59"/>
                <w:rFonts w:ascii="宋体" w:hAnsi="宋体" w:cs="宋体"/>
                <w:color w:val="auto"/>
                <w:szCs w:val="21"/>
                <w:highlight w:val="none"/>
              </w:rPr>
              <w:footnoteReference w:id="251"/>
            </w:r>
            <w:r>
              <w:rPr>
                <w:rFonts w:hint="eastAsia" w:ascii="宋体" w:hAnsi="宋体" w:cs="宋体"/>
                <w:color w:val="auto"/>
                <w:szCs w:val="21"/>
                <w:highlight w:val="none"/>
              </w:rPr>
              <w:t>施工项目中担任（□项目总工、□或</w:t>
            </w:r>
            <w:r>
              <w:rPr>
                <w:rFonts w:ascii="宋体" w:hAnsi="宋体"/>
                <w:color w:val="auto"/>
                <w:szCs w:val="21"/>
                <w:highlight w:val="none"/>
              </w:rPr>
              <w:t>项目副总工</w:t>
            </w:r>
            <w:r>
              <w:rPr>
                <w:rFonts w:hint="eastAsia" w:ascii="宋体" w:hAnsi="宋体" w:cs="宋体"/>
                <w:color w:val="auto"/>
                <w:szCs w:val="21"/>
                <w:highlight w:val="none"/>
              </w:rPr>
              <w:t>）</w:t>
            </w:r>
            <w:r>
              <w:rPr>
                <w:rStyle w:val="59"/>
                <w:rFonts w:ascii="宋体" w:hAnsi="宋体" w:cs="宋体"/>
                <w:color w:val="auto"/>
                <w:szCs w:val="21"/>
                <w:highlight w:val="none"/>
              </w:rPr>
              <w:footnoteReference w:id="252"/>
            </w:r>
            <w:r>
              <w:rPr>
                <w:rFonts w:hint="eastAsia" w:ascii="宋体" w:hAnsi="宋体" w:cs="宋体"/>
                <w:color w:val="auto"/>
                <w:szCs w:val="21"/>
                <w:highlight w:val="none"/>
              </w:rPr>
              <w:t>职务。</w:t>
            </w:r>
          </w:p>
          <w:p w14:paraId="67915F81">
            <w:pPr>
              <w:pStyle w:val="299"/>
              <w:adjustRightInd w:val="0"/>
              <w:snapToGrid w:val="0"/>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座国内（□新建；□改扩建；□新建或改扩</w:t>
            </w:r>
          </w:p>
          <w:p w14:paraId="5C31A094">
            <w:pPr>
              <w:pStyle w:val="299"/>
              <w:adjustRightInd w:val="0"/>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Fonts w:ascii="宋体" w:hAnsi="宋体" w:cs="宋体"/>
                <w:color w:val="auto"/>
                <w:szCs w:val="21"/>
                <w:highlight w:val="none"/>
                <w:vertAlign w:val="superscript"/>
              </w:rPr>
              <w:footnoteReference w:id="253"/>
            </w:r>
            <w:r>
              <w:rPr>
                <w:rFonts w:hint="eastAsia" w:ascii="宋体" w:hAnsi="宋体" w:cs="宋体"/>
                <w:color w:val="auto"/>
                <w:szCs w:val="21"/>
                <w:highlight w:val="none"/>
              </w:rPr>
              <w:t>的施工项目中担任过（□</w:t>
            </w:r>
          </w:p>
          <w:p w14:paraId="1AF5E346">
            <w:pPr>
              <w:pStyle w:val="299"/>
              <w:adjustRightInd w:val="0"/>
              <w:snapToGrid w:val="0"/>
              <w:spacing w:line="420" w:lineRule="exact"/>
              <w:ind w:left="0" w:leftChars="0"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项目总工、□或</w:t>
            </w:r>
            <w:r>
              <w:rPr>
                <w:rFonts w:ascii="宋体" w:hAnsi="宋体"/>
                <w:color w:val="auto"/>
                <w:szCs w:val="21"/>
                <w:highlight w:val="none"/>
              </w:rPr>
              <w:t>项目副总工</w:t>
            </w:r>
            <w:r>
              <w:rPr>
                <w:rFonts w:hint="eastAsia" w:ascii="宋体" w:hAnsi="宋体" w:cs="宋体"/>
                <w:color w:val="auto"/>
                <w:szCs w:val="21"/>
                <w:highlight w:val="none"/>
              </w:rPr>
              <w:t>）职务，□其中须至少包含</w:t>
            </w:r>
          </w:p>
          <w:p w14:paraId="24022CF2">
            <w:pPr>
              <w:pStyle w:val="299"/>
              <w:adjustRightInd w:val="0"/>
              <w:snapToGrid w:val="0"/>
              <w:spacing w:line="42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（□同时包含；□包含其中之一）主跨桥梁类型</w:t>
            </w:r>
            <w:r>
              <w:rPr>
                <w:rFonts w:ascii="宋体" w:hAnsi="宋体" w:cs="宋体"/>
                <w:color w:val="auto"/>
                <w:szCs w:val="21"/>
                <w:highlight w:val="none"/>
                <w:vertAlign w:val="superscript"/>
              </w:rPr>
              <w:footnoteReference w:id="254"/>
            </w:r>
            <w:r>
              <w:rPr>
                <w:rFonts w:hint="eastAsia" w:ascii="宋体" w:hAnsi="宋体" w:cs="宋体"/>
                <w:color w:val="auto"/>
                <w:szCs w:val="21"/>
                <w:highlight w:val="none"/>
              </w:rPr>
              <w:t>：</w:t>
            </w:r>
          </w:p>
          <w:p w14:paraId="3BFD0FBC">
            <w:pPr>
              <w:pStyle w:val="299"/>
              <w:adjustRightInd w:val="0"/>
              <w:snapToGrid w:val="0"/>
              <w:spacing w:line="420" w:lineRule="exact"/>
              <w:rPr>
                <w:rFonts w:ascii="宋体" w:hAnsi="宋体" w:cs="宋体"/>
                <w:color w:val="auto"/>
                <w:szCs w:val="21"/>
                <w:highlight w:val="none"/>
              </w:rPr>
            </w:pPr>
            <w:r>
              <w:rPr>
                <w:rFonts w:ascii="宋体" w:hAnsi="宋体" w:cs="宋体"/>
                <w:color w:val="auto"/>
                <w:szCs w:val="21"/>
                <w:highlight w:val="none"/>
              </w:rPr>
              <w:t xml:space="preserve">     □拱式桥，主跨跨径</w:t>
            </w:r>
            <w:r>
              <w:rPr>
                <w:rStyle w:val="59"/>
                <w:rFonts w:ascii="宋体" w:hAnsi="宋体" w:cs="宋体"/>
                <w:color w:val="auto"/>
                <w:szCs w:val="21"/>
                <w:highlight w:val="none"/>
              </w:rPr>
              <w:footnoteReference w:id="255"/>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7996F59E">
            <w:pPr>
              <w:pStyle w:val="299"/>
              <w:adjustRightInd w:val="0"/>
              <w:snapToGrid w:val="0"/>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□悬索桥，主跨跨径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336597D1">
            <w:pPr>
              <w:pStyle w:val="299"/>
              <w:adjustRightInd w:val="0"/>
              <w:snapToGrid w:val="0"/>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□斜拉桥，主跨跨径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r>
              <w:rPr>
                <w:rFonts w:ascii="宋体" w:hAnsi="宋体" w:cs="宋体"/>
                <w:color w:val="auto"/>
                <w:szCs w:val="21"/>
                <w:highlight w:val="none"/>
              </w:rPr>
              <w:t xml:space="preserve">  </w:t>
            </w:r>
          </w:p>
          <w:p w14:paraId="3BE99C67">
            <w:pPr>
              <w:pStyle w:val="299"/>
              <w:adjustRightInd w:val="0"/>
              <w:snapToGrid w:val="0"/>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□刚构桥，主跨跨径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1E7FF181">
            <w:pPr>
              <w:pStyle w:val="299"/>
              <w:adjustRightInd w:val="0"/>
              <w:snapToGrid w:val="0"/>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□组合体系桥，主跨跨径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39205BE9">
            <w:pPr>
              <w:adjustRightInd w:val="0"/>
              <w:snapToGrid w:val="0"/>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hint="eastAsia" w:ascii="宋体" w:hAnsi="宋体" w:cs="宋体"/>
                <w:color w:val="auto"/>
                <w:szCs w:val="21"/>
                <w:highlight w:val="none"/>
              </w:rPr>
              <w:t>，主跨跨径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465300B9">
            <w:pPr>
              <w:adjustRightInd w:val="0"/>
              <w:snapToGrid w:val="0"/>
              <w:spacing w:line="42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座国内（□新建；□改扩建；□新建或改</w:t>
            </w:r>
            <w:r>
              <w:rPr>
                <w:rFonts w:ascii="宋体" w:hAnsi="宋体" w:cs="宋体"/>
                <w:color w:val="auto"/>
                <w:szCs w:val="21"/>
                <w:highlight w:val="none"/>
              </w:rPr>
              <w:t>扩</w:t>
            </w:r>
          </w:p>
          <w:p w14:paraId="23442068">
            <w:pPr>
              <w:pStyle w:val="299"/>
              <w:adjustRightInd w:val="0"/>
              <w:snapToGrid w:val="0"/>
              <w:spacing w:line="420" w:lineRule="exact"/>
              <w:ind w:left="210" w:hanging="210" w:hangingChars="100"/>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级及以上公路（□中隧道及以上；□长隧道及</w:t>
            </w:r>
          </w:p>
          <w:p w14:paraId="2D738789">
            <w:pPr>
              <w:pStyle w:val="299"/>
              <w:adjustRightInd w:val="0"/>
              <w:snapToGrid w:val="0"/>
              <w:spacing w:line="420" w:lineRule="exact"/>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以上；</w:t>
            </w:r>
            <w:r>
              <w:rPr>
                <w:rFonts w:ascii="宋体" w:hAnsi="宋体" w:cs="宋体"/>
                <w:color w:val="auto"/>
                <w:szCs w:val="21"/>
                <w:highlight w:val="none"/>
              </w:rPr>
              <w:sym w:font="Wingdings 2" w:char="00A3"/>
            </w:r>
            <w:r>
              <w:rPr>
                <w:rFonts w:ascii="宋体" w:hAnsi="宋体" w:cs="宋体"/>
                <w:color w:val="auto"/>
                <w:szCs w:val="21"/>
                <w:highlight w:val="none"/>
              </w:rPr>
              <w:t>特长隧道；□单洞长度</w:t>
            </w:r>
            <w:r>
              <w:rPr>
                <w:rStyle w:val="59"/>
                <w:rFonts w:ascii="宋体" w:hAnsi="宋体" w:cs="宋体"/>
                <w:color w:val="auto"/>
                <w:szCs w:val="21"/>
                <w:highlight w:val="none"/>
              </w:rPr>
              <w:footnoteReference w:id="256"/>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米及以上特长隧</w:t>
            </w:r>
          </w:p>
          <w:p w14:paraId="742BBA7E">
            <w:pPr>
              <w:adjustRightInd w:val="0"/>
              <w:snapToGrid w:val="0"/>
              <w:spacing w:line="42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道）</w:t>
            </w:r>
            <w:r>
              <w:rPr>
                <w:rStyle w:val="59"/>
                <w:rFonts w:ascii="宋体" w:hAnsi="宋体" w:cs="宋体"/>
                <w:color w:val="auto"/>
                <w:szCs w:val="21"/>
                <w:highlight w:val="none"/>
              </w:rPr>
              <w:footnoteReference w:id="257"/>
            </w:r>
            <w:r>
              <w:rPr>
                <w:rFonts w:hint="eastAsia" w:ascii="宋体" w:hAnsi="宋体" w:cs="宋体"/>
                <w:color w:val="auto"/>
                <w:szCs w:val="21"/>
                <w:highlight w:val="none"/>
              </w:rPr>
              <w:t>施工项目中担任过（□项目总工、□或</w:t>
            </w:r>
            <w:r>
              <w:rPr>
                <w:rFonts w:ascii="宋体" w:hAnsi="宋体"/>
                <w:color w:val="auto"/>
                <w:szCs w:val="21"/>
                <w:highlight w:val="none"/>
              </w:rPr>
              <w:t>项目副总工</w:t>
            </w:r>
            <w:r>
              <w:rPr>
                <w:rFonts w:hint="eastAsia" w:ascii="宋体" w:hAnsi="宋体" w:cs="宋体"/>
                <w:color w:val="auto"/>
                <w:szCs w:val="21"/>
                <w:highlight w:val="none"/>
              </w:rPr>
              <w:t>）职务。</w:t>
            </w:r>
          </w:p>
          <w:p w14:paraId="5574B423">
            <w:pPr>
              <w:spacing w:line="42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个国内（□新建；□改扩建；□新建或改扩</w:t>
            </w:r>
          </w:p>
          <w:p w14:paraId="5EFEA435">
            <w:pPr>
              <w:pStyle w:val="299"/>
              <w:adjustRightInd w:val="0"/>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公路路面工程施工项目中担任过（□</w:t>
            </w:r>
          </w:p>
          <w:p w14:paraId="56A4448C">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项目总工、□或</w:t>
            </w:r>
            <w:r>
              <w:rPr>
                <w:rFonts w:ascii="宋体" w:hAnsi="宋体"/>
                <w:color w:val="auto"/>
                <w:szCs w:val="21"/>
                <w:highlight w:val="none"/>
              </w:rPr>
              <w:t>项目副总工</w:t>
            </w:r>
            <w:r>
              <w:rPr>
                <w:rFonts w:hint="eastAsia" w:ascii="宋体" w:hAnsi="宋体" w:cs="宋体"/>
                <w:color w:val="auto"/>
                <w:szCs w:val="21"/>
                <w:highlight w:val="none"/>
              </w:rPr>
              <w:t>）职务。</w:t>
            </w:r>
          </w:p>
          <w:p w14:paraId="417D9E0D">
            <w:pPr>
              <w:spacing w:line="420" w:lineRule="exact"/>
              <w:rPr>
                <w:rFonts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lang w:val="en-US" w:eastAsia="zh-CN"/>
              </w:rPr>
              <w:t>至少</w:t>
            </w:r>
            <w:r>
              <w:rPr>
                <w:rFonts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个国内</w:t>
            </w:r>
            <w:r>
              <w:rPr>
                <w:rFonts w:hint="eastAsia" w:ascii="宋体" w:hAnsi="宋体" w:cs="宋体"/>
                <w:color w:val="auto"/>
                <w:szCs w:val="21"/>
                <w:highlight w:val="none"/>
              </w:rPr>
              <w:t>（□新建；□改扩建；□新建或改扩</w:t>
            </w:r>
          </w:p>
          <w:p w14:paraId="3E8ACCCE">
            <w:pPr>
              <w:spacing w:line="420" w:lineRule="exact"/>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olor w:val="auto"/>
                <w:szCs w:val="21"/>
                <w:highlight w:val="none"/>
              </w:rPr>
              <w:t>公路交通安全设施工程施工项目中担</w:t>
            </w:r>
          </w:p>
          <w:p w14:paraId="1321B169">
            <w:pPr>
              <w:pStyle w:val="299"/>
              <w:adjustRightInd w:val="0"/>
              <w:snapToGrid w:val="0"/>
              <w:spacing w:line="42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olor w:val="auto"/>
                <w:szCs w:val="21"/>
                <w:highlight w:val="none"/>
              </w:rPr>
              <w:t>任</w:t>
            </w:r>
            <w:r>
              <w:rPr>
                <w:rFonts w:hint="eastAsia" w:ascii="宋体" w:hAnsi="宋体" w:cs="宋体"/>
                <w:color w:val="auto"/>
                <w:szCs w:val="21"/>
                <w:highlight w:val="none"/>
              </w:rPr>
              <w:t>过（□项目总工、</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或</w:t>
            </w:r>
            <w:r>
              <w:rPr>
                <w:rFonts w:ascii="宋体" w:hAnsi="宋体"/>
                <w:color w:val="auto"/>
                <w:szCs w:val="21"/>
                <w:highlight w:val="none"/>
              </w:rPr>
              <w:t>项目副总工</w:t>
            </w:r>
            <w:r>
              <w:rPr>
                <w:rFonts w:hint="eastAsia" w:ascii="宋体" w:hAnsi="宋体" w:cs="宋体"/>
                <w:color w:val="auto"/>
                <w:szCs w:val="21"/>
                <w:highlight w:val="none"/>
              </w:rPr>
              <w:t>）</w:t>
            </w:r>
            <w:r>
              <w:rPr>
                <w:rFonts w:hint="eastAsia" w:ascii="宋体" w:hAnsi="宋体"/>
                <w:color w:val="auto"/>
                <w:szCs w:val="21"/>
                <w:highlight w:val="none"/>
              </w:rPr>
              <w:t>职务。</w:t>
            </w:r>
          </w:p>
          <w:p w14:paraId="141B752D">
            <w:pPr>
              <w:spacing w:line="420" w:lineRule="exact"/>
              <w:rPr>
                <w:rFonts w:ascii="宋体" w:hAnsi="宋体" w:cs="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lang w:val="en-US" w:eastAsia="zh-CN"/>
              </w:rPr>
              <w:t>至少</w:t>
            </w:r>
            <w:r>
              <w:rPr>
                <w:rFonts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lang w:val="en-US" w:eastAsia="zh-CN"/>
              </w:rPr>
              <w:t>个</w:t>
            </w:r>
            <w:r>
              <w:rPr>
                <w:rFonts w:hint="eastAsia" w:ascii="宋体" w:hAnsi="宋体"/>
                <w:color w:val="auto"/>
                <w:szCs w:val="21"/>
                <w:highlight w:val="none"/>
              </w:rPr>
              <w:t>国内</w:t>
            </w:r>
            <w:r>
              <w:rPr>
                <w:rFonts w:hint="eastAsia" w:ascii="宋体" w:hAnsi="宋体" w:cs="宋体"/>
                <w:color w:val="auto"/>
                <w:szCs w:val="21"/>
                <w:highlight w:val="none"/>
              </w:rPr>
              <w:t>（□新建；□改扩建；□新建或改扩</w:t>
            </w:r>
          </w:p>
          <w:p w14:paraId="009255A9">
            <w:pPr>
              <w:adjustRightInd w:val="0"/>
              <w:snapToGrid w:val="0"/>
              <w:spacing w:line="420" w:lineRule="exact"/>
              <w:ind w:left="315" w:hanging="315" w:hangingChars="150"/>
              <w:rPr>
                <w:rFonts w:hint="eastAsia" w:ascii="宋体" w:hAnsi="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olor w:val="auto"/>
                <w:szCs w:val="21"/>
                <w:highlight w:val="none"/>
              </w:rPr>
              <w:t>公路</w:t>
            </w:r>
            <w:r>
              <w:rPr>
                <w:rFonts w:hint="eastAsia" w:ascii="宋体" w:hAnsi="宋体" w:cs="宋体"/>
                <w:color w:val="auto"/>
                <w:szCs w:val="21"/>
                <w:highlight w:val="none"/>
              </w:rPr>
              <w:t>隧道</w:t>
            </w:r>
            <w:r>
              <w:rPr>
                <w:rFonts w:hint="eastAsia" w:ascii="宋体" w:hAnsi="宋体"/>
                <w:color w:val="auto"/>
                <w:szCs w:val="21"/>
                <w:highlight w:val="none"/>
                <w:lang w:val="en-US" w:eastAsia="zh-CN"/>
              </w:rPr>
              <w:t>机电工程</w:t>
            </w:r>
            <w:r>
              <w:rPr>
                <w:rFonts w:hint="eastAsia" w:ascii="宋体" w:hAnsi="宋体"/>
                <w:color w:val="auto"/>
                <w:szCs w:val="21"/>
                <w:highlight w:val="none"/>
              </w:rPr>
              <w:t>施工项目中</w:t>
            </w:r>
            <w:r>
              <w:rPr>
                <w:rFonts w:hint="eastAsia" w:ascii="宋体" w:hAnsi="宋体" w:cs="宋体"/>
                <w:color w:val="auto"/>
                <w:szCs w:val="21"/>
                <w:highlight w:val="none"/>
              </w:rPr>
              <w:t>担任过（</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项目总工、</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或</w:t>
            </w:r>
            <w:r>
              <w:rPr>
                <w:rFonts w:ascii="宋体" w:hAnsi="宋体"/>
                <w:color w:val="auto"/>
                <w:szCs w:val="21"/>
                <w:highlight w:val="none"/>
              </w:rPr>
              <w:t>项目副总工</w:t>
            </w:r>
            <w:r>
              <w:rPr>
                <w:rFonts w:hint="eastAsia" w:ascii="宋体" w:hAnsi="宋体" w:cs="宋体"/>
                <w:color w:val="auto"/>
                <w:szCs w:val="21"/>
                <w:highlight w:val="none"/>
              </w:rPr>
              <w:t>）</w:t>
            </w:r>
            <w:r>
              <w:rPr>
                <w:rFonts w:hint="eastAsia" w:ascii="宋体" w:hAnsi="宋体"/>
                <w:color w:val="auto"/>
                <w:szCs w:val="21"/>
                <w:highlight w:val="none"/>
              </w:rPr>
              <w:t>职务。</w:t>
            </w:r>
          </w:p>
          <w:p w14:paraId="364F4053">
            <w:pPr>
              <w:adjustRightInd w:val="0"/>
              <w:snapToGrid w:val="0"/>
              <w:spacing w:line="420" w:lineRule="exact"/>
              <w:ind w:left="211" w:hanging="211" w:hangingChars="100"/>
              <w:rPr>
                <w:rFonts w:hint="eastAsia" w:ascii="宋体" w:hAnsi="宋体"/>
                <w:bCs/>
                <w:color w:val="auto"/>
                <w:szCs w:val="21"/>
                <w:highlight w:val="none"/>
              </w:rPr>
            </w:pPr>
            <w:r>
              <w:rPr>
                <w:rFonts w:hint="eastAsia" w:ascii="宋体" w:hAnsi="宋体"/>
                <w:b/>
                <w:color w:val="auto"/>
                <w:szCs w:val="21"/>
                <w:highlight w:val="none"/>
              </w:rPr>
              <w:t>□</w:t>
            </w:r>
            <w:r>
              <w:rPr>
                <w:rFonts w:hint="eastAsia" w:ascii="宋体" w:hAnsi="宋体"/>
                <w:bCs/>
                <w:color w:val="auto"/>
                <w:szCs w:val="21"/>
                <w:highlight w:val="none"/>
              </w:rPr>
              <w:t xml:space="preserve"> </w:t>
            </w:r>
            <w:r>
              <w:rPr>
                <w:rFonts w:hint="eastAsia" w:ascii="宋体" w:hAnsi="宋体"/>
                <w:bCs/>
                <w:color w:val="auto"/>
                <w:szCs w:val="21"/>
                <w:highlight w:val="none"/>
                <w:lang w:val="en-US" w:eastAsia="zh-CN"/>
              </w:rPr>
              <w:t>至少</w:t>
            </w:r>
            <w:r>
              <w:rPr>
                <w:rFonts w:hint="eastAsia" w:ascii="宋体" w:hAnsi="宋体"/>
                <w:bCs/>
                <w:color w:val="auto"/>
                <w:szCs w:val="21"/>
                <w:highlight w:val="none"/>
              </w:rPr>
              <w:t>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个国内房建工程</w:t>
            </w:r>
            <w:r>
              <w:rPr>
                <w:rFonts w:hint="eastAsia" w:ascii="宋体" w:hAnsi="宋体"/>
                <w:bCs/>
                <w:color w:val="auto"/>
                <w:szCs w:val="21"/>
                <w:highlight w:val="none"/>
                <w:lang w:val="en-US" w:eastAsia="zh-CN"/>
              </w:rPr>
              <w:t>施工</w:t>
            </w:r>
            <w:r>
              <w:rPr>
                <w:rFonts w:hint="eastAsia" w:ascii="宋体" w:hAnsi="宋体"/>
                <w:bCs/>
                <w:color w:val="auto"/>
                <w:szCs w:val="21"/>
                <w:highlight w:val="none"/>
              </w:rPr>
              <w:t>项目中担任过（□项目总</w:t>
            </w:r>
          </w:p>
          <w:p w14:paraId="061B8E95">
            <w:pPr>
              <w:adjustRightInd w:val="0"/>
              <w:snapToGrid w:val="0"/>
              <w:spacing w:line="420" w:lineRule="exact"/>
              <w:ind w:left="211" w:hanging="210" w:hangingChars="100"/>
              <w:rPr>
                <w:rFonts w:hint="eastAsia" w:ascii="宋体" w:hAnsi="宋体"/>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工；□或项目副总工）</w:t>
            </w:r>
            <w:r>
              <w:rPr>
                <w:rFonts w:hint="eastAsia" w:ascii="宋体" w:hAnsi="宋体" w:cs="宋体"/>
                <w:color w:val="auto"/>
                <w:kern w:val="0"/>
                <w:sz w:val="24"/>
                <w:highlight w:val="none"/>
              </w:rPr>
              <w:t xml:space="preserve"> </w:t>
            </w:r>
            <w:r>
              <w:rPr>
                <w:rFonts w:hint="eastAsia" w:ascii="宋体" w:hAnsi="宋体"/>
                <w:bCs/>
                <w:color w:val="auto"/>
                <w:szCs w:val="21"/>
                <w:highlight w:val="none"/>
              </w:rPr>
              <w:t>职务</w:t>
            </w:r>
            <w:r>
              <w:rPr>
                <w:rFonts w:hint="eastAsia" w:ascii="宋体" w:hAnsi="宋体"/>
                <w:bCs/>
                <w:color w:val="auto"/>
                <w:szCs w:val="21"/>
                <w:highlight w:val="none"/>
                <w:lang w:eastAsia="zh-CN"/>
              </w:rPr>
              <w:t>。</w:t>
            </w:r>
          </w:p>
          <w:p w14:paraId="133F16F2">
            <w:pPr>
              <w:spacing w:line="42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其他</w:t>
            </w:r>
            <w:r>
              <w:rPr>
                <w:rStyle w:val="59"/>
                <w:rFonts w:ascii="宋体" w:hAnsi="宋体" w:cs="宋体"/>
                <w:color w:val="auto"/>
                <w:szCs w:val="21"/>
                <w:highlight w:val="none"/>
              </w:rPr>
              <w:footnoteReference w:id="258"/>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F79D2A0">
            <w:pPr>
              <w:spacing w:line="420" w:lineRule="exac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 xml:space="preserve"> 联合体应满足下列要求：</w:t>
            </w:r>
            <w:r>
              <w:rPr>
                <w:rFonts w:ascii="宋体" w:hAnsi="宋体"/>
                <w:color w:val="auto"/>
                <w:szCs w:val="21"/>
                <w:highlight w:val="none"/>
                <w:u w:val="single"/>
              </w:rPr>
              <w:t xml:space="preserve">        </w:t>
            </w:r>
            <w:r>
              <w:rPr>
                <w:rFonts w:ascii="宋体" w:hAnsi="宋体"/>
                <w:color w:val="auto"/>
                <w:szCs w:val="21"/>
                <w:highlight w:val="none"/>
              </w:rPr>
              <w:t xml:space="preserve">         </w:t>
            </w:r>
          </w:p>
        </w:tc>
        <w:tc>
          <w:tcPr>
            <w:tcW w:w="1273" w:type="dxa"/>
            <w:vAlign w:val="center"/>
          </w:tcPr>
          <w:p w14:paraId="25991054">
            <w:pPr>
              <w:spacing w:line="400" w:lineRule="exact"/>
              <w:jc w:val="center"/>
              <w:rPr>
                <w:rFonts w:ascii="宋体" w:hAnsi="宋体"/>
                <w:color w:val="auto"/>
                <w:szCs w:val="21"/>
                <w:highlight w:val="none"/>
              </w:rPr>
            </w:pPr>
            <w:r>
              <w:rPr>
                <w:rFonts w:hint="eastAsia" w:ascii="宋体" w:hAnsi="宋体"/>
                <w:color w:val="auto"/>
                <w:szCs w:val="21"/>
                <w:highlight w:val="none"/>
              </w:rPr>
              <w:t>无在岗项目（指目前未在其他项目上任职，或虽在其他项目上任职但本项目中标后能够从该项目撤离）</w:t>
            </w:r>
          </w:p>
        </w:tc>
      </w:tr>
      <w:tr w14:paraId="1828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9" w:type="dxa"/>
            <w:vAlign w:val="center"/>
          </w:tcPr>
          <w:p w14:paraId="5ADD5263">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769" w:type="dxa"/>
            <w:vAlign w:val="center"/>
          </w:tcPr>
          <w:p w14:paraId="1F767327">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5800" w:type="dxa"/>
            <w:vAlign w:val="center"/>
          </w:tcPr>
          <w:p w14:paraId="1F833CF7">
            <w:pPr>
              <w:spacing w:line="400" w:lineRule="exact"/>
              <w:rPr>
                <w:rFonts w:ascii="宋体" w:hAnsi="宋体"/>
                <w:color w:val="auto"/>
                <w:szCs w:val="21"/>
                <w:highlight w:val="none"/>
              </w:rPr>
            </w:pPr>
            <w:r>
              <w:rPr>
                <w:rFonts w:hint="eastAsia" w:ascii="宋体" w:hAnsi="宋体"/>
                <w:color w:val="auto"/>
                <w:szCs w:val="21"/>
                <w:highlight w:val="none"/>
              </w:rPr>
              <w:t>……</w:t>
            </w:r>
          </w:p>
        </w:tc>
        <w:tc>
          <w:tcPr>
            <w:tcW w:w="1273" w:type="dxa"/>
            <w:vAlign w:val="center"/>
          </w:tcPr>
          <w:p w14:paraId="51E77496">
            <w:pPr>
              <w:spacing w:line="400" w:lineRule="exact"/>
              <w:jc w:val="center"/>
              <w:rPr>
                <w:rFonts w:ascii="宋体" w:hAnsi="宋体"/>
                <w:color w:val="auto"/>
                <w:szCs w:val="21"/>
                <w:highlight w:val="none"/>
              </w:rPr>
            </w:pPr>
            <w:r>
              <w:rPr>
                <w:rFonts w:hint="eastAsia" w:ascii="宋体" w:hAnsi="宋体"/>
                <w:color w:val="auto"/>
                <w:szCs w:val="21"/>
                <w:highlight w:val="none"/>
              </w:rPr>
              <w:t>……</w:t>
            </w:r>
          </w:p>
        </w:tc>
      </w:tr>
    </w:tbl>
    <w:p w14:paraId="3A1EA2A7">
      <w:pPr>
        <w:pStyle w:val="299"/>
        <w:adjustRightInd w:val="0"/>
        <w:snapToGrid w:val="0"/>
        <w:spacing w:line="480" w:lineRule="exact"/>
        <w:jc w:val="center"/>
        <w:rPr>
          <w:rFonts w:hint="eastAsia" w:ascii="黑体" w:hAnsi="黑体" w:eastAsia="黑体"/>
          <w:bCs/>
          <w:color w:val="auto"/>
          <w:sz w:val="24"/>
          <w:highlight w:val="none"/>
        </w:rPr>
      </w:pPr>
    </w:p>
    <w:p w14:paraId="2F0AEE14">
      <w:pPr>
        <w:pStyle w:val="299"/>
        <w:adjustRightInd w:val="0"/>
        <w:snapToGrid w:val="0"/>
        <w:spacing w:line="480" w:lineRule="exact"/>
        <w:jc w:val="center"/>
        <w:rPr>
          <w:rFonts w:hint="eastAsia" w:ascii="黑体" w:hAnsi="黑体" w:eastAsia="黑体"/>
          <w:bCs/>
          <w:color w:val="auto"/>
          <w:sz w:val="24"/>
          <w:highlight w:val="none"/>
        </w:rPr>
      </w:pPr>
    </w:p>
    <w:p w14:paraId="1DF1ADB0">
      <w:pPr>
        <w:pStyle w:val="299"/>
        <w:adjustRightInd w:val="0"/>
        <w:snapToGrid w:val="0"/>
        <w:spacing w:line="480" w:lineRule="exact"/>
        <w:jc w:val="center"/>
        <w:rPr>
          <w:rFonts w:ascii="黑体" w:hAnsi="黑体" w:eastAsia="黑体"/>
          <w:bCs/>
          <w:color w:val="auto"/>
          <w:sz w:val="24"/>
          <w:highlight w:val="none"/>
        </w:rPr>
      </w:pPr>
    </w:p>
    <w:p w14:paraId="4AD73EF5">
      <w:pPr>
        <w:pStyle w:val="299"/>
        <w:adjustRightInd w:val="0"/>
        <w:snapToGrid w:val="0"/>
        <w:spacing w:line="480" w:lineRule="exact"/>
        <w:jc w:val="center"/>
        <w:rPr>
          <w:rFonts w:ascii="黑体" w:hAnsi="黑体" w:eastAsia="黑体"/>
          <w:bCs/>
          <w:color w:val="auto"/>
          <w:sz w:val="24"/>
          <w:highlight w:val="none"/>
        </w:rPr>
      </w:pPr>
    </w:p>
    <w:p w14:paraId="18601CC4">
      <w:pPr>
        <w:spacing w:line="480" w:lineRule="exact"/>
        <w:rPr>
          <w:rFonts w:ascii="宋体" w:hAnsi="宋体"/>
          <w:color w:val="auto"/>
          <w:sz w:val="24"/>
          <w:highlight w:val="none"/>
        </w:rPr>
      </w:pPr>
    </w:p>
    <w:p w14:paraId="0D451B84">
      <w:pPr>
        <w:spacing w:line="480" w:lineRule="exact"/>
        <w:rPr>
          <w:rFonts w:ascii="宋体" w:hAnsi="宋体"/>
          <w:color w:val="auto"/>
          <w:sz w:val="24"/>
          <w:highlight w:val="none"/>
        </w:rPr>
      </w:pPr>
    </w:p>
    <w:p w14:paraId="3790558F">
      <w:pPr>
        <w:pStyle w:val="22"/>
        <w:spacing w:line="360" w:lineRule="auto"/>
        <w:outlineLvl w:val="2"/>
        <w:rPr>
          <w:rStyle w:val="152"/>
          <w:rFonts w:hint="eastAsia" w:ascii="Times New Roman" w:hAnsi="Times New Roman"/>
          <w:b w:val="0"/>
          <w:bCs w:val="0"/>
          <w:color w:val="auto"/>
          <w:highlight w:val="none"/>
        </w:rPr>
      </w:pPr>
      <w:r>
        <w:rPr>
          <w:color w:val="auto"/>
          <w:highlight w:val="none"/>
        </w:rPr>
        <w:br w:type="page"/>
      </w:r>
      <w:r>
        <w:rPr>
          <w:rStyle w:val="152"/>
          <w:rFonts w:ascii="Times New Roman" w:hAnsi="Times New Roman"/>
          <w:b w:val="0"/>
          <w:bCs w:val="0"/>
          <w:color w:val="auto"/>
          <w:highlight w:val="none"/>
        </w:rPr>
        <w:t>附件五</w:t>
      </w:r>
      <w:r>
        <w:rPr>
          <w:rStyle w:val="152"/>
          <w:rFonts w:hint="eastAsia" w:ascii="Times New Roman" w:hAnsi="Times New Roman"/>
          <w:b w:val="0"/>
          <w:bCs w:val="0"/>
          <w:color w:val="auto"/>
          <w:highlight w:val="none"/>
        </w:rPr>
        <w:t xml:space="preserve"> </w:t>
      </w:r>
      <w:r>
        <w:rPr>
          <w:rStyle w:val="152"/>
          <w:rFonts w:ascii="Times New Roman" w:hAnsi="Times New Roman"/>
          <w:b w:val="0"/>
          <w:bCs w:val="0"/>
          <w:color w:val="auto"/>
          <w:highlight w:val="none"/>
        </w:rPr>
        <w:t>其他管理和技术人员最低要求</w:t>
      </w:r>
      <w:r>
        <w:rPr>
          <w:rStyle w:val="152"/>
          <w:rFonts w:hint="eastAsia" w:ascii="Times New Roman" w:hAnsi="Times New Roman"/>
          <w:b w:val="0"/>
          <w:bCs w:val="0"/>
          <w:color w:val="auto"/>
          <w:highlight w:val="none"/>
          <w:vertAlign w:val="superscript"/>
        </w:rPr>
        <w:footnoteReference w:id="259"/>
      </w:r>
    </w:p>
    <w:p w14:paraId="566FB77F">
      <w:pPr>
        <w:pStyle w:val="22"/>
        <w:spacing w:before="4" w:after="1"/>
        <w:rPr>
          <w:b/>
          <w:color w:val="auto"/>
          <w:sz w:val="13"/>
          <w:highlight w:val="none"/>
        </w:rPr>
      </w:pPr>
    </w:p>
    <w:tbl>
      <w:tblPr>
        <w:tblStyle w:val="49"/>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3"/>
        <w:gridCol w:w="1877"/>
        <w:gridCol w:w="1098"/>
        <w:gridCol w:w="4913"/>
      </w:tblGrid>
      <w:tr w14:paraId="0BAD5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exact"/>
        </w:trPr>
        <w:tc>
          <w:tcPr>
            <w:tcW w:w="508" w:type="pct"/>
          </w:tcPr>
          <w:p w14:paraId="1C5B7772">
            <w:pPr>
              <w:pStyle w:val="256"/>
              <w:spacing w:before="1"/>
              <w:rPr>
                <w:b/>
                <w:color w:val="auto"/>
                <w:szCs w:val="21"/>
                <w:highlight w:val="none"/>
              </w:rPr>
            </w:pPr>
          </w:p>
          <w:p w14:paraId="083EB9E5">
            <w:pPr>
              <w:pStyle w:val="256"/>
              <w:tabs>
                <w:tab w:val="left" w:pos="479"/>
              </w:tabs>
              <w:jc w:val="center"/>
              <w:rPr>
                <w:color w:val="auto"/>
                <w:szCs w:val="21"/>
                <w:highlight w:val="none"/>
              </w:rPr>
            </w:pPr>
            <w:r>
              <w:rPr>
                <w:rFonts w:hint="eastAsia"/>
                <w:color w:val="auto"/>
                <w:szCs w:val="21"/>
                <w:highlight w:val="none"/>
                <w:lang w:val="en-US" w:eastAsia="zh-CN"/>
              </w:rPr>
              <w:t>标段</w:t>
            </w:r>
          </w:p>
        </w:tc>
        <w:tc>
          <w:tcPr>
            <w:tcW w:w="1068" w:type="pct"/>
            <w:vAlign w:val="center"/>
          </w:tcPr>
          <w:p w14:paraId="018F7236">
            <w:pPr>
              <w:pStyle w:val="256"/>
              <w:tabs>
                <w:tab w:val="left" w:pos="1195"/>
              </w:tabs>
              <w:ind w:left="0"/>
              <w:jc w:val="center"/>
              <w:rPr>
                <w:rFonts w:hint="eastAsia"/>
                <w:color w:val="auto"/>
                <w:szCs w:val="21"/>
                <w:highlight w:val="none"/>
              </w:rPr>
            </w:pPr>
            <w:r>
              <w:rPr>
                <w:rFonts w:hint="eastAsia"/>
                <w:color w:val="auto"/>
                <w:szCs w:val="21"/>
                <w:highlight w:val="none"/>
              </w:rPr>
              <w:t>人员</w:t>
            </w:r>
          </w:p>
        </w:tc>
        <w:tc>
          <w:tcPr>
            <w:tcW w:w="625" w:type="pct"/>
          </w:tcPr>
          <w:p w14:paraId="18FD18B8">
            <w:pPr>
              <w:pStyle w:val="256"/>
              <w:spacing w:before="1"/>
              <w:rPr>
                <w:b/>
                <w:color w:val="auto"/>
                <w:szCs w:val="21"/>
                <w:highlight w:val="none"/>
              </w:rPr>
            </w:pPr>
          </w:p>
          <w:p w14:paraId="76543114">
            <w:pPr>
              <w:pStyle w:val="256"/>
              <w:tabs>
                <w:tab w:val="left" w:pos="1195"/>
              </w:tabs>
              <w:ind w:left="0"/>
              <w:jc w:val="center"/>
              <w:rPr>
                <w:color w:val="auto"/>
                <w:szCs w:val="21"/>
                <w:highlight w:val="none"/>
              </w:rPr>
            </w:pPr>
            <w:r>
              <w:rPr>
                <w:rFonts w:hint="eastAsia"/>
                <w:color w:val="auto"/>
                <w:szCs w:val="21"/>
                <w:highlight w:val="none"/>
              </w:rPr>
              <w:t>数量</w:t>
            </w:r>
          </w:p>
        </w:tc>
        <w:tc>
          <w:tcPr>
            <w:tcW w:w="2796" w:type="pct"/>
          </w:tcPr>
          <w:p w14:paraId="63DC0EDF">
            <w:pPr>
              <w:pStyle w:val="256"/>
              <w:spacing w:before="1"/>
              <w:rPr>
                <w:b/>
                <w:color w:val="auto"/>
                <w:szCs w:val="21"/>
                <w:highlight w:val="none"/>
              </w:rPr>
            </w:pPr>
          </w:p>
          <w:p w14:paraId="497A0188">
            <w:pPr>
              <w:pStyle w:val="256"/>
              <w:ind w:left="1456" w:right="1456"/>
              <w:jc w:val="center"/>
              <w:rPr>
                <w:color w:val="auto"/>
                <w:szCs w:val="21"/>
                <w:highlight w:val="none"/>
              </w:rPr>
            </w:pPr>
            <w:r>
              <w:rPr>
                <w:rFonts w:hint="eastAsia"/>
                <w:color w:val="auto"/>
                <w:szCs w:val="21"/>
                <w:highlight w:val="none"/>
              </w:rPr>
              <w:t>资</w:t>
            </w:r>
            <w:r>
              <w:rPr>
                <w:color w:val="auto"/>
                <w:szCs w:val="21"/>
                <w:highlight w:val="none"/>
              </w:rPr>
              <w:t xml:space="preserve"> </w:t>
            </w:r>
            <w:r>
              <w:rPr>
                <w:rFonts w:hint="eastAsia"/>
                <w:color w:val="auto"/>
                <w:szCs w:val="21"/>
                <w:highlight w:val="none"/>
              </w:rPr>
              <w:t>格</w:t>
            </w:r>
            <w:r>
              <w:rPr>
                <w:color w:val="auto"/>
                <w:szCs w:val="21"/>
                <w:highlight w:val="none"/>
              </w:rPr>
              <w:t xml:space="preserve"> </w:t>
            </w:r>
            <w:r>
              <w:rPr>
                <w:rFonts w:hint="eastAsia"/>
                <w:color w:val="auto"/>
                <w:szCs w:val="21"/>
                <w:highlight w:val="none"/>
              </w:rPr>
              <w:t>要</w:t>
            </w:r>
            <w:r>
              <w:rPr>
                <w:color w:val="auto"/>
                <w:szCs w:val="21"/>
                <w:highlight w:val="none"/>
              </w:rPr>
              <w:t xml:space="preserve"> </w:t>
            </w:r>
            <w:r>
              <w:rPr>
                <w:rFonts w:hint="eastAsia"/>
                <w:color w:val="auto"/>
                <w:szCs w:val="21"/>
                <w:highlight w:val="none"/>
              </w:rPr>
              <w:t>求</w:t>
            </w:r>
          </w:p>
        </w:tc>
      </w:tr>
      <w:tr w14:paraId="64781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restart"/>
          </w:tcPr>
          <w:p w14:paraId="6580163D">
            <w:pPr>
              <w:rPr>
                <w:rFonts w:ascii="宋体" w:hAnsi="宋体"/>
                <w:color w:val="auto"/>
                <w:szCs w:val="21"/>
                <w:highlight w:val="none"/>
              </w:rPr>
            </w:pPr>
          </w:p>
        </w:tc>
        <w:tc>
          <w:tcPr>
            <w:tcW w:w="1068" w:type="pct"/>
          </w:tcPr>
          <w:p w14:paraId="43075002">
            <w:pPr>
              <w:rPr>
                <w:rFonts w:ascii="宋体" w:hAnsi="宋体"/>
                <w:color w:val="auto"/>
                <w:szCs w:val="21"/>
                <w:highlight w:val="none"/>
              </w:rPr>
            </w:pPr>
          </w:p>
        </w:tc>
        <w:tc>
          <w:tcPr>
            <w:tcW w:w="625" w:type="pct"/>
          </w:tcPr>
          <w:p w14:paraId="28EA4EB9">
            <w:pPr>
              <w:rPr>
                <w:rFonts w:ascii="宋体" w:hAnsi="宋体"/>
                <w:color w:val="auto"/>
                <w:szCs w:val="21"/>
                <w:highlight w:val="none"/>
              </w:rPr>
            </w:pPr>
          </w:p>
        </w:tc>
        <w:tc>
          <w:tcPr>
            <w:tcW w:w="2796" w:type="pct"/>
          </w:tcPr>
          <w:p w14:paraId="71A3416D">
            <w:pPr>
              <w:rPr>
                <w:rFonts w:ascii="宋体" w:hAnsi="宋体"/>
                <w:color w:val="auto"/>
                <w:szCs w:val="21"/>
                <w:highlight w:val="none"/>
              </w:rPr>
            </w:pPr>
          </w:p>
        </w:tc>
      </w:tr>
      <w:tr w14:paraId="371B8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14:paraId="28DDF84B">
            <w:pPr>
              <w:rPr>
                <w:rFonts w:ascii="宋体" w:hAnsi="宋体"/>
                <w:color w:val="auto"/>
                <w:szCs w:val="21"/>
                <w:highlight w:val="none"/>
              </w:rPr>
            </w:pPr>
          </w:p>
        </w:tc>
        <w:tc>
          <w:tcPr>
            <w:tcW w:w="1068" w:type="pct"/>
          </w:tcPr>
          <w:p w14:paraId="05779F19">
            <w:pPr>
              <w:rPr>
                <w:rFonts w:ascii="宋体" w:hAnsi="宋体"/>
                <w:color w:val="auto"/>
                <w:szCs w:val="21"/>
                <w:highlight w:val="none"/>
              </w:rPr>
            </w:pPr>
          </w:p>
        </w:tc>
        <w:tc>
          <w:tcPr>
            <w:tcW w:w="625" w:type="pct"/>
          </w:tcPr>
          <w:p w14:paraId="63389AAA">
            <w:pPr>
              <w:rPr>
                <w:rFonts w:ascii="宋体" w:hAnsi="宋体"/>
                <w:color w:val="auto"/>
                <w:szCs w:val="21"/>
                <w:highlight w:val="none"/>
              </w:rPr>
            </w:pPr>
          </w:p>
        </w:tc>
        <w:tc>
          <w:tcPr>
            <w:tcW w:w="2796" w:type="pct"/>
          </w:tcPr>
          <w:p w14:paraId="5EE50EC3">
            <w:pPr>
              <w:rPr>
                <w:rFonts w:ascii="宋体" w:hAnsi="宋体"/>
                <w:color w:val="auto"/>
                <w:szCs w:val="21"/>
                <w:highlight w:val="none"/>
              </w:rPr>
            </w:pPr>
          </w:p>
        </w:tc>
      </w:tr>
      <w:tr w14:paraId="11058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08" w:type="pct"/>
            <w:vMerge w:val="continue"/>
          </w:tcPr>
          <w:p w14:paraId="09EABEF8">
            <w:pPr>
              <w:rPr>
                <w:rFonts w:ascii="宋体" w:hAnsi="宋体"/>
                <w:color w:val="auto"/>
                <w:szCs w:val="21"/>
                <w:highlight w:val="none"/>
              </w:rPr>
            </w:pPr>
          </w:p>
        </w:tc>
        <w:tc>
          <w:tcPr>
            <w:tcW w:w="1068" w:type="pct"/>
          </w:tcPr>
          <w:p w14:paraId="5A4BAA9C">
            <w:pPr>
              <w:rPr>
                <w:rFonts w:ascii="宋体" w:hAnsi="宋体"/>
                <w:color w:val="auto"/>
                <w:szCs w:val="21"/>
                <w:highlight w:val="none"/>
              </w:rPr>
            </w:pPr>
          </w:p>
        </w:tc>
        <w:tc>
          <w:tcPr>
            <w:tcW w:w="625" w:type="pct"/>
          </w:tcPr>
          <w:p w14:paraId="3982B152">
            <w:pPr>
              <w:rPr>
                <w:rFonts w:ascii="宋体" w:hAnsi="宋体"/>
                <w:color w:val="auto"/>
                <w:szCs w:val="21"/>
                <w:highlight w:val="none"/>
              </w:rPr>
            </w:pPr>
          </w:p>
        </w:tc>
        <w:tc>
          <w:tcPr>
            <w:tcW w:w="2796" w:type="pct"/>
          </w:tcPr>
          <w:p w14:paraId="39E3287D">
            <w:pPr>
              <w:rPr>
                <w:rFonts w:ascii="宋体" w:hAnsi="宋体"/>
                <w:color w:val="auto"/>
                <w:szCs w:val="21"/>
                <w:highlight w:val="none"/>
              </w:rPr>
            </w:pPr>
          </w:p>
        </w:tc>
      </w:tr>
      <w:tr w14:paraId="328DF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14:paraId="4D9F4DD3">
            <w:pPr>
              <w:rPr>
                <w:rFonts w:ascii="宋体" w:hAnsi="宋体"/>
                <w:color w:val="auto"/>
                <w:szCs w:val="21"/>
                <w:highlight w:val="none"/>
              </w:rPr>
            </w:pPr>
          </w:p>
        </w:tc>
        <w:tc>
          <w:tcPr>
            <w:tcW w:w="1068" w:type="pct"/>
          </w:tcPr>
          <w:p w14:paraId="1466D847">
            <w:pPr>
              <w:rPr>
                <w:rFonts w:ascii="宋体" w:hAnsi="宋体"/>
                <w:color w:val="auto"/>
                <w:szCs w:val="21"/>
                <w:highlight w:val="none"/>
              </w:rPr>
            </w:pPr>
          </w:p>
        </w:tc>
        <w:tc>
          <w:tcPr>
            <w:tcW w:w="625" w:type="pct"/>
          </w:tcPr>
          <w:p w14:paraId="6E2AEDAF">
            <w:pPr>
              <w:rPr>
                <w:rFonts w:ascii="宋体" w:hAnsi="宋体"/>
                <w:color w:val="auto"/>
                <w:szCs w:val="21"/>
                <w:highlight w:val="none"/>
              </w:rPr>
            </w:pPr>
          </w:p>
        </w:tc>
        <w:tc>
          <w:tcPr>
            <w:tcW w:w="2796" w:type="pct"/>
          </w:tcPr>
          <w:p w14:paraId="1502D0C1">
            <w:pPr>
              <w:rPr>
                <w:rFonts w:ascii="宋体" w:hAnsi="宋体"/>
                <w:color w:val="auto"/>
                <w:szCs w:val="21"/>
                <w:highlight w:val="none"/>
              </w:rPr>
            </w:pPr>
          </w:p>
        </w:tc>
      </w:tr>
      <w:tr w14:paraId="5E259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508" w:type="pct"/>
            <w:vMerge w:val="continue"/>
          </w:tcPr>
          <w:p w14:paraId="72F579FD">
            <w:pPr>
              <w:rPr>
                <w:rFonts w:ascii="宋体" w:hAnsi="宋体"/>
                <w:color w:val="auto"/>
                <w:szCs w:val="21"/>
                <w:highlight w:val="none"/>
              </w:rPr>
            </w:pPr>
          </w:p>
        </w:tc>
        <w:tc>
          <w:tcPr>
            <w:tcW w:w="1068" w:type="pct"/>
          </w:tcPr>
          <w:p w14:paraId="6B0367BD">
            <w:pPr>
              <w:rPr>
                <w:rFonts w:ascii="宋体" w:hAnsi="宋体"/>
                <w:color w:val="auto"/>
                <w:szCs w:val="21"/>
                <w:highlight w:val="none"/>
              </w:rPr>
            </w:pPr>
          </w:p>
        </w:tc>
        <w:tc>
          <w:tcPr>
            <w:tcW w:w="625" w:type="pct"/>
          </w:tcPr>
          <w:p w14:paraId="797105FF">
            <w:pPr>
              <w:rPr>
                <w:rFonts w:ascii="宋体" w:hAnsi="宋体"/>
                <w:color w:val="auto"/>
                <w:szCs w:val="21"/>
                <w:highlight w:val="none"/>
              </w:rPr>
            </w:pPr>
          </w:p>
        </w:tc>
        <w:tc>
          <w:tcPr>
            <w:tcW w:w="2796" w:type="pct"/>
          </w:tcPr>
          <w:p w14:paraId="6C97755A">
            <w:pPr>
              <w:rPr>
                <w:rFonts w:ascii="宋体" w:hAnsi="宋体"/>
                <w:color w:val="auto"/>
                <w:szCs w:val="21"/>
                <w:highlight w:val="none"/>
              </w:rPr>
            </w:pPr>
          </w:p>
        </w:tc>
      </w:tr>
      <w:tr w14:paraId="66656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08" w:type="pct"/>
            <w:vMerge w:val="continue"/>
          </w:tcPr>
          <w:p w14:paraId="4EEACE58">
            <w:pPr>
              <w:rPr>
                <w:rFonts w:ascii="宋体" w:hAnsi="宋体"/>
                <w:color w:val="auto"/>
                <w:szCs w:val="21"/>
                <w:highlight w:val="none"/>
              </w:rPr>
            </w:pPr>
          </w:p>
        </w:tc>
        <w:tc>
          <w:tcPr>
            <w:tcW w:w="1068" w:type="pct"/>
          </w:tcPr>
          <w:p w14:paraId="1010A537">
            <w:pPr>
              <w:rPr>
                <w:rFonts w:ascii="宋体" w:hAnsi="宋体"/>
                <w:color w:val="auto"/>
                <w:szCs w:val="21"/>
                <w:highlight w:val="none"/>
              </w:rPr>
            </w:pPr>
          </w:p>
        </w:tc>
        <w:tc>
          <w:tcPr>
            <w:tcW w:w="625" w:type="pct"/>
          </w:tcPr>
          <w:p w14:paraId="70DA261E">
            <w:pPr>
              <w:rPr>
                <w:rFonts w:ascii="宋体" w:hAnsi="宋体"/>
                <w:color w:val="auto"/>
                <w:szCs w:val="21"/>
                <w:highlight w:val="none"/>
              </w:rPr>
            </w:pPr>
          </w:p>
        </w:tc>
        <w:tc>
          <w:tcPr>
            <w:tcW w:w="2796" w:type="pct"/>
          </w:tcPr>
          <w:p w14:paraId="48845F38">
            <w:pPr>
              <w:rPr>
                <w:rFonts w:ascii="宋体" w:hAnsi="宋体"/>
                <w:color w:val="auto"/>
                <w:szCs w:val="21"/>
                <w:highlight w:val="none"/>
              </w:rPr>
            </w:pPr>
          </w:p>
        </w:tc>
      </w:tr>
      <w:tr w14:paraId="7E152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restart"/>
          </w:tcPr>
          <w:p w14:paraId="416A507A">
            <w:pPr>
              <w:rPr>
                <w:rFonts w:ascii="宋体" w:hAnsi="宋体"/>
                <w:color w:val="auto"/>
                <w:szCs w:val="21"/>
                <w:highlight w:val="none"/>
              </w:rPr>
            </w:pPr>
          </w:p>
        </w:tc>
        <w:tc>
          <w:tcPr>
            <w:tcW w:w="1068" w:type="pct"/>
          </w:tcPr>
          <w:p w14:paraId="74BE355E">
            <w:pPr>
              <w:rPr>
                <w:rFonts w:ascii="宋体" w:hAnsi="宋体"/>
                <w:color w:val="auto"/>
                <w:szCs w:val="21"/>
                <w:highlight w:val="none"/>
              </w:rPr>
            </w:pPr>
          </w:p>
        </w:tc>
        <w:tc>
          <w:tcPr>
            <w:tcW w:w="625" w:type="pct"/>
          </w:tcPr>
          <w:p w14:paraId="0900DEB4">
            <w:pPr>
              <w:rPr>
                <w:rFonts w:ascii="宋体" w:hAnsi="宋体"/>
                <w:color w:val="auto"/>
                <w:szCs w:val="21"/>
                <w:highlight w:val="none"/>
              </w:rPr>
            </w:pPr>
          </w:p>
        </w:tc>
        <w:tc>
          <w:tcPr>
            <w:tcW w:w="2796" w:type="pct"/>
          </w:tcPr>
          <w:p w14:paraId="0D4B0A87">
            <w:pPr>
              <w:rPr>
                <w:rFonts w:ascii="宋体" w:hAnsi="宋体"/>
                <w:color w:val="auto"/>
                <w:szCs w:val="21"/>
                <w:highlight w:val="none"/>
              </w:rPr>
            </w:pPr>
          </w:p>
        </w:tc>
      </w:tr>
      <w:tr w14:paraId="1C065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14:paraId="08EB3966">
            <w:pPr>
              <w:rPr>
                <w:rFonts w:ascii="宋体" w:hAnsi="宋体"/>
                <w:color w:val="auto"/>
                <w:szCs w:val="21"/>
                <w:highlight w:val="none"/>
              </w:rPr>
            </w:pPr>
          </w:p>
        </w:tc>
        <w:tc>
          <w:tcPr>
            <w:tcW w:w="1068" w:type="pct"/>
          </w:tcPr>
          <w:p w14:paraId="3C257474">
            <w:pPr>
              <w:rPr>
                <w:rFonts w:ascii="宋体" w:hAnsi="宋体"/>
                <w:color w:val="auto"/>
                <w:szCs w:val="21"/>
                <w:highlight w:val="none"/>
              </w:rPr>
            </w:pPr>
          </w:p>
        </w:tc>
        <w:tc>
          <w:tcPr>
            <w:tcW w:w="625" w:type="pct"/>
          </w:tcPr>
          <w:p w14:paraId="0A0F0F19">
            <w:pPr>
              <w:rPr>
                <w:rFonts w:ascii="宋体" w:hAnsi="宋体"/>
                <w:color w:val="auto"/>
                <w:szCs w:val="21"/>
                <w:highlight w:val="none"/>
              </w:rPr>
            </w:pPr>
          </w:p>
        </w:tc>
        <w:tc>
          <w:tcPr>
            <w:tcW w:w="2796" w:type="pct"/>
          </w:tcPr>
          <w:p w14:paraId="48D94E6F">
            <w:pPr>
              <w:rPr>
                <w:rFonts w:ascii="宋体" w:hAnsi="宋体"/>
                <w:color w:val="auto"/>
                <w:szCs w:val="21"/>
                <w:highlight w:val="none"/>
              </w:rPr>
            </w:pPr>
          </w:p>
        </w:tc>
      </w:tr>
      <w:tr w14:paraId="71D1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08" w:type="pct"/>
            <w:vMerge w:val="continue"/>
          </w:tcPr>
          <w:p w14:paraId="66C72FB6">
            <w:pPr>
              <w:rPr>
                <w:rFonts w:ascii="宋体" w:hAnsi="宋体"/>
                <w:color w:val="auto"/>
                <w:szCs w:val="21"/>
                <w:highlight w:val="none"/>
              </w:rPr>
            </w:pPr>
          </w:p>
        </w:tc>
        <w:tc>
          <w:tcPr>
            <w:tcW w:w="1068" w:type="pct"/>
          </w:tcPr>
          <w:p w14:paraId="6219DD15">
            <w:pPr>
              <w:rPr>
                <w:rFonts w:ascii="宋体" w:hAnsi="宋体"/>
                <w:color w:val="auto"/>
                <w:szCs w:val="21"/>
                <w:highlight w:val="none"/>
              </w:rPr>
            </w:pPr>
          </w:p>
        </w:tc>
        <w:tc>
          <w:tcPr>
            <w:tcW w:w="625" w:type="pct"/>
          </w:tcPr>
          <w:p w14:paraId="2FA72B0A">
            <w:pPr>
              <w:rPr>
                <w:rFonts w:ascii="宋体" w:hAnsi="宋体"/>
                <w:color w:val="auto"/>
                <w:szCs w:val="21"/>
                <w:highlight w:val="none"/>
              </w:rPr>
            </w:pPr>
          </w:p>
        </w:tc>
        <w:tc>
          <w:tcPr>
            <w:tcW w:w="2796" w:type="pct"/>
          </w:tcPr>
          <w:p w14:paraId="0A5A152A">
            <w:pPr>
              <w:rPr>
                <w:rFonts w:ascii="宋体" w:hAnsi="宋体"/>
                <w:color w:val="auto"/>
                <w:szCs w:val="21"/>
                <w:highlight w:val="none"/>
              </w:rPr>
            </w:pPr>
          </w:p>
        </w:tc>
      </w:tr>
      <w:tr w14:paraId="04D1C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14:paraId="597B2F9A">
            <w:pPr>
              <w:rPr>
                <w:rFonts w:ascii="宋体" w:hAnsi="宋体"/>
                <w:color w:val="auto"/>
                <w:szCs w:val="21"/>
                <w:highlight w:val="none"/>
              </w:rPr>
            </w:pPr>
          </w:p>
        </w:tc>
        <w:tc>
          <w:tcPr>
            <w:tcW w:w="1068" w:type="pct"/>
          </w:tcPr>
          <w:p w14:paraId="429B2EB8">
            <w:pPr>
              <w:rPr>
                <w:rFonts w:ascii="宋体" w:hAnsi="宋体"/>
                <w:color w:val="auto"/>
                <w:szCs w:val="21"/>
                <w:highlight w:val="none"/>
              </w:rPr>
            </w:pPr>
          </w:p>
        </w:tc>
        <w:tc>
          <w:tcPr>
            <w:tcW w:w="625" w:type="pct"/>
          </w:tcPr>
          <w:p w14:paraId="00930D6E">
            <w:pPr>
              <w:rPr>
                <w:rFonts w:ascii="宋体" w:hAnsi="宋体"/>
                <w:color w:val="auto"/>
                <w:szCs w:val="21"/>
                <w:highlight w:val="none"/>
              </w:rPr>
            </w:pPr>
          </w:p>
        </w:tc>
        <w:tc>
          <w:tcPr>
            <w:tcW w:w="2796" w:type="pct"/>
          </w:tcPr>
          <w:p w14:paraId="707F5270">
            <w:pPr>
              <w:rPr>
                <w:rFonts w:ascii="宋体" w:hAnsi="宋体"/>
                <w:color w:val="auto"/>
                <w:szCs w:val="21"/>
                <w:highlight w:val="none"/>
              </w:rPr>
            </w:pPr>
          </w:p>
        </w:tc>
      </w:tr>
      <w:tr w14:paraId="2C29F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14:paraId="0FDD68B3">
            <w:pPr>
              <w:rPr>
                <w:rFonts w:ascii="宋体" w:hAnsi="宋体"/>
                <w:color w:val="auto"/>
                <w:szCs w:val="21"/>
                <w:highlight w:val="none"/>
              </w:rPr>
            </w:pPr>
          </w:p>
        </w:tc>
        <w:tc>
          <w:tcPr>
            <w:tcW w:w="1068" w:type="pct"/>
          </w:tcPr>
          <w:p w14:paraId="161FD491">
            <w:pPr>
              <w:rPr>
                <w:rFonts w:ascii="宋体" w:hAnsi="宋体"/>
                <w:color w:val="auto"/>
                <w:szCs w:val="21"/>
                <w:highlight w:val="none"/>
              </w:rPr>
            </w:pPr>
          </w:p>
        </w:tc>
        <w:tc>
          <w:tcPr>
            <w:tcW w:w="625" w:type="pct"/>
          </w:tcPr>
          <w:p w14:paraId="1002EABE">
            <w:pPr>
              <w:rPr>
                <w:rFonts w:ascii="宋体" w:hAnsi="宋体"/>
                <w:color w:val="auto"/>
                <w:szCs w:val="21"/>
                <w:highlight w:val="none"/>
              </w:rPr>
            </w:pPr>
          </w:p>
        </w:tc>
        <w:tc>
          <w:tcPr>
            <w:tcW w:w="2796" w:type="pct"/>
          </w:tcPr>
          <w:p w14:paraId="476529F7">
            <w:pPr>
              <w:rPr>
                <w:rFonts w:ascii="宋体" w:hAnsi="宋体"/>
                <w:color w:val="auto"/>
                <w:szCs w:val="21"/>
                <w:highlight w:val="none"/>
              </w:rPr>
            </w:pPr>
          </w:p>
        </w:tc>
      </w:tr>
      <w:tr w14:paraId="71407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08" w:type="pct"/>
            <w:vMerge w:val="continue"/>
          </w:tcPr>
          <w:p w14:paraId="4E3BF0FD">
            <w:pPr>
              <w:rPr>
                <w:rFonts w:ascii="宋体" w:hAnsi="宋体"/>
                <w:color w:val="auto"/>
                <w:szCs w:val="21"/>
                <w:highlight w:val="none"/>
              </w:rPr>
            </w:pPr>
          </w:p>
        </w:tc>
        <w:tc>
          <w:tcPr>
            <w:tcW w:w="1068" w:type="pct"/>
          </w:tcPr>
          <w:p w14:paraId="3FA95954">
            <w:pPr>
              <w:rPr>
                <w:rFonts w:ascii="宋体" w:hAnsi="宋体"/>
                <w:color w:val="auto"/>
                <w:szCs w:val="21"/>
                <w:highlight w:val="none"/>
              </w:rPr>
            </w:pPr>
          </w:p>
        </w:tc>
        <w:tc>
          <w:tcPr>
            <w:tcW w:w="625" w:type="pct"/>
          </w:tcPr>
          <w:p w14:paraId="162C8ACF">
            <w:pPr>
              <w:rPr>
                <w:rFonts w:ascii="宋体" w:hAnsi="宋体"/>
                <w:color w:val="auto"/>
                <w:szCs w:val="21"/>
                <w:highlight w:val="none"/>
              </w:rPr>
            </w:pPr>
          </w:p>
        </w:tc>
        <w:tc>
          <w:tcPr>
            <w:tcW w:w="2796" w:type="pct"/>
          </w:tcPr>
          <w:p w14:paraId="5AA8DF5F">
            <w:pPr>
              <w:rPr>
                <w:rFonts w:ascii="宋体" w:hAnsi="宋体"/>
                <w:color w:val="auto"/>
                <w:szCs w:val="21"/>
                <w:highlight w:val="none"/>
              </w:rPr>
            </w:pPr>
          </w:p>
        </w:tc>
      </w:tr>
      <w:tr w14:paraId="2EB5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14:paraId="6F63EE16">
            <w:pPr>
              <w:rPr>
                <w:rFonts w:ascii="宋体" w:hAnsi="宋体"/>
                <w:color w:val="auto"/>
                <w:szCs w:val="21"/>
                <w:highlight w:val="none"/>
              </w:rPr>
            </w:pPr>
          </w:p>
        </w:tc>
        <w:tc>
          <w:tcPr>
            <w:tcW w:w="1068" w:type="pct"/>
          </w:tcPr>
          <w:p w14:paraId="7DA88E26">
            <w:pPr>
              <w:rPr>
                <w:rFonts w:ascii="宋体" w:hAnsi="宋体"/>
                <w:color w:val="auto"/>
                <w:szCs w:val="21"/>
                <w:highlight w:val="none"/>
              </w:rPr>
            </w:pPr>
          </w:p>
        </w:tc>
        <w:tc>
          <w:tcPr>
            <w:tcW w:w="625" w:type="pct"/>
          </w:tcPr>
          <w:p w14:paraId="2E194019">
            <w:pPr>
              <w:rPr>
                <w:rFonts w:ascii="宋体" w:hAnsi="宋体"/>
                <w:color w:val="auto"/>
                <w:szCs w:val="21"/>
                <w:highlight w:val="none"/>
              </w:rPr>
            </w:pPr>
          </w:p>
        </w:tc>
        <w:tc>
          <w:tcPr>
            <w:tcW w:w="2796" w:type="pct"/>
          </w:tcPr>
          <w:p w14:paraId="71C77B1E">
            <w:pPr>
              <w:rPr>
                <w:rFonts w:ascii="宋体" w:hAnsi="宋体"/>
                <w:color w:val="auto"/>
                <w:szCs w:val="21"/>
                <w:highlight w:val="none"/>
              </w:rPr>
            </w:pPr>
          </w:p>
        </w:tc>
      </w:tr>
      <w:tr w14:paraId="78B8F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exact"/>
        </w:trPr>
        <w:tc>
          <w:tcPr>
            <w:tcW w:w="508" w:type="pct"/>
            <w:vAlign w:val="center"/>
          </w:tcPr>
          <w:p w14:paraId="3B41D956">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w:t>
            </w:r>
          </w:p>
        </w:tc>
        <w:tc>
          <w:tcPr>
            <w:tcW w:w="1068" w:type="pct"/>
            <w:vAlign w:val="center"/>
          </w:tcPr>
          <w:p w14:paraId="626FFAAE">
            <w:pPr>
              <w:jc w:val="center"/>
              <w:rPr>
                <w:rFonts w:hint="eastAsia" w:ascii="宋体" w:hAnsi="宋体"/>
                <w:color w:val="auto"/>
                <w:szCs w:val="21"/>
                <w:highlight w:val="none"/>
              </w:rPr>
            </w:pPr>
            <w:r>
              <w:rPr>
                <w:rFonts w:hint="eastAsia" w:ascii="宋体" w:hAnsi="宋体"/>
                <w:color w:val="auto"/>
                <w:szCs w:val="21"/>
                <w:highlight w:val="none"/>
              </w:rPr>
              <w:t>……</w:t>
            </w:r>
          </w:p>
        </w:tc>
        <w:tc>
          <w:tcPr>
            <w:tcW w:w="625" w:type="pct"/>
            <w:vAlign w:val="center"/>
          </w:tcPr>
          <w:p w14:paraId="6458C132">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w:t>
            </w:r>
          </w:p>
        </w:tc>
        <w:tc>
          <w:tcPr>
            <w:tcW w:w="2796" w:type="pct"/>
            <w:vAlign w:val="center"/>
          </w:tcPr>
          <w:p w14:paraId="55445F00">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w:t>
            </w:r>
          </w:p>
        </w:tc>
      </w:tr>
    </w:tbl>
    <w:p w14:paraId="795D37E0">
      <w:pPr>
        <w:pStyle w:val="22"/>
        <w:rPr>
          <w:b/>
          <w:color w:val="auto"/>
          <w:sz w:val="20"/>
          <w:highlight w:val="none"/>
        </w:rPr>
      </w:pPr>
    </w:p>
    <w:p w14:paraId="5098653A">
      <w:pPr>
        <w:pStyle w:val="22"/>
        <w:rPr>
          <w:b/>
          <w:color w:val="auto"/>
          <w:sz w:val="20"/>
          <w:highlight w:val="none"/>
        </w:rPr>
      </w:pPr>
    </w:p>
    <w:p w14:paraId="3C79BDCB">
      <w:pPr>
        <w:pStyle w:val="22"/>
        <w:spacing w:before="188" w:line="360" w:lineRule="auto"/>
        <w:ind w:right="-6605"/>
        <w:rPr>
          <w:rFonts w:ascii="黑体" w:hAnsi="黑体" w:eastAsia="黑体"/>
          <w:color w:val="auto"/>
          <w:highlight w:val="none"/>
        </w:rPr>
      </w:pPr>
      <w:r>
        <w:rPr>
          <w:rFonts w:ascii="黑体" w:hAnsi="黑体" w:eastAsia="黑体"/>
          <w:color w:val="auto"/>
          <w:highlight w:val="none"/>
        </w:rPr>
        <w:br w:type="page"/>
      </w:r>
    </w:p>
    <w:p w14:paraId="41010D06">
      <w:pPr>
        <w:pStyle w:val="22"/>
        <w:spacing w:before="0" w:line="360" w:lineRule="auto"/>
        <w:ind w:right="0"/>
        <w:outlineLvl w:val="2"/>
        <w:rPr>
          <w:rStyle w:val="152"/>
          <w:rFonts w:ascii="Times New Roman" w:hAnsi="Times New Roman"/>
          <w:b w:val="0"/>
          <w:bCs w:val="0"/>
          <w:color w:val="auto"/>
          <w:highlight w:val="none"/>
        </w:rPr>
      </w:pPr>
      <w:r>
        <w:rPr>
          <w:rStyle w:val="152"/>
          <w:rFonts w:ascii="Times New Roman" w:hAnsi="Times New Roman"/>
          <w:b w:val="0"/>
          <w:bCs w:val="0"/>
          <w:color w:val="auto"/>
          <w:highlight w:val="none"/>
        </w:rPr>
        <w:t>附件六 主要施工机械设备和试验检测设备最低要求</w:t>
      </w:r>
      <w:r>
        <w:rPr>
          <w:rStyle w:val="152"/>
          <w:rFonts w:ascii="Times New Roman" w:hAnsi="Times New Roman"/>
          <w:b w:val="0"/>
          <w:bCs w:val="0"/>
          <w:color w:val="auto"/>
          <w:highlight w:val="none"/>
          <w:vertAlign w:val="superscript"/>
        </w:rPr>
        <w:footnoteReference w:id="260"/>
      </w:r>
    </w:p>
    <w:p w14:paraId="36EA9A83">
      <w:pPr>
        <w:pStyle w:val="22"/>
        <w:rPr>
          <w:b/>
          <w:color w:val="auto"/>
          <w:sz w:val="20"/>
          <w:highlight w:val="none"/>
        </w:rPr>
      </w:pPr>
    </w:p>
    <w:p w14:paraId="6998F8BC">
      <w:pPr>
        <w:pStyle w:val="22"/>
        <w:spacing w:before="4" w:after="1"/>
        <w:rPr>
          <w:b/>
          <w:color w:val="auto"/>
          <w:sz w:val="13"/>
          <w:highlight w:val="none"/>
        </w:rPr>
      </w:pPr>
    </w:p>
    <w:tbl>
      <w:tblPr>
        <w:tblStyle w:val="49"/>
        <w:tblW w:w="498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4"/>
        <w:gridCol w:w="1795"/>
        <w:gridCol w:w="1951"/>
        <w:gridCol w:w="750"/>
        <w:gridCol w:w="3409"/>
      </w:tblGrid>
      <w:tr w14:paraId="5DB92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8" w:type="pct"/>
            <w:vAlign w:val="center"/>
          </w:tcPr>
          <w:p w14:paraId="0F2FFCD3">
            <w:pPr>
              <w:pStyle w:val="256"/>
              <w:spacing w:before="162"/>
              <w:ind w:left="0"/>
              <w:jc w:val="center"/>
              <w:rPr>
                <w:color w:val="auto"/>
                <w:szCs w:val="21"/>
                <w:highlight w:val="none"/>
              </w:rPr>
            </w:pPr>
            <w:r>
              <w:rPr>
                <w:rFonts w:hint="eastAsia"/>
                <w:color w:val="auto"/>
                <w:szCs w:val="21"/>
                <w:highlight w:val="none"/>
                <w:lang w:val="en-US" w:eastAsia="zh-CN"/>
              </w:rPr>
              <w:t>标段</w:t>
            </w:r>
          </w:p>
        </w:tc>
        <w:tc>
          <w:tcPr>
            <w:tcW w:w="1024" w:type="pct"/>
            <w:vAlign w:val="center"/>
          </w:tcPr>
          <w:p w14:paraId="5DA5CAAA">
            <w:pPr>
              <w:pStyle w:val="256"/>
              <w:spacing w:before="162"/>
              <w:ind w:left="0"/>
              <w:jc w:val="center"/>
              <w:rPr>
                <w:rFonts w:hint="eastAsia"/>
                <w:color w:val="auto"/>
                <w:szCs w:val="21"/>
                <w:highlight w:val="none"/>
              </w:rPr>
            </w:pPr>
            <w:r>
              <w:rPr>
                <w:rFonts w:hint="eastAsia"/>
                <w:color w:val="auto"/>
                <w:szCs w:val="21"/>
                <w:highlight w:val="none"/>
              </w:rPr>
              <w:t>设备名称</w:t>
            </w:r>
          </w:p>
        </w:tc>
        <w:tc>
          <w:tcPr>
            <w:tcW w:w="1113" w:type="pct"/>
            <w:vAlign w:val="center"/>
          </w:tcPr>
          <w:p w14:paraId="363A93F1">
            <w:pPr>
              <w:pStyle w:val="256"/>
              <w:spacing w:before="162"/>
              <w:ind w:left="0"/>
              <w:jc w:val="center"/>
              <w:rPr>
                <w:color w:val="auto"/>
                <w:szCs w:val="21"/>
                <w:highlight w:val="none"/>
              </w:rPr>
            </w:pPr>
            <w:r>
              <w:rPr>
                <w:rFonts w:hint="eastAsia"/>
                <w:color w:val="auto"/>
                <w:szCs w:val="21"/>
                <w:highlight w:val="none"/>
              </w:rPr>
              <w:t>规格、功率及容量</w:t>
            </w:r>
          </w:p>
        </w:tc>
        <w:tc>
          <w:tcPr>
            <w:tcW w:w="428" w:type="pct"/>
            <w:vAlign w:val="center"/>
          </w:tcPr>
          <w:p w14:paraId="25638BDE">
            <w:pPr>
              <w:pStyle w:val="256"/>
              <w:spacing w:before="162"/>
              <w:ind w:left="0"/>
              <w:jc w:val="center"/>
              <w:rPr>
                <w:color w:val="auto"/>
                <w:szCs w:val="21"/>
                <w:highlight w:val="none"/>
              </w:rPr>
            </w:pPr>
            <w:r>
              <w:rPr>
                <w:rFonts w:hint="eastAsia"/>
                <w:color w:val="auto"/>
                <w:szCs w:val="21"/>
                <w:highlight w:val="none"/>
              </w:rPr>
              <w:t>单位</w:t>
            </w:r>
          </w:p>
        </w:tc>
        <w:tc>
          <w:tcPr>
            <w:tcW w:w="1945" w:type="pct"/>
            <w:vAlign w:val="center"/>
          </w:tcPr>
          <w:p w14:paraId="535B01AD">
            <w:pPr>
              <w:pStyle w:val="256"/>
              <w:spacing w:before="162"/>
              <w:ind w:left="0"/>
              <w:jc w:val="center"/>
              <w:rPr>
                <w:color w:val="auto"/>
                <w:szCs w:val="21"/>
                <w:highlight w:val="none"/>
              </w:rPr>
            </w:pPr>
            <w:r>
              <w:rPr>
                <w:rFonts w:hint="eastAsia"/>
                <w:color w:val="auto"/>
                <w:szCs w:val="21"/>
                <w:highlight w:val="none"/>
              </w:rPr>
              <w:t>最低数量要求</w:t>
            </w:r>
          </w:p>
        </w:tc>
      </w:tr>
      <w:tr w14:paraId="0B720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8" w:type="pct"/>
            <w:vMerge w:val="restart"/>
            <w:vAlign w:val="center"/>
          </w:tcPr>
          <w:p w14:paraId="74B499EF">
            <w:pPr>
              <w:jc w:val="center"/>
              <w:rPr>
                <w:rFonts w:ascii="宋体" w:hAnsi="宋体"/>
                <w:color w:val="auto"/>
                <w:szCs w:val="21"/>
                <w:highlight w:val="none"/>
              </w:rPr>
            </w:pPr>
          </w:p>
        </w:tc>
        <w:tc>
          <w:tcPr>
            <w:tcW w:w="1024" w:type="pct"/>
            <w:vAlign w:val="center"/>
          </w:tcPr>
          <w:p w14:paraId="5D20CEE0">
            <w:pPr>
              <w:jc w:val="center"/>
              <w:rPr>
                <w:rFonts w:ascii="宋体" w:hAnsi="宋体"/>
                <w:color w:val="auto"/>
                <w:szCs w:val="21"/>
                <w:highlight w:val="none"/>
              </w:rPr>
            </w:pPr>
          </w:p>
        </w:tc>
        <w:tc>
          <w:tcPr>
            <w:tcW w:w="1113" w:type="pct"/>
            <w:vAlign w:val="center"/>
          </w:tcPr>
          <w:p w14:paraId="71460B7C">
            <w:pPr>
              <w:jc w:val="center"/>
              <w:rPr>
                <w:rFonts w:ascii="宋体" w:hAnsi="宋体"/>
                <w:color w:val="auto"/>
                <w:szCs w:val="21"/>
                <w:highlight w:val="none"/>
              </w:rPr>
            </w:pPr>
          </w:p>
        </w:tc>
        <w:tc>
          <w:tcPr>
            <w:tcW w:w="428" w:type="pct"/>
            <w:vAlign w:val="center"/>
          </w:tcPr>
          <w:p w14:paraId="08F7BD92">
            <w:pPr>
              <w:jc w:val="center"/>
              <w:rPr>
                <w:rFonts w:ascii="宋体" w:hAnsi="宋体"/>
                <w:color w:val="auto"/>
                <w:szCs w:val="21"/>
                <w:highlight w:val="none"/>
              </w:rPr>
            </w:pPr>
          </w:p>
        </w:tc>
        <w:tc>
          <w:tcPr>
            <w:tcW w:w="1945" w:type="pct"/>
            <w:vAlign w:val="center"/>
          </w:tcPr>
          <w:p w14:paraId="6CB3B652">
            <w:pPr>
              <w:jc w:val="center"/>
              <w:rPr>
                <w:rFonts w:ascii="宋体" w:hAnsi="宋体"/>
                <w:color w:val="auto"/>
                <w:szCs w:val="21"/>
                <w:highlight w:val="none"/>
              </w:rPr>
            </w:pPr>
          </w:p>
        </w:tc>
      </w:tr>
      <w:tr w14:paraId="5974F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8" w:type="pct"/>
            <w:vMerge w:val="continue"/>
            <w:vAlign w:val="center"/>
          </w:tcPr>
          <w:p w14:paraId="29A02695">
            <w:pPr>
              <w:jc w:val="center"/>
              <w:rPr>
                <w:rFonts w:ascii="宋体" w:hAnsi="宋体"/>
                <w:color w:val="auto"/>
                <w:szCs w:val="21"/>
                <w:highlight w:val="none"/>
              </w:rPr>
            </w:pPr>
          </w:p>
        </w:tc>
        <w:tc>
          <w:tcPr>
            <w:tcW w:w="1024" w:type="pct"/>
            <w:vAlign w:val="center"/>
          </w:tcPr>
          <w:p w14:paraId="44720647">
            <w:pPr>
              <w:jc w:val="center"/>
              <w:rPr>
                <w:rFonts w:ascii="宋体" w:hAnsi="宋体"/>
                <w:color w:val="auto"/>
                <w:szCs w:val="21"/>
                <w:highlight w:val="none"/>
              </w:rPr>
            </w:pPr>
          </w:p>
        </w:tc>
        <w:tc>
          <w:tcPr>
            <w:tcW w:w="1113" w:type="pct"/>
            <w:vAlign w:val="center"/>
          </w:tcPr>
          <w:p w14:paraId="4287C839">
            <w:pPr>
              <w:jc w:val="center"/>
              <w:rPr>
                <w:rFonts w:ascii="宋体" w:hAnsi="宋体"/>
                <w:color w:val="auto"/>
                <w:szCs w:val="21"/>
                <w:highlight w:val="none"/>
              </w:rPr>
            </w:pPr>
          </w:p>
        </w:tc>
        <w:tc>
          <w:tcPr>
            <w:tcW w:w="428" w:type="pct"/>
            <w:vAlign w:val="center"/>
          </w:tcPr>
          <w:p w14:paraId="698179BC">
            <w:pPr>
              <w:jc w:val="center"/>
              <w:rPr>
                <w:rFonts w:ascii="宋体" w:hAnsi="宋体"/>
                <w:color w:val="auto"/>
                <w:szCs w:val="21"/>
                <w:highlight w:val="none"/>
              </w:rPr>
            </w:pPr>
          </w:p>
        </w:tc>
        <w:tc>
          <w:tcPr>
            <w:tcW w:w="1945" w:type="pct"/>
            <w:vAlign w:val="center"/>
          </w:tcPr>
          <w:p w14:paraId="091CB237">
            <w:pPr>
              <w:jc w:val="center"/>
              <w:rPr>
                <w:rFonts w:ascii="宋体" w:hAnsi="宋体"/>
                <w:color w:val="auto"/>
                <w:szCs w:val="21"/>
                <w:highlight w:val="none"/>
              </w:rPr>
            </w:pPr>
          </w:p>
        </w:tc>
      </w:tr>
      <w:tr w14:paraId="222F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8" w:type="pct"/>
            <w:vMerge w:val="continue"/>
            <w:vAlign w:val="center"/>
          </w:tcPr>
          <w:p w14:paraId="73DF4BBE">
            <w:pPr>
              <w:jc w:val="center"/>
              <w:rPr>
                <w:rFonts w:ascii="宋体" w:hAnsi="宋体"/>
                <w:color w:val="auto"/>
                <w:szCs w:val="21"/>
                <w:highlight w:val="none"/>
              </w:rPr>
            </w:pPr>
          </w:p>
        </w:tc>
        <w:tc>
          <w:tcPr>
            <w:tcW w:w="1024" w:type="pct"/>
            <w:vAlign w:val="center"/>
          </w:tcPr>
          <w:p w14:paraId="73732725">
            <w:pPr>
              <w:jc w:val="center"/>
              <w:rPr>
                <w:rFonts w:ascii="宋体" w:hAnsi="宋体"/>
                <w:color w:val="auto"/>
                <w:szCs w:val="21"/>
                <w:highlight w:val="none"/>
              </w:rPr>
            </w:pPr>
          </w:p>
        </w:tc>
        <w:tc>
          <w:tcPr>
            <w:tcW w:w="1113" w:type="pct"/>
            <w:vAlign w:val="center"/>
          </w:tcPr>
          <w:p w14:paraId="3646ADE7">
            <w:pPr>
              <w:jc w:val="center"/>
              <w:rPr>
                <w:rFonts w:ascii="宋体" w:hAnsi="宋体"/>
                <w:color w:val="auto"/>
                <w:szCs w:val="21"/>
                <w:highlight w:val="none"/>
              </w:rPr>
            </w:pPr>
          </w:p>
        </w:tc>
        <w:tc>
          <w:tcPr>
            <w:tcW w:w="428" w:type="pct"/>
            <w:vAlign w:val="center"/>
          </w:tcPr>
          <w:p w14:paraId="62219B4A">
            <w:pPr>
              <w:jc w:val="center"/>
              <w:rPr>
                <w:rFonts w:ascii="宋体" w:hAnsi="宋体"/>
                <w:color w:val="auto"/>
                <w:szCs w:val="21"/>
                <w:highlight w:val="none"/>
              </w:rPr>
            </w:pPr>
          </w:p>
        </w:tc>
        <w:tc>
          <w:tcPr>
            <w:tcW w:w="1945" w:type="pct"/>
            <w:vAlign w:val="center"/>
          </w:tcPr>
          <w:p w14:paraId="44AD8E65">
            <w:pPr>
              <w:jc w:val="center"/>
              <w:rPr>
                <w:rFonts w:ascii="宋体" w:hAnsi="宋体"/>
                <w:color w:val="auto"/>
                <w:szCs w:val="21"/>
                <w:highlight w:val="none"/>
              </w:rPr>
            </w:pPr>
          </w:p>
        </w:tc>
      </w:tr>
      <w:tr w14:paraId="29807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8" w:type="pct"/>
            <w:vMerge w:val="continue"/>
            <w:vAlign w:val="center"/>
          </w:tcPr>
          <w:p w14:paraId="223F387C">
            <w:pPr>
              <w:jc w:val="center"/>
              <w:rPr>
                <w:rFonts w:ascii="宋体" w:hAnsi="宋体"/>
                <w:color w:val="auto"/>
                <w:szCs w:val="21"/>
                <w:highlight w:val="none"/>
              </w:rPr>
            </w:pPr>
          </w:p>
        </w:tc>
        <w:tc>
          <w:tcPr>
            <w:tcW w:w="1024" w:type="pct"/>
            <w:vAlign w:val="center"/>
          </w:tcPr>
          <w:p w14:paraId="7C689BC8">
            <w:pPr>
              <w:jc w:val="center"/>
              <w:rPr>
                <w:rFonts w:ascii="宋体" w:hAnsi="宋体"/>
                <w:color w:val="auto"/>
                <w:szCs w:val="21"/>
                <w:highlight w:val="none"/>
              </w:rPr>
            </w:pPr>
          </w:p>
        </w:tc>
        <w:tc>
          <w:tcPr>
            <w:tcW w:w="1113" w:type="pct"/>
            <w:vAlign w:val="center"/>
          </w:tcPr>
          <w:p w14:paraId="2849C63E">
            <w:pPr>
              <w:jc w:val="center"/>
              <w:rPr>
                <w:rFonts w:ascii="宋体" w:hAnsi="宋体"/>
                <w:color w:val="auto"/>
                <w:szCs w:val="21"/>
                <w:highlight w:val="none"/>
              </w:rPr>
            </w:pPr>
          </w:p>
        </w:tc>
        <w:tc>
          <w:tcPr>
            <w:tcW w:w="428" w:type="pct"/>
            <w:vAlign w:val="center"/>
          </w:tcPr>
          <w:p w14:paraId="300EFE44">
            <w:pPr>
              <w:jc w:val="center"/>
              <w:rPr>
                <w:rFonts w:ascii="宋体" w:hAnsi="宋体"/>
                <w:color w:val="auto"/>
                <w:szCs w:val="21"/>
                <w:highlight w:val="none"/>
              </w:rPr>
            </w:pPr>
          </w:p>
        </w:tc>
        <w:tc>
          <w:tcPr>
            <w:tcW w:w="1945" w:type="pct"/>
            <w:vAlign w:val="center"/>
          </w:tcPr>
          <w:p w14:paraId="5E78DFAE">
            <w:pPr>
              <w:jc w:val="center"/>
              <w:rPr>
                <w:rFonts w:ascii="宋体" w:hAnsi="宋体"/>
                <w:color w:val="auto"/>
                <w:szCs w:val="21"/>
                <w:highlight w:val="none"/>
              </w:rPr>
            </w:pPr>
          </w:p>
        </w:tc>
      </w:tr>
      <w:tr w14:paraId="6134B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8" w:type="pct"/>
            <w:vMerge w:val="continue"/>
            <w:vAlign w:val="center"/>
          </w:tcPr>
          <w:p w14:paraId="53AC2187">
            <w:pPr>
              <w:jc w:val="center"/>
              <w:rPr>
                <w:rFonts w:ascii="宋体" w:hAnsi="宋体"/>
                <w:color w:val="auto"/>
                <w:szCs w:val="21"/>
                <w:highlight w:val="none"/>
              </w:rPr>
            </w:pPr>
          </w:p>
        </w:tc>
        <w:tc>
          <w:tcPr>
            <w:tcW w:w="1024" w:type="pct"/>
            <w:vAlign w:val="center"/>
          </w:tcPr>
          <w:p w14:paraId="2435E97C">
            <w:pPr>
              <w:jc w:val="center"/>
              <w:rPr>
                <w:rFonts w:ascii="宋体" w:hAnsi="宋体"/>
                <w:color w:val="auto"/>
                <w:szCs w:val="21"/>
                <w:highlight w:val="none"/>
              </w:rPr>
            </w:pPr>
          </w:p>
        </w:tc>
        <w:tc>
          <w:tcPr>
            <w:tcW w:w="1113" w:type="pct"/>
            <w:vAlign w:val="center"/>
          </w:tcPr>
          <w:p w14:paraId="3AEF6EA7">
            <w:pPr>
              <w:jc w:val="center"/>
              <w:rPr>
                <w:rFonts w:ascii="宋体" w:hAnsi="宋体"/>
                <w:color w:val="auto"/>
                <w:szCs w:val="21"/>
                <w:highlight w:val="none"/>
              </w:rPr>
            </w:pPr>
          </w:p>
        </w:tc>
        <w:tc>
          <w:tcPr>
            <w:tcW w:w="428" w:type="pct"/>
            <w:vAlign w:val="center"/>
          </w:tcPr>
          <w:p w14:paraId="62B40467">
            <w:pPr>
              <w:jc w:val="center"/>
              <w:rPr>
                <w:rFonts w:ascii="宋体" w:hAnsi="宋体"/>
                <w:color w:val="auto"/>
                <w:szCs w:val="21"/>
                <w:highlight w:val="none"/>
              </w:rPr>
            </w:pPr>
          </w:p>
        </w:tc>
        <w:tc>
          <w:tcPr>
            <w:tcW w:w="1945" w:type="pct"/>
            <w:vAlign w:val="center"/>
          </w:tcPr>
          <w:p w14:paraId="5E7642C0">
            <w:pPr>
              <w:jc w:val="center"/>
              <w:rPr>
                <w:rFonts w:ascii="宋体" w:hAnsi="宋体"/>
                <w:color w:val="auto"/>
                <w:szCs w:val="21"/>
                <w:highlight w:val="none"/>
              </w:rPr>
            </w:pPr>
          </w:p>
        </w:tc>
      </w:tr>
      <w:tr w14:paraId="56B7E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8" w:type="pct"/>
            <w:vMerge w:val="continue"/>
            <w:vAlign w:val="center"/>
          </w:tcPr>
          <w:p w14:paraId="0D606901">
            <w:pPr>
              <w:jc w:val="center"/>
              <w:rPr>
                <w:rFonts w:ascii="宋体" w:hAnsi="宋体"/>
                <w:color w:val="auto"/>
                <w:szCs w:val="21"/>
                <w:highlight w:val="none"/>
              </w:rPr>
            </w:pPr>
          </w:p>
        </w:tc>
        <w:tc>
          <w:tcPr>
            <w:tcW w:w="1024" w:type="pct"/>
            <w:vAlign w:val="center"/>
          </w:tcPr>
          <w:p w14:paraId="5A396302">
            <w:pPr>
              <w:jc w:val="center"/>
              <w:rPr>
                <w:rFonts w:ascii="宋体" w:hAnsi="宋体"/>
                <w:color w:val="auto"/>
                <w:szCs w:val="21"/>
                <w:highlight w:val="none"/>
              </w:rPr>
            </w:pPr>
          </w:p>
        </w:tc>
        <w:tc>
          <w:tcPr>
            <w:tcW w:w="1113" w:type="pct"/>
            <w:vAlign w:val="center"/>
          </w:tcPr>
          <w:p w14:paraId="44662145">
            <w:pPr>
              <w:jc w:val="center"/>
              <w:rPr>
                <w:rFonts w:ascii="宋体" w:hAnsi="宋体"/>
                <w:color w:val="auto"/>
                <w:szCs w:val="21"/>
                <w:highlight w:val="none"/>
              </w:rPr>
            </w:pPr>
          </w:p>
        </w:tc>
        <w:tc>
          <w:tcPr>
            <w:tcW w:w="428" w:type="pct"/>
            <w:vAlign w:val="center"/>
          </w:tcPr>
          <w:p w14:paraId="54677689">
            <w:pPr>
              <w:jc w:val="center"/>
              <w:rPr>
                <w:rFonts w:ascii="宋体" w:hAnsi="宋体"/>
                <w:color w:val="auto"/>
                <w:szCs w:val="21"/>
                <w:highlight w:val="none"/>
              </w:rPr>
            </w:pPr>
          </w:p>
        </w:tc>
        <w:tc>
          <w:tcPr>
            <w:tcW w:w="1945" w:type="pct"/>
            <w:vAlign w:val="center"/>
          </w:tcPr>
          <w:p w14:paraId="46605422">
            <w:pPr>
              <w:jc w:val="center"/>
              <w:rPr>
                <w:rFonts w:ascii="宋体" w:hAnsi="宋体"/>
                <w:color w:val="auto"/>
                <w:szCs w:val="21"/>
                <w:highlight w:val="none"/>
              </w:rPr>
            </w:pPr>
          </w:p>
        </w:tc>
      </w:tr>
      <w:tr w14:paraId="204AA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8" w:type="pct"/>
            <w:vMerge w:val="restart"/>
            <w:vAlign w:val="center"/>
          </w:tcPr>
          <w:p w14:paraId="55DC58BA">
            <w:pPr>
              <w:jc w:val="center"/>
              <w:rPr>
                <w:rFonts w:ascii="宋体" w:hAnsi="宋体"/>
                <w:color w:val="auto"/>
                <w:szCs w:val="21"/>
                <w:highlight w:val="none"/>
              </w:rPr>
            </w:pPr>
          </w:p>
        </w:tc>
        <w:tc>
          <w:tcPr>
            <w:tcW w:w="1024" w:type="pct"/>
            <w:vAlign w:val="center"/>
          </w:tcPr>
          <w:p w14:paraId="208A783C">
            <w:pPr>
              <w:jc w:val="center"/>
              <w:rPr>
                <w:rFonts w:ascii="宋体" w:hAnsi="宋体"/>
                <w:color w:val="auto"/>
                <w:szCs w:val="21"/>
                <w:highlight w:val="none"/>
              </w:rPr>
            </w:pPr>
          </w:p>
        </w:tc>
        <w:tc>
          <w:tcPr>
            <w:tcW w:w="1113" w:type="pct"/>
            <w:vAlign w:val="center"/>
          </w:tcPr>
          <w:p w14:paraId="3E1C1F84">
            <w:pPr>
              <w:jc w:val="center"/>
              <w:rPr>
                <w:rFonts w:ascii="宋体" w:hAnsi="宋体"/>
                <w:color w:val="auto"/>
                <w:szCs w:val="21"/>
                <w:highlight w:val="none"/>
              </w:rPr>
            </w:pPr>
          </w:p>
        </w:tc>
        <w:tc>
          <w:tcPr>
            <w:tcW w:w="428" w:type="pct"/>
            <w:vAlign w:val="center"/>
          </w:tcPr>
          <w:p w14:paraId="014F16C8">
            <w:pPr>
              <w:jc w:val="center"/>
              <w:rPr>
                <w:rFonts w:ascii="宋体" w:hAnsi="宋体"/>
                <w:color w:val="auto"/>
                <w:szCs w:val="21"/>
                <w:highlight w:val="none"/>
              </w:rPr>
            </w:pPr>
          </w:p>
        </w:tc>
        <w:tc>
          <w:tcPr>
            <w:tcW w:w="1945" w:type="pct"/>
            <w:vAlign w:val="center"/>
          </w:tcPr>
          <w:p w14:paraId="1844CA67">
            <w:pPr>
              <w:jc w:val="center"/>
              <w:rPr>
                <w:rFonts w:ascii="宋体" w:hAnsi="宋体"/>
                <w:color w:val="auto"/>
                <w:szCs w:val="21"/>
                <w:highlight w:val="none"/>
              </w:rPr>
            </w:pPr>
          </w:p>
        </w:tc>
      </w:tr>
      <w:tr w14:paraId="3A2A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8" w:type="pct"/>
            <w:vMerge w:val="continue"/>
            <w:vAlign w:val="center"/>
          </w:tcPr>
          <w:p w14:paraId="769C9CED">
            <w:pPr>
              <w:jc w:val="center"/>
              <w:rPr>
                <w:rFonts w:ascii="宋体" w:hAnsi="宋体"/>
                <w:color w:val="auto"/>
                <w:szCs w:val="21"/>
                <w:highlight w:val="none"/>
              </w:rPr>
            </w:pPr>
          </w:p>
        </w:tc>
        <w:tc>
          <w:tcPr>
            <w:tcW w:w="1024" w:type="pct"/>
            <w:vAlign w:val="center"/>
          </w:tcPr>
          <w:p w14:paraId="1E5090EA">
            <w:pPr>
              <w:jc w:val="center"/>
              <w:rPr>
                <w:rFonts w:ascii="宋体" w:hAnsi="宋体"/>
                <w:color w:val="auto"/>
                <w:szCs w:val="21"/>
                <w:highlight w:val="none"/>
              </w:rPr>
            </w:pPr>
          </w:p>
        </w:tc>
        <w:tc>
          <w:tcPr>
            <w:tcW w:w="1113" w:type="pct"/>
            <w:vAlign w:val="center"/>
          </w:tcPr>
          <w:p w14:paraId="377834C3">
            <w:pPr>
              <w:jc w:val="center"/>
              <w:rPr>
                <w:rFonts w:ascii="宋体" w:hAnsi="宋体"/>
                <w:color w:val="auto"/>
                <w:szCs w:val="21"/>
                <w:highlight w:val="none"/>
              </w:rPr>
            </w:pPr>
          </w:p>
        </w:tc>
        <w:tc>
          <w:tcPr>
            <w:tcW w:w="428" w:type="pct"/>
            <w:vAlign w:val="center"/>
          </w:tcPr>
          <w:p w14:paraId="69D0DBED">
            <w:pPr>
              <w:jc w:val="center"/>
              <w:rPr>
                <w:rFonts w:ascii="宋体" w:hAnsi="宋体"/>
                <w:color w:val="auto"/>
                <w:szCs w:val="21"/>
                <w:highlight w:val="none"/>
              </w:rPr>
            </w:pPr>
          </w:p>
        </w:tc>
        <w:tc>
          <w:tcPr>
            <w:tcW w:w="1945" w:type="pct"/>
            <w:vAlign w:val="center"/>
          </w:tcPr>
          <w:p w14:paraId="7C8C4510">
            <w:pPr>
              <w:jc w:val="center"/>
              <w:rPr>
                <w:rFonts w:ascii="宋体" w:hAnsi="宋体"/>
                <w:color w:val="auto"/>
                <w:szCs w:val="21"/>
                <w:highlight w:val="none"/>
              </w:rPr>
            </w:pPr>
          </w:p>
        </w:tc>
      </w:tr>
      <w:tr w14:paraId="152E4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8" w:type="pct"/>
            <w:vMerge w:val="continue"/>
            <w:vAlign w:val="center"/>
          </w:tcPr>
          <w:p w14:paraId="54265E30">
            <w:pPr>
              <w:jc w:val="center"/>
              <w:rPr>
                <w:rFonts w:ascii="宋体" w:hAnsi="宋体"/>
                <w:color w:val="auto"/>
                <w:szCs w:val="21"/>
                <w:highlight w:val="none"/>
              </w:rPr>
            </w:pPr>
          </w:p>
        </w:tc>
        <w:tc>
          <w:tcPr>
            <w:tcW w:w="1024" w:type="pct"/>
            <w:vAlign w:val="center"/>
          </w:tcPr>
          <w:p w14:paraId="3C0AEF09">
            <w:pPr>
              <w:jc w:val="center"/>
              <w:rPr>
                <w:rFonts w:ascii="宋体" w:hAnsi="宋体"/>
                <w:color w:val="auto"/>
                <w:szCs w:val="21"/>
                <w:highlight w:val="none"/>
              </w:rPr>
            </w:pPr>
          </w:p>
        </w:tc>
        <w:tc>
          <w:tcPr>
            <w:tcW w:w="1113" w:type="pct"/>
            <w:vAlign w:val="center"/>
          </w:tcPr>
          <w:p w14:paraId="4A4F6B94">
            <w:pPr>
              <w:jc w:val="center"/>
              <w:rPr>
                <w:rFonts w:ascii="宋体" w:hAnsi="宋体"/>
                <w:color w:val="auto"/>
                <w:szCs w:val="21"/>
                <w:highlight w:val="none"/>
              </w:rPr>
            </w:pPr>
          </w:p>
        </w:tc>
        <w:tc>
          <w:tcPr>
            <w:tcW w:w="428" w:type="pct"/>
            <w:vAlign w:val="center"/>
          </w:tcPr>
          <w:p w14:paraId="0A7484E6">
            <w:pPr>
              <w:jc w:val="center"/>
              <w:rPr>
                <w:rFonts w:ascii="宋体" w:hAnsi="宋体"/>
                <w:color w:val="auto"/>
                <w:szCs w:val="21"/>
                <w:highlight w:val="none"/>
              </w:rPr>
            </w:pPr>
          </w:p>
        </w:tc>
        <w:tc>
          <w:tcPr>
            <w:tcW w:w="1945" w:type="pct"/>
            <w:vAlign w:val="center"/>
          </w:tcPr>
          <w:p w14:paraId="664CAD07">
            <w:pPr>
              <w:jc w:val="center"/>
              <w:rPr>
                <w:rFonts w:ascii="宋体" w:hAnsi="宋体"/>
                <w:color w:val="auto"/>
                <w:szCs w:val="21"/>
                <w:highlight w:val="none"/>
              </w:rPr>
            </w:pPr>
          </w:p>
        </w:tc>
      </w:tr>
      <w:tr w14:paraId="54B1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8" w:type="pct"/>
            <w:vMerge w:val="continue"/>
            <w:vAlign w:val="center"/>
          </w:tcPr>
          <w:p w14:paraId="0087BF5B">
            <w:pPr>
              <w:jc w:val="center"/>
              <w:rPr>
                <w:rFonts w:ascii="宋体" w:hAnsi="宋体"/>
                <w:color w:val="auto"/>
                <w:szCs w:val="21"/>
                <w:highlight w:val="none"/>
              </w:rPr>
            </w:pPr>
          </w:p>
        </w:tc>
        <w:tc>
          <w:tcPr>
            <w:tcW w:w="1024" w:type="pct"/>
            <w:vAlign w:val="center"/>
          </w:tcPr>
          <w:p w14:paraId="2A85ED9E">
            <w:pPr>
              <w:jc w:val="center"/>
              <w:rPr>
                <w:rFonts w:ascii="宋体" w:hAnsi="宋体"/>
                <w:color w:val="auto"/>
                <w:szCs w:val="21"/>
                <w:highlight w:val="none"/>
              </w:rPr>
            </w:pPr>
          </w:p>
        </w:tc>
        <w:tc>
          <w:tcPr>
            <w:tcW w:w="1113" w:type="pct"/>
            <w:vAlign w:val="center"/>
          </w:tcPr>
          <w:p w14:paraId="2956F865">
            <w:pPr>
              <w:jc w:val="center"/>
              <w:rPr>
                <w:rFonts w:ascii="宋体" w:hAnsi="宋体"/>
                <w:color w:val="auto"/>
                <w:szCs w:val="21"/>
                <w:highlight w:val="none"/>
              </w:rPr>
            </w:pPr>
          </w:p>
        </w:tc>
        <w:tc>
          <w:tcPr>
            <w:tcW w:w="428" w:type="pct"/>
            <w:vAlign w:val="center"/>
          </w:tcPr>
          <w:p w14:paraId="1D65B81B">
            <w:pPr>
              <w:jc w:val="center"/>
              <w:rPr>
                <w:rFonts w:ascii="宋体" w:hAnsi="宋体"/>
                <w:color w:val="auto"/>
                <w:szCs w:val="21"/>
                <w:highlight w:val="none"/>
              </w:rPr>
            </w:pPr>
          </w:p>
        </w:tc>
        <w:tc>
          <w:tcPr>
            <w:tcW w:w="1945" w:type="pct"/>
            <w:vAlign w:val="center"/>
          </w:tcPr>
          <w:p w14:paraId="2D81744C">
            <w:pPr>
              <w:jc w:val="center"/>
              <w:rPr>
                <w:rFonts w:ascii="宋体" w:hAnsi="宋体"/>
                <w:color w:val="auto"/>
                <w:szCs w:val="21"/>
                <w:highlight w:val="none"/>
              </w:rPr>
            </w:pPr>
          </w:p>
        </w:tc>
      </w:tr>
      <w:tr w14:paraId="4FBE7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8" w:type="pct"/>
            <w:vMerge w:val="continue"/>
            <w:vAlign w:val="center"/>
          </w:tcPr>
          <w:p w14:paraId="6656AD96">
            <w:pPr>
              <w:jc w:val="center"/>
              <w:rPr>
                <w:rFonts w:ascii="宋体" w:hAnsi="宋体"/>
                <w:color w:val="auto"/>
                <w:szCs w:val="21"/>
                <w:highlight w:val="none"/>
              </w:rPr>
            </w:pPr>
          </w:p>
        </w:tc>
        <w:tc>
          <w:tcPr>
            <w:tcW w:w="1024" w:type="pct"/>
            <w:vAlign w:val="center"/>
          </w:tcPr>
          <w:p w14:paraId="148CA202">
            <w:pPr>
              <w:jc w:val="center"/>
              <w:rPr>
                <w:rFonts w:ascii="宋体" w:hAnsi="宋体"/>
                <w:color w:val="auto"/>
                <w:szCs w:val="21"/>
                <w:highlight w:val="none"/>
              </w:rPr>
            </w:pPr>
          </w:p>
        </w:tc>
        <w:tc>
          <w:tcPr>
            <w:tcW w:w="1113" w:type="pct"/>
            <w:vAlign w:val="center"/>
          </w:tcPr>
          <w:p w14:paraId="39E40901">
            <w:pPr>
              <w:jc w:val="center"/>
              <w:rPr>
                <w:rFonts w:ascii="宋体" w:hAnsi="宋体"/>
                <w:color w:val="auto"/>
                <w:szCs w:val="21"/>
                <w:highlight w:val="none"/>
              </w:rPr>
            </w:pPr>
          </w:p>
        </w:tc>
        <w:tc>
          <w:tcPr>
            <w:tcW w:w="428" w:type="pct"/>
            <w:vAlign w:val="center"/>
          </w:tcPr>
          <w:p w14:paraId="26132253">
            <w:pPr>
              <w:jc w:val="center"/>
              <w:rPr>
                <w:rFonts w:ascii="宋体" w:hAnsi="宋体"/>
                <w:color w:val="auto"/>
                <w:szCs w:val="21"/>
                <w:highlight w:val="none"/>
              </w:rPr>
            </w:pPr>
          </w:p>
        </w:tc>
        <w:tc>
          <w:tcPr>
            <w:tcW w:w="1945" w:type="pct"/>
            <w:vAlign w:val="center"/>
          </w:tcPr>
          <w:p w14:paraId="0B8E7F98">
            <w:pPr>
              <w:jc w:val="center"/>
              <w:rPr>
                <w:rFonts w:ascii="宋体" w:hAnsi="宋体"/>
                <w:color w:val="auto"/>
                <w:szCs w:val="21"/>
                <w:highlight w:val="none"/>
              </w:rPr>
            </w:pPr>
          </w:p>
        </w:tc>
      </w:tr>
      <w:tr w14:paraId="0B4DE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8" w:type="pct"/>
            <w:vMerge w:val="continue"/>
            <w:vAlign w:val="center"/>
          </w:tcPr>
          <w:p w14:paraId="3C7A8018">
            <w:pPr>
              <w:jc w:val="center"/>
              <w:rPr>
                <w:rFonts w:ascii="宋体" w:hAnsi="宋体"/>
                <w:color w:val="auto"/>
                <w:szCs w:val="21"/>
                <w:highlight w:val="none"/>
              </w:rPr>
            </w:pPr>
          </w:p>
        </w:tc>
        <w:tc>
          <w:tcPr>
            <w:tcW w:w="1024" w:type="pct"/>
            <w:vAlign w:val="center"/>
          </w:tcPr>
          <w:p w14:paraId="0A65423D">
            <w:pPr>
              <w:jc w:val="center"/>
              <w:rPr>
                <w:rFonts w:ascii="宋体" w:hAnsi="宋体"/>
                <w:color w:val="auto"/>
                <w:szCs w:val="21"/>
                <w:highlight w:val="none"/>
              </w:rPr>
            </w:pPr>
          </w:p>
        </w:tc>
        <w:tc>
          <w:tcPr>
            <w:tcW w:w="1113" w:type="pct"/>
            <w:vAlign w:val="center"/>
          </w:tcPr>
          <w:p w14:paraId="427265C4">
            <w:pPr>
              <w:jc w:val="center"/>
              <w:rPr>
                <w:rFonts w:ascii="宋体" w:hAnsi="宋体"/>
                <w:color w:val="auto"/>
                <w:szCs w:val="21"/>
                <w:highlight w:val="none"/>
              </w:rPr>
            </w:pPr>
          </w:p>
        </w:tc>
        <w:tc>
          <w:tcPr>
            <w:tcW w:w="428" w:type="pct"/>
            <w:vAlign w:val="center"/>
          </w:tcPr>
          <w:p w14:paraId="6E8D2F63">
            <w:pPr>
              <w:jc w:val="center"/>
              <w:rPr>
                <w:rFonts w:ascii="宋体" w:hAnsi="宋体"/>
                <w:color w:val="auto"/>
                <w:szCs w:val="21"/>
                <w:highlight w:val="none"/>
              </w:rPr>
            </w:pPr>
          </w:p>
        </w:tc>
        <w:tc>
          <w:tcPr>
            <w:tcW w:w="1945" w:type="pct"/>
            <w:vAlign w:val="center"/>
          </w:tcPr>
          <w:p w14:paraId="503C6D2B">
            <w:pPr>
              <w:jc w:val="center"/>
              <w:rPr>
                <w:rFonts w:ascii="宋体" w:hAnsi="宋体"/>
                <w:color w:val="auto"/>
                <w:szCs w:val="21"/>
                <w:highlight w:val="none"/>
              </w:rPr>
            </w:pPr>
          </w:p>
        </w:tc>
      </w:tr>
      <w:tr w14:paraId="463E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exact"/>
        </w:trPr>
        <w:tc>
          <w:tcPr>
            <w:tcW w:w="488" w:type="pct"/>
            <w:vAlign w:val="center"/>
          </w:tcPr>
          <w:p w14:paraId="2ACE010C">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w:t>
            </w:r>
          </w:p>
        </w:tc>
        <w:tc>
          <w:tcPr>
            <w:tcW w:w="1024" w:type="pct"/>
            <w:vAlign w:val="center"/>
          </w:tcPr>
          <w:p w14:paraId="3A1D791C">
            <w:pPr>
              <w:jc w:val="center"/>
              <w:rPr>
                <w:rFonts w:hint="eastAsia" w:ascii="宋体" w:hAnsi="宋体"/>
                <w:color w:val="auto"/>
                <w:szCs w:val="21"/>
                <w:highlight w:val="none"/>
              </w:rPr>
            </w:pPr>
            <w:r>
              <w:rPr>
                <w:rFonts w:hint="eastAsia" w:ascii="宋体" w:hAnsi="宋体"/>
                <w:color w:val="auto"/>
                <w:szCs w:val="21"/>
                <w:highlight w:val="none"/>
              </w:rPr>
              <w:t>……</w:t>
            </w:r>
          </w:p>
        </w:tc>
        <w:tc>
          <w:tcPr>
            <w:tcW w:w="1113" w:type="pct"/>
            <w:vAlign w:val="center"/>
          </w:tcPr>
          <w:p w14:paraId="0BFD18B2">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w:t>
            </w:r>
          </w:p>
        </w:tc>
        <w:tc>
          <w:tcPr>
            <w:tcW w:w="428" w:type="pct"/>
            <w:vAlign w:val="center"/>
          </w:tcPr>
          <w:p w14:paraId="77FBECAF">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w:t>
            </w:r>
          </w:p>
        </w:tc>
        <w:tc>
          <w:tcPr>
            <w:tcW w:w="1945" w:type="pct"/>
            <w:vAlign w:val="center"/>
          </w:tcPr>
          <w:p w14:paraId="798092BE">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w:t>
            </w:r>
          </w:p>
        </w:tc>
      </w:tr>
    </w:tbl>
    <w:p w14:paraId="5A3CC5B1">
      <w:pPr>
        <w:pStyle w:val="22"/>
        <w:rPr>
          <w:b/>
          <w:color w:val="auto"/>
          <w:sz w:val="20"/>
          <w:highlight w:val="none"/>
        </w:rPr>
      </w:pPr>
    </w:p>
    <w:p w14:paraId="528E2468">
      <w:pPr>
        <w:pStyle w:val="22"/>
        <w:spacing w:before="2"/>
        <w:rPr>
          <w:b/>
          <w:color w:val="auto"/>
          <w:sz w:val="17"/>
          <w:highlight w:val="none"/>
        </w:rPr>
      </w:pPr>
    </w:p>
    <w:p w14:paraId="2063FDF9">
      <w:pPr>
        <w:pStyle w:val="22"/>
        <w:spacing w:before="2"/>
        <w:rPr>
          <w:b/>
          <w:color w:val="auto"/>
          <w:sz w:val="17"/>
          <w:highlight w:val="none"/>
        </w:rPr>
      </w:pPr>
    </w:p>
    <w:p w14:paraId="1E585A00">
      <w:pPr>
        <w:pStyle w:val="22"/>
        <w:spacing w:before="2"/>
        <w:rPr>
          <w:b/>
          <w:color w:val="auto"/>
          <w:sz w:val="17"/>
          <w:highlight w:val="none"/>
        </w:rPr>
      </w:pPr>
    </w:p>
    <w:p w14:paraId="1EF8FD65">
      <w:pPr>
        <w:pStyle w:val="22"/>
        <w:spacing w:before="2"/>
        <w:rPr>
          <w:b/>
          <w:color w:val="auto"/>
          <w:sz w:val="17"/>
          <w:highlight w:val="none"/>
        </w:rPr>
      </w:pPr>
    </w:p>
    <w:p w14:paraId="724E5455">
      <w:pPr>
        <w:pStyle w:val="22"/>
        <w:spacing w:before="2"/>
        <w:rPr>
          <w:b/>
          <w:color w:val="auto"/>
          <w:sz w:val="17"/>
          <w:highlight w:val="none"/>
        </w:rPr>
      </w:pPr>
    </w:p>
    <w:p w14:paraId="697E5DF9">
      <w:pPr>
        <w:pStyle w:val="22"/>
        <w:spacing w:before="2"/>
        <w:rPr>
          <w:b/>
          <w:color w:val="auto"/>
          <w:sz w:val="17"/>
          <w:highlight w:val="none"/>
        </w:rPr>
      </w:pPr>
    </w:p>
    <w:p w14:paraId="0EF4E61E">
      <w:pPr>
        <w:pStyle w:val="22"/>
        <w:spacing w:before="2"/>
        <w:rPr>
          <w:b/>
          <w:color w:val="auto"/>
          <w:sz w:val="17"/>
          <w:highlight w:val="none"/>
        </w:rPr>
      </w:pPr>
    </w:p>
    <w:p w14:paraId="45596CDA">
      <w:pPr>
        <w:pStyle w:val="22"/>
        <w:spacing w:before="2"/>
        <w:rPr>
          <w:b/>
          <w:color w:val="auto"/>
          <w:sz w:val="17"/>
          <w:highlight w:val="none"/>
        </w:rPr>
      </w:pPr>
    </w:p>
    <w:p w14:paraId="06670D86">
      <w:pPr>
        <w:rPr>
          <w:rFonts w:ascii="宋体" w:hAnsi="宋体"/>
          <w:color w:val="auto"/>
          <w:sz w:val="18"/>
          <w:highlight w:val="none"/>
        </w:rPr>
      </w:pPr>
    </w:p>
    <w:p w14:paraId="6FACBF15">
      <w:pPr>
        <w:pStyle w:val="22"/>
        <w:spacing w:before="0" w:line="360" w:lineRule="auto"/>
        <w:ind w:right="0"/>
        <w:outlineLvl w:val="2"/>
        <w:rPr>
          <w:rStyle w:val="152"/>
          <w:rFonts w:ascii="Times New Roman" w:hAnsi="Times New Roman"/>
          <w:b w:val="0"/>
          <w:bCs w:val="0"/>
          <w:color w:val="auto"/>
          <w:highlight w:val="none"/>
        </w:rPr>
      </w:pPr>
      <w:r>
        <w:rPr>
          <w:rStyle w:val="152"/>
          <w:rFonts w:ascii="Times New Roman" w:hAnsi="Times New Roman"/>
          <w:b w:val="0"/>
          <w:bCs w:val="0"/>
          <w:color w:val="auto"/>
          <w:highlight w:val="none"/>
        </w:rPr>
        <w:t>附件七 项目经理委任书</w:t>
      </w:r>
    </w:p>
    <w:p w14:paraId="46E748FC">
      <w:pPr>
        <w:pStyle w:val="22"/>
        <w:spacing w:before="26" w:line="360" w:lineRule="auto"/>
        <w:ind w:left="144" w:right="103"/>
        <w:jc w:val="center"/>
        <w:rPr>
          <w:rFonts w:ascii="黑体" w:hAnsi="黑体" w:eastAsia="黑体" w:cs="宋体"/>
          <w:color w:val="auto"/>
          <w:sz w:val="28"/>
          <w:szCs w:val="28"/>
          <w:highlight w:val="none"/>
          <w:u w:val="single"/>
        </w:rPr>
      </w:pPr>
      <w:r>
        <w:rPr>
          <w:rFonts w:hint="eastAsia" w:ascii="黑体" w:hAnsi="黑体" w:eastAsia="黑体" w:cs="宋体"/>
          <w:color w:val="auto"/>
          <w:sz w:val="28"/>
          <w:szCs w:val="28"/>
          <w:highlight w:val="none"/>
          <w:u w:val="single"/>
        </w:rPr>
        <w:t>（承包人全称）</w:t>
      </w:r>
    </w:p>
    <w:p w14:paraId="6AD0048D">
      <w:pPr>
        <w:pStyle w:val="22"/>
        <w:spacing w:before="26" w:line="360" w:lineRule="auto"/>
        <w:ind w:left="144" w:right="103"/>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u w:val="single"/>
        </w:rPr>
        <w:t>（合同工程名称）</w:t>
      </w:r>
      <w:r>
        <w:rPr>
          <w:rFonts w:hint="eastAsia" w:ascii="黑体" w:hAnsi="黑体" w:eastAsia="黑体" w:cs="宋体"/>
          <w:color w:val="auto"/>
          <w:sz w:val="28"/>
          <w:szCs w:val="28"/>
          <w:highlight w:val="none"/>
        </w:rPr>
        <w:t>项目经理委任书</w:t>
      </w:r>
    </w:p>
    <w:p w14:paraId="2A9BCB71">
      <w:pPr>
        <w:pStyle w:val="22"/>
        <w:spacing w:before="26" w:line="360" w:lineRule="auto"/>
        <w:ind w:left="144" w:right="103"/>
        <w:rPr>
          <w:rFonts w:cs="宋体"/>
          <w:color w:val="auto"/>
          <w:sz w:val="21"/>
          <w:szCs w:val="21"/>
          <w:highlight w:val="none"/>
        </w:rPr>
      </w:pPr>
    </w:p>
    <w:p w14:paraId="0D6E48F3">
      <w:pPr>
        <w:pStyle w:val="22"/>
        <w:spacing w:before="26" w:line="360" w:lineRule="auto"/>
        <w:ind w:left="144" w:right="103"/>
        <w:rPr>
          <w:rFonts w:cs="宋体"/>
          <w:color w:val="auto"/>
          <w:highlight w:val="none"/>
        </w:rPr>
      </w:pPr>
    </w:p>
    <w:p w14:paraId="41046157">
      <w:pPr>
        <w:pStyle w:val="22"/>
        <w:spacing w:before="26" w:line="360" w:lineRule="auto"/>
        <w:ind w:left="144" w:right="103"/>
        <w:rPr>
          <w:color w:val="auto"/>
          <w:highlight w:val="none"/>
        </w:rPr>
      </w:pPr>
      <w:r>
        <w:rPr>
          <w:rFonts w:hint="eastAsia" w:cs="宋体"/>
          <w:color w:val="auto"/>
          <w:highlight w:val="none"/>
        </w:rPr>
        <w:t>致：</w:t>
      </w:r>
      <w:r>
        <w:rPr>
          <w:color w:val="auto"/>
          <w:highlight w:val="none"/>
          <w:u w:val="single"/>
        </w:rPr>
        <w:t>（</w:t>
      </w:r>
      <w:r>
        <w:rPr>
          <w:rFonts w:hint="eastAsia" w:cs="宋体"/>
          <w:color w:val="auto"/>
          <w:highlight w:val="none"/>
          <w:u w:val="single"/>
        </w:rPr>
        <w:t>发包人全称</w:t>
      </w:r>
      <w:r>
        <w:rPr>
          <w:color w:val="auto"/>
          <w:highlight w:val="none"/>
          <w:u w:val="single"/>
        </w:rPr>
        <w:t>）</w:t>
      </w:r>
    </w:p>
    <w:p w14:paraId="52281973">
      <w:pPr>
        <w:pStyle w:val="22"/>
        <w:spacing w:before="67" w:line="360" w:lineRule="auto"/>
        <w:ind w:left="144" w:right="101" w:firstLine="616"/>
        <w:rPr>
          <w:color w:val="auto"/>
          <w:highlight w:val="none"/>
        </w:rPr>
      </w:pPr>
      <w:r>
        <w:rPr>
          <w:color w:val="auto"/>
          <w:highlight w:val="none"/>
          <w:u w:val="single"/>
        </w:rPr>
        <w:t xml:space="preserve">    （</w:t>
      </w:r>
      <w:r>
        <w:rPr>
          <w:rFonts w:hint="eastAsia" w:cs="宋体"/>
          <w:color w:val="auto"/>
          <w:highlight w:val="none"/>
          <w:u w:val="single"/>
        </w:rPr>
        <w:t>承包人全称</w:t>
      </w:r>
      <w:r>
        <w:rPr>
          <w:color w:val="auto"/>
          <w:highlight w:val="none"/>
          <w:u w:val="single"/>
        </w:rPr>
        <w:t xml:space="preserve">） </w:t>
      </w:r>
      <w:r>
        <w:rPr>
          <w:rFonts w:hint="eastAsia"/>
          <w:color w:val="auto"/>
          <w:highlight w:val="none"/>
          <w:u w:val="single"/>
          <w:lang w:val="en-US" w:eastAsia="zh-CN"/>
        </w:rPr>
        <w:t xml:space="preserve">  </w:t>
      </w:r>
      <w:r>
        <w:rPr>
          <w:rFonts w:hint="eastAsia" w:cs="宋体"/>
          <w:color w:val="auto"/>
          <w:highlight w:val="none"/>
        </w:rPr>
        <w:t>法定代表人</w:t>
      </w:r>
      <w:r>
        <w:rPr>
          <w:color w:val="auto"/>
          <w:highlight w:val="none"/>
        </w:rPr>
        <w:t xml:space="preserve"> </w:t>
      </w:r>
      <w:r>
        <w:rPr>
          <w:color w:val="auto"/>
          <w:highlight w:val="none"/>
          <w:u w:val="single"/>
        </w:rPr>
        <w:t>（</w:t>
      </w:r>
      <w:r>
        <w:rPr>
          <w:rFonts w:hint="eastAsia" w:cs="宋体"/>
          <w:color w:val="auto"/>
          <w:highlight w:val="none"/>
          <w:u w:val="single"/>
        </w:rPr>
        <w:t>职务、姓名</w:t>
      </w:r>
      <w:r>
        <w:rPr>
          <w:color w:val="auto"/>
          <w:highlight w:val="none"/>
          <w:u w:val="single"/>
        </w:rPr>
        <w:t xml:space="preserve">） </w:t>
      </w:r>
      <w:r>
        <w:rPr>
          <w:rFonts w:hint="eastAsia" w:cs="宋体"/>
          <w:color w:val="auto"/>
          <w:highlight w:val="none"/>
        </w:rPr>
        <w:t>代表本单位委任</w:t>
      </w:r>
      <w:r>
        <w:rPr>
          <w:color w:val="auto"/>
          <w:highlight w:val="none"/>
        </w:rPr>
        <w:t xml:space="preserve"> </w:t>
      </w:r>
      <w:r>
        <w:rPr>
          <w:color w:val="auto"/>
          <w:highlight w:val="none"/>
          <w:u w:val="single"/>
        </w:rPr>
        <w:t>（</w:t>
      </w:r>
      <w:r>
        <w:rPr>
          <w:rFonts w:hint="eastAsia" w:cs="宋体"/>
          <w:color w:val="auto"/>
          <w:highlight w:val="none"/>
          <w:u w:val="single"/>
        </w:rPr>
        <w:t>职务、姓名</w:t>
      </w:r>
      <w:r>
        <w:rPr>
          <w:color w:val="auto"/>
          <w:highlight w:val="none"/>
          <w:u w:val="single"/>
        </w:rPr>
        <w:t xml:space="preserve">） </w:t>
      </w:r>
      <w:r>
        <w:rPr>
          <w:rFonts w:hint="eastAsia" w:cs="宋体"/>
          <w:color w:val="auto"/>
          <w:highlight w:val="none"/>
        </w:rPr>
        <w:t>为</w:t>
      </w:r>
      <w:r>
        <w:rPr>
          <w:color w:val="auto"/>
          <w:highlight w:val="none"/>
          <w:u w:val="single"/>
        </w:rPr>
        <w:t xml:space="preserve"> （</w:t>
      </w:r>
      <w:r>
        <w:rPr>
          <w:rFonts w:hint="eastAsia" w:cs="宋体"/>
          <w:color w:val="auto"/>
          <w:highlight w:val="none"/>
          <w:u w:val="single"/>
        </w:rPr>
        <w:t>合同工程名称</w:t>
      </w:r>
      <w:r>
        <w:rPr>
          <w:color w:val="auto"/>
          <w:highlight w:val="none"/>
          <w:u w:val="single"/>
        </w:rPr>
        <w:t>）</w:t>
      </w:r>
      <w:r>
        <w:rPr>
          <w:rFonts w:hint="eastAsia"/>
          <w:color w:val="auto"/>
          <w:highlight w:val="none"/>
          <w:u w:val="single"/>
          <w:lang w:val="en-US" w:eastAsia="zh-CN"/>
        </w:rPr>
        <w:t xml:space="preserve"> </w:t>
      </w:r>
      <w:r>
        <w:rPr>
          <w:rFonts w:hint="eastAsia" w:cs="宋体"/>
          <w:color w:val="auto"/>
          <w:highlight w:val="none"/>
        </w:rPr>
        <w:t>的项目经理。凡本合同执行中的有关技术、工程进度、现场管理、质量检验、结算与支付等方面工作，由</w:t>
      </w:r>
      <w:r>
        <w:rPr>
          <w:color w:val="auto"/>
          <w:highlight w:val="none"/>
          <w:u w:val="single"/>
        </w:rPr>
        <w:t xml:space="preserve">  （</w:t>
      </w:r>
      <w:r>
        <w:rPr>
          <w:rFonts w:hint="eastAsia" w:cs="宋体"/>
          <w:color w:val="auto"/>
          <w:highlight w:val="none"/>
          <w:u w:val="single"/>
        </w:rPr>
        <w:t>姓名</w:t>
      </w:r>
      <w:r>
        <w:rPr>
          <w:color w:val="auto"/>
          <w:highlight w:val="none"/>
          <w:u w:val="single"/>
        </w:rPr>
        <w:t xml:space="preserve">）  </w:t>
      </w:r>
      <w:r>
        <w:rPr>
          <w:rFonts w:hint="eastAsia" w:cs="宋体"/>
          <w:color w:val="auto"/>
          <w:highlight w:val="none"/>
        </w:rPr>
        <w:t>代表本单位全面负责。</w:t>
      </w:r>
    </w:p>
    <w:p w14:paraId="0AF38BD3">
      <w:pPr>
        <w:pStyle w:val="22"/>
        <w:spacing w:before="8" w:line="360" w:lineRule="auto"/>
        <w:rPr>
          <w:color w:val="auto"/>
          <w:highlight w:val="none"/>
        </w:rPr>
      </w:pPr>
    </w:p>
    <w:p w14:paraId="6D4EFEAF">
      <w:pPr>
        <w:pStyle w:val="22"/>
        <w:tabs>
          <w:tab w:val="left" w:pos="7027"/>
          <w:tab w:val="left" w:pos="7463"/>
          <w:tab w:val="left" w:pos="8627"/>
        </w:tabs>
        <w:spacing w:before="26" w:line="360" w:lineRule="auto"/>
        <w:ind w:left="4747" w:right="294" w:hanging="764"/>
        <w:jc w:val="right"/>
        <w:rPr>
          <w:color w:val="auto"/>
          <w:highlight w:val="none"/>
        </w:rPr>
      </w:pPr>
      <w:r>
        <w:rPr>
          <w:rFonts w:hint="eastAsia" w:cs="宋体"/>
          <w:color w:val="auto"/>
          <w:highlight w:val="none"/>
          <w:lang w:val="en-US" w:eastAsia="zh-CN"/>
        </w:rPr>
        <w:t xml:space="preserve">    </w:t>
      </w:r>
      <w:r>
        <w:rPr>
          <w:rFonts w:hint="eastAsia" w:cs="宋体"/>
          <w:color w:val="auto"/>
          <w:highlight w:val="none"/>
        </w:rPr>
        <w:t>承包人：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ab/>
      </w:r>
      <w:r>
        <w:rPr>
          <w:rFonts w:hint="eastAsia"/>
          <w:color w:val="auto"/>
          <w:highlight w:val="none"/>
          <w:u w:val="single"/>
          <w:lang w:val="en-US" w:eastAsia="zh-CN"/>
        </w:rPr>
        <w:t xml:space="preserve">  </w:t>
      </w:r>
      <w:r>
        <w:rPr>
          <w:color w:val="auto"/>
          <w:highlight w:val="none"/>
        </w:rPr>
        <w:t>（</w:t>
      </w:r>
      <w:r>
        <w:rPr>
          <w:rFonts w:hint="eastAsia" w:cs="宋体"/>
          <w:color w:val="auto"/>
          <w:highlight w:val="none"/>
        </w:rPr>
        <w:t>盖单位章</w:t>
      </w:r>
      <w:r>
        <w:rPr>
          <w:color w:val="auto"/>
          <w:highlight w:val="none"/>
        </w:rPr>
        <w:t xml:space="preserve">） </w:t>
      </w:r>
    </w:p>
    <w:p w14:paraId="38B72109">
      <w:pPr>
        <w:pStyle w:val="22"/>
        <w:tabs>
          <w:tab w:val="left" w:pos="7027"/>
          <w:tab w:val="left" w:pos="7463"/>
          <w:tab w:val="left" w:pos="8627"/>
        </w:tabs>
        <w:wordWrap w:val="0"/>
        <w:spacing w:before="26" w:line="360" w:lineRule="auto"/>
        <w:ind w:left="4747" w:right="174" w:hanging="764"/>
        <w:jc w:val="right"/>
        <w:rPr>
          <w:color w:val="auto"/>
          <w:highlight w:val="none"/>
        </w:rPr>
      </w:pPr>
      <w:r>
        <w:rPr>
          <w:rFonts w:hint="eastAsia" w:cs="宋体"/>
          <w:color w:val="auto"/>
          <w:highlight w:val="none"/>
        </w:rPr>
        <w:t>法定代表人：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w:t>
      </w:r>
      <w:r>
        <w:rPr>
          <w:rFonts w:hint="eastAsia" w:cs="宋体"/>
          <w:color w:val="auto"/>
          <w:highlight w:val="none"/>
          <w:u w:val="single"/>
        </w:rPr>
        <w:t>职务</w:t>
      </w:r>
      <w:r>
        <w:rPr>
          <w:color w:val="auto"/>
          <w:highlight w:val="none"/>
          <w:u w:val="single"/>
        </w:rPr>
        <w:t>）</w:t>
      </w:r>
      <w:r>
        <w:rPr>
          <w:rFonts w:hint="eastAsia"/>
          <w:color w:val="auto"/>
          <w:highlight w:val="none"/>
          <w:u w:val="single"/>
          <w:lang w:val="en-US" w:eastAsia="zh-CN"/>
        </w:rPr>
        <w:t xml:space="preserve">       </w:t>
      </w:r>
      <w:r>
        <w:rPr>
          <w:color w:val="auto"/>
          <w:highlight w:val="none"/>
          <w:u w:val="single"/>
        </w:rPr>
        <w:t xml:space="preserve"> </w:t>
      </w:r>
    </w:p>
    <w:p w14:paraId="443544B1">
      <w:pPr>
        <w:pStyle w:val="22"/>
        <w:tabs>
          <w:tab w:val="left" w:pos="839"/>
          <w:tab w:val="left" w:pos="2320"/>
        </w:tabs>
        <w:spacing w:before="11" w:line="360" w:lineRule="auto"/>
        <w:ind w:right="217"/>
        <w:jc w:val="right"/>
        <w:rPr>
          <w:color w:val="auto"/>
          <w:highlight w:val="none"/>
        </w:rPr>
      </w:pPr>
      <w:r>
        <w:rPr>
          <w:color w:val="auto"/>
          <w:highlight w:val="none"/>
          <w:u w:val="single"/>
        </w:rPr>
        <w:t xml:space="preserve"> </w:t>
      </w:r>
      <w:r>
        <w:rPr>
          <w:color w:val="auto"/>
          <w:highlight w:val="none"/>
          <w:u w:val="single"/>
        </w:rPr>
        <w:tab/>
      </w:r>
      <w:r>
        <w:rPr>
          <w:color w:val="auto"/>
          <w:highlight w:val="none"/>
          <w:u w:val="single"/>
        </w:rPr>
        <w:t>（</w:t>
      </w:r>
      <w:r>
        <w:rPr>
          <w:rFonts w:hint="eastAsia" w:cs="宋体"/>
          <w:color w:val="auto"/>
          <w:highlight w:val="none"/>
          <w:u w:val="single"/>
        </w:rPr>
        <w:t>姓名</w:t>
      </w:r>
      <w:r>
        <w:rPr>
          <w:color w:val="auto"/>
          <w:highlight w:val="none"/>
          <w:u w:val="single"/>
        </w:rPr>
        <w:t>）</w:t>
      </w:r>
      <w:r>
        <w:rPr>
          <w:color w:val="auto"/>
          <w:highlight w:val="none"/>
          <w:u w:val="single"/>
        </w:rPr>
        <w:tab/>
      </w:r>
    </w:p>
    <w:p w14:paraId="46531A85">
      <w:pPr>
        <w:pStyle w:val="22"/>
        <w:tabs>
          <w:tab w:val="left" w:pos="839"/>
          <w:tab w:val="left" w:pos="2320"/>
        </w:tabs>
        <w:spacing w:before="67" w:line="360" w:lineRule="auto"/>
        <w:ind w:right="217"/>
        <w:jc w:val="right"/>
        <w:rPr>
          <w:color w:val="auto"/>
          <w:highlight w:val="none"/>
          <w:u w:val="single"/>
        </w:rPr>
      </w:pPr>
      <w:r>
        <w:rPr>
          <w:color w:val="auto"/>
          <w:highlight w:val="none"/>
          <w:u w:val="single"/>
        </w:rPr>
        <w:t xml:space="preserve"> </w:t>
      </w:r>
      <w:r>
        <w:rPr>
          <w:color w:val="auto"/>
          <w:highlight w:val="none"/>
          <w:u w:val="single"/>
        </w:rPr>
        <w:tab/>
      </w:r>
      <w:r>
        <w:rPr>
          <w:color w:val="auto"/>
          <w:highlight w:val="none"/>
          <w:u w:val="single"/>
        </w:rPr>
        <w:t>（</w:t>
      </w:r>
      <w:r>
        <w:rPr>
          <w:rFonts w:hint="eastAsia" w:cs="宋体"/>
          <w:color w:val="auto"/>
          <w:highlight w:val="none"/>
          <w:u w:val="single"/>
        </w:rPr>
        <w:t>签字</w:t>
      </w:r>
      <w:r>
        <w:rPr>
          <w:color w:val="auto"/>
          <w:highlight w:val="none"/>
          <w:u w:val="single"/>
        </w:rPr>
        <w:t>）</w:t>
      </w:r>
      <w:r>
        <w:rPr>
          <w:color w:val="auto"/>
          <w:highlight w:val="none"/>
          <w:u w:val="single"/>
        </w:rPr>
        <w:tab/>
      </w:r>
    </w:p>
    <w:p w14:paraId="2579185C">
      <w:pPr>
        <w:pStyle w:val="22"/>
        <w:tabs>
          <w:tab w:val="left" w:pos="839"/>
          <w:tab w:val="left" w:pos="2320"/>
        </w:tabs>
        <w:spacing w:before="67" w:line="360" w:lineRule="auto"/>
        <w:ind w:right="217"/>
        <w:jc w:val="right"/>
        <w:rPr>
          <w:color w:val="auto"/>
          <w:highlight w:val="none"/>
        </w:rPr>
      </w:pPr>
      <w:r>
        <w:rPr>
          <w:color w:val="auto"/>
          <w:highlight w:val="none"/>
          <w:u w:val="single"/>
        </w:rPr>
        <w:t xml:space="preserve"> </w:t>
      </w:r>
      <w:r>
        <w:rPr>
          <w:color w:val="auto"/>
          <w:highlight w:val="none"/>
          <w:u w:val="single"/>
        </w:rPr>
        <w:tab/>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color w:val="auto"/>
          <w:highlight w:val="none"/>
          <w:u w:val="single"/>
        </w:rPr>
        <w:tab/>
      </w:r>
      <w:r>
        <w:rPr>
          <w:rFonts w:hint="eastAsia" w:cs="宋体"/>
          <w:color w:val="auto"/>
          <w:highlight w:val="none"/>
        </w:rPr>
        <w:t>日</w:t>
      </w:r>
    </w:p>
    <w:p w14:paraId="0375D9DE">
      <w:pPr>
        <w:pStyle w:val="22"/>
        <w:spacing w:line="360" w:lineRule="auto"/>
        <w:rPr>
          <w:color w:val="auto"/>
          <w:highlight w:val="none"/>
        </w:rPr>
      </w:pPr>
    </w:p>
    <w:p w14:paraId="420AA7FB">
      <w:pPr>
        <w:pStyle w:val="22"/>
        <w:spacing w:line="360" w:lineRule="auto"/>
        <w:rPr>
          <w:color w:val="auto"/>
          <w:sz w:val="21"/>
          <w:szCs w:val="21"/>
          <w:highlight w:val="none"/>
        </w:rPr>
      </w:pPr>
    </w:p>
    <w:p w14:paraId="2765F6AB">
      <w:pPr>
        <w:pStyle w:val="22"/>
        <w:spacing w:line="360" w:lineRule="auto"/>
        <w:rPr>
          <w:color w:val="auto"/>
          <w:sz w:val="21"/>
          <w:szCs w:val="21"/>
          <w:highlight w:val="none"/>
        </w:rPr>
      </w:pPr>
    </w:p>
    <w:p w14:paraId="5D7B5551">
      <w:pPr>
        <w:pStyle w:val="22"/>
        <w:spacing w:line="360" w:lineRule="auto"/>
        <w:rPr>
          <w:color w:val="auto"/>
          <w:sz w:val="21"/>
          <w:szCs w:val="21"/>
          <w:highlight w:val="none"/>
        </w:rPr>
      </w:pPr>
    </w:p>
    <w:p w14:paraId="4C3B8A56">
      <w:pPr>
        <w:pStyle w:val="22"/>
        <w:spacing w:before="3" w:line="360" w:lineRule="auto"/>
        <w:rPr>
          <w:color w:val="auto"/>
          <w:sz w:val="21"/>
          <w:szCs w:val="21"/>
          <w:highlight w:val="none"/>
        </w:rPr>
      </w:pPr>
    </w:p>
    <w:p w14:paraId="1E381903">
      <w:pPr>
        <w:pStyle w:val="22"/>
        <w:tabs>
          <w:tab w:val="left" w:pos="2224"/>
        </w:tabs>
        <w:spacing w:before="26" w:line="360" w:lineRule="auto"/>
        <w:ind w:left="144" w:right="103"/>
        <w:rPr>
          <w:color w:val="auto"/>
          <w:highlight w:val="none"/>
        </w:rPr>
      </w:pPr>
      <w:r>
        <w:rPr>
          <w:rFonts w:hint="eastAsia" w:cs="宋体"/>
          <w:color w:val="auto"/>
          <w:highlight w:val="none"/>
        </w:rPr>
        <w:t>抄送：</w:t>
      </w:r>
      <w:r>
        <w:rPr>
          <w:color w:val="auto"/>
          <w:highlight w:val="none"/>
        </w:rPr>
        <w:t xml:space="preserve">  </w:t>
      </w:r>
      <w:r>
        <w:rPr>
          <w:color w:val="auto"/>
          <w:highlight w:val="none"/>
          <w:u w:val="single"/>
        </w:rPr>
        <w:t>（</w:t>
      </w:r>
      <w:r>
        <w:rPr>
          <w:rFonts w:hint="eastAsia" w:cs="宋体"/>
          <w:color w:val="auto"/>
          <w:highlight w:val="none"/>
          <w:u w:val="single"/>
        </w:rPr>
        <w:t>监理人</w:t>
      </w:r>
      <w:r>
        <w:rPr>
          <w:color w:val="auto"/>
          <w:highlight w:val="none"/>
          <w:u w:val="single"/>
        </w:rPr>
        <w:t>）</w:t>
      </w:r>
      <w:r>
        <w:rPr>
          <w:color w:val="auto"/>
          <w:highlight w:val="none"/>
          <w:u w:val="single"/>
        </w:rPr>
        <w:tab/>
      </w:r>
    </w:p>
    <w:p w14:paraId="3D13AE0D">
      <w:pPr>
        <w:pStyle w:val="22"/>
        <w:spacing w:before="26" w:line="360" w:lineRule="auto"/>
        <w:ind w:left="144" w:right="7"/>
        <w:rPr>
          <w:b/>
          <w:color w:val="auto"/>
          <w:sz w:val="30"/>
          <w:szCs w:val="30"/>
          <w:highlight w:val="none"/>
        </w:rPr>
      </w:pPr>
    </w:p>
    <w:p w14:paraId="7FFD1E8B">
      <w:pPr>
        <w:pStyle w:val="22"/>
        <w:spacing w:before="26" w:line="360" w:lineRule="auto"/>
        <w:ind w:left="144" w:right="7"/>
        <w:rPr>
          <w:b/>
          <w:color w:val="auto"/>
          <w:sz w:val="30"/>
          <w:szCs w:val="30"/>
          <w:highlight w:val="none"/>
        </w:rPr>
      </w:pPr>
    </w:p>
    <w:p w14:paraId="53F8DB67">
      <w:pPr>
        <w:pStyle w:val="22"/>
        <w:spacing w:before="26" w:line="360" w:lineRule="auto"/>
        <w:ind w:left="144" w:right="7"/>
        <w:rPr>
          <w:b/>
          <w:color w:val="auto"/>
          <w:sz w:val="30"/>
          <w:szCs w:val="30"/>
          <w:highlight w:val="none"/>
        </w:rPr>
      </w:pPr>
    </w:p>
    <w:p w14:paraId="2CC7C251">
      <w:pPr>
        <w:pStyle w:val="22"/>
        <w:spacing w:before="26" w:line="360" w:lineRule="auto"/>
        <w:ind w:left="144" w:right="7"/>
        <w:rPr>
          <w:b/>
          <w:color w:val="auto"/>
          <w:sz w:val="30"/>
          <w:szCs w:val="30"/>
          <w:highlight w:val="none"/>
        </w:rPr>
      </w:pPr>
    </w:p>
    <w:p w14:paraId="5933D682">
      <w:pPr>
        <w:pStyle w:val="22"/>
        <w:spacing w:before="26" w:line="360" w:lineRule="auto"/>
        <w:ind w:right="7"/>
        <w:rPr>
          <w:b/>
          <w:color w:val="auto"/>
          <w:sz w:val="30"/>
          <w:szCs w:val="30"/>
          <w:highlight w:val="none"/>
        </w:rPr>
      </w:pPr>
    </w:p>
    <w:p w14:paraId="0DCE6F62">
      <w:pPr>
        <w:pStyle w:val="22"/>
        <w:spacing w:before="188" w:line="360" w:lineRule="auto"/>
        <w:ind w:right="-6605"/>
        <w:rPr>
          <w:rFonts w:ascii="黑体" w:hAnsi="黑体" w:eastAsia="黑体"/>
          <w:color w:val="auto"/>
          <w:highlight w:val="none"/>
        </w:rPr>
      </w:pPr>
      <w:r>
        <w:rPr>
          <w:rFonts w:ascii="黑体" w:hAnsi="黑体" w:eastAsia="黑体"/>
          <w:color w:val="auto"/>
          <w:highlight w:val="none"/>
        </w:rPr>
        <w:br w:type="page"/>
      </w:r>
    </w:p>
    <w:p w14:paraId="1BFE8EA0">
      <w:pPr>
        <w:pStyle w:val="22"/>
        <w:spacing w:before="0" w:line="360" w:lineRule="auto"/>
        <w:ind w:right="0"/>
        <w:outlineLvl w:val="2"/>
        <w:rPr>
          <w:rStyle w:val="152"/>
          <w:rFonts w:ascii="Times New Roman" w:hAnsi="Times New Roman"/>
          <w:b w:val="0"/>
          <w:bCs w:val="0"/>
          <w:color w:val="auto"/>
          <w:highlight w:val="none"/>
        </w:rPr>
      </w:pPr>
      <w:r>
        <w:rPr>
          <w:rStyle w:val="152"/>
          <w:rFonts w:ascii="Times New Roman" w:hAnsi="Times New Roman"/>
          <w:b w:val="0"/>
          <w:bCs w:val="0"/>
          <w:color w:val="auto"/>
          <w:highlight w:val="none"/>
        </w:rPr>
        <w:t>附件八 履约保证金格式</w:t>
      </w:r>
    </w:p>
    <w:p w14:paraId="19EB40D9">
      <w:pPr>
        <w:pStyle w:val="22"/>
        <w:spacing w:before="26" w:line="360" w:lineRule="auto"/>
        <w:ind w:left="144" w:right="7"/>
        <w:rPr>
          <w:rFonts w:cs="MS Gothic"/>
          <w:bCs/>
          <w:color w:val="auto"/>
          <w:highlight w:val="none"/>
        </w:rPr>
      </w:pPr>
      <w:r>
        <w:rPr>
          <w:rFonts w:hint="eastAsia" w:cs="MS Gothic"/>
          <w:bCs/>
          <w:color w:val="auto"/>
          <w:highlight w:val="none"/>
        </w:rPr>
        <w:t>如采用银行保函，格式如下：</w:t>
      </w:r>
    </w:p>
    <w:p w14:paraId="67DF594A">
      <w:pPr>
        <w:pStyle w:val="22"/>
        <w:spacing w:before="8"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履约保证金</w:t>
      </w:r>
    </w:p>
    <w:p w14:paraId="360149C2">
      <w:pPr>
        <w:pStyle w:val="22"/>
        <w:spacing w:before="8" w:line="360" w:lineRule="auto"/>
        <w:jc w:val="center"/>
        <w:rPr>
          <w:color w:val="auto"/>
          <w:sz w:val="28"/>
          <w:szCs w:val="28"/>
          <w:highlight w:val="none"/>
        </w:rPr>
      </w:pPr>
    </w:p>
    <w:p w14:paraId="0D38407C">
      <w:pPr>
        <w:pStyle w:val="22"/>
        <w:tabs>
          <w:tab w:val="left" w:pos="2483"/>
        </w:tabs>
        <w:spacing w:line="360" w:lineRule="auto"/>
        <w:ind w:left="0" w:right="7"/>
        <w:rPr>
          <w:color w:val="auto"/>
          <w:highlight w:val="none"/>
        </w:rPr>
      </w:pPr>
      <w:r>
        <w:rPr>
          <w:color w:val="auto"/>
          <w:highlight w:val="none"/>
          <w:u w:val="single"/>
        </w:rPr>
        <w:t xml:space="preserve"> </w:t>
      </w:r>
      <w:r>
        <w:rPr>
          <w:color w:val="auto"/>
          <w:highlight w:val="none"/>
          <w:u w:val="single"/>
        </w:rPr>
        <w:tab/>
      </w:r>
      <w:r>
        <w:rPr>
          <w:color w:val="auto"/>
          <w:highlight w:val="none"/>
        </w:rPr>
        <w:t>（</w:t>
      </w:r>
      <w:r>
        <w:rPr>
          <w:rFonts w:hint="eastAsia" w:cs="宋体"/>
          <w:color w:val="auto"/>
          <w:highlight w:val="none"/>
        </w:rPr>
        <w:t>发包人名称</w:t>
      </w:r>
      <w:r>
        <w:rPr>
          <w:color w:val="auto"/>
          <w:highlight w:val="none"/>
        </w:rPr>
        <w:t>）</w:t>
      </w:r>
      <w:r>
        <w:rPr>
          <w:rFonts w:hint="eastAsia" w:cs="宋体"/>
          <w:color w:val="auto"/>
          <w:highlight w:val="none"/>
        </w:rPr>
        <w:t>：</w:t>
      </w:r>
    </w:p>
    <w:p w14:paraId="3C344231">
      <w:pPr>
        <w:pStyle w:val="22"/>
        <w:tabs>
          <w:tab w:val="left" w:pos="3143"/>
          <w:tab w:val="left" w:pos="3795"/>
          <w:tab w:val="left" w:pos="4935"/>
          <w:tab w:val="left" w:pos="7605"/>
          <w:tab w:val="left" w:pos="8020"/>
        </w:tabs>
        <w:spacing w:line="360" w:lineRule="auto"/>
        <w:ind w:right="102" w:firstLine="480" w:firstLineChars="200"/>
        <w:rPr>
          <w:rFonts w:hint="eastAsia" w:cs="宋体"/>
          <w:color w:val="auto"/>
          <w:highlight w:val="none"/>
        </w:rPr>
      </w:pPr>
    </w:p>
    <w:p w14:paraId="556B7C4A">
      <w:pPr>
        <w:pStyle w:val="22"/>
        <w:tabs>
          <w:tab w:val="left" w:pos="3143"/>
          <w:tab w:val="left" w:pos="3795"/>
          <w:tab w:val="left" w:pos="4935"/>
          <w:tab w:val="left" w:pos="7605"/>
          <w:tab w:val="left" w:pos="8020"/>
        </w:tabs>
        <w:spacing w:line="360" w:lineRule="auto"/>
        <w:ind w:right="102" w:firstLine="480" w:firstLineChars="200"/>
        <w:rPr>
          <w:color w:val="auto"/>
          <w:highlight w:val="none"/>
        </w:rPr>
      </w:pPr>
      <w:r>
        <w:rPr>
          <w:rFonts w:hint="eastAsia" w:cs="宋体"/>
          <w:color w:val="auto"/>
          <w:highlight w:val="none"/>
        </w:rPr>
        <w:t>鉴于</w:t>
      </w:r>
      <w:r>
        <w:rPr>
          <w:color w:val="auto"/>
          <w:highlight w:val="none"/>
          <w:u w:val="single"/>
        </w:rPr>
        <w:t xml:space="preserve">          </w:t>
      </w:r>
      <w:r>
        <w:rPr>
          <w:color w:val="auto"/>
          <w:spacing w:val="0"/>
          <w:highlight w:val="none"/>
        </w:rPr>
        <w:t>（</w:t>
      </w:r>
      <w:r>
        <w:rPr>
          <w:rFonts w:hint="eastAsia" w:cs="宋体"/>
          <w:color w:val="auto"/>
          <w:spacing w:val="0"/>
          <w:highlight w:val="none"/>
        </w:rPr>
        <w:t>发包人名称，以下简称</w:t>
      </w:r>
      <w:r>
        <w:rPr>
          <w:color w:val="auto"/>
          <w:spacing w:val="0"/>
          <w:highlight w:val="none"/>
        </w:rPr>
        <w:t>“</w:t>
      </w:r>
      <w:r>
        <w:rPr>
          <w:rFonts w:hint="eastAsia" w:cs="宋体"/>
          <w:color w:val="auto"/>
          <w:spacing w:val="0"/>
          <w:highlight w:val="none"/>
        </w:rPr>
        <w:t>发包人</w:t>
      </w:r>
      <w:r>
        <w:rPr>
          <w:color w:val="auto"/>
          <w:spacing w:val="0"/>
          <w:highlight w:val="none"/>
        </w:rPr>
        <w:t>”）</w:t>
      </w:r>
      <w:r>
        <w:rPr>
          <w:rFonts w:hint="eastAsia" w:cs="宋体"/>
          <w:color w:val="auto"/>
          <w:spacing w:val="0"/>
          <w:highlight w:val="none"/>
        </w:rPr>
        <w:t>接受</w:t>
      </w:r>
      <w:r>
        <w:rPr>
          <w:color w:val="auto"/>
          <w:spacing w:val="0"/>
          <w:highlight w:val="none"/>
          <w:u w:val="single"/>
        </w:rPr>
        <w:t xml:space="preserve">  </w:t>
      </w:r>
      <w:r>
        <w:rPr>
          <w:rFonts w:hint="eastAsia"/>
          <w:color w:val="auto"/>
          <w:spacing w:val="0"/>
          <w:highlight w:val="none"/>
          <w:u w:val="single"/>
          <w:lang w:val="en-US" w:eastAsia="zh-CN"/>
        </w:rPr>
        <w:t xml:space="preserve"> </w:t>
      </w:r>
      <w:r>
        <w:rPr>
          <w:color w:val="auto"/>
          <w:spacing w:val="0"/>
          <w:highlight w:val="none"/>
          <w:u w:val="single"/>
        </w:rPr>
        <w:t xml:space="preserve">    </w:t>
      </w:r>
      <w:r>
        <w:rPr>
          <w:color w:val="auto"/>
          <w:spacing w:val="0"/>
          <w:highlight w:val="none"/>
          <w:u w:val="single"/>
        </w:rPr>
        <w:tab/>
      </w:r>
      <w:r>
        <w:rPr>
          <w:color w:val="auto"/>
          <w:highlight w:val="none"/>
        </w:rPr>
        <w:t>（</w:t>
      </w:r>
      <w:r>
        <w:rPr>
          <w:rFonts w:hint="eastAsia" w:cs="宋体"/>
          <w:color w:val="auto"/>
          <w:highlight w:val="none"/>
        </w:rPr>
        <w:t>承包人</w:t>
      </w:r>
      <w:r>
        <w:rPr>
          <w:rFonts w:hint="eastAsia" w:cs="宋体"/>
          <w:color w:val="auto"/>
          <w:spacing w:val="0"/>
          <w:highlight w:val="none"/>
        </w:rPr>
        <w:t>名称</w:t>
      </w:r>
      <w:r>
        <w:rPr>
          <w:color w:val="auto"/>
          <w:spacing w:val="0"/>
          <w:highlight w:val="none"/>
        </w:rPr>
        <w:t>）（</w:t>
      </w:r>
      <w:r>
        <w:rPr>
          <w:rFonts w:hint="eastAsia" w:cs="宋体"/>
          <w:color w:val="auto"/>
          <w:spacing w:val="0"/>
          <w:highlight w:val="none"/>
        </w:rPr>
        <w:t>以下称</w:t>
      </w:r>
      <w:r>
        <w:rPr>
          <w:color w:val="auto"/>
          <w:spacing w:val="0"/>
          <w:highlight w:val="none"/>
        </w:rPr>
        <w:t>“</w:t>
      </w:r>
      <w:r>
        <w:rPr>
          <w:rFonts w:hint="eastAsia" w:cs="宋体"/>
          <w:color w:val="auto"/>
          <w:spacing w:val="0"/>
          <w:highlight w:val="none"/>
        </w:rPr>
        <w:t>承包人</w:t>
      </w:r>
      <w:r>
        <w:rPr>
          <w:color w:val="auto"/>
          <w:spacing w:val="0"/>
          <w:highlight w:val="none"/>
        </w:rPr>
        <w:t>”）</w:t>
      </w:r>
      <w:r>
        <w:rPr>
          <w:rFonts w:hint="eastAsia" w:cs="宋体"/>
          <w:color w:val="auto"/>
          <w:spacing w:val="0"/>
          <w:highlight w:val="none"/>
        </w:rPr>
        <w:t>于</w:t>
      </w:r>
      <w:r>
        <w:rPr>
          <w:color w:val="auto"/>
          <w:spacing w:val="0"/>
          <w:highlight w:val="none"/>
          <w:u w:val="single"/>
        </w:rPr>
        <w:t xml:space="preserve">  </w:t>
      </w:r>
      <w:r>
        <w:rPr>
          <w:color w:val="auto"/>
          <w:spacing w:val="15"/>
          <w:highlight w:val="none"/>
          <w:u w:val="single"/>
        </w:rPr>
        <w:t xml:space="preserve">  </w:t>
      </w:r>
      <w:r>
        <w:rPr>
          <w:rFonts w:hint="eastAsia" w:cs="宋体"/>
          <w:color w:val="auto"/>
          <w:spacing w:val="19"/>
          <w:highlight w:val="none"/>
        </w:rPr>
        <w:t>年</w:t>
      </w:r>
      <w:r>
        <w:rPr>
          <w:color w:val="auto"/>
          <w:spacing w:val="19"/>
          <w:highlight w:val="none"/>
          <w:u w:val="single"/>
        </w:rPr>
        <w:t xml:space="preserve">  </w:t>
      </w:r>
      <w:r>
        <w:rPr>
          <w:rFonts w:hint="eastAsia" w:cs="宋体"/>
          <w:color w:val="auto"/>
          <w:spacing w:val="18"/>
          <w:highlight w:val="none"/>
        </w:rPr>
        <w:t>月</w:t>
      </w:r>
      <w:r>
        <w:rPr>
          <w:color w:val="auto"/>
          <w:spacing w:val="18"/>
          <w:highlight w:val="none"/>
          <w:u w:val="single"/>
        </w:rPr>
        <w:t xml:space="preserve">  </w:t>
      </w:r>
      <w:r>
        <w:rPr>
          <w:rFonts w:hint="eastAsia" w:cs="宋体"/>
          <w:color w:val="auto"/>
          <w:spacing w:val="18"/>
          <w:highlight w:val="none"/>
        </w:rPr>
        <w:t>日参加</w:t>
      </w:r>
      <w:r>
        <w:rPr>
          <w:color w:val="auto"/>
          <w:spacing w:val="18"/>
          <w:highlight w:val="none"/>
          <w:u w:val="single"/>
        </w:rPr>
        <w:t xml:space="preserve">   </w:t>
      </w:r>
      <w:r>
        <w:rPr>
          <w:rFonts w:hint="eastAsia"/>
          <w:color w:val="auto"/>
          <w:spacing w:val="18"/>
          <w:highlight w:val="none"/>
          <w:u w:val="single"/>
          <w:lang w:val="en-US" w:eastAsia="zh-CN"/>
        </w:rPr>
        <w:t xml:space="preserve"> </w:t>
      </w:r>
      <w:r>
        <w:rPr>
          <w:color w:val="auto"/>
          <w:spacing w:val="18"/>
          <w:highlight w:val="none"/>
          <w:u w:val="single"/>
        </w:rPr>
        <w:t xml:space="preserve"> </w:t>
      </w:r>
      <w:r>
        <w:rPr>
          <w:rFonts w:hint="eastAsia"/>
          <w:color w:val="auto"/>
          <w:spacing w:val="18"/>
          <w:highlight w:val="none"/>
          <w:u w:val="single"/>
          <w:lang w:val="en-US" w:eastAsia="zh-CN"/>
        </w:rPr>
        <w:t xml:space="preserve"> </w:t>
      </w:r>
      <w:r>
        <w:rPr>
          <w:color w:val="auto"/>
          <w:spacing w:val="18"/>
          <w:highlight w:val="none"/>
          <w:u w:val="single"/>
        </w:rPr>
        <w:t xml:space="preserve">   </w:t>
      </w:r>
      <w:r>
        <w:rPr>
          <w:color w:val="auto"/>
          <w:spacing w:val="15"/>
          <w:highlight w:val="none"/>
        </w:rPr>
        <w:t>（</w:t>
      </w:r>
      <w:r>
        <w:rPr>
          <w:rFonts w:hint="eastAsia"/>
          <w:color w:val="auto"/>
          <w:spacing w:val="15"/>
          <w:highlight w:val="none"/>
          <w:lang w:val="en-US" w:eastAsia="zh-CN"/>
        </w:rPr>
        <w:t>招标</w:t>
      </w:r>
      <w:r>
        <w:rPr>
          <w:rFonts w:hint="eastAsia" w:cs="宋体"/>
          <w:color w:val="auto"/>
          <w:spacing w:val="15"/>
          <w:highlight w:val="none"/>
        </w:rPr>
        <w:t>项目名称</w:t>
      </w:r>
      <w:r>
        <w:rPr>
          <w:color w:val="auto"/>
          <w:spacing w:val="15"/>
          <w:highlight w:val="none"/>
        </w:rPr>
        <w:t>）</w:t>
      </w:r>
      <w:r>
        <w:rPr>
          <w:rFonts w:hint="eastAsia"/>
          <w:color w:val="auto"/>
          <w:spacing w:val="15"/>
          <w:highlight w:val="none"/>
          <w:lang w:val="en-US" w:eastAsia="zh-CN"/>
        </w:rPr>
        <w:t>招标</w:t>
      </w:r>
      <w:r>
        <w:rPr>
          <w:rFonts w:hint="eastAsia" w:cs="宋体"/>
          <w:color w:val="auto"/>
          <w:spacing w:val="-3"/>
          <w:highlight w:val="none"/>
        </w:rPr>
        <w:t>第</w:t>
      </w:r>
      <w:r>
        <w:rPr>
          <w:color w:val="auto"/>
          <w:spacing w:val="15"/>
          <w:highlight w:val="none"/>
          <w:u w:val="single"/>
        </w:rPr>
        <w:t xml:space="preserve">   </w:t>
      </w:r>
      <w:r>
        <w:rPr>
          <w:rFonts w:hint="eastAsia" w:cs="宋体"/>
          <w:color w:val="auto"/>
          <w:spacing w:val="-3"/>
          <w:highlight w:val="none"/>
        </w:rPr>
        <w:t>标段的投标。我方愿意无条件地、不可撤销地就承包人履行与你方订立的合同，</w:t>
      </w:r>
      <w:r>
        <w:rPr>
          <w:color w:val="auto"/>
          <w:spacing w:val="-3"/>
          <w:highlight w:val="none"/>
        </w:rPr>
        <w:t xml:space="preserve"> </w:t>
      </w:r>
      <w:r>
        <w:rPr>
          <w:rFonts w:hint="eastAsia" w:cs="宋体"/>
          <w:color w:val="auto"/>
          <w:highlight w:val="none"/>
        </w:rPr>
        <w:t>向你方提供担保。</w:t>
      </w:r>
    </w:p>
    <w:p w14:paraId="4E1139E4">
      <w:pPr>
        <w:pStyle w:val="22"/>
        <w:tabs>
          <w:tab w:val="left" w:pos="5164"/>
          <w:tab w:val="left" w:pos="7285"/>
        </w:tabs>
        <w:spacing w:line="360" w:lineRule="auto"/>
        <w:ind w:left="623" w:right="7"/>
        <w:rPr>
          <w:color w:val="auto"/>
          <w:highlight w:val="none"/>
        </w:rPr>
      </w:pPr>
      <w:r>
        <w:rPr>
          <w:color w:val="auto"/>
          <w:highlight w:val="none"/>
        </w:rPr>
        <w:t>1.</w:t>
      </w:r>
      <w:r>
        <w:rPr>
          <w:rFonts w:hint="eastAsia" w:cs="宋体"/>
          <w:color w:val="auto"/>
          <w:highlight w:val="none"/>
        </w:rPr>
        <w:t>担保金额人民币</w:t>
      </w:r>
      <w:r>
        <w:rPr>
          <w:color w:val="auto"/>
          <w:highlight w:val="none"/>
        </w:rPr>
        <w:t>（</w:t>
      </w:r>
      <w:r>
        <w:rPr>
          <w:rFonts w:hint="eastAsia" w:cs="宋体"/>
          <w:color w:val="auto"/>
          <w:highlight w:val="none"/>
        </w:rPr>
        <w:t>大写</w:t>
      </w:r>
      <w:r>
        <w:rPr>
          <w:color w:val="auto"/>
          <w:highlight w:val="none"/>
        </w:rPr>
        <w:t>）</w:t>
      </w:r>
      <w:r>
        <w:rPr>
          <w:color w:val="auto"/>
          <w:highlight w:val="none"/>
          <w:u w:val="single"/>
        </w:rPr>
        <w:tab/>
      </w:r>
      <w:r>
        <w:rPr>
          <w:rFonts w:hint="eastAsia" w:cs="宋体"/>
          <w:color w:val="auto"/>
          <w:highlight w:val="none"/>
        </w:rPr>
        <w:t>元</w:t>
      </w:r>
      <w:r>
        <w:rPr>
          <w:color w:val="auto"/>
          <w:highlight w:val="none"/>
        </w:rPr>
        <w:t>（¥</w:t>
      </w:r>
      <w:r>
        <w:rPr>
          <w:color w:val="auto"/>
          <w:highlight w:val="none"/>
          <w:u w:val="single"/>
        </w:rPr>
        <w:t xml:space="preserve"> </w:t>
      </w:r>
      <w:r>
        <w:rPr>
          <w:color w:val="auto"/>
          <w:highlight w:val="none"/>
          <w:u w:val="single"/>
        </w:rPr>
        <w:tab/>
      </w:r>
      <w:r>
        <w:rPr>
          <w:color w:val="auto"/>
          <w:highlight w:val="none"/>
        </w:rPr>
        <w:t>）</w:t>
      </w:r>
      <w:r>
        <w:rPr>
          <w:rFonts w:hint="eastAsia" w:cs="宋体"/>
          <w:color w:val="auto"/>
          <w:highlight w:val="none"/>
        </w:rPr>
        <w:t>。</w:t>
      </w:r>
    </w:p>
    <w:p w14:paraId="0BA8AC5E">
      <w:pPr>
        <w:pStyle w:val="22"/>
        <w:spacing w:line="360" w:lineRule="auto"/>
        <w:ind w:left="143" w:right="7" w:firstLine="480"/>
        <w:rPr>
          <w:rFonts w:cs="宋体"/>
          <w:color w:val="auto"/>
          <w:highlight w:val="none"/>
        </w:rPr>
      </w:pPr>
      <w:r>
        <w:rPr>
          <w:color w:val="auto"/>
          <w:highlight w:val="none"/>
        </w:rPr>
        <w:t>2.</w:t>
      </w:r>
      <w:r>
        <w:rPr>
          <w:rFonts w:hint="eastAsia" w:cs="宋体"/>
          <w:color w:val="auto"/>
          <w:highlight w:val="none"/>
        </w:rPr>
        <w:t>担保有效期自发包人与承包人签订的合同生效之日起至发包人签发交工验收证书且承包人按照合同约定缴纳质量保证金之日止。</w:t>
      </w:r>
      <w:r>
        <w:rPr>
          <w:rStyle w:val="59"/>
          <w:rFonts w:cs="宋体"/>
          <w:color w:val="auto"/>
          <w:highlight w:val="none"/>
        </w:rPr>
        <w:footnoteReference w:id="261"/>
      </w:r>
    </w:p>
    <w:p w14:paraId="23B52BFD">
      <w:pPr>
        <w:pStyle w:val="22"/>
        <w:spacing w:line="360" w:lineRule="auto"/>
        <w:ind w:left="143" w:right="7" w:firstLine="480"/>
        <w:rPr>
          <w:color w:val="auto"/>
          <w:highlight w:val="none"/>
        </w:rPr>
      </w:pPr>
      <w:r>
        <w:rPr>
          <w:color w:val="auto"/>
          <w:highlight w:val="none"/>
        </w:rPr>
        <w:t>3.</w:t>
      </w:r>
      <w:r>
        <w:rPr>
          <w:rFonts w:hint="eastAsia"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cs="宋体"/>
          <w:color w:val="auto"/>
          <w:highlight w:val="none"/>
          <w:lang w:val="en-US" w:eastAsia="zh-CN"/>
        </w:rPr>
        <w:t>日</w:t>
      </w:r>
      <w:r>
        <w:rPr>
          <w:rFonts w:hint="eastAsia" w:cs="宋体"/>
          <w:color w:val="auto"/>
          <w:highlight w:val="none"/>
        </w:rPr>
        <w:t>内无条件支付，无须你方出具证明或陈述理由。</w:t>
      </w:r>
    </w:p>
    <w:p w14:paraId="249CBE4D">
      <w:pPr>
        <w:pStyle w:val="22"/>
        <w:spacing w:line="360" w:lineRule="auto"/>
        <w:ind w:left="143" w:right="7" w:firstLine="480"/>
        <w:rPr>
          <w:color w:val="auto"/>
          <w:highlight w:val="none"/>
        </w:rPr>
      </w:pPr>
      <w:r>
        <w:rPr>
          <w:color w:val="auto"/>
          <w:highlight w:val="none"/>
        </w:rPr>
        <w:t>4.</w:t>
      </w:r>
      <w:r>
        <w:rPr>
          <w:rFonts w:hint="eastAsia" w:cs="宋体"/>
          <w:color w:val="auto"/>
          <w:highlight w:val="none"/>
        </w:rPr>
        <w:t>发包人和承包人按合同条款第</w:t>
      </w:r>
      <w:r>
        <w:rPr>
          <w:color w:val="auto"/>
          <w:highlight w:val="none"/>
        </w:rPr>
        <w:t>15</w:t>
      </w:r>
      <w:r>
        <w:rPr>
          <w:rFonts w:hint="eastAsia" w:cs="宋体"/>
          <w:color w:val="auto"/>
          <w:highlight w:val="none"/>
        </w:rPr>
        <w:t>条变更合同时，无论我方是否收到该变更，我方承担本担保规定的义务不变。</w:t>
      </w:r>
    </w:p>
    <w:p w14:paraId="6D042095">
      <w:pPr>
        <w:pStyle w:val="22"/>
        <w:spacing w:line="360" w:lineRule="auto"/>
        <w:rPr>
          <w:color w:val="auto"/>
          <w:highlight w:val="none"/>
        </w:rPr>
      </w:pPr>
    </w:p>
    <w:p w14:paraId="35B60A8F">
      <w:pPr>
        <w:pStyle w:val="22"/>
        <w:tabs>
          <w:tab w:val="left" w:pos="4360"/>
          <w:tab w:val="left" w:pos="7600"/>
          <w:tab w:val="left" w:pos="8080"/>
          <w:tab w:val="left" w:pos="8543"/>
          <w:tab w:val="left" w:pos="8680"/>
        </w:tabs>
        <w:spacing w:line="360" w:lineRule="auto"/>
        <w:ind w:right="321" w:firstLine="2520" w:firstLineChars="1050"/>
        <w:rPr>
          <w:color w:val="auto"/>
          <w:highlight w:val="none"/>
        </w:rPr>
      </w:pPr>
      <w:r>
        <w:rPr>
          <w:rFonts w:hint="eastAsia" w:cs="宋体"/>
          <w:color w:val="auto"/>
          <w:highlight w:val="none"/>
        </w:rPr>
        <w:t>担</w:t>
      </w:r>
      <w:r>
        <w:rPr>
          <w:color w:val="auto"/>
          <w:highlight w:val="none"/>
        </w:rPr>
        <w:t xml:space="preserve"> </w:t>
      </w:r>
      <w:r>
        <w:rPr>
          <w:rFonts w:hint="eastAsia" w:cs="宋体"/>
          <w:color w:val="auto"/>
          <w:highlight w:val="none"/>
        </w:rPr>
        <w:t>保</w:t>
      </w:r>
      <w:r>
        <w:rPr>
          <w:color w:val="auto"/>
          <w:highlight w:val="none"/>
        </w:rPr>
        <w:t xml:space="preserve"> </w:t>
      </w:r>
      <w:r>
        <w:rPr>
          <w:rFonts w:hint="eastAsia" w:cs="宋体"/>
          <w:color w:val="auto"/>
          <w:highlight w:val="none"/>
        </w:rPr>
        <w:t>人：</w:t>
      </w:r>
      <w:r>
        <w:rPr>
          <w:rFonts w:cs="宋体"/>
          <w:color w:val="auto"/>
          <w:highlight w:val="none"/>
          <w:u w:val="single"/>
        </w:rPr>
        <w:t xml:space="preserve">  </w:t>
      </w:r>
      <w:r>
        <w:rPr>
          <w:color w:val="auto"/>
          <w:highlight w:val="none"/>
          <w:u w:val="single"/>
        </w:rPr>
        <w:t xml:space="preserve">       </w:t>
      </w:r>
      <w:r>
        <w:rPr>
          <w:rFonts w:cs="宋体"/>
          <w:color w:val="auto"/>
          <w:highlight w:val="none"/>
        </w:rPr>
        <w:t xml:space="preserve"> </w:t>
      </w:r>
      <w:r>
        <w:rPr>
          <w:rFonts w:hint="eastAsia" w:cs="宋体"/>
          <w:color w:val="auto"/>
          <w:highlight w:val="none"/>
        </w:rPr>
        <w:t>（盖单位章或</w:t>
      </w:r>
      <w:r>
        <w:rPr>
          <w:rFonts w:cs="宋体"/>
          <w:color w:val="auto"/>
          <w:highlight w:val="none"/>
        </w:rPr>
        <w:t>业务专用章</w:t>
      </w:r>
      <w:r>
        <w:rPr>
          <w:rFonts w:hint="eastAsia" w:cs="宋体"/>
          <w:color w:val="auto"/>
          <w:highlight w:val="none"/>
        </w:rPr>
        <w:t>）</w:t>
      </w:r>
    </w:p>
    <w:p w14:paraId="11B97344">
      <w:pPr>
        <w:pStyle w:val="22"/>
        <w:tabs>
          <w:tab w:val="left" w:pos="4360"/>
          <w:tab w:val="left" w:pos="7600"/>
          <w:tab w:val="left" w:pos="8080"/>
          <w:tab w:val="left" w:pos="8543"/>
          <w:tab w:val="left" w:pos="8680"/>
        </w:tabs>
        <w:spacing w:line="360" w:lineRule="auto"/>
        <w:ind w:right="321" w:firstLine="2520" w:firstLineChars="1050"/>
        <w:rPr>
          <w:rFonts w:hint="eastAsia" w:cs="宋体"/>
          <w:color w:val="auto"/>
          <w:highlight w:val="none"/>
        </w:rPr>
      </w:pPr>
      <w:r>
        <w:rPr>
          <w:rFonts w:hint="eastAsia" w:cs="宋体"/>
          <w:color w:val="auto"/>
          <w:highlight w:val="none"/>
        </w:rPr>
        <w:t>法定代表人</w:t>
      </w:r>
    </w:p>
    <w:p w14:paraId="15537083">
      <w:pPr>
        <w:pStyle w:val="22"/>
        <w:tabs>
          <w:tab w:val="left" w:pos="4360"/>
          <w:tab w:val="left" w:pos="7600"/>
          <w:tab w:val="left" w:pos="8080"/>
          <w:tab w:val="left" w:pos="8543"/>
          <w:tab w:val="left" w:pos="8680"/>
        </w:tabs>
        <w:spacing w:line="360" w:lineRule="auto"/>
        <w:ind w:right="321" w:firstLine="2520" w:firstLineChars="1050"/>
        <w:rPr>
          <w:color w:val="auto"/>
          <w:highlight w:val="none"/>
        </w:rPr>
      </w:pPr>
      <w:r>
        <w:rPr>
          <w:rFonts w:hint="eastAsia" w:cs="宋体"/>
          <w:color w:val="auto"/>
          <w:highlight w:val="none"/>
        </w:rPr>
        <w:t>或单位</w:t>
      </w:r>
      <w:r>
        <w:rPr>
          <w:rFonts w:cs="宋体"/>
          <w:color w:val="auto"/>
          <w:highlight w:val="none"/>
        </w:rPr>
        <w:t>负责</w:t>
      </w:r>
      <w:r>
        <w:rPr>
          <w:rFonts w:hint="eastAsia" w:cs="宋体"/>
          <w:color w:val="auto"/>
          <w:highlight w:val="none"/>
        </w:rPr>
        <w:t>人（或其委托代理人）：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r>
        <w:rPr>
          <w:rFonts w:hint="eastAsia" w:cs="宋体"/>
          <w:color w:val="auto"/>
          <w:highlight w:val="none"/>
        </w:rPr>
        <w:t>签字</w:t>
      </w:r>
      <w:r>
        <w:rPr>
          <w:color w:val="auto"/>
          <w:highlight w:val="none"/>
        </w:rPr>
        <w:t>）</w:t>
      </w:r>
    </w:p>
    <w:p w14:paraId="57795941">
      <w:pPr>
        <w:pStyle w:val="22"/>
        <w:tabs>
          <w:tab w:val="left" w:pos="3885"/>
          <w:tab w:val="left" w:pos="8205"/>
          <w:tab w:val="left" w:pos="8543"/>
          <w:tab w:val="left" w:pos="8680"/>
        </w:tabs>
        <w:spacing w:line="360" w:lineRule="auto"/>
        <w:ind w:right="321" w:firstLine="2520" w:firstLineChars="1050"/>
        <w:rPr>
          <w:color w:val="auto"/>
          <w:highlight w:val="none"/>
        </w:rPr>
      </w:pPr>
      <w:r>
        <w:rPr>
          <w:rFonts w:hint="eastAsia" w:cs="宋体"/>
          <w:color w:val="auto"/>
          <w:highlight w:val="none"/>
        </w:rPr>
        <w:t>地</w:t>
      </w:r>
      <w:r>
        <w:rPr>
          <w:color w:val="auto"/>
          <w:highlight w:val="none"/>
        </w:rPr>
        <w:t xml:space="preserve">    </w:t>
      </w:r>
      <w:r>
        <w:rPr>
          <w:rFonts w:hint="eastAsia" w:cs="宋体"/>
          <w:color w:val="auto"/>
          <w:highlight w:val="none"/>
        </w:rPr>
        <w:t>址：</w:t>
      </w:r>
      <w:r>
        <w:rPr>
          <w:rFonts w:cs="宋体"/>
          <w:color w:val="auto"/>
          <w:highlight w:val="none"/>
          <w:u w:val="single"/>
        </w:rPr>
        <w:t xml:space="preserve">                     </w:t>
      </w:r>
      <w:r>
        <w:rPr>
          <w:color w:val="auto"/>
          <w:highlight w:val="none"/>
        </w:rPr>
        <w:t xml:space="preserve">     </w:t>
      </w:r>
    </w:p>
    <w:p w14:paraId="1B09936F">
      <w:pPr>
        <w:pStyle w:val="22"/>
        <w:tabs>
          <w:tab w:val="left" w:pos="5805"/>
          <w:tab w:val="left" w:pos="7600"/>
          <w:tab w:val="left" w:pos="8080"/>
          <w:tab w:val="left" w:pos="8543"/>
          <w:tab w:val="left" w:pos="8680"/>
        </w:tabs>
        <w:spacing w:line="360" w:lineRule="auto"/>
        <w:ind w:right="321" w:firstLine="2520" w:firstLineChars="1050"/>
        <w:rPr>
          <w:color w:val="auto"/>
          <w:highlight w:val="none"/>
        </w:rPr>
      </w:pPr>
      <w:r>
        <w:rPr>
          <w:rFonts w:hint="eastAsia" w:cs="宋体"/>
          <w:color w:val="auto"/>
          <w:highlight w:val="none"/>
        </w:rPr>
        <w:t>邮政编码：</w:t>
      </w:r>
      <w:r>
        <w:rPr>
          <w:color w:val="auto"/>
          <w:highlight w:val="none"/>
          <w:u w:val="single"/>
        </w:rPr>
        <w:tab/>
      </w:r>
      <w:r>
        <w:rPr>
          <w:color w:val="auto"/>
          <w:highlight w:val="none"/>
          <w:u w:val="single"/>
        </w:rPr>
        <w:t xml:space="preserve"> </w:t>
      </w:r>
      <w:r>
        <w:rPr>
          <w:color w:val="auto"/>
          <w:highlight w:val="none"/>
        </w:rPr>
        <w:t xml:space="preserve"> </w:t>
      </w:r>
    </w:p>
    <w:p w14:paraId="0C4E1AE3">
      <w:pPr>
        <w:pStyle w:val="22"/>
        <w:tabs>
          <w:tab w:val="left" w:pos="6165"/>
          <w:tab w:val="left" w:pos="8085"/>
          <w:tab w:val="left" w:pos="8543"/>
          <w:tab w:val="left" w:pos="8680"/>
        </w:tabs>
        <w:spacing w:line="360" w:lineRule="auto"/>
        <w:ind w:right="321" w:firstLine="2520" w:firstLineChars="1050"/>
        <w:rPr>
          <w:color w:val="auto"/>
          <w:highlight w:val="none"/>
        </w:rPr>
      </w:pPr>
      <w:r>
        <w:rPr>
          <w:rFonts w:hint="eastAsia" w:cs="宋体"/>
          <w:color w:val="auto"/>
          <w:highlight w:val="none"/>
        </w:rPr>
        <w:t>电</w:t>
      </w:r>
      <w:r>
        <w:rPr>
          <w:rFonts w:cs="宋体"/>
          <w:color w:val="auto"/>
          <w:highlight w:val="none"/>
        </w:rPr>
        <w:t xml:space="preserve">    </w:t>
      </w:r>
      <w:r>
        <w:rPr>
          <w:rFonts w:hint="eastAsia" w:cs="宋体"/>
          <w:color w:val="auto"/>
          <w:highlight w:val="none"/>
        </w:rPr>
        <w:t>话：</w:t>
      </w:r>
      <w:r>
        <w:rPr>
          <w:color w:val="auto"/>
          <w:highlight w:val="none"/>
          <w:u w:val="single"/>
        </w:rPr>
        <w:tab/>
      </w:r>
      <w:r>
        <w:rPr>
          <w:color w:val="auto"/>
          <w:highlight w:val="none"/>
        </w:rPr>
        <w:t xml:space="preserve"> </w:t>
      </w:r>
    </w:p>
    <w:p w14:paraId="2AF4ED95">
      <w:pPr>
        <w:pStyle w:val="22"/>
        <w:tabs>
          <w:tab w:val="left" w:pos="6045"/>
          <w:tab w:val="left" w:pos="7600"/>
          <w:tab w:val="left" w:pos="8080"/>
          <w:tab w:val="left" w:pos="8543"/>
          <w:tab w:val="left" w:pos="8680"/>
        </w:tabs>
        <w:spacing w:line="360" w:lineRule="auto"/>
        <w:ind w:right="321" w:firstLine="2520" w:firstLineChars="1050"/>
        <w:rPr>
          <w:color w:val="auto"/>
          <w:highlight w:val="none"/>
        </w:rPr>
      </w:pPr>
      <w:r>
        <w:rPr>
          <w:rFonts w:hint="eastAsia" w:cs="宋体"/>
          <w:color w:val="auto"/>
          <w:highlight w:val="none"/>
        </w:rPr>
        <w:t>传</w:t>
      </w:r>
      <w:r>
        <w:rPr>
          <w:rFonts w:cs="宋体"/>
          <w:color w:val="auto"/>
          <w:highlight w:val="none"/>
        </w:rPr>
        <w:t xml:space="preserve">    </w:t>
      </w:r>
      <w:r>
        <w:rPr>
          <w:rFonts w:hint="eastAsia" w:cs="宋体"/>
          <w:color w:val="auto"/>
          <w:highlight w:val="none"/>
        </w:rPr>
        <w:t>真：</w:t>
      </w:r>
      <w:r>
        <w:rPr>
          <w:color w:val="auto"/>
          <w:highlight w:val="none"/>
          <w:u w:val="single"/>
        </w:rPr>
        <w:t xml:space="preserve"> </w:t>
      </w:r>
      <w:r>
        <w:rPr>
          <w:color w:val="auto"/>
          <w:highlight w:val="none"/>
          <w:u w:val="single"/>
        </w:rPr>
        <w:tab/>
      </w:r>
    </w:p>
    <w:p w14:paraId="4CD8E946">
      <w:pPr>
        <w:pStyle w:val="22"/>
        <w:tabs>
          <w:tab w:val="left" w:pos="6538"/>
          <w:tab w:val="left" w:pos="7618"/>
          <w:tab w:val="left" w:pos="8578"/>
        </w:tabs>
        <w:spacing w:line="360" w:lineRule="auto"/>
        <w:ind w:left="5698" w:right="7"/>
        <w:rPr>
          <w:color w:val="auto"/>
          <w:szCs w:val="21"/>
          <w:highlight w:val="none"/>
        </w:rPr>
      </w:pPr>
      <w:r>
        <w:rPr>
          <w:color w:val="auto"/>
          <w:highlight w:val="none"/>
          <w:u w:val="single"/>
        </w:rPr>
        <w:t xml:space="preserve"> </w:t>
      </w:r>
      <w:r>
        <w:rPr>
          <w:color w:val="auto"/>
          <w:highlight w:val="none"/>
          <w:u w:val="single"/>
        </w:rPr>
        <w:tab/>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07BEE45F">
      <w:pPr>
        <w:pStyle w:val="22"/>
        <w:spacing w:before="0" w:line="360" w:lineRule="auto"/>
        <w:ind w:right="-6605"/>
        <w:outlineLvl w:val="2"/>
        <w:rPr>
          <w:rStyle w:val="152"/>
          <w:rFonts w:ascii="Times New Roman" w:hAnsi="Times New Roman"/>
          <w:b w:val="0"/>
          <w:bCs w:val="0"/>
          <w:color w:val="auto"/>
          <w:highlight w:val="none"/>
        </w:rPr>
      </w:pPr>
      <w:r>
        <w:rPr>
          <w:rStyle w:val="152"/>
          <w:rFonts w:ascii="Times New Roman" w:hAnsi="Times New Roman"/>
          <w:b w:val="0"/>
          <w:bCs w:val="0"/>
          <w:color w:val="auto"/>
          <w:highlight w:val="none"/>
        </w:rPr>
        <w:t>附件九 工程资金监管协议格式</w:t>
      </w:r>
    </w:p>
    <w:p w14:paraId="20CE393E">
      <w:pPr>
        <w:pStyle w:val="22"/>
        <w:spacing w:before="66" w:line="360" w:lineRule="auto"/>
        <w:ind w:left="143" w:right="7" w:firstLine="480"/>
        <w:rPr>
          <w:color w:val="auto"/>
          <w:highlight w:val="none"/>
        </w:rPr>
      </w:pPr>
      <w:r>
        <w:rPr>
          <w:color w:val="auto"/>
          <w:sz w:val="22"/>
          <w:szCs w:val="22"/>
          <w:highlight w:val="none"/>
        </w:rPr>
        <w:t>（发包人与承包人签订合同协议书时应与发包人指定的银行签署工程资金监管协议</w:t>
      </w:r>
      <w:r>
        <w:rPr>
          <w:rFonts w:hint="eastAsia"/>
          <w:color w:val="auto"/>
          <w:sz w:val="22"/>
          <w:szCs w:val="22"/>
          <w:highlight w:val="none"/>
        </w:rPr>
        <w:t>，</w:t>
      </w:r>
      <w:r>
        <w:rPr>
          <w:color w:val="auto"/>
          <w:sz w:val="22"/>
          <w:szCs w:val="22"/>
          <w:highlight w:val="none"/>
        </w:rPr>
        <w:t>工程资金监管协议内容在保证本项目资金有效监管的前提下由三方共同商定）</w:t>
      </w:r>
    </w:p>
    <w:p w14:paraId="6BC4A019">
      <w:pPr>
        <w:spacing w:line="360" w:lineRule="auto"/>
        <w:ind w:left="3361" w:right="7"/>
        <w:rPr>
          <w:rFonts w:ascii="黑体" w:hAnsi="黑体" w:eastAsia="黑体"/>
          <w:bCs/>
          <w:color w:val="auto"/>
          <w:sz w:val="28"/>
          <w:szCs w:val="28"/>
          <w:highlight w:val="none"/>
        </w:rPr>
      </w:pPr>
      <w:r>
        <w:rPr>
          <w:rFonts w:hint="eastAsia" w:ascii="黑体" w:hAnsi="黑体" w:eastAsia="黑体"/>
          <w:bCs/>
          <w:color w:val="auto"/>
          <w:sz w:val="28"/>
          <w:szCs w:val="28"/>
          <w:highlight w:val="none"/>
        </w:rPr>
        <w:t>工程资金监管协议</w:t>
      </w:r>
    </w:p>
    <w:p w14:paraId="1C945EE9">
      <w:pPr>
        <w:pStyle w:val="22"/>
        <w:spacing w:before="7" w:line="360" w:lineRule="auto"/>
        <w:rPr>
          <w:color w:val="auto"/>
          <w:sz w:val="34"/>
          <w:highlight w:val="none"/>
        </w:rPr>
      </w:pPr>
    </w:p>
    <w:p w14:paraId="5CD004A3">
      <w:pPr>
        <w:pStyle w:val="22"/>
        <w:tabs>
          <w:tab w:val="left" w:pos="3023"/>
          <w:tab w:val="left" w:pos="3143"/>
        </w:tabs>
        <w:spacing w:line="360" w:lineRule="auto"/>
        <w:ind w:left="144" w:right="119"/>
        <w:rPr>
          <w:color w:val="auto"/>
          <w:highlight w:val="none"/>
        </w:rPr>
      </w:pPr>
      <w:r>
        <w:rPr>
          <w:color w:val="auto"/>
          <w:highlight w:val="none"/>
        </w:rPr>
        <w:t>发包人：</w:t>
      </w:r>
      <w:r>
        <w:rPr>
          <w:color w:val="auto"/>
          <w:highlight w:val="none"/>
          <w:u w:val="single"/>
        </w:rPr>
        <w:t xml:space="preserve"> </w:t>
      </w:r>
      <w:r>
        <w:rPr>
          <w:color w:val="auto"/>
          <w:highlight w:val="none"/>
          <w:u w:val="single"/>
        </w:rPr>
        <w:tab/>
      </w:r>
      <w:r>
        <w:rPr>
          <w:color w:val="auto"/>
          <w:highlight w:val="none"/>
        </w:rPr>
        <w:t xml:space="preserve">（以下简称“甲方”） </w:t>
      </w:r>
    </w:p>
    <w:p w14:paraId="3B1EF528">
      <w:pPr>
        <w:pStyle w:val="22"/>
        <w:tabs>
          <w:tab w:val="left" w:pos="3023"/>
          <w:tab w:val="left" w:pos="3143"/>
        </w:tabs>
        <w:spacing w:line="360" w:lineRule="auto"/>
        <w:ind w:left="144" w:right="119"/>
        <w:rPr>
          <w:color w:val="auto"/>
          <w:highlight w:val="none"/>
        </w:rPr>
      </w:pPr>
      <w:r>
        <w:rPr>
          <w:color w:val="auto"/>
          <w:highlight w:val="none"/>
        </w:rPr>
        <w:t>承包人：</w:t>
      </w:r>
      <w:r>
        <w:rPr>
          <w:color w:val="auto"/>
          <w:highlight w:val="none"/>
          <w:u w:val="single"/>
        </w:rPr>
        <w:t xml:space="preserve"> </w:t>
      </w:r>
      <w:r>
        <w:rPr>
          <w:color w:val="auto"/>
          <w:highlight w:val="none"/>
          <w:u w:val="single"/>
        </w:rPr>
        <w:tab/>
      </w:r>
      <w:r>
        <w:rPr>
          <w:color w:val="auto"/>
          <w:highlight w:val="none"/>
        </w:rPr>
        <w:t xml:space="preserve">（以下简称“乙方”） </w:t>
      </w:r>
    </w:p>
    <w:p w14:paraId="12D6A19F">
      <w:pPr>
        <w:pStyle w:val="22"/>
        <w:tabs>
          <w:tab w:val="left" w:pos="3023"/>
          <w:tab w:val="left" w:pos="3143"/>
        </w:tabs>
        <w:spacing w:line="360" w:lineRule="auto"/>
        <w:ind w:left="144" w:right="119"/>
        <w:rPr>
          <w:color w:val="auto"/>
          <w:highlight w:val="none"/>
        </w:rPr>
      </w:pPr>
      <w:r>
        <w:rPr>
          <w:color w:val="auto"/>
          <w:highlight w:val="none"/>
        </w:rPr>
        <w:t>经办银行：</w:t>
      </w:r>
      <w:r>
        <w:rPr>
          <w:color w:val="auto"/>
          <w:highlight w:val="none"/>
          <w:u w:val="single"/>
        </w:rPr>
        <w:t xml:space="preserve"> </w:t>
      </w:r>
      <w:r>
        <w:rPr>
          <w:color w:val="auto"/>
          <w:highlight w:val="none"/>
          <w:u w:val="single"/>
        </w:rPr>
        <w:tab/>
      </w:r>
      <w:r>
        <w:rPr>
          <w:color w:val="auto"/>
          <w:highlight w:val="none"/>
        </w:rPr>
        <w:t>（以下简称“丙方”）</w:t>
      </w:r>
    </w:p>
    <w:p w14:paraId="3317469F">
      <w:pPr>
        <w:pStyle w:val="22"/>
        <w:spacing w:line="360" w:lineRule="auto"/>
        <w:rPr>
          <w:color w:val="auto"/>
          <w:highlight w:val="none"/>
        </w:rPr>
      </w:pPr>
    </w:p>
    <w:p w14:paraId="2D031A63">
      <w:pPr>
        <w:pStyle w:val="22"/>
        <w:tabs>
          <w:tab w:val="left" w:pos="2579"/>
        </w:tabs>
        <w:spacing w:line="360" w:lineRule="auto"/>
        <w:ind w:right="217" w:firstLine="492" w:firstLineChars="200"/>
        <w:rPr>
          <w:color w:val="auto"/>
          <w:highlight w:val="none"/>
        </w:rPr>
      </w:pPr>
      <w:r>
        <w:rPr>
          <w:color w:val="auto"/>
          <w:spacing w:val="3"/>
          <w:highlight w:val="none"/>
        </w:rPr>
        <w:t>为了促进</w:t>
      </w:r>
      <w:r>
        <w:rPr>
          <w:color w:val="auto"/>
          <w:spacing w:val="3"/>
          <w:highlight w:val="none"/>
          <w:u w:val="single"/>
        </w:rPr>
        <w:t xml:space="preserve"> </w:t>
      </w:r>
      <w:r>
        <w:rPr>
          <w:color w:val="auto"/>
          <w:spacing w:val="3"/>
          <w:highlight w:val="none"/>
          <w:u w:val="single"/>
        </w:rPr>
        <w:tab/>
      </w:r>
      <w:r>
        <w:rPr>
          <w:color w:val="auto"/>
          <w:spacing w:val="2"/>
          <w:highlight w:val="none"/>
        </w:rPr>
        <w:t>（项目名称）的顺利实施，管好用好建设资金，确保工程资金</w:t>
      </w:r>
      <w:r>
        <w:rPr>
          <w:color w:val="auto"/>
          <w:highlight w:val="none"/>
        </w:rPr>
        <w:t>专款专用，同时为承包人提供便捷有效的银行业务服务，根据</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（项目名称）</w:t>
      </w:r>
      <w:r>
        <w:rPr>
          <w:rFonts w:hint="eastAsia" w:cs="宋体"/>
          <w:color w:val="auto"/>
          <w:highlight w:val="none"/>
        </w:rPr>
        <w:t>第</w:t>
      </w:r>
      <w:r>
        <w:rPr>
          <w:rFonts w:cs="宋体"/>
          <w:color w:val="auto"/>
          <w:highlight w:val="none"/>
          <w:u w:val="single"/>
        </w:rPr>
        <w:t xml:space="preserve">     </w:t>
      </w:r>
      <w:r>
        <w:rPr>
          <w:rFonts w:hint="eastAsia" w:cs="宋体"/>
          <w:color w:val="auto"/>
          <w:highlight w:val="none"/>
        </w:rPr>
        <w:t>标段</w:t>
      </w:r>
      <w:r>
        <w:rPr>
          <w:color w:val="auto"/>
          <w:highlight w:val="none"/>
        </w:rPr>
        <w:t>合同条款有关规定，经甲、乙、丙三方协商，达成协议如下：</w:t>
      </w:r>
    </w:p>
    <w:p w14:paraId="044E5018">
      <w:pPr>
        <w:pStyle w:val="22"/>
        <w:spacing w:line="360" w:lineRule="auto"/>
        <w:ind w:right="7" w:firstLine="480" w:firstLineChars="200"/>
        <w:rPr>
          <w:b/>
          <w:color w:val="auto"/>
          <w:highlight w:val="none"/>
        </w:rPr>
      </w:pPr>
      <w:r>
        <w:rPr>
          <w:rFonts w:hint="eastAsia" w:ascii="宋体" w:hAnsi="宋体" w:eastAsia="宋体" w:cs="宋体"/>
          <w:b w:val="0"/>
          <w:bCs w:val="0"/>
          <w:color w:val="auto"/>
          <w:highlight w:val="none"/>
        </w:rPr>
        <w:t>1.资金管理的内容</w:t>
      </w:r>
    </w:p>
    <w:p w14:paraId="4048631A">
      <w:pPr>
        <w:pStyle w:val="22"/>
        <w:tabs>
          <w:tab w:val="left" w:pos="3229"/>
        </w:tabs>
        <w:spacing w:line="360" w:lineRule="auto"/>
        <w:ind w:right="219" w:firstLine="480" w:firstLineChars="200"/>
        <w:rPr>
          <w:color w:val="auto"/>
          <w:highlight w:val="none"/>
        </w:rPr>
      </w:pPr>
      <w:r>
        <w:rPr>
          <w:rFonts w:hint="eastAsia"/>
          <w:color w:val="auto"/>
          <w:highlight w:val="none"/>
        </w:rPr>
        <w:t>（</w:t>
      </w:r>
      <w:r>
        <w:rPr>
          <w:color w:val="auto"/>
          <w:highlight w:val="none"/>
        </w:rPr>
        <w:t>1）</w:t>
      </w:r>
      <w:r>
        <w:rPr>
          <w:color w:val="auto"/>
          <w:spacing w:val="3"/>
          <w:highlight w:val="none"/>
        </w:rPr>
        <w:t>乙方为完成</w:t>
      </w:r>
      <w:r>
        <w:rPr>
          <w:color w:val="auto"/>
          <w:spacing w:val="3"/>
          <w:highlight w:val="none"/>
          <w:u w:val="single"/>
        </w:rPr>
        <w:t xml:space="preserve"> </w:t>
      </w:r>
      <w:r>
        <w:rPr>
          <w:color w:val="auto"/>
          <w:spacing w:val="3"/>
          <w:highlight w:val="none"/>
          <w:u w:val="single"/>
        </w:rPr>
        <w:tab/>
      </w:r>
      <w:r>
        <w:rPr>
          <w:color w:val="auto"/>
          <w:spacing w:val="3"/>
          <w:highlight w:val="none"/>
        </w:rPr>
        <w:t>（项目名称）</w:t>
      </w:r>
      <w:r>
        <w:rPr>
          <w:rFonts w:hint="eastAsia" w:cs="宋体"/>
          <w:color w:val="auto"/>
          <w:highlight w:val="none"/>
        </w:rPr>
        <w:t>第</w:t>
      </w:r>
      <w:r>
        <w:rPr>
          <w:rFonts w:cs="宋体"/>
          <w:color w:val="auto"/>
          <w:highlight w:val="none"/>
          <w:u w:val="single"/>
        </w:rPr>
        <w:t xml:space="preserve">   </w:t>
      </w:r>
      <w:r>
        <w:rPr>
          <w:rFonts w:hint="eastAsia" w:cs="宋体"/>
          <w:color w:val="auto"/>
          <w:highlight w:val="none"/>
        </w:rPr>
        <w:t>标段</w:t>
      </w:r>
      <w:r>
        <w:rPr>
          <w:color w:val="auto"/>
          <w:spacing w:val="3"/>
          <w:highlight w:val="none"/>
        </w:rPr>
        <w:t>工程成立的项目经理部在丙方开设基本</w:t>
      </w:r>
      <w:r>
        <w:rPr>
          <w:color w:val="auto"/>
          <w:highlight w:val="none"/>
        </w:rPr>
        <w:t>结算户；</w:t>
      </w:r>
    </w:p>
    <w:p w14:paraId="1CE6CBFA">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2）甲方应按合同规定将工程款汇入乙方在丙方开设的账户；</w:t>
      </w:r>
    </w:p>
    <w:p w14:paraId="725D1FE3">
      <w:pPr>
        <w:pStyle w:val="22"/>
        <w:tabs>
          <w:tab w:val="left" w:pos="6783"/>
        </w:tabs>
        <w:spacing w:line="360" w:lineRule="auto"/>
        <w:ind w:right="7" w:firstLine="480" w:firstLineChars="200"/>
        <w:rPr>
          <w:rFonts w:cs="宋体"/>
          <w:color w:val="auto"/>
          <w:highlight w:val="none"/>
        </w:rPr>
      </w:pPr>
      <w:r>
        <w:rPr>
          <w:rFonts w:hint="eastAsia"/>
          <w:color w:val="auto"/>
          <w:highlight w:val="none"/>
        </w:rPr>
        <w:t>（</w:t>
      </w:r>
      <w:r>
        <w:rPr>
          <w:color w:val="auto"/>
          <w:highlight w:val="none"/>
        </w:rPr>
        <w:t>3）</w:t>
      </w:r>
      <w:r>
        <w:rPr>
          <w:color w:val="auto"/>
          <w:spacing w:val="-1"/>
          <w:highlight w:val="none"/>
        </w:rPr>
        <w:t>乙方应将流动资金及甲方所拨付资金专项用</w:t>
      </w:r>
      <w:r>
        <w:rPr>
          <w:color w:val="auto"/>
          <w:highlight w:val="none"/>
        </w:rPr>
        <w:t>于</w:t>
      </w:r>
      <w:r>
        <w:rPr>
          <w:color w:val="auto"/>
          <w:spacing w:val="3"/>
          <w:highlight w:val="none"/>
          <w:u w:val="single"/>
        </w:rPr>
        <w:tab/>
      </w:r>
      <w:r>
        <w:rPr>
          <w:rFonts w:hint="eastAsia"/>
          <w:color w:val="auto"/>
          <w:spacing w:val="3"/>
          <w:highlight w:val="none"/>
          <w:u w:val="single"/>
          <w:lang w:val="en-US" w:eastAsia="zh-CN"/>
        </w:rPr>
        <w:t xml:space="preserve">    </w:t>
      </w:r>
      <w:r>
        <w:rPr>
          <w:color w:val="auto"/>
          <w:spacing w:val="3"/>
          <w:highlight w:val="none"/>
        </w:rPr>
        <w:t>（项目名称）</w:t>
      </w:r>
      <w:r>
        <w:rPr>
          <w:rFonts w:hint="eastAsia" w:cs="宋体"/>
          <w:color w:val="auto"/>
          <w:highlight w:val="none"/>
        </w:rPr>
        <w:t>第</w:t>
      </w:r>
      <w:r>
        <w:rPr>
          <w:rFonts w:cs="宋体"/>
          <w:color w:val="auto"/>
          <w:highlight w:val="none"/>
          <w:u w:val="single"/>
        </w:rPr>
        <w:t xml:space="preserve">   </w:t>
      </w:r>
      <w:r>
        <w:rPr>
          <w:rFonts w:hint="eastAsia" w:cs="宋体"/>
          <w:color w:val="auto"/>
          <w:highlight w:val="none"/>
        </w:rPr>
        <w:t>标段</w:t>
      </w:r>
      <w:r>
        <w:rPr>
          <w:rFonts w:hint="eastAsia"/>
          <w:color w:val="auto"/>
          <w:highlight w:val="none"/>
        </w:rPr>
        <w:t>；</w:t>
      </w:r>
    </w:p>
    <w:p w14:paraId="3F037848">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4）丙方应为乙方提供便捷有效的银行业务服务，并接受甲方委托对乙方在丙方开设的基本结算户资金使用情况进行监督。</w:t>
      </w:r>
    </w:p>
    <w:p w14:paraId="4DD5F59C">
      <w:pPr>
        <w:pStyle w:val="22"/>
        <w:spacing w:line="360" w:lineRule="auto"/>
        <w:ind w:right="7" w:firstLine="48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2.甲方的权责</w:t>
      </w:r>
    </w:p>
    <w:p w14:paraId="6454EE12">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1）</w:t>
      </w:r>
      <w:r>
        <w:rPr>
          <w:color w:val="auto"/>
          <w:spacing w:val="2"/>
          <w:highlight w:val="none"/>
        </w:rPr>
        <w:t>按照</w:t>
      </w:r>
      <w:r>
        <w:rPr>
          <w:color w:val="auto"/>
          <w:spacing w:val="2"/>
          <w:highlight w:val="none"/>
          <w:u w:val="single"/>
        </w:rPr>
        <w:t xml:space="preserve"> </w:t>
      </w:r>
      <w:r>
        <w:rPr>
          <w:color w:val="auto"/>
          <w:spacing w:val="2"/>
          <w:highlight w:val="none"/>
          <w:u w:val="single"/>
        </w:rPr>
        <w:tab/>
      </w:r>
      <w:r>
        <w:rPr>
          <w:rFonts w:hint="eastAsia"/>
          <w:color w:val="auto"/>
          <w:spacing w:val="2"/>
          <w:highlight w:val="none"/>
          <w:u w:val="single"/>
          <w:lang w:val="en-US" w:eastAsia="zh-CN"/>
        </w:rPr>
        <w:t xml:space="preserve">    </w:t>
      </w:r>
      <w:r>
        <w:rPr>
          <w:color w:val="auto"/>
          <w:spacing w:val="3"/>
          <w:highlight w:val="none"/>
        </w:rPr>
        <w:t>（项目名称）</w:t>
      </w:r>
      <w:r>
        <w:rPr>
          <w:rFonts w:hint="eastAsia" w:cs="宋体"/>
          <w:color w:val="auto"/>
          <w:highlight w:val="none"/>
        </w:rPr>
        <w:t>第</w:t>
      </w:r>
      <w:r>
        <w:rPr>
          <w:rFonts w:cs="宋体"/>
          <w:color w:val="auto"/>
          <w:highlight w:val="none"/>
          <w:u w:val="single"/>
        </w:rPr>
        <w:t xml:space="preserve">     </w:t>
      </w:r>
      <w:r>
        <w:rPr>
          <w:rFonts w:hint="eastAsia" w:cs="宋体"/>
          <w:color w:val="auto"/>
          <w:highlight w:val="none"/>
        </w:rPr>
        <w:t>标段</w:t>
      </w:r>
      <w:r>
        <w:rPr>
          <w:color w:val="auto"/>
          <w:spacing w:val="3"/>
          <w:highlight w:val="none"/>
        </w:rPr>
        <w:t>合同有关条款规定的时间和方式，向乙方支付</w:t>
      </w:r>
      <w:r>
        <w:rPr>
          <w:color w:val="auto"/>
          <w:highlight w:val="none"/>
        </w:rPr>
        <w:t>工程款；</w:t>
      </w:r>
    </w:p>
    <w:p w14:paraId="64B2A7E5">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2）在发现乙方将本项目资金挪用、转移时，甲方有权</w:t>
      </w:r>
      <w:r>
        <w:rPr>
          <w:rFonts w:hint="eastAsia"/>
          <w:color w:val="auto"/>
          <w:highlight w:val="none"/>
          <w:lang w:eastAsia="zh-CN"/>
        </w:rPr>
        <w:t>终止</w:t>
      </w:r>
      <w:r>
        <w:rPr>
          <w:color w:val="auto"/>
          <w:highlight w:val="none"/>
        </w:rPr>
        <w:t>工程支付，直至乙方改正为止；</w:t>
      </w:r>
    </w:p>
    <w:p w14:paraId="17937FE2">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3）不定期审查丙方对乙方的资金使用监督情况，如丙方不能履行其责任，甲方有权随时终止本协议；</w:t>
      </w:r>
    </w:p>
    <w:p w14:paraId="4B4F8383">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4）在乙、丙双方发生争议时，甲方应负责协调、解决。</w:t>
      </w:r>
    </w:p>
    <w:p w14:paraId="69373C9A">
      <w:pPr>
        <w:pStyle w:val="22"/>
        <w:spacing w:line="360" w:lineRule="auto"/>
        <w:ind w:right="7" w:firstLine="480" w:firstLineChars="200"/>
        <w:rPr>
          <w:color w:val="auto"/>
          <w:highlight w:val="none"/>
        </w:rPr>
      </w:pPr>
      <w:r>
        <w:rPr>
          <w:rFonts w:hint="eastAsia" w:ascii="宋体" w:hAnsi="宋体" w:eastAsia="宋体" w:cs="宋体"/>
          <w:color w:val="auto"/>
          <w:highlight w:val="none"/>
        </w:rPr>
        <w:t>3.乙方的权责</w:t>
      </w:r>
    </w:p>
    <w:p w14:paraId="2B5C5E31">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1）项目经理部成立以后，乙方应尽快在丙方开设基本结算户；</w:t>
      </w:r>
    </w:p>
    <w:p w14:paraId="3F6DA114">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2）确保本项目资金专款专用，不发生挪用、转移资金的现象；保证不通过权益转让、抵押、担保承担债务等任何其他方式使用基本结算户的资金；</w:t>
      </w:r>
    </w:p>
    <w:p w14:paraId="666EA794">
      <w:pPr>
        <w:pStyle w:val="22"/>
        <w:spacing w:line="360" w:lineRule="auto"/>
        <w:ind w:right="102" w:firstLine="480" w:firstLineChars="200"/>
        <w:rPr>
          <w:color w:val="auto"/>
          <w:spacing w:val="-3"/>
          <w:highlight w:val="none"/>
        </w:rPr>
      </w:pPr>
      <w:r>
        <w:rPr>
          <w:rFonts w:hint="eastAsia"/>
          <w:color w:val="auto"/>
          <w:highlight w:val="none"/>
        </w:rPr>
        <w:t>（</w:t>
      </w:r>
      <w:r>
        <w:rPr>
          <w:color w:val="auto"/>
          <w:highlight w:val="none"/>
        </w:rPr>
        <w:t>3）</w:t>
      </w:r>
      <w:r>
        <w:rPr>
          <w:color w:val="auto"/>
          <w:spacing w:val="3"/>
          <w:highlight w:val="none"/>
        </w:rPr>
        <w:t>办理材料、设备等采购业务金额在</w:t>
      </w:r>
      <w:r>
        <w:rPr>
          <w:color w:val="auto"/>
          <w:spacing w:val="3"/>
          <w:highlight w:val="none"/>
          <w:u w:val="single"/>
        </w:rPr>
        <w:t xml:space="preserve">   </w:t>
      </w:r>
      <w:r>
        <w:rPr>
          <w:color w:val="auto"/>
          <w:spacing w:val="3"/>
          <w:highlight w:val="none"/>
        </w:rPr>
        <w:t>万元以上的，应出示购货合同、协议</w:t>
      </w:r>
      <w:r>
        <w:rPr>
          <w:color w:val="auto"/>
          <w:highlight w:val="none"/>
        </w:rPr>
        <w:t>和发票；在办理总额超过</w:t>
      </w:r>
      <w:r>
        <w:rPr>
          <w:color w:val="auto"/>
          <w:highlight w:val="none"/>
          <w:u w:val="single"/>
        </w:rPr>
        <w:t xml:space="preserve">   </w:t>
      </w:r>
      <w:r>
        <w:rPr>
          <w:color w:val="auto"/>
          <w:highlight w:val="none"/>
        </w:rPr>
        <w:t>万元以上的采购业务时，应将合同、协议和发票扫描件</w:t>
      </w:r>
      <w:r>
        <w:rPr>
          <w:color w:val="auto"/>
          <w:spacing w:val="-3"/>
          <w:highlight w:val="none"/>
        </w:rPr>
        <w:t>送丙方备案；购买应急材料、设备时可先办理支付手续，但事后必须补备有关资料；</w:t>
      </w:r>
    </w:p>
    <w:p w14:paraId="0D348B22">
      <w:pPr>
        <w:pStyle w:val="22"/>
        <w:spacing w:line="360" w:lineRule="auto"/>
        <w:ind w:right="102" w:firstLine="480" w:firstLineChars="200"/>
        <w:rPr>
          <w:color w:val="auto"/>
          <w:highlight w:val="none"/>
        </w:rPr>
      </w:pPr>
      <w:r>
        <w:rPr>
          <w:rFonts w:hint="eastAsia"/>
          <w:color w:val="auto"/>
          <w:highlight w:val="none"/>
        </w:rPr>
        <w:t>（</w:t>
      </w:r>
      <w:r>
        <w:rPr>
          <w:color w:val="auto"/>
          <w:highlight w:val="none"/>
        </w:rPr>
        <w:t>4）用银行转账支票办理支付款项时，必须将转账支票送交丙方，由丙方负责办理支票转付手续；</w:t>
      </w:r>
    </w:p>
    <w:p w14:paraId="318C2972">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5）向分包单位支付工程进度款时，应附甲方批准分包的文件；</w:t>
      </w:r>
    </w:p>
    <w:p w14:paraId="06AE98A0">
      <w:pPr>
        <w:pStyle w:val="22"/>
        <w:spacing w:line="360" w:lineRule="auto"/>
        <w:ind w:right="7" w:firstLine="480" w:firstLineChars="200"/>
        <w:rPr>
          <w:color w:val="auto"/>
          <w:highlight w:val="none"/>
        </w:rPr>
      </w:pPr>
      <w:r>
        <w:rPr>
          <w:rFonts w:hint="eastAsia"/>
          <w:color w:val="auto"/>
          <w:highlight w:val="none"/>
        </w:rPr>
        <w:t>（</w:t>
      </w:r>
      <w:r>
        <w:rPr>
          <w:color w:val="auto"/>
          <w:highlight w:val="none"/>
        </w:rPr>
        <w:t>6）向上级单位缴纳管理费、机械设备及周转材料租赁摊销费等款项时，应附上级单位出具的转账通知等有关资料，以确保资金专款专用。</w:t>
      </w:r>
    </w:p>
    <w:p w14:paraId="28202BF9">
      <w:pPr>
        <w:pStyle w:val="22"/>
        <w:spacing w:line="360" w:lineRule="auto"/>
        <w:ind w:right="7" w:firstLine="480" w:firstLineChars="200"/>
        <w:rPr>
          <w:rFonts w:hint="eastAsia" w:ascii="宋体" w:hAnsi="宋体" w:eastAsia="宋体" w:cs="宋体"/>
          <w:b/>
          <w:color w:val="auto"/>
          <w:highlight w:val="none"/>
        </w:rPr>
      </w:pPr>
      <w:r>
        <w:rPr>
          <w:rFonts w:hint="eastAsia" w:ascii="宋体" w:hAnsi="宋体" w:eastAsia="宋体" w:cs="宋体"/>
          <w:b w:val="0"/>
          <w:color w:val="auto"/>
          <w:highlight w:val="none"/>
        </w:rPr>
        <w:t>4.丙方的权责</w:t>
      </w:r>
    </w:p>
    <w:p w14:paraId="1164BF57">
      <w:pPr>
        <w:pStyle w:val="22"/>
        <w:spacing w:line="360" w:lineRule="auto"/>
        <w:ind w:left="-6" w:leftChars="-3" w:right="7" w:firstLine="480" w:firstLineChars="200"/>
        <w:rPr>
          <w:color w:val="auto"/>
          <w:highlight w:val="none"/>
        </w:rPr>
      </w:pPr>
      <w:r>
        <w:rPr>
          <w:rFonts w:hint="eastAsia"/>
          <w:color w:val="auto"/>
          <w:highlight w:val="none"/>
        </w:rPr>
        <w:t>（</w:t>
      </w:r>
      <w:r>
        <w:rPr>
          <w:color w:val="auto"/>
          <w:highlight w:val="none"/>
        </w:rPr>
        <w:t>1）</w:t>
      </w:r>
      <w:r>
        <w:rPr>
          <w:color w:val="auto"/>
          <w:spacing w:val="2"/>
          <w:highlight w:val="none"/>
        </w:rPr>
        <w:t>成立</w:t>
      </w:r>
      <w:r>
        <w:rPr>
          <w:color w:val="auto"/>
          <w:spacing w:val="2"/>
          <w:highlight w:val="none"/>
          <w:u w:val="single"/>
        </w:rPr>
        <w:t xml:space="preserve">  </w:t>
      </w:r>
      <w:r>
        <w:rPr>
          <w:rFonts w:hint="eastAsia"/>
          <w:color w:val="auto"/>
          <w:spacing w:val="2"/>
          <w:highlight w:val="none"/>
          <w:u w:val="single"/>
          <w:lang w:val="en-US" w:eastAsia="zh-CN"/>
        </w:rPr>
        <w:t xml:space="preserve">  </w:t>
      </w:r>
      <w:r>
        <w:rPr>
          <w:color w:val="auto"/>
          <w:spacing w:val="2"/>
          <w:highlight w:val="none"/>
          <w:u w:val="single"/>
        </w:rPr>
        <w:t xml:space="preserve"> </w:t>
      </w:r>
      <w:r>
        <w:rPr>
          <w:rFonts w:hint="eastAsia"/>
          <w:color w:val="auto"/>
          <w:spacing w:val="2"/>
          <w:highlight w:val="none"/>
          <w:u w:val="single"/>
          <w:lang w:val="en-US" w:eastAsia="zh-CN"/>
        </w:rPr>
        <w:t xml:space="preserve">   </w:t>
      </w:r>
      <w:r>
        <w:rPr>
          <w:color w:val="auto"/>
          <w:spacing w:val="2"/>
          <w:highlight w:val="none"/>
          <w:u w:val="single"/>
        </w:rPr>
        <w:tab/>
      </w:r>
      <w:r>
        <w:rPr>
          <w:color w:val="auto"/>
          <w:spacing w:val="3"/>
          <w:highlight w:val="none"/>
        </w:rPr>
        <w:t>（项目名称）工程资金管理服务小组，明确业务流程，提高</w:t>
      </w:r>
      <w:r>
        <w:rPr>
          <w:color w:val="auto"/>
          <w:highlight w:val="none"/>
        </w:rPr>
        <w:t>工作效率，杜绝“压票”现象；</w:t>
      </w:r>
    </w:p>
    <w:p w14:paraId="03F77FE5">
      <w:pPr>
        <w:pStyle w:val="22"/>
        <w:spacing w:line="360" w:lineRule="auto"/>
        <w:ind w:left="-6" w:leftChars="-3" w:right="7" w:firstLine="480" w:firstLineChars="200"/>
        <w:rPr>
          <w:color w:val="auto"/>
          <w:highlight w:val="none"/>
        </w:rPr>
      </w:pPr>
      <w:r>
        <w:rPr>
          <w:rFonts w:hint="eastAsia"/>
          <w:color w:val="auto"/>
          <w:highlight w:val="none"/>
        </w:rPr>
        <w:t>（</w:t>
      </w:r>
      <w:r>
        <w:rPr>
          <w:color w:val="auto"/>
          <w:highlight w:val="none"/>
        </w:rPr>
        <w:t>2）根据乙方提供的购货合同、协议和发票，检查其所购材料、设备是否用于</w:t>
      </w:r>
    </w:p>
    <w:p w14:paraId="0B1B5405">
      <w:pPr>
        <w:pStyle w:val="22"/>
        <w:spacing w:line="360" w:lineRule="auto"/>
        <w:ind w:left="0" w:leftChars="0" w:right="7" w:firstLine="0" w:firstLineChars="0"/>
        <w:rPr>
          <w:color w:val="auto"/>
          <w:highlight w:val="none"/>
        </w:rPr>
      </w:pP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（项目名称）</w:t>
      </w:r>
      <w:r>
        <w:rPr>
          <w:rFonts w:hint="eastAsia" w:cs="宋体"/>
          <w:color w:val="auto"/>
          <w:highlight w:val="none"/>
        </w:rPr>
        <w:t>第</w:t>
      </w:r>
      <w:r>
        <w:rPr>
          <w:rFonts w:cs="宋体"/>
          <w:color w:val="auto"/>
          <w:highlight w:val="none"/>
          <w:u w:val="single"/>
        </w:rPr>
        <w:t xml:space="preserve">     </w:t>
      </w:r>
      <w:r>
        <w:rPr>
          <w:rFonts w:hint="eastAsia" w:cs="宋体"/>
          <w:color w:val="auto"/>
          <w:highlight w:val="none"/>
        </w:rPr>
        <w:t>标段</w:t>
      </w:r>
      <w:r>
        <w:rPr>
          <w:color w:val="auto"/>
          <w:highlight w:val="none"/>
        </w:rPr>
        <w:t>工程建设，对本标段以外的购货款项，有权拒绝办理，并及时报告甲方；</w:t>
      </w:r>
    </w:p>
    <w:p w14:paraId="63D84DA8">
      <w:pPr>
        <w:pStyle w:val="22"/>
        <w:spacing w:line="360" w:lineRule="auto"/>
        <w:ind w:left="-6" w:leftChars="-3" w:right="7" w:firstLine="480" w:firstLineChars="200"/>
        <w:rPr>
          <w:color w:val="auto"/>
          <w:highlight w:val="none"/>
        </w:rPr>
      </w:pPr>
      <w:r>
        <w:rPr>
          <w:rFonts w:hint="eastAsia"/>
          <w:color w:val="auto"/>
          <w:highlight w:val="none"/>
        </w:rPr>
        <w:t>（</w:t>
      </w:r>
      <w:r>
        <w:rPr>
          <w:color w:val="auto"/>
          <w:highlight w:val="none"/>
        </w:rPr>
        <w:t>3）根据乙方与分包单位签订的合同及支付文件，检查其支付款项是否符合有关条件，向分包单位以外单位的支付有权拒绝办理，并及时报告甲方；</w:t>
      </w:r>
    </w:p>
    <w:p w14:paraId="1FF02387">
      <w:pPr>
        <w:pStyle w:val="22"/>
        <w:spacing w:line="360" w:lineRule="auto"/>
        <w:ind w:left="-6" w:leftChars="-3" w:right="7" w:firstLine="480" w:firstLineChars="200"/>
        <w:rPr>
          <w:color w:val="auto"/>
          <w:highlight w:val="none"/>
        </w:rPr>
      </w:pPr>
      <w:r>
        <w:rPr>
          <w:rFonts w:hint="eastAsia"/>
          <w:color w:val="auto"/>
          <w:highlight w:val="none"/>
        </w:rPr>
        <w:t>（</w:t>
      </w:r>
      <w:r>
        <w:rPr>
          <w:color w:val="auto"/>
          <w:highlight w:val="none"/>
        </w:rPr>
        <w:t>4）根据乙方提供的上级单位出具的转账通知等有关资料，办理管理费、机械设备及周转材料租赁摊销费等款项的支付；对超出转账通知等有关资料以外的支付，有权拒绝办理，并及时报告甲方；</w:t>
      </w:r>
    </w:p>
    <w:p w14:paraId="189815EB">
      <w:pPr>
        <w:pStyle w:val="22"/>
        <w:spacing w:line="360" w:lineRule="auto"/>
        <w:ind w:left="-6" w:leftChars="-3" w:right="7" w:firstLine="480" w:firstLineChars="200"/>
        <w:rPr>
          <w:color w:val="auto"/>
          <w:highlight w:val="none"/>
        </w:rPr>
      </w:pPr>
      <w:r>
        <w:rPr>
          <w:rFonts w:hint="eastAsia"/>
          <w:color w:val="auto"/>
          <w:highlight w:val="none"/>
        </w:rPr>
        <w:t>（</w:t>
      </w:r>
      <w:r>
        <w:rPr>
          <w:color w:val="auto"/>
          <w:highlight w:val="none"/>
        </w:rPr>
        <w:t>5）定期将乙方前一个周期的支付情况，整理后书面报送甲方；乙方复印备案的材料一并送甲方。</w:t>
      </w:r>
    </w:p>
    <w:p w14:paraId="08840251">
      <w:pPr>
        <w:pStyle w:val="22"/>
        <w:spacing w:line="360" w:lineRule="auto"/>
        <w:ind w:right="7" w:firstLine="480" w:firstLineChars="200"/>
        <w:rPr>
          <w:color w:val="auto"/>
          <w:highlight w:val="none"/>
        </w:rPr>
      </w:pPr>
      <w:r>
        <w:rPr>
          <w:b w:val="0"/>
          <w:bCs/>
          <w:color w:val="auto"/>
          <w:highlight w:val="none"/>
        </w:rPr>
        <w:t>5.</w:t>
      </w:r>
      <w:r>
        <w:rPr>
          <w:color w:val="auto"/>
          <w:highlight w:val="none"/>
        </w:rPr>
        <w:t>甲、乙、丙三方都应履行保密责任，不得将其他两方的业务情况透露给三方以外的其他单位或个人。</w:t>
      </w:r>
    </w:p>
    <w:p w14:paraId="3BB5679B">
      <w:pPr>
        <w:pStyle w:val="22"/>
        <w:spacing w:line="360" w:lineRule="auto"/>
        <w:ind w:right="7" w:firstLine="480" w:firstLineChars="200"/>
        <w:rPr>
          <w:color w:val="auto"/>
          <w:highlight w:val="none"/>
        </w:rPr>
      </w:pPr>
      <w:r>
        <w:rPr>
          <w:b w:val="0"/>
          <w:bCs/>
          <w:color w:val="auto"/>
          <w:highlight w:val="none"/>
        </w:rPr>
        <w:t>6.</w:t>
      </w:r>
      <w:r>
        <w:rPr>
          <w:color w:val="auto"/>
          <w:highlight w:val="none"/>
        </w:rPr>
        <w:t>本协议有效期自乙方在丙方开户起，至工程交工验收甲方向乙方颁发交工验收证书后结束。</w:t>
      </w:r>
    </w:p>
    <w:p w14:paraId="06EF1CAD">
      <w:pPr>
        <w:pStyle w:val="22"/>
        <w:spacing w:line="360" w:lineRule="auto"/>
        <w:ind w:right="7" w:firstLine="480" w:firstLineChars="200"/>
        <w:rPr>
          <w:color w:val="auto"/>
          <w:highlight w:val="none"/>
        </w:rPr>
      </w:pPr>
      <w:r>
        <w:rPr>
          <w:b w:val="0"/>
          <w:bCs/>
          <w:color w:val="auto"/>
          <w:highlight w:val="none"/>
        </w:rPr>
        <w:t>7.</w:t>
      </w:r>
      <w:r>
        <w:rPr>
          <w:color w:val="auto"/>
          <w:highlight w:val="none"/>
        </w:rPr>
        <w:t>本协议未尽事宜，由甲方牵头，三方协商解决。</w:t>
      </w:r>
    </w:p>
    <w:p w14:paraId="05ADE9BA">
      <w:pPr>
        <w:pStyle w:val="22"/>
        <w:spacing w:line="360" w:lineRule="auto"/>
        <w:ind w:right="7" w:firstLine="480" w:firstLineChars="200"/>
        <w:rPr>
          <w:color w:val="auto"/>
          <w:highlight w:val="none"/>
        </w:rPr>
      </w:pPr>
      <w:r>
        <w:rPr>
          <w:b w:val="0"/>
          <w:bCs/>
          <w:color w:val="auto"/>
          <w:highlight w:val="none"/>
        </w:rPr>
        <w:t>8.</w:t>
      </w:r>
      <w:r>
        <w:rPr>
          <w:color w:val="auto"/>
          <w:highlight w:val="none"/>
        </w:rPr>
        <w:t>本协议正本三份、副本</w:t>
      </w:r>
      <w:r>
        <w:rPr>
          <w:color w:val="auto"/>
          <w:highlight w:val="none"/>
          <w:u w:val="single"/>
        </w:rPr>
        <w:t xml:space="preserve">   </w:t>
      </w:r>
      <w:r>
        <w:rPr>
          <w:color w:val="auto"/>
          <w:highlight w:val="none"/>
        </w:rPr>
        <w:t>份。合同三方各执正本一份、副本</w:t>
      </w:r>
      <w:r>
        <w:rPr>
          <w:color w:val="auto"/>
          <w:highlight w:val="none"/>
          <w:u w:val="single"/>
        </w:rPr>
        <w:t xml:space="preserve">   </w:t>
      </w:r>
      <w:r>
        <w:rPr>
          <w:color w:val="auto"/>
          <w:highlight w:val="none"/>
        </w:rPr>
        <w:t>份，当正本与副本内容不一致时，以正本为准。</w:t>
      </w:r>
    </w:p>
    <w:p w14:paraId="48C8D2BE">
      <w:pPr>
        <w:pStyle w:val="22"/>
        <w:spacing w:line="360" w:lineRule="auto"/>
        <w:ind w:right="7"/>
        <w:rPr>
          <w:color w:val="auto"/>
          <w:highlight w:val="none"/>
        </w:rPr>
      </w:pPr>
    </w:p>
    <w:p w14:paraId="081519D1">
      <w:pPr>
        <w:pStyle w:val="22"/>
        <w:tabs>
          <w:tab w:val="left" w:pos="4223"/>
          <w:tab w:val="left" w:pos="4703"/>
        </w:tabs>
        <w:spacing w:line="360" w:lineRule="auto"/>
        <w:ind w:left="144" w:right="3698"/>
        <w:rPr>
          <w:color w:val="auto"/>
          <w:highlight w:val="none"/>
        </w:rPr>
      </w:pPr>
      <w:r>
        <w:rPr>
          <w:color w:val="auto"/>
          <w:highlight w:val="none"/>
        </w:rPr>
        <w:t>发包人：</w:t>
      </w:r>
      <w:r>
        <w:rPr>
          <w:color w:val="auto"/>
          <w:highlight w:val="none"/>
          <w:u w:val="single"/>
        </w:rPr>
        <w:t xml:space="preserve">                       </w:t>
      </w:r>
      <w:r>
        <w:rPr>
          <w:color w:val="auto"/>
          <w:highlight w:val="none"/>
        </w:rPr>
        <w:t xml:space="preserve">（盖单位章） </w:t>
      </w:r>
    </w:p>
    <w:p w14:paraId="7A826EA7">
      <w:pPr>
        <w:pStyle w:val="22"/>
        <w:tabs>
          <w:tab w:val="left" w:pos="4223"/>
          <w:tab w:val="left" w:pos="4703"/>
        </w:tabs>
        <w:spacing w:line="360" w:lineRule="auto"/>
        <w:ind w:left="144" w:right="3698"/>
        <w:rPr>
          <w:color w:val="auto"/>
          <w:highlight w:val="none"/>
        </w:rPr>
      </w:pPr>
      <w:r>
        <w:rPr>
          <w:color w:val="auto"/>
          <w:highlight w:val="none"/>
        </w:rPr>
        <w:t>法定代表人或其委托代理人：</w:t>
      </w:r>
      <w:r>
        <w:rPr>
          <w:color w:val="auto"/>
          <w:highlight w:val="none"/>
          <w:u w:val="single"/>
        </w:rPr>
        <w:t xml:space="preserve"> </w:t>
      </w:r>
      <w:r>
        <w:rPr>
          <w:color w:val="auto"/>
          <w:highlight w:val="none"/>
          <w:u w:val="single"/>
        </w:rPr>
        <w:tab/>
      </w:r>
      <w:r>
        <w:rPr>
          <w:color w:val="auto"/>
          <w:highlight w:val="none"/>
        </w:rPr>
        <w:t>（签字）</w:t>
      </w:r>
    </w:p>
    <w:p w14:paraId="029BBF32">
      <w:pPr>
        <w:pStyle w:val="22"/>
        <w:tabs>
          <w:tab w:val="left" w:pos="3143"/>
          <w:tab w:val="left" w:pos="4350"/>
          <w:tab w:val="left" w:pos="5063"/>
        </w:tabs>
        <w:spacing w:line="360" w:lineRule="auto"/>
        <w:ind w:left="2063" w:right="7"/>
        <w:rPr>
          <w:color w:val="auto"/>
          <w:highlight w:val="none"/>
        </w:rPr>
      </w:pP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rPr>
        <w:t>月</w:t>
      </w:r>
      <w:r>
        <w:rPr>
          <w:color w:val="auto"/>
          <w:highlight w:val="none"/>
          <w:u w:val="single"/>
        </w:rPr>
        <w:tab/>
      </w:r>
      <w:r>
        <w:rPr>
          <w:color w:val="auto"/>
          <w:highlight w:val="none"/>
        </w:rPr>
        <w:t>日</w:t>
      </w:r>
    </w:p>
    <w:p w14:paraId="246E28A6">
      <w:pPr>
        <w:pStyle w:val="22"/>
        <w:tabs>
          <w:tab w:val="left" w:pos="4223"/>
          <w:tab w:val="left" w:pos="4703"/>
        </w:tabs>
        <w:spacing w:line="360" w:lineRule="auto"/>
        <w:ind w:left="144" w:right="3698"/>
        <w:rPr>
          <w:color w:val="auto"/>
          <w:highlight w:val="none"/>
        </w:rPr>
      </w:pPr>
    </w:p>
    <w:p w14:paraId="05D4644C">
      <w:pPr>
        <w:pStyle w:val="22"/>
        <w:tabs>
          <w:tab w:val="left" w:pos="4223"/>
          <w:tab w:val="left" w:pos="4703"/>
        </w:tabs>
        <w:spacing w:line="360" w:lineRule="auto"/>
        <w:ind w:left="144" w:right="3698"/>
        <w:rPr>
          <w:color w:val="auto"/>
          <w:highlight w:val="none"/>
        </w:rPr>
      </w:pPr>
      <w:r>
        <w:rPr>
          <w:color w:val="auto"/>
          <w:highlight w:val="none"/>
        </w:rPr>
        <w:t>承包人：</w:t>
      </w:r>
      <w:r>
        <w:rPr>
          <w:color w:val="auto"/>
          <w:highlight w:val="none"/>
          <w:u w:val="single"/>
        </w:rPr>
        <w:t xml:space="preserve">                       </w:t>
      </w:r>
      <w:r>
        <w:rPr>
          <w:color w:val="auto"/>
          <w:highlight w:val="none"/>
        </w:rPr>
        <w:t xml:space="preserve">（盖单位章） </w:t>
      </w:r>
    </w:p>
    <w:p w14:paraId="6F60D336">
      <w:pPr>
        <w:pStyle w:val="22"/>
        <w:tabs>
          <w:tab w:val="left" w:pos="4223"/>
          <w:tab w:val="left" w:pos="4703"/>
        </w:tabs>
        <w:spacing w:line="360" w:lineRule="auto"/>
        <w:ind w:left="144" w:right="3698"/>
        <w:rPr>
          <w:color w:val="auto"/>
          <w:highlight w:val="none"/>
        </w:rPr>
      </w:pPr>
      <w:r>
        <w:rPr>
          <w:color w:val="auto"/>
          <w:highlight w:val="none"/>
        </w:rPr>
        <w:t>法定代表人或其委托代理人：</w:t>
      </w:r>
      <w:r>
        <w:rPr>
          <w:color w:val="auto"/>
          <w:highlight w:val="none"/>
          <w:u w:val="single"/>
        </w:rPr>
        <w:t xml:space="preserve"> </w:t>
      </w:r>
      <w:r>
        <w:rPr>
          <w:color w:val="auto"/>
          <w:highlight w:val="none"/>
          <w:u w:val="single"/>
        </w:rPr>
        <w:tab/>
      </w:r>
      <w:r>
        <w:rPr>
          <w:color w:val="auto"/>
          <w:highlight w:val="none"/>
        </w:rPr>
        <w:t>（签字）</w:t>
      </w:r>
    </w:p>
    <w:p w14:paraId="735D6D8C">
      <w:pPr>
        <w:pStyle w:val="22"/>
        <w:tabs>
          <w:tab w:val="left" w:pos="3143"/>
          <w:tab w:val="left" w:pos="4350"/>
          <w:tab w:val="left" w:pos="5063"/>
        </w:tabs>
        <w:spacing w:line="360" w:lineRule="auto"/>
        <w:ind w:left="2063" w:right="7"/>
        <w:rPr>
          <w:color w:val="auto"/>
          <w:highlight w:val="none"/>
        </w:rPr>
      </w:pP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rPr>
        <w:t>月</w:t>
      </w:r>
      <w:r>
        <w:rPr>
          <w:color w:val="auto"/>
          <w:highlight w:val="none"/>
          <w:u w:val="single"/>
        </w:rPr>
        <w:tab/>
      </w:r>
      <w:r>
        <w:rPr>
          <w:color w:val="auto"/>
          <w:highlight w:val="none"/>
        </w:rPr>
        <w:t>日</w:t>
      </w:r>
    </w:p>
    <w:p w14:paraId="68D7A89F">
      <w:pPr>
        <w:pStyle w:val="22"/>
        <w:spacing w:line="360" w:lineRule="auto"/>
        <w:rPr>
          <w:color w:val="auto"/>
          <w:highlight w:val="none"/>
        </w:rPr>
      </w:pPr>
    </w:p>
    <w:p w14:paraId="1E70856F">
      <w:pPr>
        <w:pStyle w:val="22"/>
        <w:tabs>
          <w:tab w:val="left" w:pos="4223"/>
          <w:tab w:val="left" w:pos="4703"/>
        </w:tabs>
        <w:spacing w:line="360" w:lineRule="auto"/>
        <w:ind w:left="144" w:right="3698"/>
        <w:rPr>
          <w:color w:val="auto"/>
          <w:highlight w:val="none"/>
        </w:rPr>
      </w:pPr>
      <w:r>
        <w:rPr>
          <w:color w:val="auto"/>
          <w:highlight w:val="none"/>
        </w:rPr>
        <w:t>经办银行：</w:t>
      </w:r>
      <w:r>
        <w:rPr>
          <w:color w:val="auto"/>
          <w:highlight w:val="none"/>
          <w:u w:val="single"/>
        </w:rPr>
        <w:t xml:space="preserve">                      </w:t>
      </w:r>
      <w:r>
        <w:rPr>
          <w:color w:val="auto"/>
          <w:highlight w:val="none"/>
        </w:rPr>
        <w:t>（盖单位章） 法定代表人或其委托代理人：</w:t>
      </w:r>
      <w:r>
        <w:rPr>
          <w:color w:val="auto"/>
          <w:highlight w:val="none"/>
          <w:u w:val="single"/>
        </w:rPr>
        <w:t xml:space="preserve"> </w:t>
      </w:r>
      <w:r>
        <w:rPr>
          <w:color w:val="auto"/>
          <w:highlight w:val="none"/>
          <w:u w:val="single"/>
        </w:rPr>
        <w:tab/>
      </w:r>
      <w:r>
        <w:rPr>
          <w:color w:val="auto"/>
          <w:highlight w:val="none"/>
        </w:rPr>
        <w:t>（签字）</w:t>
      </w:r>
    </w:p>
    <w:p w14:paraId="1F04F499">
      <w:pPr>
        <w:pStyle w:val="22"/>
        <w:tabs>
          <w:tab w:val="left" w:pos="3143"/>
          <w:tab w:val="left" w:pos="4350"/>
          <w:tab w:val="left" w:pos="5063"/>
        </w:tabs>
        <w:spacing w:line="360" w:lineRule="auto"/>
        <w:ind w:left="2063" w:right="7"/>
        <w:rPr>
          <w:color w:val="auto"/>
          <w:highlight w:val="none"/>
        </w:rPr>
        <w:sectPr>
          <w:footerReference r:id="rId11" w:type="default"/>
          <w:footerReference r:id="rId12" w:type="even"/>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pP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rPr>
        <w:t>月</w:t>
      </w:r>
      <w:r>
        <w:rPr>
          <w:color w:val="auto"/>
          <w:highlight w:val="none"/>
          <w:u w:val="single"/>
        </w:rPr>
        <w:tab/>
      </w:r>
      <w:r>
        <w:rPr>
          <w:color w:val="auto"/>
          <w:highlight w:val="none"/>
        </w:rPr>
        <w:t>日</w:t>
      </w:r>
    </w:p>
    <w:p w14:paraId="32B491DF">
      <w:pPr>
        <w:pStyle w:val="22"/>
        <w:spacing w:before="0" w:line="360" w:lineRule="auto"/>
        <w:ind w:right="-6605"/>
        <w:outlineLvl w:val="2"/>
        <w:rPr>
          <w:rStyle w:val="152"/>
          <w:rFonts w:hint="eastAsia"/>
          <w:b w:val="0"/>
          <w:bCs w:val="0"/>
          <w:color w:val="auto"/>
          <w:highlight w:val="none"/>
        </w:rPr>
      </w:pPr>
      <w:r>
        <w:rPr>
          <w:b/>
          <w:color w:val="auto"/>
          <w:sz w:val="30"/>
          <w:szCs w:val="30"/>
          <w:highlight w:val="none"/>
        </w:rPr>
        <w:br w:type="page"/>
      </w:r>
      <w:r>
        <w:rPr>
          <w:rStyle w:val="152"/>
          <w:rFonts w:hint="eastAsia"/>
          <w:b w:val="0"/>
          <w:bCs w:val="0"/>
          <w:color w:val="auto"/>
          <w:highlight w:val="none"/>
        </w:rPr>
        <w:t>附件十 环境保护和水土保持合同格式</w:t>
      </w:r>
    </w:p>
    <w:p w14:paraId="54E4660B">
      <w:pPr>
        <w:pStyle w:val="27"/>
        <w:snapToGrid w:val="0"/>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环境保护和水土保持合同</w:t>
      </w:r>
    </w:p>
    <w:p w14:paraId="6A389340">
      <w:pPr>
        <w:snapToGrid w:val="0"/>
        <w:spacing w:line="360" w:lineRule="auto"/>
        <w:rPr>
          <w:rFonts w:ascii="宋体" w:hAnsi="宋体"/>
          <w:color w:val="auto"/>
          <w:szCs w:val="21"/>
          <w:highlight w:val="none"/>
        </w:rPr>
      </w:pPr>
    </w:p>
    <w:p w14:paraId="11DC326B">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为减少工程施工</w:t>
      </w:r>
      <w:r>
        <w:rPr>
          <w:rFonts w:hint="eastAsia" w:ascii="宋体" w:hAnsi="宋体"/>
          <w:color w:val="auto"/>
          <w:sz w:val="24"/>
          <w:highlight w:val="none"/>
          <w:lang w:val="en-US" w:eastAsia="zh-CN"/>
        </w:rPr>
        <w:t>对</w:t>
      </w:r>
      <w:r>
        <w:rPr>
          <w:rFonts w:hint="eastAsia" w:ascii="宋体" w:hAnsi="宋体"/>
          <w:color w:val="auto"/>
          <w:sz w:val="24"/>
          <w:highlight w:val="none"/>
        </w:rPr>
        <w:t>环境的影响，尽可能地恢复环境自然植被面，本项目发包人</w:t>
      </w:r>
      <w:r>
        <w:rPr>
          <w:rFonts w:hint="eastAsia" w:ascii="宋体" w:hAnsi="宋体"/>
          <w:color w:val="auto"/>
          <w:sz w:val="24"/>
          <w:highlight w:val="none"/>
          <w:u w:val="single"/>
        </w:rPr>
        <w:t>（发包人全称）</w:t>
      </w:r>
      <w:r>
        <w:rPr>
          <w:rFonts w:hint="eastAsia" w:ascii="宋体" w:hAnsi="宋体"/>
          <w:color w:val="auto"/>
          <w:sz w:val="24"/>
          <w:highlight w:val="none"/>
        </w:rPr>
        <w:t>（以下简称“甲方”</w:t>
      </w:r>
      <w:r>
        <w:rPr>
          <w:rFonts w:ascii="宋体" w:hAnsi="宋体"/>
          <w:color w:val="auto"/>
          <w:sz w:val="24"/>
          <w:highlight w:val="none"/>
        </w:rPr>
        <w:t xml:space="preserve"> </w:t>
      </w:r>
      <w:r>
        <w:rPr>
          <w:rFonts w:hint="eastAsia" w:ascii="宋体" w:hAnsi="宋体"/>
          <w:color w:val="auto"/>
          <w:sz w:val="24"/>
          <w:highlight w:val="none"/>
        </w:rPr>
        <w:t>）与承包人</w:t>
      </w:r>
      <w:r>
        <w:rPr>
          <w:rFonts w:hint="eastAsia" w:ascii="宋体" w:hAnsi="宋体"/>
          <w:color w:val="auto"/>
          <w:sz w:val="24"/>
          <w:highlight w:val="none"/>
          <w:u w:val="single"/>
        </w:rPr>
        <w:t>（承包人全称）</w:t>
      </w:r>
      <w:r>
        <w:rPr>
          <w:rFonts w:ascii="宋体" w:hAnsi="宋体"/>
          <w:color w:val="auto"/>
          <w:sz w:val="24"/>
          <w:highlight w:val="none"/>
        </w:rPr>
        <w:t xml:space="preserve"> （以下简称“</w:t>
      </w:r>
      <w:r>
        <w:rPr>
          <w:rFonts w:hint="eastAsia" w:ascii="宋体" w:hAnsi="宋体"/>
          <w:color w:val="auto"/>
          <w:sz w:val="24"/>
          <w:highlight w:val="none"/>
        </w:rPr>
        <w:t>乙方”</w:t>
      </w:r>
      <w:r>
        <w:rPr>
          <w:rFonts w:ascii="宋体" w:hAnsi="宋体"/>
          <w:color w:val="auto"/>
          <w:sz w:val="24"/>
          <w:highlight w:val="none"/>
        </w:rPr>
        <w:t xml:space="preserve"> </w:t>
      </w:r>
      <w:r>
        <w:rPr>
          <w:rFonts w:hint="eastAsia" w:ascii="宋体" w:hAnsi="宋体"/>
          <w:color w:val="auto"/>
          <w:sz w:val="24"/>
          <w:highlight w:val="none"/>
        </w:rPr>
        <w:t>）特此签订环境保护和水土保持合同。</w:t>
      </w:r>
    </w:p>
    <w:p w14:paraId="297F6E8C">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val="0"/>
          <w:color w:val="auto"/>
          <w:sz w:val="24"/>
          <w:highlight w:val="none"/>
        </w:rPr>
        <w:t>1.甲方职责</w:t>
      </w:r>
    </w:p>
    <w:p w14:paraId="5A09AC67">
      <w:pPr>
        <w:snapToGrid w:val="0"/>
        <w:spacing w:line="360" w:lineRule="auto"/>
        <w:ind w:left="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1）严格遵守国家和地方的有关环境保护和水土保持的法律法规。</w:t>
      </w:r>
    </w:p>
    <w:p w14:paraId="3076289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2）按照“预防为主，保护优先”和“管生产必须管环保”的原则开展环境保护和水土保持管理工作，做到生产与环境保护和水土保持工作同时计划、实施、检查、总结和评比。</w:t>
      </w:r>
    </w:p>
    <w:p w14:paraId="6DD82FF8">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3）重要的环境保护和水土保持设施必须坚持与主体工程“三同时”的原则，即：同时设计、审批，同时施工，同时验收</w:t>
      </w:r>
      <w:r>
        <w:rPr>
          <w:rFonts w:hint="eastAsia" w:ascii="宋体" w:hAnsi="宋体"/>
          <w:color w:val="auto"/>
          <w:sz w:val="24"/>
          <w:highlight w:val="none"/>
          <w:lang w:eastAsia="zh-CN"/>
        </w:rPr>
        <w:t>、</w:t>
      </w:r>
      <w:r>
        <w:rPr>
          <w:rFonts w:ascii="宋体" w:hAnsi="宋体"/>
          <w:color w:val="auto"/>
          <w:sz w:val="24"/>
          <w:highlight w:val="none"/>
        </w:rPr>
        <w:t>投入使用。</w:t>
      </w:r>
    </w:p>
    <w:p w14:paraId="1BAF11E8">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4）组织对乙方的施工现场和施工营地进行环境保护和水土保持工作的检查，监督乙方及时处理各种环境污染、环境破坏的问题。</w:t>
      </w:r>
    </w:p>
    <w:p w14:paraId="28A536F6">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5）凡发现乙方在施工现场和施工营地有环境污染和环境破坏的行为，甲方应责令乙方及时整改，若情节严重，甲方应及时上报国家有关环境保护和水土保持机构。</w:t>
      </w:r>
    </w:p>
    <w:p w14:paraId="2BC82808">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val="0"/>
          <w:color w:val="auto"/>
          <w:sz w:val="24"/>
          <w:highlight w:val="none"/>
        </w:rPr>
        <w:t>2.乙方职责</w:t>
      </w:r>
    </w:p>
    <w:p w14:paraId="5C612396">
      <w:pPr>
        <w:snapToGrid w:val="0"/>
        <w:spacing w:line="360" w:lineRule="auto"/>
        <w:ind w:left="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1）严格遵守国家和地方的有关环境保护和水土保持的法律法规并认真执行。</w:t>
      </w:r>
    </w:p>
    <w:p w14:paraId="64B8342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坚持“预防为主，保护优先”“管生产必须管环保”及“谁破坏谁恢复”的原则，加强环境保护和水土保持的宣传教育，增强全员环保意识，建立健全环境保护和水土保持的管理机构和管理制度，配备专职及兼职的环、水保检查人员，有组织有领导地开展环境保护和水土保持工作。各级领导、工程技术人员、生产管理人员和具体操作人员（包括临时雇请的生产作业人员），必须熟悉和遵守本合同有关环境保护和水土保持的各项规定，做到生产与环境保护和水土保持工作同时计划、实施、检查、总结和评比。</w:t>
      </w:r>
    </w:p>
    <w:p w14:paraId="67DD880D">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3）建立健全环境保护和水土保持责任制。从项目经理到生产工人（包括临时雇请的生产作业人员）的环境保护和水土保持管理系统必须</w:t>
      </w:r>
      <w:r>
        <w:rPr>
          <w:rFonts w:hint="eastAsia" w:ascii="宋体" w:hAnsi="宋体"/>
          <w:color w:val="auto"/>
          <w:sz w:val="24"/>
          <w:highlight w:val="none"/>
          <w:lang w:val="en-US" w:eastAsia="zh-CN"/>
        </w:rPr>
        <w:t>做到</w:t>
      </w:r>
      <w:r>
        <w:rPr>
          <w:rFonts w:ascii="宋体" w:hAnsi="宋体"/>
          <w:color w:val="auto"/>
          <w:sz w:val="24"/>
          <w:highlight w:val="none"/>
        </w:rPr>
        <w:t>纵向到底，一环不漏；各职能部门、人员的环境保护和水土保持责任制做到横向到边，人人有责。项目经理是环境保护和水土保持的第一责任人。现场设置的环境保护和水土保持机构，应配备环、水保</w:t>
      </w:r>
      <w:r>
        <w:rPr>
          <w:rFonts w:hint="eastAsia" w:ascii="宋体" w:hAnsi="宋体"/>
          <w:color w:val="auto"/>
          <w:sz w:val="24"/>
          <w:highlight w:val="none"/>
        </w:rPr>
        <w:t>专职监督员，专职负责本合同工程环境保护和水土保持的宣传、检查工作，有权发布指令，防止污染环境和破坏环境的事件发生。</w:t>
      </w:r>
    </w:p>
    <w:p w14:paraId="39AB5FA0">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val="0"/>
          <w:color w:val="auto"/>
          <w:sz w:val="24"/>
          <w:highlight w:val="none"/>
        </w:rPr>
        <w:t>3.违约责任</w:t>
      </w:r>
    </w:p>
    <w:p w14:paraId="43077128">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如因乙方不遵守国家和地方的有关环境保护和水土保持的法律法规，造成环境污染或破坏，甲方有权责令乙方限期进行整改，并视其情节对乙方批评、违约处罚或终止合同：</w:t>
      </w:r>
    </w:p>
    <w:p w14:paraId="0356DE9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1）情节轻微者，甲方可对乙方予以通报批评，并向乙方课以1</w:t>
      </w:r>
      <w:r>
        <w:rPr>
          <w:rFonts w:hint="eastAsia" w:ascii="宋体" w:hAnsi="宋体"/>
          <w:color w:val="auto"/>
          <w:sz w:val="24"/>
          <w:highlight w:val="none"/>
          <w:lang w:val="en-US" w:eastAsia="zh-CN"/>
        </w:rPr>
        <w:t>万元</w:t>
      </w:r>
      <w:r>
        <w:rPr>
          <w:rFonts w:hint="eastAsia" w:ascii="宋体" w:hAnsi="宋体" w:eastAsia="宋体" w:cs="宋体"/>
          <w:color w:val="auto"/>
          <w:sz w:val="24"/>
          <w:highlight w:val="none"/>
        </w:rPr>
        <w:t>～</w:t>
      </w:r>
      <w:r>
        <w:rPr>
          <w:rFonts w:ascii="宋体" w:hAnsi="宋体"/>
          <w:color w:val="auto"/>
          <w:sz w:val="24"/>
          <w:highlight w:val="none"/>
        </w:rPr>
        <w:t>10万元违约金；</w:t>
      </w:r>
    </w:p>
    <w:p w14:paraId="0B4011F9">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2）累计三次因环境问题被有关方面通报批评，或情节严重，甲方可以终止乙方在标段的工程承包合同。</w:t>
      </w:r>
    </w:p>
    <w:p w14:paraId="53D3DCC0">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本合同正本一式</w:t>
      </w:r>
      <w:r>
        <w:rPr>
          <w:rFonts w:ascii="宋体" w:hAnsi="宋体"/>
          <w:color w:val="auto"/>
          <w:sz w:val="24"/>
          <w:highlight w:val="none"/>
          <w:u w:val="single"/>
        </w:rPr>
        <w:t xml:space="preserve">   </w:t>
      </w:r>
      <w:r>
        <w:rPr>
          <w:rFonts w:hint="eastAsia" w:ascii="宋体" w:hAnsi="宋体"/>
          <w:color w:val="auto"/>
          <w:sz w:val="24"/>
          <w:highlight w:val="none"/>
        </w:rPr>
        <w:t>份，副本一式</w:t>
      </w:r>
      <w:r>
        <w:rPr>
          <w:rFonts w:ascii="宋体" w:hAnsi="宋体"/>
          <w:color w:val="auto"/>
          <w:sz w:val="24"/>
          <w:highlight w:val="none"/>
          <w:u w:val="single"/>
        </w:rPr>
        <w:t xml:space="preserve">  </w:t>
      </w:r>
      <w:r>
        <w:rPr>
          <w:rFonts w:hint="eastAsia" w:ascii="宋体" w:hAnsi="宋体"/>
          <w:color w:val="auto"/>
          <w:sz w:val="24"/>
          <w:highlight w:val="none"/>
        </w:rPr>
        <w:t>份，合同双方各执正本</w:t>
      </w:r>
      <w:r>
        <w:rPr>
          <w:rFonts w:ascii="宋体" w:hAnsi="宋体"/>
          <w:color w:val="auto"/>
          <w:sz w:val="24"/>
          <w:highlight w:val="none"/>
          <w:u w:val="single"/>
        </w:rPr>
        <w:t xml:space="preserve">  </w:t>
      </w:r>
      <w:r>
        <w:rPr>
          <w:rFonts w:hint="eastAsia" w:ascii="宋体" w:hAnsi="宋体"/>
          <w:color w:val="auto"/>
          <w:sz w:val="24"/>
          <w:highlight w:val="none"/>
        </w:rPr>
        <w:t>份，副本</w:t>
      </w:r>
      <w:r>
        <w:rPr>
          <w:rFonts w:ascii="宋体" w:hAnsi="宋体"/>
          <w:color w:val="auto"/>
          <w:sz w:val="24"/>
          <w:highlight w:val="none"/>
          <w:u w:val="single"/>
        </w:rPr>
        <w:t xml:space="preserve">  </w:t>
      </w:r>
      <w:r>
        <w:rPr>
          <w:rFonts w:hint="eastAsia" w:ascii="宋体" w:hAnsi="宋体"/>
          <w:color w:val="auto"/>
          <w:sz w:val="24"/>
          <w:highlight w:val="none"/>
        </w:rPr>
        <w:t>份。由双方法定代表人或其委托代理人签署与加盖公章后生效，全部工程竣工验收后失效。</w:t>
      </w:r>
    </w:p>
    <w:p w14:paraId="141F03F1">
      <w:pPr>
        <w:snapToGrid w:val="0"/>
        <w:spacing w:line="360" w:lineRule="auto"/>
        <w:ind w:firstLine="480"/>
        <w:rPr>
          <w:rFonts w:ascii="宋体" w:hAnsi="宋体"/>
          <w:color w:val="auto"/>
          <w:sz w:val="24"/>
          <w:highlight w:val="none"/>
        </w:rPr>
      </w:pPr>
    </w:p>
    <w:p w14:paraId="7D96921D">
      <w:pPr>
        <w:pStyle w:val="22"/>
        <w:tabs>
          <w:tab w:val="left" w:pos="2903"/>
          <w:tab w:val="left" w:pos="3721"/>
          <w:tab w:val="left" w:pos="4601"/>
          <w:tab w:val="left" w:pos="7264"/>
          <w:tab w:val="left" w:pos="8177"/>
        </w:tabs>
        <w:spacing w:line="360" w:lineRule="auto"/>
        <w:ind w:left="144" w:right="124"/>
        <w:rPr>
          <w:rFonts w:cs="宋体"/>
          <w:color w:val="auto"/>
          <w:highlight w:val="none"/>
        </w:rPr>
      </w:pPr>
    </w:p>
    <w:p w14:paraId="797798CF">
      <w:pPr>
        <w:pStyle w:val="22"/>
        <w:tabs>
          <w:tab w:val="left" w:pos="2903"/>
          <w:tab w:val="left" w:pos="3721"/>
          <w:tab w:val="left" w:pos="4601"/>
          <w:tab w:val="left" w:pos="7264"/>
          <w:tab w:val="left" w:pos="8177"/>
        </w:tabs>
        <w:spacing w:line="360" w:lineRule="auto"/>
        <w:ind w:left="144" w:right="124"/>
        <w:rPr>
          <w:rFonts w:cs="宋体"/>
          <w:color w:val="auto"/>
          <w:highlight w:val="none"/>
        </w:rPr>
      </w:pPr>
    </w:p>
    <w:p w14:paraId="11C2BE69">
      <w:pPr>
        <w:pStyle w:val="22"/>
        <w:tabs>
          <w:tab w:val="left" w:pos="2903"/>
          <w:tab w:val="left" w:pos="3721"/>
          <w:tab w:val="left" w:pos="4845"/>
          <w:tab w:val="left" w:pos="7264"/>
          <w:tab w:val="left" w:pos="8177"/>
        </w:tabs>
        <w:spacing w:line="360" w:lineRule="auto"/>
        <w:ind w:left="144" w:right="124"/>
        <w:rPr>
          <w:color w:val="auto"/>
          <w:highlight w:val="none"/>
        </w:rPr>
      </w:pPr>
      <w:r>
        <w:rPr>
          <w:rFonts w:hint="eastAsia" w:cs="宋体"/>
          <w:color w:val="auto"/>
          <w:highlight w:val="none"/>
        </w:rPr>
        <w:t>发包人：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ab/>
      </w:r>
      <w:r>
        <w:rPr>
          <w:color w:val="auto"/>
          <w:highlight w:val="none"/>
        </w:rPr>
        <w:t>（</w:t>
      </w:r>
      <w:r>
        <w:rPr>
          <w:rFonts w:hint="eastAsia" w:cs="宋体"/>
          <w:color w:val="auto"/>
          <w:highlight w:val="none"/>
        </w:rPr>
        <w:t>盖单位章</w:t>
      </w:r>
      <w:r>
        <w:rPr>
          <w:color w:val="auto"/>
          <w:highlight w:val="none"/>
        </w:rPr>
        <w:t xml:space="preserve">） </w:t>
      </w:r>
      <w:r>
        <w:rPr>
          <w:rFonts w:hint="eastAsia"/>
          <w:color w:val="auto"/>
          <w:highlight w:val="none"/>
          <w:lang w:val="en-US" w:eastAsia="zh-CN"/>
        </w:rPr>
        <w:t xml:space="preserve"> </w:t>
      </w:r>
      <w:r>
        <w:rPr>
          <w:rFonts w:hint="eastAsia" w:cs="宋体"/>
          <w:color w:val="auto"/>
          <w:highlight w:val="none"/>
        </w:rPr>
        <w:t>承包人：</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color w:val="auto"/>
          <w:highlight w:val="none"/>
        </w:rPr>
        <w:t>（</w:t>
      </w:r>
      <w:r>
        <w:rPr>
          <w:rFonts w:hint="eastAsia" w:cs="宋体"/>
          <w:color w:val="auto"/>
          <w:highlight w:val="none"/>
        </w:rPr>
        <w:t>盖单位章</w:t>
      </w:r>
      <w:r>
        <w:rPr>
          <w:color w:val="auto"/>
          <w:highlight w:val="none"/>
        </w:rPr>
        <w:t>）</w:t>
      </w:r>
    </w:p>
    <w:p w14:paraId="49A78FED">
      <w:pPr>
        <w:pStyle w:val="22"/>
        <w:tabs>
          <w:tab w:val="left" w:pos="2903"/>
          <w:tab w:val="left" w:pos="3721"/>
          <w:tab w:val="left" w:pos="4601"/>
          <w:tab w:val="left" w:pos="7264"/>
          <w:tab w:val="left" w:pos="8177"/>
        </w:tabs>
        <w:spacing w:line="360" w:lineRule="auto"/>
        <w:ind w:left="144" w:right="124"/>
        <w:rPr>
          <w:color w:val="auto"/>
          <w:highlight w:val="none"/>
        </w:rPr>
      </w:pPr>
      <w:r>
        <w:rPr>
          <w:rFonts w:hint="eastAsia" w:cs="宋体"/>
          <w:color w:val="auto"/>
          <w:highlight w:val="none"/>
        </w:rPr>
        <w:t>法定代表人或其委托代理人：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w:t>
      </w:r>
      <w:r>
        <w:rPr>
          <w:rFonts w:hint="eastAsia" w:cs="宋体"/>
          <w:color w:val="auto"/>
          <w:highlight w:val="none"/>
        </w:rPr>
        <w:t>签字</w:t>
      </w:r>
      <w:r>
        <w:rPr>
          <w:color w:val="auto"/>
          <w:highlight w:val="none"/>
        </w:rPr>
        <w:t xml:space="preserve">） </w:t>
      </w:r>
      <w:r>
        <w:rPr>
          <w:rFonts w:hint="eastAsia" w:cs="宋体"/>
          <w:color w:val="auto"/>
          <w:spacing w:val="-3"/>
          <w:highlight w:val="none"/>
        </w:rPr>
        <w:t>法定代表人或其委托代理人：</w:t>
      </w:r>
      <w:r>
        <w:rPr>
          <w:color w:val="auto"/>
          <w:spacing w:val="-3"/>
          <w:highlight w:val="none"/>
          <w:u w:val="single"/>
        </w:rPr>
        <w:t xml:space="preserve"> </w:t>
      </w:r>
      <w:r>
        <w:rPr>
          <w:rFonts w:hint="eastAsia"/>
          <w:color w:val="auto"/>
          <w:spacing w:val="-3"/>
          <w:highlight w:val="none"/>
          <w:u w:val="single"/>
          <w:lang w:val="en-US" w:eastAsia="zh-CN"/>
        </w:rPr>
        <w:t xml:space="preserve"> </w:t>
      </w:r>
      <w:r>
        <w:rPr>
          <w:color w:val="auto"/>
          <w:highlight w:val="none"/>
        </w:rPr>
        <w:t>（</w:t>
      </w:r>
      <w:r>
        <w:rPr>
          <w:rFonts w:hint="eastAsia" w:cs="宋体"/>
          <w:color w:val="auto"/>
          <w:highlight w:val="none"/>
        </w:rPr>
        <w:t>签字</w:t>
      </w:r>
      <w:r>
        <w:rPr>
          <w:color w:val="auto"/>
          <w:highlight w:val="none"/>
        </w:rPr>
        <w:t>）</w:t>
      </w:r>
    </w:p>
    <w:p w14:paraId="18493380">
      <w:pPr>
        <w:pStyle w:val="22"/>
        <w:tabs>
          <w:tab w:val="left" w:pos="1583"/>
          <w:tab w:val="left" w:pos="2430"/>
          <w:tab w:val="left" w:pos="3270"/>
          <w:tab w:val="left" w:pos="5310"/>
          <w:tab w:val="left" w:pos="6023"/>
          <w:tab w:val="left" w:pos="6750"/>
          <w:tab w:val="left" w:pos="8303"/>
        </w:tabs>
        <w:spacing w:line="360" w:lineRule="auto"/>
        <w:ind w:left="504" w:right="107" w:firstLine="360" w:firstLineChars="150"/>
        <w:rPr>
          <w:color w:val="auto"/>
          <w:highlight w:val="none"/>
        </w:rPr>
      </w:pPr>
      <w:r>
        <w:rPr>
          <w:color w:val="auto"/>
          <w:highlight w:val="none"/>
          <w:u w:val="single"/>
        </w:rPr>
        <w:tab/>
      </w:r>
      <w:r>
        <w:rPr>
          <w:rFonts w:hint="eastAsia" w:cs="宋体"/>
          <w:color w:val="auto"/>
          <w:highlight w:val="none"/>
        </w:rPr>
        <w:t>年</w:t>
      </w:r>
      <w:r>
        <w:rPr>
          <w:color w:val="auto"/>
          <w:highlight w:val="none"/>
          <w:u w:val="single"/>
        </w:rPr>
        <w:t xml:space="preserve"> </w:t>
      </w:r>
      <w:r>
        <w:rPr>
          <w:color w:val="auto"/>
          <w:highlight w:val="none"/>
          <w:u w:val="single"/>
        </w:rPr>
        <w:tab/>
      </w:r>
      <w:r>
        <w:rPr>
          <w:rFonts w:hint="eastAsia" w:cs="宋体"/>
          <w:color w:val="auto"/>
          <w:highlight w:val="none"/>
        </w:rPr>
        <w:t>月</w:t>
      </w:r>
      <w:r>
        <w:rPr>
          <w:color w:val="auto"/>
          <w:highlight w:val="none"/>
          <w:u w:val="single"/>
        </w:rPr>
        <w:tab/>
      </w:r>
      <w:r>
        <w:rPr>
          <w:rFonts w:hint="eastAsia" w:cs="宋体"/>
          <w:color w:val="auto"/>
          <w:highlight w:val="none"/>
        </w:rPr>
        <w:t>日</w:t>
      </w:r>
      <w:r>
        <w:rPr>
          <w:color w:val="auto"/>
          <w:highlight w:val="none"/>
        </w:rPr>
        <w:tab/>
      </w:r>
      <w:r>
        <w:rPr>
          <w:color w:val="auto"/>
          <w:highlight w:val="none"/>
          <w:u w:val="single"/>
        </w:rPr>
        <w:t xml:space="preserve"> </w:t>
      </w:r>
      <w:r>
        <w:rPr>
          <w:color w:val="auto"/>
          <w:highlight w:val="none"/>
          <w:u w:val="single"/>
        </w:rPr>
        <w:tab/>
      </w:r>
      <w:r>
        <w:rPr>
          <w:rFonts w:hint="eastAsia" w:cs="宋体"/>
          <w:color w:val="auto"/>
          <w:highlight w:val="none"/>
        </w:rPr>
        <w:t>年</w:t>
      </w:r>
      <w:r>
        <w:rPr>
          <w:color w:val="auto"/>
          <w:highlight w:val="none"/>
          <w:u w:val="single"/>
        </w:rPr>
        <w:t xml:space="preserve"> </w:t>
      </w:r>
      <w:r>
        <w:rPr>
          <w:color w:val="auto"/>
          <w:highlight w:val="none"/>
          <w:u w:val="single"/>
        </w:rPr>
        <w:tab/>
      </w:r>
      <w:r>
        <w:rPr>
          <w:rFonts w:hint="eastAsia" w:cs="宋体"/>
          <w:color w:val="auto"/>
          <w:highlight w:val="none"/>
        </w:rPr>
        <w:t>月</w:t>
      </w:r>
      <w:r>
        <w:rPr>
          <w:rFonts w:cs="宋体"/>
          <w:color w:val="auto"/>
          <w:highlight w:val="none"/>
          <w:u w:val="single"/>
        </w:rPr>
        <w:t xml:space="preserve">    </w:t>
      </w:r>
      <w:r>
        <w:rPr>
          <w:rFonts w:hint="eastAsia" w:cs="宋体"/>
          <w:color w:val="auto"/>
          <w:highlight w:val="none"/>
        </w:rPr>
        <w:t>日</w:t>
      </w:r>
    </w:p>
    <w:p w14:paraId="7C2B4682">
      <w:pPr>
        <w:pStyle w:val="27"/>
        <w:snapToGrid w:val="0"/>
        <w:spacing w:line="360" w:lineRule="exact"/>
        <w:rPr>
          <w:rFonts w:hAnsi="宋体"/>
          <w:b/>
          <w:color w:val="auto"/>
          <w:sz w:val="28"/>
          <w:szCs w:val="28"/>
          <w:highlight w:val="none"/>
        </w:rPr>
      </w:pPr>
    </w:p>
    <w:p w14:paraId="4B42BCA7">
      <w:pPr>
        <w:pStyle w:val="27"/>
        <w:snapToGrid w:val="0"/>
        <w:spacing w:line="360" w:lineRule="exact"/>
        <w:rPr>
          <w:rFonts w:hAnsi="宋体"/>
          <w:b/>
          <w:color w:val="auto"/>
          <w:sz w:val="28"/>
          <w:szCs w:val="28"/>
          <w:highlight w:val="none"/>
        </w:rPr>
      </w:pPr>
    </w:p>
    <w:p w14:paraId="28B6D6B8">
      <w:pPr>
        <w:pStyle w:val="27"/>
        <w:snapToGrid w:val="0"/>
        <w:spacing w:line="360" w:lineRule="exact"/>
        <w:rPr>
          <w:rFonts w:hAnsi="宋体"/>
          <w:b/>
          <w:color w:val="auto"/>
          <w:sz w:val="28"/>
          <w:szCs w:val="28"/>
          <w:highlight w:val="none"/>
        </w:rPr>
      </w:pPr>
    </w:p>
    <w:p w14:paraId="1A3D42E7">
      <w:pPr>
        <w:pStyle w:val="27"/>
        <w:snapToGrid w:val="0"/>
        <w:spacing w:line="360" w:lineRule="exact"/>
        <w:rPr>
          <w:rFonts w:hAnsi="宋体"/>
          <w:b/>
          <w:color w:val="auto"/>
          <w:sz w:val="28"/>
          <w:szCs w:val="28"/>
          <w:highlight w:val="none"/>
        </w:rPr>
      </w:pPr>
    </w:p>
    <w:p w14:paraId="52399FE8">
      <w:pPr>
        <w:pStyle w:val="27"/>
        <w:snapToGrid w:val="0"/>
        <w:spacing w:line="360" w:lineRule="exact"/>
        <w:rPr>
          <w:rFonts w:hAnsi="宋体"/>
          <w:b/>
          <w:color w:val="auto"/>
          <w:sz w:val="28"/>
          <w:szCs w:val="28"/>
          <w:highlight w:val="none"/>
        </w:rPr>
      </w:pPr>
    </w:p>
    <w:p w14:paraId="3C9B0CD7">
      <w:pPr>
        <w:pStyle w:val="27"/>
        <w:snapToGrid w:val="0"/>
        <w:spacing w:line="360" w:lineRule="exact"/>
        <w:rPr>
          <w:rFonts w:hAnsi="宋体"/>
          <w:b/>
          <w:color w:val="auto"/>
          <w:sz w:val="28"/>
          <w:szCs w:val="28"/>
          <w:highlight w:val="none"/>
        </w:rPr>
      </w:pPr>
    </w:p>
    <w:p w14:paraId="666FB79B">
      <w:pPr>
        <w:pStyle w:val="27"/>
        <w:snapToGrid w:val="0"/>
        <w:spacing w:line="360" w:lineRule="exact"/>
        <w:rPr>
          <w:rFonts w:hAnsi="宋体"/>
          <w:b/>
          <w:color w:val="auto"/>
          <w:sz w:val="28"/>
          <w:szCs w:val="28"/>
          <w:highlight w:val="none"/>
        </w:rPr>
      </w:pPr>
    </w:p>
    <w:p w14:paraId="3949E59B">
      <w:pPr>
        <w:pStyle w:val="27"/>
        <w:snapToGrid w:val="0"/>
        <w:spacing w:line="360" w:lineRule="exact"/>
        <w:rPr>
          <w:rFonts w:hAnsi="宋体"/>
          <w:b/>
          <w:color w:val="auto"/>
          <w:sz w:val="28"/>
          <w:szCs w:val="28"/>
          <w:highlight w:val="none"/>
        </w:rPr>
      </w:pPr>
    </w:p>
    <w:p w14:paraId="35AA4949">
      <w:pPr>
        <w:pStyle w:val="27"/>
        <w:snapToGrid w:val="0"/>
        <w:spacing w:line="360" w:lineRule="exact"/>
        <w:rPr>
          <w:rFonts w:hAnsi="宋体"/>
          <w:b/>
          <w:color w:val="auto"/>
          <w:sz w:val="28"/>
          <w:szCs w:val="28"/>
          <w:highlight w:val="none"/>
        </w:rPr>
      </w:pPr>
    </w:p>
    <w:p w14:paraId="4DEAF32A">
      <w:pPr>
        <w:pStyle w:val="27"/>
        <w:snapToGrid w:val="0"/>
        <w:spacing w:line="360" w:lineRule="exact"/>
        <w:rPr>
          <w:rFonts w:hAnsi="宋体"/>
          <w:b/>
          <w:color w:val="auto"/>
          <w:sz w:val="28"/>
          <w:szCs w:val="28"/>
          <w:highlight w:val="none"/>
        </w:rPr>
      </w:pPr>
    </w:p>
    <w:p w14:paraId="28A51ED1">
      <w:pPr>
        <w:pStyle w:val="27"/>
        <w:snapToGrid w:val="0"/>
        <w:spacing w:line="360" w:lineRule="exact"/>
        <w:rPr>
          <w:rFonts w:hAnsi="宋体"/>
          <w:b/>
          <w:color w:val="auto"/>
          <w:sz w:val="28"/>
          <w:szCs w:val="28"/>
          <w:highlight w:val="none"/>
        </w:rPr>
      </w:pPr>
    </w:p>
    <w:p w14:paraId="259AFCCD">
      <w:pPr>
        <w:pStyle w:val="27"/>
        <w:snapToGrid w:val="0"/>
        <w:spacing w:line="360" w:lineRule="exact"/>
        <w:rPr>
          <w:rFonts w:hAnsi="宋体"/>
          <w:b/>
          <w:color w:val="auto"/>
          <w:sz w:val="28"/>
          <w:szCs w:val="28"/>
          <w:highlight w:val="none"/>
        </w:rPr>
      </w:pPr>
    </w:p>
    <w:p w14:paraId="017BD9CD">
      <w:pPr>
        <w:pStyle w:val="27"/>
        <w:snapToGrid w:val="0"/>
        <w:spacing w:line="360" w:lineRule="exact"/>
        <w:rPr>
          <w:rFonts w:hAnsi="宋体"/>
          <w:b/>
          <w:color w:val="auto"/>
          <w:sz w:val="28"/>
          <w:szCs w:val="28"/>
          <w:highlight w:val="none"/>
        </w:rPr>
      </w:pPr>
    </w:p>
    <w:p w14:paraId="41E126F9">
      <w:pPr>
        <w:pStyle w:val="27"/>
        <w:snapToGrid w:val="0"/>
        <w:spacing w:line="360" w:lineRule="exact"/>
        <w:rPr>
          <w:rFonts w:hAnsi="宋体"/>
          <w:b/>
          <w:color w:val="auto"/>
          <w:sz w:val="28"/>
          <w:szCs w:val="28"/>
          <w:highlight w:val="none"/>
        </w:rPr>
      </w:pPr>
    </w:p>
    <w:p w14:paraId="0EF87D3E">
      <w:pPr>
        <w:pStyle w:val="27"/>
        <w:snapToGrid w:val="0"/>
        <w:spacing w:line="360" w:lineRule="exact"/>
        <w:rPr>
          <w:rFonts w:hAnsi="宋体"/>
          <w:b/>
          <w:color w:val="auto"/>
          <w:sz w:val="28"/>
          <w:szCs w:val="28"/>
          <w:highlight w:val="none"/>
        </w:rPr>
      </w:pPr>
    </w:p>
    <w:p w14:paraId="002F171A">
      <w:pPr>
        <w:pStyle w:val="22"/>
        <w:spacing w:before="0" w:line="360" w:lineRule="auto"/>
        <w:ind w:right="-6605"/>
        <w:outlineLvl w:val="2"/>
        <w:rPr>
          <w:rStyle w:val="152"/>
          <w:rFonts w:hint="eastAsia" w:ascii="Times New Roman" w:hAnsi="Times New Roman"/>
          <w:b w:val="0"/>
          <w:bCs w:val="0"/>
          <w:color w:val="auto"/>
          <w:highlight w:val="none"/>
        </w:rPr>
      </w:pPr>
      <w:r>
        <w:rPr>
          <w:b/>
          <w:color w:val="auto"/>
          <w:sz w:val="30"/>
          <w:szCs w:val="30"/>
          <w:highlight w:val="none"/>
        </w:rPr>
        <w:br w:type="page"/>
      </w:r>
      <w:r>
        <w:rPr>
          <w:rStyle w:val="152"/>
          <w:rFonts w:ascii="Times New Roman" w:hAnsi="Times New Roman"/>
          <w:b w:val="0"/>
          <w:bCs w:val="0"/>
          <w:color w:val="auto"/>
          <w:highlight w:val="none"/>
        </w:rPr>
        <w:t>附件十一</w:t>
      </w:r>
      <w:r>
        <w:rPr>
          <w:rStyle w:val="152"/>
          <w:rFonts w:hint="eastAsia" w:ascii="Times New Roman" w:hAnsi="Times New Roman"/>
          <w:b w:val="0"/>
          <w:bCs w:val="0"/>
          <w:color w:val="auto"/>
          <w:highlight w:val="none"/>
        </w:rPr>
        <w:t xml:space="preserve"> 农民工管理合同格式</w:t>
      </w:r>
    </w:p>
    <w:p w14:paraId="02972CAC">
      <w:pPr>
        <w:pStyle w:val="27"/>
        <w:snapToGrid w:val="0"/>
        <w:spacing w:line="360" w:lineRule="exact"/>
        <w:ind w:firstLine="480" w:firstLineChars="200"/>
        <w:rPr>
          <w:rFonts w:hAnsi="宋体" w:cs="Courier New"/>
          <w:color w:val="auto"/>
          <w:sz w:val="24"/>
          <w:highlight w:val="none"/>
        </w:rPr>
      </w:pPr>
      <w:r>
        <w:rPr>
          <w:rFonts w:hint="eastAsia" w:hAnsi="宋体" w:cs="Courier New"/>
          <w:color w:val="auto"/>
          <w:sz w:val="24"/>
          <w:highlight w:val="none"/>
        </w:rPr>
        <w:t>本格式仅供参考</w:t>
      </w:r>
      <w:r>
        <w:rPr>
          <w:rFonts w:hAnsi="宋体" w:cs="Courier New"/>
          <w:color w:val="auto"/>
          <w:sz w:val="24"/>
          <w:highlight w:val="none"/>
        </w:rPr>
        <w:t>，若</w:t>
      </w:r>
      <w:r>
        <w:rPr>
          <w:rFonts w:hint="eastAsia" w:hAnsi="宋体" w:cs="Courier New"/>
          <w:color w:val="auto"/>
          <w:sz w:val="24"/>
          <w:highlight w:val="none"/>
        </w:rPr>
        <w:t>有新的国家相关规定的颁布实施，将按上级主管部门的决定采用执行。</w:t>
      </w:r>
    </w:p>
    <w:p w14:paraId="5471CA66">
      <w:pPr>
        <w:pStyle w:val="27"/>
        <w:snapToGrid w:val="0"/>
        <w:spacing w:line="360" w:lineRule="exact"/>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农民工管理合同</w:t>
      </w:r>
    </w:p>
    <w:p w14:paraId="28D1B96D">
      <w:pPr>
        <w:pStyle w:val="27"/>
        <w:snapToGrid w:val="0"/>
        <w:spacing w:line="360" w:lineRule="exact"/>
        <w:jc w:val="center"/>
        <w:rPr>
          <w:rFonts w:hAnsi="宋体"/>
          <w:color w:val="auto"/>
          <w:highlight w:val="none"/>
        </w:rPr>
      </w:pPr>
    </w:p>
    <w:p w14:paraId="022F0D74">
      <w:pPr>
        <w:snapToGrid w:val="0"/>
        <w:spacing w:line="360" w:lineRule="auto"/>
        <w:rPr>
          <w:rFonts w:ascii="宋体" w:hAnsi="宋体"/>
          <w:color w:val="auto"/>
          <w:sz w:val="24"/>
          <w:highlight w:val="none"/>
        </w:rPr>
      </w:pPr>
      <w:r>
        <w:rPr>
          <w:rFonts w:ascii="宋体" w:hAnsi="宋体"/>
          <w:color w:val="auto"/>
          <w:szCs w:val="21"/>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为体现“人性化”管理原则，稳定施工队伍，切实加强工程施工过程中的农民工管理，促进项目建设顺利进行，本项目发包人</w:t>
      </w:r>
      <w:r>
        <w:rPr>
          <w:rFonts w:hint="eastAsia" w:ascii="宋体" w:hAnsi="宋体"/>
          <w:color w:val="auto"/>
          <w:sz w:val="24"/>
          <w:highlight w:val="none"/>
          <w:u w:val="single"/>
        </w:rPr>
        <w:t>（发包人名称）</w:t>
      </w:r>
      <w:r>
        <w:rPr>
          <w:rFonts w:hint="eastAsia" w:ascii="宋体" w:hAnsi="宋体"/>
          <w:color w:val="auto"/>
          <w:sz w:val="24"/>
          <w:highlight w:val="none"/>
        </w:rPr>
        <w:t>（以下简称“甲方”）与承包人</w:t>
      </w:r>
      <w:r>
        <w:rPr>
          <w:rFonts w:hint="eastAsia" w:ascii="宋体" w:hAnsi="宋体"/>
          <w:color w:val="auto"/>
          <w:sz w:val="24"/>
          <w:highlight w:val="none"/>
          <w:u w:val="single"/>
        </w:rPr>
        <w:t>（承包人名称）</w:t>
      </w:r>
      <w:r>
        <w:rPr>
          <w:rFonts w:hint="eastAsia" w:ascii="宋体" w:hAnsi="宋体"/>
          <w:color w:val="auto"/>
          <w:sz w:val="24"/>
          <w:highlight w:val="none"/>
        </w:rPr>
        <w:t>（以下简称“乙方”）特此签订农民工管理合同。</w:t>
      </w:r>
    </w:p>
    <w:p w14:paraId="642AB5B4">
      <w:pPr>
        <w:tabs>
          <w:tab w:val="left" w:pos="1020"/>
        </w:tabs>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val="0"/>
          <w:color w:val="auto"/>
          <w:sz w:val="24"/>
          <w:highlight w:val="none"/>
        </w:rPr>
        <w:t>1.甲方职责</w:t>
      </w:r>
    </w:p>
    <w:p w14:paraId="0C8CA39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1）严格遵守国家和地方的有关法律法规，认真执行工程承包合同中有关要求，加强对农民工管理的督察工作。</w:t>
      </w:r>
    </w:p>
    <w:p w14:paraId="2FA6A527">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2）监督乙方与农民工签订劳动合同，并在劳动合同中明确工资支付项目、支付标准、支付形式、支付时间及双方约定的其他工资事项。</w:t>
      </w:r>
    </w:p>
    <w:p w14:paraId="1EDD820E">
      <w:pPr>
        <w:snapToGrid w:val="0"/>
        <w:spacing w:line="360" w:lineRule="auto"/>
        <w:ind w:firstLine="480"/>
        <w:rPr>
          <w:rFonts w:ascii="宋体" w:hAnsi="宋体"/>
          <w:color w:val="auto"/>
          <w:sz w:val="24"/>
          <w:highlight w:val="none"/>
        </w:rPr>
      </w:pPr>
      <w:bookmarkStart w:id="880" w:name="_Hlk52797403"/>
      <w:r>
        <w:rPr>
          <w:rFonts w:hint="eastAsia" w:ascii="宋体" w:hAnsi="宋体"/>
          <w:color w:val="auto"/>
          <w:sz w:val="24"/>
          <w:highlight w:val="none"/>
        </w:rPr>
        <w:t>（</w:t>
      </w:r>
      <w:r>
        <w:rPr>
          <w:rFonts w:ascii="宋体" w:hAnsi="宋体"/>
          <w:color w:val="auto"/>
          <w:sz w:val="24"/>
          <w:highlight w:val="none"/>
        </w:rPr>
        <w:t>3）按照工程承包合同中的有关要求，及时拨付给乙方工程计量支付资金、人工费用</w:t>
      </w:r>
      <w:r>
        <w:rPr>
          <w:rFonts w:hint="eastAsia" w:ascii="宋体" w:hAnsi="宋体"/>
          <w:color w:val="auto"/>
          <w:sz w:val="24"/>
          <w:highlight w:val="none"/>
        </w:rPr>
        <w:t>。实行农民工工资支付担保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农民工工资保证金</w:t>
      </w:r>
      <w:r>
        <w:rPr>
          <w:rFonts w:hint="eastAsia" w:ascii="宋体" w:hAnsi="宋体"/>
          <w:color w:val="auto"/>
          <w:sz w:val="24"/>
          <w:highlight w:val="none"/>
        </w:rPr>
        <w:t>制度。农民工工资支付担保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农民工工资保证金</w:t>
      </w:r>
      <w:r>
        <w:rPr>
          <w:rFonts w:hint="eastAsia" w:ascii="宋体" w:hAnsi="宋体"/>
          <w:color w:val="auto"/>
          <w:sz w:val="24"/>
          <w:highlight w:val="none"/>
        </w:rPr>
        <w:t>扣留及返还具体见专用合同条款</w:t>
      </w:r>
      <w:bookmarkEnd w:id="880"/>
      <w:r>
        <w:rPr>
          <w:rFonts w:hint="eastAsia" w:ascii="宋体" w:hAnsi="宋体"/>
          <w:color w:val="auto"/>
          <w:sz w:val="24"/>
          <w:highlight w:val="none"/>
        </w:rPr>
        <w:t>。</w:t>
      </w:r>
    </w:p>
    <w:p w14:paraId="11FD570B">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甲方将对乙方农民工工资支付情况实行全面监控和督查督办。在项目建设期间，总监办定期组织对乙方农民工劳动合同、农民工日常管理、农民工工资支付情况进行检查，监督乙方及时发现各项因农民工问题引起的不稳定因素，并合理处理相关事件。</w:t>
      </w:r>
    </w:p>
    <w:p w14:paraId="63B8C77E">
      <w:pPr>
        <w:tabs>
          <w:tab w:val="left" w:pos="1020"/>
        </w:tabs>
        <w:snapToGrid w:val="0"/>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2.乙方职责</w:t>
      </w:r>
    </w:p>
    <w:p w14:paraId="5E192DB6">
      <w:pPr>
        <w:snapToGrid w:val="0"/>
        <w:spacing w:line="360" w:lineRule="auto"/>
        <w:ind w:firstLine="480"/>
        <w:rPr>
          <w:rFonts w:ascii="宋体" w:hAnsi="宋体"/>
          <w:color w:val="auto"/>
          <w:sz w:val="24"/>
          <w:highlight w:val="none"/>
        </w:rPr>
      </w:pPr>
      <w:bookmarkStart w:id="881" w:name="_Hlk52797443"/>
      <w:r>
        <w:rPr>
          <w:rFonts w:hint="eastAsia" w:ascii="宋体" w:hAnsi="宋体"/>
          <w:color w:val="auto"/>
          <w:sz w:val="24"/>
          <w:highlight w:val="none"/>
        </w:rPr>
        <w:t>（</w:t>
      </w:r>
      <w:r>
        <w:rPr>
          <w:rFonts w:ascii="宋体" w:hAnsi="宋体"/>
          <w:color w:val="auto"/>
          <w:sz w:val="24"/>
          <w:highlight w:val="none"/>
        </w:rPr>
        <w:t>1）严格遵守国家和地方的有关法律法规及交通运输部</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四川省交通运输厅等</w:t>
      </w:r>
      <w:r>
        <w:rPr>
          <w:rFonts w:ascii="宋体" w:hAnsi="宋体"/>
          <w:color w:val="auto"/>
          <w:sz w:val="24"/>
          <w:highlight w:val="none"/>
        </w:rPr>
        <w:t>的有关规定，严格贯彻执行《</w:t>
      </w:r>
      <w:r>
        <w:rPr>
          <w:rFonts w:hint="eastAsia" w:ascii="宋体" w:hAnsi="宋体"/>
          <w:color w:val="auto"/>
          <w:sz w:val="24"/>
          <w:highlight w:val="none"/>
          <w:lang w:val="en-US" w:eastAsia="zh-CN"/>
        </w:rPr>
        <w:t>中华人民共和国</w:t>
      </w:r>
      <w:r>
        <w:rPr>
          <w:rFonts w:ascii="宋体" w:hAnsi="宋体"/>
          <w:color w:val="auto"/>
          <w:sz w:val="24"/>
          <w:highlight w:val="none"/>
        </w:rPr>
        <w:t>劳动法》《工资支付暂行规定》和《最低工资规定》</w:t>
      </w:r>
      <w:r>
        <w:rPr>
          <w:rFonts w:hint="eastAsia" w:ascii="宋体" w:hAnsi="宋体"/>
          <w:color w:val="auto"/>
          <w:sz w:val="24"/>
          <w:highlight w:val="none"/>
        </w:rPr>
        <w:t>《保障农民工</w:t>
      </w:r>
      <w:r>
        <w:rPr>
          <w:rFonts w:ascii="宋体" w:hAnsi="宋体"/>
          <w:color w:val="auto"/>
          <w:sz w:val="24"/>
          <w:highlight w:val="none"/>
        </w:rPr>
        <w:t>工资</w:t>
      </w:r>
      <w:r>
        <w:rPr>
          <w:rFonts w:hint="eastAsia" w:ascii="宋体" w:hAnsi="宋体"/>
          <w:color w:val="auto"/>
          <w:sz w:val="24"/>
          <w:highlight w:val="none"/>
        </w:rPr>
        <w:t>支付条例》</w:t>
      </w:r>
      <w:r>
        <w:rPr>
          <w:rFonts w:hint="eastAsia" w:ascii="宋体" w:hAnsi="宋体"/>
          <w:color w:val="auto"/>
          <w:sz w:val="24"/>
          <w:highlight w:val="none"/>
          <w:lang w:eastAsia="zh-CN"/>
        </w:rPr>
        <w:t>（</w:t>
      </w:r>
      <w:r>
        <w:rPr>
          <w:rFonts w:ascii="宋体" w:hAnsi="宋体"/>
          <w:color w:val="auto"/>
          <w:sz w:val="24"/>
          <w:highlight w:val="none"/>
        </w:rPr>
        <w:t>国务院令</w:t>
      </w:r>
      <w:r>
        <w:rPr>
          <w:rFonts w:hint="eastAsia" w:ascii="宋体" w:hAnsi="宋体"/>
          <w:color w:val="auto"/>
          <w:sz w:val="24"/>
          <w:highlight w:val="none"/>
        </w:rPr>
        <w:t>第</w:t>
      </w:r>
      <w:r>
        <w:rPr>
          <w:rFonts w:hint="eastAsia" w:ascii="宋体" w:hAnsi="宋体" w:cs="宋体"/>
          <w:color w:val="auto"/>
          <w:spacing w:val="-4"/>
          <w:sz w:val="24"/>
          <w:highlight w:val="none"/>
          <w:lang w:val="en-US" w:eastAsia="zh-CN"/>
        </w:rPr>
        <w:t>724</w:t>
      </w:r>
      <w:r>
        <w:rPr>
          <w:rFonts w:hint="eastAsia" w:ascii="宋体" w:hAnsi="宋体"/>
          <w:color w:val="auto"/>
          <w:sz w:val="24"/>
          <w:highlight w:val="none"/>
        </w:rPr>
        <w:t>号</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s="宋体"/>
          <w:color w:val="auto"/>
          <w:spacing w:val="-4"/>
          <w:sz w:val="24"/>
          <w:highlight w:val="none"/>
        </w:rPr>
        <w:t>《工程建设领域农民工工资保证金规定》（人社部发</w:t>
      </w:r>
      <w:r>
        <w:rPr>
          <w:rFonts w:hint="eastAsia" w:ascii="宋体" w:hAnsi="宋体" w:cs="宋体"/>
          <w:color w:val="auto"/>
          <w:spacing w:val="-4"/>
          <w:sz w:val="24"/>
          <w:highlight w:val="none"/>
          <w:lang w:eastAsia="zh-CN"/>
        </w:rPr>
        <w:t>〔</w:t>
      </w:r>
      <w:r>
        <w:rPr>
          <w:rFonts w:ascii="宋体" w:hAnsi="宋体" w:cs="宋体"/>
          <w:color w:val="auto"/>
          <w:spacing w:val="-4"/>
          <w:sz w:val="24"/>
          <w:highlight w:val="none"/>
        </w:rPr>
        <w:t>2021</w:t>
      </w:r>
      <w:r>
        <w:rPr>
          <w:rFonts w:hint="eastAsia" w:ascii="宋体" w:hAnsi="宋体" w:cs="宋体"/>
          <w:color w:val="auto"/>
          <w:spacing w:val="-4"/>
          <w:sz w:val="24"/>
          <w:highlight w:val="none"/>
          <w:lang w:eastAsia="zh-CN"/>
        </w:rPr>
        <w:t>〕</w:t>
      </w:r>
      <w:r>
        <w:rPr>
          <w:rFonts w:ascii="宋体" w:hAnsi="宋体" w:cs="宋体"/>
          <w:color w:val="auto"/>
          <w:spacing w:val="-4"/>
          <w:sz w:val="24"/>
          <w:highlight w:val="none"/>
        </w:rPr>
        <w:t>65号</w:t>
      </w:r>
      <w:r>
        <w:rPr>
          <w:rFonts w:hint="eastAsia" w:ascii="宋体" w:hAnsi="宋体" w:cs="宋体"/>
          <w:color w:val="auto"/>
          <w:spacing w:val="-4"/>
          <w:sz w:val="24"/>
          <w:highlight w:val="none"/>
        </w:rPr>
        <w:t>）</w:t>
      </w:r>
      <w:r>
        <w:rPr>
          <w:rFonts w:hint="eastAsia" w:ascii="宋体" w:hAnsi="宋体" w:cs="宋体"/>
          <w:color w:val="auto"/>
          <w:spacing w:val="-4"/>
          <w:sz w:val="24"/>
          <w:highlight w:val="none"/>
          <w:lang w:val="en-US" w:eastAsia="zh-CN"/>
        </w:rPr>
        <w:t>等规定</w:t>
      </w:r>
      <w:r>
        <w:rPr>
          <w:rFonts w:hint="eastAsia" w:ascii="宋体" w:hAnsi="宋体"/>
          <w:color w:val="auto"/>
          <w:sz w:val="24"/>
          <w:highlight w:val="none"/>
        </w:rPr>
        <w:t>，认真执行工程承包合同中的有关要求</w:t>
      </w:r>
      <w:bookmarkEnd w:id="881"/>
      <w:r>
        <w:rPr>
          <w:rFonts w:hint="eastAsia" w:ascii="宋体" w:hAnsi="宋体"/>
          <w:color w:val="auto"/>
          <w:sz w:val="24"/>
          <w:highlight w:val="none"/>
        </w:rPr>
        <w:t>。</w:t>
      </w:r>
    </w:p>
    <w:p w14:paraId="71EC3E0E">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所有农民工实行先签合同后进场。承包人自行组织农民工队伍进场务工的，必须按现行国家有关规定签订劳动合同；由劳务合作企业安排适合的农民工进场务工的，由承包人与具备相应资质的劳务合作企业签订劳务合同。相关劳动合同和劳务合同</w:t>
      </w:r>
      <w:r>
        <w:rPr>
          <w:rFonts w:hint="eastAsia" w:ascii="宋体" w:hAnsi="宋体"/>
          <w:color w:val="auto"/>
          <w:sz w:val="24"/>
          <w:highlight w:val="none"/>
        </w:rPr>
        <w:t>副本报监理工程师及甲方核备，同时须在地方劳动监察部门报备。</w:t>
      </w:r>
    </w:p>
    <w:p w14:paraId="55BD0D10">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乙方要建立职工名册、考勤记录和工资发放等管理台账，对专业分包和劳务合作企业用工管理负总责，并将农民工基本信息汇总后报监理人及甲方备案。农民工进场后，乙方和专业分包、劳务合作企业应及时向农民工人员颁发含有姓名、性别、年龄、照片、</w:t>
      </w:r>
      <w:r>
        <w:rPr>
          <w:rFonts w:hint="eastAsia" w:ascii="宋体" w:hAnsi="宋体"/>
          <w:color w:val="auto"/>
          <w:sz w:val="24"/>
          <w:highlight w:val="none"/>
        </w:rPr>
        <w:t>家庭住址、身份证号码、工种、进出场时间等信息并加盖乙方项目部和专业分包、劳务合作企业公章的农民工身份证明。</w:t>
      </w:r>
    </w:p>
    <w:p w14:paraId="4AF9BA2B">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农民工到项目后，在务工前，乙方必须就项目基本情况、安全管理、农民工管理、质量控制、地方风俗、宗教信仰、相关政策及法律法规等内容，组织每位农民工参加不少于2天的岗前教育和培训，并做好相关文字、声像资料的收集工作。</w:t>
      </w:r>
    </w:p>
    <w:p w14:paraId="7C2FD007">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5）乙方劳务分包所聘用的劳务人员和乙方自行聘用的劳务人员工资不得低于国家规定的当地最低工资标准。乙方应负责按照甲方要求为农民工安排食宿，提供各种必</w:t>
      </w:r>
      <w:r>
        <w:rPr>
          <w:rFonts w:hint="eastAsia" w:ascii="宋体" w:hAnsi="宋体"/>
          <w:color w:val="auto"/>
          <w:sz w:val="24"/>
          <w:highlight w:val="none"/>
          <w:lang w:val="en-US" w:eastAsia="zh-CN"/>
        </w:rPr>
        <w:t>需</w:t>
      </w:r>
      <w:r>
        <w:rPr>
          <w:rFonts w:ascii="宋体" w:hAnsi="宋体"/>
          <w:color w:val="auto"/>
          <w:sz w:val="24"/>
          <w:highlight w:val="none"/>
        </w:rPr>
        <w:t>的生活设施，并应采取合理的卫生防护和安全措施，以保护农民工的健康和安全。对生病的农民工，承包人要妥善给予治疗，并不得安排其带病务工。</w:t>
      </w:r>
    </w:p>
    <w:p w14:paraId="4C3152BC">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6）乙方必须负责农民工的人身安全，并按照国家相关法律法规的规定，提供适宜的劳动保护。在工程实施过程中，乙方必须保证每一位在场的农民工在人身意外伤害</w:t>
      </w:r>
      <w:r>
        <w:rPr>
          <w:rFonts w:hint="eastAsia" w:ascii="宋体" w:hAnsi="宋体"/>
          <w:color w:val="auto"/>
          <w:sz w:val="24"/>
          <w:highlight w:val="none"/>
        </w:rPr>
        <w:t>险团体范围内，乙方对施工现场安全负总责，对于乙方或专业分包、劳务合作企业的任何农民工发生的安全事故，均</w:t>
      </w:r>
      <w:r>
        <w:rPr>
          <w:rFonts w:hint="eastAsia"/>
          <w:color w:val="auto"/>
          <w:sz w:val="24"/>
          <w:highlight w:val="none"/>
        </w:rPr>
        <w:t>不能免除乙方应负的责任。</w:t>
      </w:r>
    </w:p>
    <w:p w14:paraId="2CEA107F">
      <w:pPr>
        <w:snapToGrid w:val="0"/>
        <w:spacing w:line="360" w:lineRule="auto"/>
        <w:ind w:firstLine="480"/>
        <w:rPr>
          <w:rFonts w:ascii="宋体" w:hAnsi="宋体"/>
          <w:color w:val="auto"/>
          <w:sz w:val="24"/>
          <w:highlight w:val="none"/>
        </w:rPr>
      </w:pPr>
      <w:bookmarkStart w:id="882" w:name="_Hlk52797527"/>
      <w:r>
        <w:rPr>
          <w:rFonts w:hint="eastAsia" w:ascii="宋体" w:hAnsi="宋体"/>
          <w:color w:val="auto"/>
          <w:sz w:val="24"/>
          <w:highlight w:val="none"/>
        </w:rPr>
        <w:t>（</w:t>
      </w:r>
      <w:r>
        <w:rPr>
          <w:rFonts w:ascii="宋体" w:hAnsi="宋体"/>
          <w:color w:val="auto"/>
          <w:sz w:val="24"/>
          <w:highlight w:val="none"/>
        </w:rPr>
        <w:t>7）乙方及专业分包、劳务合作企业应当为每一位农民工办理个人工资账户，实行由银行支付工资的管理方式，委托银行将农民工工资按月汇入个人工资账户；临时或短期聘用的农民工工资发放方式由劳务双方约定。</w:t>
      </w:r>
      <w:r>
        <w:rPr>
          <w:rFonts w:hint="eastAsia" w:ascii="Helvetica" w:hAnsi="Helvetica"/>
          <w:color w:val="auto"/>
          <w:spacing w:val="8"/>
          <w:sz w:val="24"/>
          <w:highlight w:val="none"/>
        </w:rPr>
        <w:t>开设、使用农民工工资专用账户有关资料应当由施工总承包单位妥善保存备查。承包人向农民工支付工资时，应当提供农民工本人的工资清单。</w:t>
      </w:r>
      <w:bookmarkEnd w:id="882"/>
    </w:p>
    <w:p w14:paraId="530FC77E">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8）乙方在任何时候都应采取各种合理的预防措施，防止其员工发生任何违法、违禁、暴力或妨碍治安的行为。</w:t>
      </w:r>
    </w:p>
    <w:p w14:paraId="5E01E872">
      <w:pPr>
        <w:snapToGrid w:val="0"/>
        <w:spacing w:line="360" w:lineRule="auto"/>
        <w:ind w:firstLine="480"/>
        <w:rPr>
          <w:rFonts w:ascii="宋体" w:hAnsi="宋体"/>
          <w:color w:val="auto"/>
          <w:sz w:val="24"/>
          <w:highlight w:val="none"/>
        </w:rPr>
      </w:pPr>
      <w:bookmarkStart w:id="883" w:name="_Hlk52797556"/>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lang w:val="en-US" w:eastAsia="zh-CN"/>
        </w:rPr>
        <w:t>乙方</w:t>
      </w:r>
      <w:r>
        <w:rPr>
          <w:rFonts w:ascii="宋体" w:hAnsi="宋体"/>
          <w:color w:val="auto"/>
          <w:sz w:val="24"/>
          <w:highlight w:val="none"/>
        </w:rPr>
        <w:t>应当在施工现场</w:t>
      </w:r>
      <w:r>
        <w:rPr>
          <w:rFonts w:hint="eastAsia" w:ascii="宋体" w:hAnsi="宋体"/>
          <w:color w:val="auto"/>
          <w:sz w:val="24"/>
          <w:highlight w:val="none"/>
        </w:rPr>
        <w:t>实行</w:t>
      </w:r>
      <w:r>
        <w:rPr>
          <w:rFonts w:ascii="宋体" w:hAnsi="宋体"/>
          <w:color w:val="auto"/>
          <w:sz w:val="24"/>
          <w:highlight w:val="none"/>
        </w:rPr>
        <w:t>维权信息</w:t>
      </w:r>
      <w:r>
        <w:rPr>
          <w:rFonts w:hint="eastAsia" w:ascii="宋体" w:hAnsi="宋体"/>
          <w:color w:val="auto"/>
          <w:sz w:val="24"/>
          <w:highlight w:val="none"/>
        </w:rPr>
        <w:t>公示制度。</w:t>
      </w:r>
      <w:bookmarkEnd w:id="883"/>
    </w:p>
    <w:p w14:paraId="09EAFDCE">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10）按照“谁承包，谁负责”的原则，乙方应对专业分包和劳务合作企业农民工情况负管理责任和连带清偿责任。</w:t>
      </w:r>
    </w:p>
    <w:p w14:paraId="70A3E6B2">
      <w:pPr>
        <w:adjustRightInd w:val="0"/>
        <w:snapToGrid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b w:val="0"/>
          <w:color w:val="auto"/>
          <w:sz w:val="24"/>
          <w:highlight w:val="none"/>
        </w:rPr>
        <w:t>3.违约责任</w:t>
      </w:r>
    </w:p>
    <w:p w14:paraId="68318824">
      <w:pPr>
        <w:adjustRightInd w:val="0"/>
        <w:snapToGri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lang w:val="en-US" w:eastAsia="zh-CN"/>
        </w:rPr>
        <w:t>甲方</w:t>
      </w:r>
      <w:r>
        <w:rPr>
          <w:rFonts w:ascii="宋体" w:hAnsi="宋体"/>
          <w:color w:val="auto"/>
          <w:sz w:val="24"/>
          <w:highlight w:val="none"/>
        </w:rPr>
        <w:t>违约</w:t>
      </w:r>
    </w:p>
    <w:p w14:paraId="29738B5F">
      <w:pPr>
        <w:adjustRightInd w:val="0"/>
        <w:snapToGrid w:val="0"/>
        <w:spacing w:line="360" w:lineRule="auto"/>
        <w:ind w:firstLine="48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lang w:val="en-US" w:eastAsia="zh-CN"/>
        </w:rPr>
        <w:t>甲方未执行</w:t>
      </w:r>
      <w:r>
        <w:rPr>
          <w:rFonts w:hint="eastAsia" w:ascii="宋体" w:hAnsi="宋体"/>
          <w:color w:val="auto"/>
          <w:sz w:val="24"/>
          <w:highlight w:val="none"/>
        </w:rPr>
        <w:t>《保障农民工</w:t>
      </w:r>
      <w:r>
        <w:rPr>
          <w:rFonts w:ascii="宋体" w:hAnsi="宋体"/>
          <w:color w:val="auto"/>
          <w:sz w:val="24"/>
          <w:highlight w:val="none"/>
        </w:rPr>
        <w:t>工资</w:t>
      </w:r>
      <w:r>
        <w:rPr>
          <w:rFonts w:hint="eastAsia" w:ascii="宋体" w:hAnsi="宋体"/>
          <w:color w:val="auto"/>
          <w:sz w:val="24"/>
          <w:highlight w:val="none"/>
        </w:rPr>
        <w:t>支付条例》</w:t>
      </w:r>
      <w:r>
        <w:rPr>
          <w:rFonts w:hint="eastAsia" w:ascii="宋体" w:hAnsi="宋体"/>
          <w:color w:val="auto"/>
          <w:sz w:val="24"/>
          <w:highlight w:val="none"/>
          <w:lang w:eastAsia="zh-CN"/>
        </w:rPr>
        <w:t>（</w:t>
      </w:r>
      <w:r>
        <w:rPr>
          <w:rFonts w:hint="eastAsia" w:ascii="宋体" w:hAnsi="宋体"/>
          <w:color w:val="auto"/>
          <w:sz w:val="24"/>
          <w:highlight w:val="none"/>
        </w:rPr>
        <w:t>国务院</w:t>
      </w:r>
      <w:r>
        <w:rPr>
          <w:rFonts w:ascii="宋体" w:hAnsi="宋体"/>
          <w:color w:val="auto"/>
          <w:sz w:val="24"/>
          <w:highlight w:val="none"/>
        </w:rPr>
        <w:t>令</w:t>
      </w:r>
      <w:r>
        <w:rPr>
          <w:rFonts w:hint="eastAsia" w:ascii="宋体" w:hAnsi="宋体"/>
          <w:color w:val="auto"/>
          <w:sz w:val="24"/>
          <w:highlight w:val="none"/>
        </w:rPr>
        <w:t>第</w:t>
      </w:r>
      <w:r>
        <w:rPr>
          <w:rFonts w:ascii="宋体" w:hAnsi="宋体"/>
          <w:color w:val="auto"/>
          <w:sz w:val="24"/>
          <w:highlight w:val="none"/>
        </w:rPr>
        <w:t>724</w:t>
      </w:r>
      <w:r>
        <w:rPr>
          <w:rFonts w:hint="eastAsia" w:ascii="宋体" w:hAnsi="宋体"/>
          <w:color w:val="auto"/>
          <w:sz w:val="24"/>
          <w:highlight w:val="none"/>
        </w:rPr>
        <w:t>号</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s="宋体"/>
          <w:color w:val="auto"/>
          <w:spacing w:val="-4"/>
          <w:sz w:val="24"/>
          <w:highlight w:val="none"/>
        </w:rPr>
        <w:t>《工程建设领域农民工工资保证金规定》（人社部发</w:t>
      </w:r>
      <w:r>
        <w:rPr>
          <w:rFonts w:ascii="宋体" w:hAnsi="宋体" w:cs="宋体"/>
          <w:color w:val="auto"/>
          <w:spacing w:val="-4"/>
          <w:sz w:val="24"/>
          <w:highlight w:val="none"/>
        </w:rPr>
        <w:t>〔2021〕65号</w:t>
      </w:r>
      <w:r>
        <w:rPr>
          <w:rFonts w:hint="eastAsia" w:ascii="宋体" w:hAnsi="宋体" w:cs="宋体"/>
          <w:color w:val="auto"/>
          <w:spacing w:val="-4"/>
          <w:sz w:val="24"/>
          <w:highlight w:val="none"/>
        </w:rPr>
        <w:t>）</w:t>
      </w:r>
      <w:r>
        <w:rPr>
          <w:rFonts w:hint="eastAsia" w:ascii="宋体" w:hAnsi="宋体" w:cs="宋体"/>
          <w:color w:val="auto"/>
          <w:spacing w:val="-4"/>
          <w:sz w:val="24"/>
          <w:highlight w:val="none"/>
          <w:lang w:val="en-US" w:eastAsia="zh-CN"/>
        </w:rPr>
        <w:t>等</w:t>
      </w:r>
      <w:r>
        <w:rPr>
          <w:rFonts w:hint="eastAsia" w:ascii="宋体" w:hAnsi="宋体"/>
          <w:color w:val="auto"/>
          <w:sz w:val="24"/>
          <w:highlight w:val="none"/>
        </w:rPr>
        <w:t>规定，</w:t>
      </w:r>
      <w:r>
        <w:rPr>
          <w:rFonts w:ascii="宋体" w:hAnsi="宋体"/>
          <w:color w:val="auto"/>
          <w:sz w:val="24"/>
          <w:highlight w:val="none"/>
        </w:rPr>
        <w:t>视为违约</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将</w:t>
      </w:r>
      <w:r>
        <w:rPr>
          <w:rFonts w:ascii="宋体" w:hAnsi="宋体"/>
          <w:color w:val="auto"/>
          <w:sz w:val="24"/>
          <w:highlight w:val="none"/>
        </w:rPr>
        <w:t>按照</w:t>
      </w:r>
      <w:r>
        <w:rPr>
          <w:rFonts w:hint="eastAsia" w:ascii="宋体" w:hAnsi="宋体"/>
          <w:color w:val="auto"/>
          <w:sz w:val="24"/>
          <w:highlight w:val="none"/>
          <w:lang w:val="en-US" w:eastAsia="zh-CN"/>
        </w:rPr>
        <w:t>上述文件</w:t>
      </w:r>
      <w:r>
        <w:rPr>
          <w:rFonts w:ascii="宋体" w:hAnsi="宋体"/>
          <w:color w:val="auto"/>
          <w:sz w:val="24"/>
          <w:highlight w:val="none"/>
        </w:rPr>
        <w:t>规定追究违约责任</w:t>
      </w:r>
      <w:r>
        <w:rPr>
          <w:rFonts w:hint="eastAsia" w:ascii="宋体" w:hAnsi="宋体"/>
          <w:color w:val="auto"/>
          <w:sz w:val="24"/>
          <w:highlight w:val="none"/>
        </w:rPr>
        <w:t>。</w:t>
      </w:r>
    </w:p>
    <w:p w14:paraId="76C19154">
      <w:pPr>
        <w:adjustRightInd w:val="0"/>
        <w:snapToGrid w:val="0"/>
        <w:spacing w:line="360" w:lineRule="auto"/>
        <w:ind w:firstLine="48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2 \* GB3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hint="eastAsia" w:ascii="宋体" w:hAnsi="宋体"/>
          <w:color w:val="auto"/>
          <w:sz w:val="24"/>
          <w:highlight w:val="none"/>
          <w:lang w:val="en-US" w:eastAsia="zh-CN"/>
        </w:rPr>
        <w:t>甲方</w:t>
      </w:r>
      <w:r>
        <w:rPr>
          <w:rFonts w:ascii="宋体" w:hAnsi="宋体"/>
          <w:color w:val="auto"/>
          <w:sz w:val="24"/>
          <w:highlight w:val="none"/>
        </w:rPr>
        <w:t>按照</w:t>
      </w:r>
      <w:r>
        <w:rPr>
          <w:rFonts w:hint="eastAsia" w:ascii="宋体" w:hAnsi="宋体"/>
          <w:color w:val="auto"/>
          <w:sz w:val="24"/>
          <w:highlight w:val="none"/>
          <w:lang w:val="en-US" w:eastAsia="zh-CN"/>
        </w:rPr>
        <w:t>现行相关文件规定</w:t>
      </w:r>
      <w:r>
        <w:rPr>
          <w:rFonts w:hint="eastAsia" w:ascii="宋体" w:hAnsi="宋体"/>
          <w:color w:val="auto"/>
          <w:sz w:val="24"/>
          <w:highlight w:val="none"/>
        </w:rPr>
        <w:t>，</w:t>
      </w:r>
      <w:r>
        <w:rPr>
          <w:rFonts w:ascii="宋体" w:hAnsi="宋体"/>
          <w:color w:val="auto"/>
          <w:sz w:val="24"/>
          <w:highlight w:val="none"/>
        </w:rPr>
        <w:t>将应付工程款中的人工费单独拨付到</w:t>
      </w:r>
      <w:r>
        <w:rPr>
          <w:rFonts w:hint="eastAsia" w:ascii="宋体" w:hAnsi="宋体"/>
          <w:color w:val="auto"/>
          <w:sz w:val="24"/>
          <w:highlight w:val="none"/>
          <w:lang w:val="en-US" w:eastAsia="zh-CN"/>
        </w:rPr>
        <w:t>乙方</w:t>
      </w:r>
      <w:r>
        <w:rPr>
          <w:rFonts w:ascii="宋体" w:hAnsi="宋体"/>
          <w:color w:val="auto"/>
          <w:sz w:val="24"/>
          <w:highlight w:val="none"/>
        </w:rPr>
        <w:t>开设的农民工工资专用账户</w:t>
      </w:r>
      <w:r>
        <w:rPr>
          <w:rFonts w:hint="eastAsia" w:ascii="宋体" w:hAnsi="宋体"/>
          <w:color w:val="auto"/>
          <w:sz w:val="24"/>
          <w:highlight w:val="none"/>
          <w:lang w:eastAsia="zh-CN"/>
        </w:rPr>
        <w:t>，</w:t>
      </w:r>
      <w:r>
        <w:rPr>
          <w:rFonts w:hint="eastAsia" w:ascii="宋体" w:hAnsi="宋体"/>
          <w:color w:val="auto"/>
          <w:sz w:val="24"/>
          <w:highlight w:val="none"/>
        </w:rPr>
        <w:t>否则</w:t>
      </w:r>
      <w:r>
        <w:rPr>
          <w:rFonts w:ascii="宋体" w:hAnsi="宋体"/>
          <w:color w:val="auto"/>
          <w:sz w:val="24"/>
          <w:highlight w:val="none"/>
        </w:rPr>
        <w:t>将按</w:t>
      </w:r>
      <w:r>
        <w:rPr>
          <w:rFonts w:hint="eastAsia" w:ascii="宋体" w:hAnsi="宋体"/>
          <w:color w:val="auto"/>
          <w:sz w:val="24"/>
          <w:highlight w:val="none"/>
          <w:lang w:val="en-US" w:eastAsia="zh-CN"/>
        </w:rPr>
        <w:t>相关</w:t>
      </w:r>
      <w:r>
        <w:rPr>
          <w:rFonts w:hint="eastAsia" w:ascii="宋体" w:hAnsi="宋体"/>
          <w:color w:val="auto"/>
          <w:sz w:val="24"/>
          <w:highlight w:val="none"/>
        </w:rPr>
        <w:t>文件</w:t>
      </w:r>
      <w:r>
        <w:rPr>
          <w:rFonts w:ascii="宋体" w:hAnsi="宋体"/>
          <w:color w:val="auto"/>
          <w:sz w:val="24"/>
          <w:highlight w:val="none"/>
        </w:rPr>
        <w:t>规定</w:t>
      </w:r>
      <w:r>
        <w:rPr>
          <w:rFonts w:hint="eastAsia" w:ascii="宋体" w:hAnsi="宋体"/>
          <w:color w:val="auto"/>
          <w:sz w:val="24"/>
          <w:highlight w:val="none"/>
        </w:rPr>
        <w:t>进行</w:t>
      </w:r>
      <w:r>
        <w:rPr>
          <w:rFonts w:ascii="宋体" w:hAnsi="宋体"/>
          <w:color w:val="auto"/>
          <w:sz w:val="24"/>
          <w:highlight w:val="none"/>
        </w:rPr>
        <w:t>违约处理。</w:t>
      </w:r>
    </w:p>
    <w:p w14:paraId="26419995">
      <w:pPr>
        <w:pStyle w:val="2"/>
        <w:numPr>
          <w:ilvl w:val="-1"/>
          <w:numId w:val="0"/>
        </w:numPr>
        <w:adjustRightInd w:val="0"/>
        <w:snapToGrid w:val="0"/>
        <w:spacing w:after="0" w:line="360" w:lineRule="auto"/>
        <w:ind w:left="0" w:leftChars="0"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2）乙方违约</w:t>
      </w:r>
    </w:p>
    <w:p w14:paraId="2EDAB29F">
      <w:pPr>
        <w:pStyle w:val="2"/>
        <w:numPr>
          <w:ilvl w:val="-1"/>
          <w:numId w:val="0"/>
        </w:numPr>
        <w:adjustRightInd w:val="0"/>
        <w:snapToGrid w:val="0"/>
        <w:spacing w:after="0" w:line="360" w:lineRule="auto"/>
        <w:ind w:left="0" w:leftChars="0" w:firstLine="480"/>
        <w:rPr>
          <w:rFonts w:ascii="宋体" w:hAnsi="宋体"/>
          <w:color w:val="auto"/>
          <w:sz w:val="24"/>
          <w:highlight w:val="none"/>
        </w:rPr>
      </w:pPr>
      <w:r>
        <w:rPr>
          <w:rFonts w:hint="eastAsia" w:ascii="宋体" w:hAnsi="宋体"/>
          <w:color w:val="auto"/>
          <w:sz w:val="24"/>
          <w:highlight w:val="none"/>
        </w:rPr>
        <w:t>如因乙方不及时支付农民工工资，造成扰民、上访等影响社会稳定事件及合同纠纷，甲方有权责令乙方限期进行整改，并视其情节对乙方</w:t>
      </w:r>
      <w:r>
        <w:rPr>
          <w:rFonts w:hint="eastAsia" w:ascii="宋体" w:hAnsi="宋体"/>
          <w:color w:val="auto"/>
          <w:sz w:val="24"/>
          <w:highlight w:val="none"/>
          <w:lang w:val="en-US" w:eastAsia="zh-CN"/>
        </w:rPr>
        <w:t>予以</w:t>
      </w:r>
      <w:r>
        <w:rPr>
          <w:rFonts w:hint="eastAsia" w:ascii="宋体" w:hAnsi="宋体"/>
          <w:color w:val="auto"/>
          <w:sz w:val="24"/>
          <w:highlight w:val="none"/>
        </w:rPr>
        <w:t>批评、违约处罚、停止对乙方进度付款或终止合同：</w:t>
      </w:r>
    </w:p>
    <w:p w14:paraId="33864AB4">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情节轻微者，甲方可对乙方予以通报批评，并向乙方课以1</w:t>
      </w:r>
      <w:r>
        <w:rPr>
          <w:rFonts w:hint="eastAsia" w:ascii="宋体" w:hAnsi="宋体"/>
          <w:color w:val="auto"/>
          <w:sz w:val="24"/>
          <w:highlight w:val="none"/>
          <w:lang w:val="en-US" w:eastAsia="zh-CN"/>
        </w:rPr>
        <w:t>万</w:t>
      </w:r>
      <w:r>
        <w:rPr>
          <w:rFonts w:hint="eastAsia" w:ascii="宋体" w:hAnsi="宋体" w:eastAsia="宋体" w:cs="宋体"/>
          <w:color w:val="auto"/>
          <w:sz w:val="24"/>
          <w:highlight w:val="none"/>
        </w:rPr>
        <w:t>～</w:t>
      </w:r>
      <w:r>
        <w:rPr>
          <w:rFonts w:ascii="宋体" w:hAnsi="宋体"/>
          <w:color w:val="auto"/>
          <w:sz w:val="24"/>
          <w:highlight w:val="none"/>
        </w:rPr>
        <w:t>10万元违约金；</w:t>
      </w:r>
    </w:p>
    <w:p w14:paraId="6541D63A">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2 \* GB3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乙方拖欠专业分包和劳务合作企业劳务工资的，甲方可以</w:t>
      </w:r>
      <w:r>
        <w:rPr>
          <w:rFonts w:hint="eastAsia" w:ascii="宋体" w:hAnsi="宋体"/>
          <w:color w:val="auto"/>
          <w:sz w:val="24"/>
          <w:highlight w:val="none"/>
          <w:lang w:val="en-US" w:eastAsia="zh-CN"/>
        </w:rPr>
        <w:t>报人社部门</w:t>
      </w:r>
      <w:r>
        <w:rPr>
          <w:rFonts w:ascii="宋体" w:hAnsi="宋体"/>
          <w:color w:val="auto"/>
          <w:sz w:val="24"/>
          <w:highlight w:val="none"/>
        </w:rPr>
        <w:t>先行动用农民工工资</w:t>
      </w:r>
      <w:r>
        <w:rPr>
          <w:rFonts w:hint="eastAsia" w:ascii="宋体" w:hAnsi="宋体"/>
          <w:color w:val="auto"/>
          <w:sz w:val="24"/>
          <w:highlight w:val="none"/>
          <w:lang w:val="en-US" w:eastAsia="zh-CN"/>
        </w:rPr>
        <w:t>保证金</w:t>
      </w:r>
      <w:r>
        <w:rPr>
          <w:rFonts w:ascii="宋体" w:hAnsi="宋体"/>
          <w:color w:val="auto"/>
          <w:sz w:val="24"/>
          <w:highlight w:val="none"/>
        </w:rPr>
        <w:t>及应付或到期应付给乙方的任何款项代为支付。甲方保留停止对乙方进度付款的权利，直至乙方妥善处理好上述事件或纠纷为止。</w:t>
      </w:r>
    </w:p>
    <w:p w14:paraId="028F17C3">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3 \* GB3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ascii="宋体" w:hAnsi="宋体"/>
          <w:color w:val="auto"/>
          <w:sz w:val="24"/>
          <w:highlight w:val="none"/>
        </w:rPr>
        <w:t>乙方与专业分包、劳务合作企业的农民工纠纷，按照劳务双方合同约定处理。如双方未按合同约定达成一致意见，按照当地劳动监察部门的处理意见或劳动仲裁部门仲裁结果或司法机关判决结果执行。</w:t>
      </w:r>
    </w:p>
    <w:p w14:paraId="03198E15">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4 \* GB3 </w:instrText>
      </w:r>
      <w:r>
        <w:rPr>
          <w:rFonts w:ascii="宋体" w:hAnsi="宋体"/>
          <w:color w:val="auto"/>
          <w:sz w:val="24"/>
          <w:highlight w:val="none"/>
        </w:rPr>
        <w:fldChar w:fldCharType="separate"/>
      </w:r>
      <w:r>
        <w:rPr>
          <w:rFonts w:hint="eastAsia" w:ascii="宋体" w:hAnsi="宋体"/>
          <w:color w:val="auto"/>
          <w:sz w:val="24"/>
          <w:highlight w:val="none"/>
        </w:rPr>
        <w:t>④</w:t>
      </w:r>
      <w:r>
        <w:rPr>
          <w:rFonts w:ascii="宋体" w:hAnsi="宋体"/>
          <w:color w:val="auto"/>
          <w:sz w:val="24"/>
          <w:highlight w:val="none"/>
        </w:rPr>
        <w:fldChar w:fldCharType="end"/>
      </w:r>
      <w:r>
        <w:rPr>
          <w:rFonts w:hint="eastAsia" w:ascii="宋体" w:hAnsi="宋体"/>
          <w:color w:val="auto"/>
          <w:sz w:val="24"/>
          <w:highlight w:val="none"/>
        </w:rPr>
        <w:t>对于乙方恶意拖欠农民工工资</w:t>
      </w:r>
      <w:r>
        <w:rPr>
          <w:rFonts w:hint="eastAsia" w:ascii="宋体" w:hAnsi="宋体"/>
          <w:color w:val="auto"/>
          <w:sz w:val="24"/>
          <w:highlight w:val="none"/>
          <w:lang w:eastAsia="zh-CN"/>
        </w:rPr>
        <w:t>，</w:t>
      </w:r>
      <w:r>
        <w:rPr>
          <w:rFonts w:hint="eastAsia" w:ascii="宋体" w:hAnsi="宋体"/>
          <w:color w:val="auto"/>
          <w:sz w:val="24"/>
          <w:highlight w:val="none"/>
        </w:rPr>
        <w:t>或未与农民工签订劳务合同</w:t>
      </w:r>
      <w:r>
        <w:rPr>
          <w:rFonts w:hint="eastAsia" w:ascii="宋体" w:hAnsi="宋体"/>
          <w:color w:val="auto"/>
          <w:sz w:val="24"/>
          <w:highlight w:val="none"/>
          <w:lang w:eastAsia="zh-CN"/>
        </w:rPr>
        <w:t>，</w:t>
      </w:r>
      <w:r>
        <w:rPr>
          <w:rFonts w:hint="eastAsia" w:ascii="宋体" w:hAnsi="宋体"/>
          <w:color w:val="auto"/>
          <w:sz w:val="24"/>
          <w:highlight w:val="none"/>
        </w:rPr>
        <w:t>或未给农民工购买保险等违约行为，</w:t>
      </w:r>
      <w:r>
        <w:rPr>
          <w:rFonts w:hint="eastAsia" w:ascii="宋体" w:hAnsi="宋体" w:cs="Courier New"/>
          <w:color w:val="auto"/>
          <w:sz w:val="24"/>
          <w:highlight w:val="none"/>
        </w:rPr>
        <w:t>甲方将</w:t>
      </w:r>
      <w:r>
        <w:rPr>
          <w:rFonts w:hint="eastAsia" w:ascii="宋体" w:hAnsi="宋体" w:cs="Courier New"/>
          <w:color w:val="auto"/>
          <w:sz w:val="24"/>
          <w:highlight w:val="none"/>
          <w:lang w:val="en-US" w:eastAsia="zh-CN"/>
        </w:rPr>
        <w:t>上报交通运输主管部门</w:t>
      </w:r>
      <w:r>
        <w:rPr>
          <w:rFonts w:hint="eastAsia" w:ascii="宋体" w:hAnsi="宋体" w:cs="Courier New"/>
          <w:color w:val="auto"/>
          <w:sz w:val="24"/>
          <w:highlight w:val="none"/>
        </w:rPr>
        <w:t>按照四川省交通运输厅</w:t>
      </w:r>
      <w:r>
        <w:rPr>
          <w:rFonts w:hint="eastAsia" w:ascii="宋体" w:hAnsi="宋体"/>
          <w:color w:val="auto"/>
          <w:sz w:val="24"/>
          <w:highlight w:val="none"/>
          <w:u w:val="none"/>
        </w:rPr>
        <w:t>信用管理办法</w:t>
      </w:r>
      <w:r>
        <w:rPr>
          <w:rFonts w:hint="eastAsia" w:ascii="宋体" w:hAnsi="宋体" w:cs="Courier New"/>
          <w:color w:val="auto"/>
          <w:sz w:val="24"/>
          <w:highlight w:val="none"/>
        </w:rPr>
        <w:t>进行信用评价。</w:t>
      </w:r>
      <w:r>
        <w:rPr>
          <w:rFonts w:hint="eastAsia" w:ascii="宋体" w:hAnsi="宋体"/>
          <w:color w:val="auto"/>
          <w:sz w:val="24"/>
          <w:highlight w:val="none"/>
        </w:rPr>
        <w:t>情节严重者，甲方有权终止合同。</w:t>
      </w:r>
    </w:p>
    <w:p w14:paraId="012FCD82">
      <w:pPr>
        <w:pStyle w:val="2"/>
        <w:adjustRightInd w:val="0"/>
        <w:snapToGrid w:val="0"/>
        <w:spacing w:after="0" w:line="360" w:lineRule="auto"/>
        <w:ind w:left="0" w:leftChars="0" w:firstLine="360" w:firstLineChars="150"/>
        <w:rPr>
          <w:color w:val="auto"/>
          <w:sz w:val="24"/>
          <w:highlight w:val="none"/>
        </w:rPr>
      </w:pP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fldChar w:fldCharType="begin"/>
      </w:r>
      <w:r>
        <w:rPr>
          <w:rFonts w:asciiTheme="minorEastAsia" w:hAnsiTheme="minorEastAsia" w:eastAsiaTheme="minorEastAsia"/>
          <w:color w:val="auto"/>
          <w:sz w:val="24"/>
          <w:highlight w:val="none"/>
        </w:rPr>
        <w:instrText xml:space="preserve"> = 5 \* GB3 </w:instrText>
      </w:r>
      <w:r>
        <w:rPr>
          <w:rFonts w:asciiTheme="minorEastAsia" w:hAnsiTheme="minorEastAsia" w:eastAsiaTheme="minorEastAsia"/>
          <w:color w:val="auto"/>
          <w:sz w:val="24"/>
          <w:highlight w:val="none"/>
        </w:rPr>
        <w:fldChar w:fldCharType="separate"/>
      </w:r>
      <w:r>
        <w:rPr>
          <w:rFonts w:hint="eastAsia" w:asciiTheme="minorEastAsia" w:hAnsiTheme="minorEastAsia" w:eastAsiaTheme="minorEastAsia"/>
          <w:color w:val="auto"/>
          <w:sz w:val="24"/>
          <w:highlight w:val="none"/>
        </w:rPr>
        <w:t>⑤</w:t>
      </w:r>
      <w:r>
        <w:rPr>
          <w:rFonts w:asciiTheme="minorEastAsia" w:hAnsiTheme="minorEastAsia" w:eastAsiaTheme="minorEastAsia"/>
          <w:color w:val="auto"/>
          <w:sz w:val="24"/>
          <w:highlight w:val="none"/>
        </w:rPr>
        <w:fldChar w:fldCharType="end"/>
      </w:r>
      <w:r>
        <w:rPr>
          <w:rFonts w:hint="eastAsia" w:ascii="宋体" w:hAnsi="宋体"/>
          <w:color w:val="auto"/>
          <w:sz w:val="24"/>
          <w:highlight w:val="none"/>
        </w:rPr>
        <w:t>乙方</w:t>
      </w:r>
      <w:r>
        <w:rPr>
          <w:rFonts w:ascii="宋体" w:hAnsi="宋体"/>
          <w:color w:val="auto"/>
          <w:sz w:val="24"/>
          <w:highlight w:val="none"/>
        </w:rPr>
        <w:t>违反</w:t>
      </w:r>
      <w:r>
        <w:rPr>
          <w:rFonts w:hint="eastAsia" w:ascii="宋体" w:hAnsi="宋体"/>
          <w:color w:val="auto"/>
          <w:sz w:val="24"/>
          <w:highlight w:val="none"/>
        </w:rPr>
        <w:t>《保障农民工</w:t>
      </w:r>
      <w:r>
        <w:rPr>
          <w:rFonts w:ascii="宋体" w:hAnsi="宋体"/>
          <w:color w:val="auto"/>
          <w:sz w:val="24"/>
          <w:highlight w:val="none"/>
        </w:rPr>
        <w:t>工资</w:t>
      </w:r>
      <w:r>
        <w:rPr>
          <w:rFonts w:hint="eastAsia" w:ascii="宋体" w:hAnsi="宋体"/>
          <w:color w:val="auto"/>
          <w:sz w:val="24"/>
          <w:highlight w:val="none"/>
        </w:rPr>
        <w:t>支付条例》</w:t>
      </w:r>
      <w:r>
        <w:rPr>
          <w:rFonts w:hint="eastAsia" w:ascii="宋体" w:hAnsi="宋体"/>
          <w:color w:val="auto"/>
          <w:sz w:val="24"/>
          <w:highlight w:val="none"/>
          <w:lang w:eastAsia="zh-CN"/>
        </w:rPr>
        <w:t>（</w:t>
      </w:r>
      <w:r>
        <w:rPr>
          <w:rFonts w:hint="eastAsia" w:ascii="宋体" w:hAnsi="宋体"/>
          <w:color w:val="auto"/>
          <w:sz w:val="24"/>
          <w:highlight w:val="none"/>
        </w:rPr>
        <w:t>国务院</w:t>
      </w:r>
      <w:r>
        <w:rPr>
          <w:rFonts w:ascii="宋体" w:hAnsi="宋体"/>
          <w:color w:val="auto"/>
          <w:sz w:val="24"/>
          <w:highlight w:val="none"/>
        </w:rPr>
        <w:t>令</w:t>
      </w:r>
      <w:r>
        <w:rPr>
          <w:rFonts w:hint="eastAsia" w:ascii="宋体" w:hAnsi="宋体"/>
          <w:color w:val="auto"/>
          <w:sz w:val="24"/>
          <w:highlight w:val="none"/>
        </w:rPr>
        <w:t>第</w:t>
      </w:r>
      <w:r>
        <w:rPr>
          <w:rFonts w:hint="eastAsia" w:ascii="宋体" w:hAnsi="宋体" w:cs="宋体"/>
          <w:color w:val="auto"/>
          <w:spacing w:val="-4"/>
          <w:sz w:val="24"/>
          <w:highlight w:val="none"/>
          <w:lang w:val="en-US" w:eastAsia="zh-CN"/>
        </w:rPr>
        <w:t>724</w:t>
      </w:r>
      <w:r>
        <w:rPr>
          <w:rFonts w:hint="eastAsia" w:ascii="宋体" w:hAnsi="宋体"/>
          <w:color w:val="auto"/>
          <w:sz w:val="24"/>
          <w:highlight w:val="none"/>
        </w:rPr>
        <w:t>号</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s="宋体"/>
          <w:color w:val="auto"/>
          <w:spacing w:val="-4"/>
          <w:sz w:val="24"/>
          <w:highlight w:val="none"/>
        </w:rPr>
        <w:t>《工程建设领域农民工工资保证金规定》（人社部发</w:t>
      </w:r>
      <w:r>
        <w:rPr>
          <w:rFonts w:hint="eastAsia" w:ascii="宋体" w:hAnsi="宋体" w:cs="宋体"/>
          <w:color w:val="auto"/>
          <w:spacing w:val="-4"/>
          <w:sz w:val="24"/>
          <w:highlight w:val="none"/>
          <w:lang w:eastAsia="zh-CN"/>
        </w:rPr>
        <w:t>〔</w:t>
      </w:r>
      <w:r>
        <w:rPr>
          <w:rFonts w:ascii="宋体" w:hAnsi="宋体" w:cs="宋体"/>
          <w:color w:val="auto"/>
          <w:spacing w:val="-4"/>
          <w:sz w:val="24"/>
          <w:highlight w:val="none"/>
        </w:rPr>
        <w:t>2021</w:t>
      </w:r>
      <w:r>
        <w:rPr>
          <w:rFonts w:hint="eastAsia" w:ascii="宋体" w:hAnsi="宋体" w:cs="宋体"/>
          <w:color w:val="auto"/>
          <w:spacing w:val="-4"/>
          <w:sz w:val="24"/>
          <w:highlight w:val="none"/>
          <w:lang w:eastAsia="zh-CN"/>
        </w:rPr>
        <w:t>〕</w:t>
      </w:r>
      <w:r>
        <w:rPr>
          <w:rFonts w:ascii="宋体" w:hAnsi="宋体" w:cs="宋体"/>
          <w:color w:val="auto"/>
          <w:spacing w:val="-4"/>
          <w:sz w:val="24"/>
          <w:highlight w:val="none"/>
        </w:rPr>
        <w:t>65号</w:t>
      </w:r>
      <w:r>
        <w:rPr>
          <w:rFonts w:hint="eastAsia" w:ascii="宋体" w:hAnsi="宋体" w:cs="宋体"/>
          <w:color w:val="auto"/>
          <w:spacing w:val="-4"/>
          <w:sz w:val="24"/>
          <w:highlight w:val="none"/>
        </w:rPr>
        <w:t>）</w:t>
      </w:r>
      <w:r>
        <w:rPr>
          <w:rFonts w:hint="eastAsia" w:ascii="宋体" w:hAnsi="宋体" w:cs="宋体"/>
          <w:color w:val="auto"/>
          <w:spacing w:val="-4"/>
          <w:sz w:val="24"/>
          <w:highlight w:val="none"/>
          <w:lang w:val="en-US" w:eastAsia="zh-CN"/>
        </w:rPr>
        <w:t>等</w:t>
      </w:r>
      <w:r>
        <w:rPr>
          <w:rFonts w:hint="eastAsia" w:ascii="宋体" w:hAnsi="宋体"/>
          <w:color w:val="auto"/>
          <w:sz w:val="24"/>
          <w:highlight w:val="none"/>
        </w:rPr>
        <w:t>规定的，</w:t>
      </w:r>
      <w:r>
        <w:rPr>
          <w:rFonts w:ascii="宋体" w:hAnsi="宋体"/>
          <w:color w:val="auto"/>
          <w:sz w:val="24"/>
          <w:highlight w:val="none"/>
        </w:rPr>
        <w:t>视为违约</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将</w:t>
      </w:r>
      <w:r>
        <w:rPr>
          <w:rFonts w:ascii="宋体" w:hAnsi="宋体"/>
          <w:color w:val="auto"/>
          <w:sz w:val="24"/>
          <w:highlight w:val="none"/>
        </w:rPr>
        <w:t>按照</w:t>
      </w:r>
      <w:r>
        <w:rPr>
          <w:rFonts w:hint="eastAsia" w:ascii="宋体" w:hAnsi="宋体"/>
          <w:color w:val="auto"/>
          <w:sz w:val="24"/>
          <w:highlight w:val="none"/>
          <w:lang w:val="en-US" w:eastAsia="zh-CN"/>
        </w:rPr>
        <w:t>上述文件</w:t>
      </w:r>
      <w:r>
        <w:rPr>
          <w:rFonts w:ascii="宋体" w:hAnsi="宋体"/>
          <w:color w:val="auto"/>
          <w:sz w:val="24"/>
          <w:highlight w:val="none"/>
        </w:rPr>
        <w:t>规定追究违约责任</w:t>
      </w:r>
      <w:r>
        <w:rPr>
          <w:rFonts w:hint="eastAsia" w:ascii="宋体" w:hAnsi="宋体"/>
          <w:color w:val="auto"/>
          <w:sz w:val="24"/>
          <w:highlight w:val="none"/>
        </w:rPr>
        <w:t>。</w:t>
      </w:r>
    </w:p>
    <w:p w14:paraId="7E433929">
      <w:pPr>
        <w:snapToGrid w:val="0"/>
        <w:spacing w:line="360" w:lineRule="auto"/>
        <w:rPr>
          <w:rFonts w:ascii="宋体" w:hAnsi="宋体"/>
          <w:color w:val="auto"/>
          <w:sz w:val="24"/>
          <w:highlight w:val="none"/>
        </w:rPr>
      </w:pPr>
    </w:p>
    <w:p w14:paraId="19B43620">
      <w:pPr>
        <w:pStyle w:val="22"/>
        <w:tabs>
          <w:tab w:val="left" w:pos="2903"/>
          <w:tab w:val="left" w:pos="3721"/>
          <w:tab w:val="left" w:pos="4601"/>
          <w:tab w:val="left" w:pos="7264"/>
          <w:tab w:val="left" w:pos="8177"/>
        </w:tabs>
        <w:spacing w:line="360" w:lineRule="auto"/>
        <w:ind w:left="144" w:right="124"/>
        <w:rPr>
          <w:rFonts w:cs="宋体"/>
          <w:color w:val="auto"/>
          <w:highlight w:val="none"/>
        </w:rPr>
      </w:pPr>
    </w:p>
    <w:p w14:paraId="032D4C06">
      <w:pPr>
        <w:pStyle w:val="22"/>
        <w:tabs>
          <w:tab w:val="left" w:pos="2903"/>
          <w:tab w:val="left" w:pos="3721"/>
          <w:tab w:val="left" w:pos="4601"/>
          <w:tab w:val="left" w:pos="7264"/>
          <w:tab w:val="left" w:pos="8177"/>
        </w:tabs>
        <w:spacing w:line="360" w:lineRule="auto"/>
        <w:ind w:left="144" w:right="124"/>
        <w:rPr>
          <w:rFonts w:cs="宋体"/>
          <w:color w:val="auto"/>
          <w:highlight w:val="none"/>
        </w:rPr>
      </w:pPr>
    </w:p>
    <w:p w14:paraId="637E6FDB">
      <w:pPr>
        <w:pStyle w:val="22"/>
        <w:tabs>
          <w:tab w:val="left" w:pos="2903"/>
          <w:tab w:val="left" w:pos="3721"/>
          <w:tab w:val="left" w:pos="4845"/>
          <w:tab w:val="left" w:pos="7620"/>
          <w:tab w:val="left" w:pos="8177"/>
        </w:tabs>
        <w:spacing w:line="360" w:lineRule="auto"/>
        <w:ind w:left="144" w:right="124"/>
        <w:rPr>
          <w:color w:val="auto"/>
          <w:highlight w:val="none"/>
        </w:rPr>
      </w:pPr>
      <w:r>
        <w:rPr>
          <w:rFonts w:hint="eastAsia" w:cs="宋体"/>
          <w:color w:val="auto"/>
          <w:highlight w:val="none"/>
        </w:rPr>
        <w:t>发包人：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w:t>
      </w:r>
      <w:r>
        <w:rPr>
          <w:rFonts w:hint="eastAsia" w:cs="宋体"/>
          <w:color w:val="auto"/>
          <w:highlight w:val="none"/>
        </w:rPr>
        <w:t>盖单位章</w:t>
      </w:r>
      <w:r>
        <w:rPr>
          <w:color w:val="auto"/>
          <w:highlight w:val="none"/>
        </w:rPr>
        <w:t>）</w:t>
      </w:r>
      <w:r>
        <w:rPr>
          <w:rFonts w:hint="eastAsia"/>
          <w:color w:val="auto"/>
          <w:highlight w:val="none"/>
          <w:lang w:val="en-US" w:eastAsia="zh-CN"/>
        </w:rPr>
        <w:t xml:space="preserve">  </w:t>
      </w:r>
      <w:r>
        <w:rPr>
          <w:rFonts w:hint="eastAsia" w:cs="宋体"/>
          <w:color w:val="auto"/>
          <w:highlight w:val="none"/>
        </w:rPr>
        <w:t>承包人：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w:t>
      </w:r>
      <w:r>
        <w:rPr>
          <w:rFonts w:hint="eastAsia" w:cs="宋体"/>
          <w:color w:val="auto"/>
          <w:highlight w:val="none"/>
        </w:rPr>
        <w:t>盖单位章</w:t>
      </w:r>
      <w:r>
        <w:rPr>
          <w:color w:val="auto"/>
          <w:highlight w:val="none"/>
        </w:rPr>
        <w:t>）</w:t>
      </w:r>
    </w:p>
    <w:p w14:paraId="011DAD8A">
      <w:pPr>
        <w:pStyle w:val="22"/>
        <w:tabs>
          <w:tab w:val="left" w:pos="2903"/>
          <w:tab w:val="left" w:pos="3721"/>
          <w:tab w:val="left" w:pos="4601"/>
          <w:tab w:val="left" w:pos="7264"/>
          <w:tab w:val="left" w:pos="8177"/>
        </w:tabs>
        <w:spacing w:line="360" w:lineRule="auto"/>
        <w:ind w:left="144" w:right="124"/>
        <w:rPr>
          <w:color w:val="auto"/>
          <w:highlight w:val="none"/>
        </w:rPr>
      </w:pPr>
      <w:r>
        <w:rPr>
          <w:rFonts w:hint="eastAsia" w:cs="宋体"/>
          <w:color w:val="auto"/>
          <w:highlight w:val="none"/>
        </w:rPr>
        <w:t>法定代表人或其委托代理人：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w:t>
      </w:r>
      <w:r>
        <w:rPr>
          <w:rFonts w:hint="eastAsia" w:cs="宋体"/>
          <w:color w:val="auto"/>
          <w:highlight w:val="none"/>
        </w:rPr>
        <w:t>签字</w:t>
      </w:r>
      <w:r>
        <w:rPr>
          <w:color w:val="auto"/>
          <w:highlight w:val="none"/>
        </w:rPr>
        <w:t xml:space="preserve">） </w:t>
      </w:r>
      <w:r>
        <w:rPr>
          <w:rFonts w:hint="eastAsia" w:cs="宋体"/>
          <w:color w:val="auto"/>
          <w:spacing w:val="-3"/>
          <w:highlight w:val="none"/>
        </w:rPr>
        <w:t>法定代表人或其委托代理人：</w:t>
      </w:r>
      <w:r>
        <w:rPr>
          <w:color w:val="auto"/>
          <w:spacing w:val="-3"/>
          <w:highlight w:val="none"/>
          <w:u w:val="single"/>
        </w:rPr>
        <w:t xml:space="preserve"> </w:t>
      </w:r>
      <w:r>
        <w:rPr>
          <w:rFonts w:hint="eastAsia"/>
          <w:color w:val="auto"/>
          <w:spacing w:val="-3"/>
          <w:highlight w:val="none"/>
          <w:u w:val="single"/>
          <w:lang w:val="en-US" w:eastAsia="zh-CN"/>
        </w:rPr>
        <w:t xml:space="preserve"> </w:t>
      </w:r>
      <w:r>
        <w:rPr>
          <w:color w:val="auto"/>
          <w:highlight w:val="none"/>
        </w:rPr>
        <w:t>（</w:t>
      </w:r>
      <w:r>
        <w:rPr>
          <w:rFonts w:hint="eastAsia" w:cs="宋体"/>
          <w:color w:val="auto"/>
          <w:highlight w:val="none"/>
        </w:rPr>
        <w:t>签字</w:t>
      </w:r>
      <w:r>
        <w:rPr>
          <w:color w:val="auto"/>
          <w:highlight w:val="none"/>
        </w:rPr>
        <w:t>）</w:t>
      </w:r>
    </w:p>
    <w:p w14:paraId="45F3BF07">
      <w:pPr>
        <w:pStyle w:val="22"/>
        <w:tabs>
          <w:tab w:val="left" w:pos="1583"/>
          <w:tab w:val="left" w:pos="3150"/>
          <w:tab w:val="left" w:pos="4943"/>
          <w:tab w:val="left" w:pos="6023"/>
          <w:tab w:val="left" w:pos="7103"/>
          <w:tab w:val="left" w:pos="8303"/>
        </w:tabs>
        <w:spacing w:line="360" w:lineRule="auto"/>
        <w:ind w:left="504" w:right="107"/>
        <w:rPr>
          <w:color w:val="auto"/>
          <w:highlight w:val="none"/>
        </w:rPr>
      </w:pPr>
      <w:r>
        <w:rPr>
          <w:color w:val="auto"/>
          <w:highlight w:val="none"/>
          <w:u w:val="single"/>
        </w:rPr>
        <w:t xml:space="preserve"> </w:t>
      </w:r>
      <w:r>
        <w:rPr>
          <w:color w:val="auto"/>
          <w:highlight w:val="none"/>
          <w:u w:val="single"/>
        </w:rPr>
        <w:tab/>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ab/>
      </w:r>
      <w:r>
        <w:rPr>
          <w:rFonts w:hint="eastAsia" w:cs="宋体"/>
          <w:color w:val="auto"/>
          <w:highlight w:val="none"/>
        </w:rPr>
        <w:t>日</w:t>
      </w:r>
      <w:r>
        <w:rPr>
          <w:color w:val="auto"/>
          <w:highlight w:val="none"/>
        </w:rPr>
        <w:tab/>
      </w:r>
      <w:r>
        <w:rPr>
          <w:color w:val="auto"/>
          <w:highlight w:val="none"/>
          <w:u w:val="single"/>
        </w:rPr>
        <w:t xml:space="preserve"> </w:t>
      </w:r>
      <w:r>
        <w:rPr>
          <w:color w:val="auto"/>
          <w:highlight w:val="none"/>
          <w:u w:val="single"/>
        </w:rPr>
        <w:tab/>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rFonts w:cs="宋体"/>
          <w:color w:val="auto"/>
          <w:highlight w:val="none"/>
          <w:u w:val="single"/>
        </w:rPr>
        <w:t xml:space="preserve">    </w:t>
      </w:r>
      <w:r>
        <w:rPr>
          <w:rFonts w:hint="eastAsia" w:cs="宋体"/>
          <w:color w:val="auto"/>
          <w:highlight w:val="none"/>
        </w:rPr>
        <w:t>日</w:t>
      </w:r>
    </w:p>
    <w:p w14:paraId="37696EF6">
      <w:pPr>
        <w:pStyle w:val="22"/>
        <w:spacing w:line="360" w:lineRule="auto"/>
        <w:rPr>
          <w:color w:val="auto"/>
          <w:sz w:val="21"/>
          <w:szCs w:val="21"/>
          <w:highlight w:val="none"/>
        </w:rPr>
      </w:pPr>
      <w:r>
        <w:rPr>
          <w:color w:val="auto"/>
          <w:sz w:val="21"/>
          <w:szCs w:val="21"/>
          <w:highlight w:val="none"/>
        </w:rPr>
        <w:t xml:space="preserve"> </w:t>
      </w:r>
    </w:p>
    <w:p w14:paraId="06E3D7C5">
      <w:pPr>
        <w:spacing w:line="313" w:lineRule="exact"/>
        <w:rPr>
          <w:rFonts w:ascii="宋体" w:hAnsi="宋体"/>
          <w:color w:val="auto"/>
          <w:highlight w:val="none"/>
        </w:rPr>
        <w:sectPr>
          <w:footerReference r:id="rId13" w:type="default"/>
          <w:footerReference r:id="rId14" w:type="even"/>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pPr>
    </w:p>
    <w:p w14:paraId="06460837">
      <w:pPr>
        <w:spacing w:line="360" w:lineRule="auto"/>
        <w:outlineLvl w:val="2"/>
        <w:rPr>
          <w:rStyle w:val="152"/>
          <w:rFonts w:ascii="Times New Roman" w:hAnsi="Times New Roman" w:cs="Times New Roman"/>
          <w:b w:val="0"/>
          <w:bCs/>
          <w:color w:val="auto"/>
          <w:highlight w:val="none"/>
        </w:rPr>
      </w:pPr>
      <w:bookmarkStart w:id="884" w:name="_Hlk100756904"/>
      <w:r>
        <w:rPr>
          <w:rStyle w:val="152"/>
          <w:rFonts w:ascii="Times New Roman" w:hAnsi="Times New Roman" w:cs="Times New Roman"/>
          <w:b w:val="0"/>
          <w:bCs/>
          <w:color w:val="auto"/>
          <w:highlight w:val="none"/>
        </w:rPr>
        <w:t xml:space="preserve">附件十二 </w:t>
      </w:r>
      <w:bookmarkStart w:id="885" w:name="_Hlk100746398"/>
      <w:r>
        <w:rPr>
          <w:rStyle w:val="152"/>
          <w:rFonts w:ascii="Times New Roman" w:hAnsi="Times New Roman" w:cs="Times New Roman"/>
          <w:b w:val="0"/>
          <w:bCs/>
          <w:color w:val="auto"/>
          <w:highlight w:val="none"/>
        </w:rPr>
        <w:t>农民工工资保证金存款协议书</w:t>
      </w:r>
      <w:bookmarkEnd w:id="885"/>
      <w:r>
        <w:rPr>
          <w:rStyle w:val="152"/>
          <w:rFonts w:ascii="Times New Roman" w:hAnsi="Times New Roman" w:cs="Times New Roman"/>
          <w:b w:val="0"/>
          <w:bCs/>
          <w:color w:val="auto"/>
          <w:highlight w:val="none"/>
        </w:rPr>
        <w:t>（样本）</w:t>
      </w:r>
    </w:p>
    <w:p w14:paraId="58B6E66B">
      <w:pPr>
        <w:spacing w:line="360" w:lineRule="auto"/>
        <w:ind w:firstLine="0" w:firstLineChars="0"/>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农民工工资保证金存款协议书</w:t>
      </w:r>
    </w:p>
    <w:p w14:paraId="077F2E6E">
      <w:pPr>
        <w:spacing w:line="360" w:lineRule="auto"/>
        <w:ind w:firstLine="480" w:firstLineChars="200"/>
        <w:rPr>
          <w:rFonts w:ascii="宋体" w:hAnsi="宋体" w:cs="宋体"/>
          <w:color w:val="auto"/>
          <w:sz w:val="24"/>
          <w:highlight w:val="none"/>
        </w:rPr>
      </w:pPr>
    </w:p>
    <w:p w14:paraId="2D5CF4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为做好农民工工资保证金监管，根据《保障农民工工资支付条例》和《工程建设领域农民工工资保证金规定》，农民工工资保证金存储企业和银行就农民工工资保证金（以下简称</w:t>
      </w:r>
      <w:r>
        <w:rPr>
          <w:rFonts w:hint="eastAsia" w:ascii="宋体" w:hAnsi="宋体" w:cs="宋体"/>
          <w:color w:val="auto"/>
          <w:sz w:val="24"/>
          <w:highlight w:val="none"/>
          <w:lang w:eastAsia="zh-CN"/>
        </w:rPr>
        <w:t>“</w:t>
      </w:r>
      <w:r>
        <w:rPr>
          <w:rFonts w:hint="eastAsia" w:ascii="宋体" w:hAnsi="宋体" w:cs="宋体"/>
          <w:color w:val="auto"/>
          <w:sz w:val="24"/>
          <w:highlight w:val="none"/>
        </w:rPr>
        <w:t>工资保证金</w:t>
      </w:r>
      <w:r>
        <w:rPr>
          <w:rFonts w:hint="eastAsia" w:ascii="宋体" w:hAnsi="宋体" w:cs="宋体"/>
          <w:color w:val="auto"/>
          <w:sz w:val="24"/>
          <w:highlight w:val="none"/>
          <w:lang w:eastAsia="zh-CN"/>
        </w:rPr>
        <w:t>”</w:t>
      </w:r>
      <w:r>
        <w:rPr>
          <w:rFonts w:hint="eastAsia" w:ascii="宋体" w:hAnsi="宋体" w:cs="宋体"/>
          <w:color w:val="auto"/>
          <w:sz w:val="24"/>
          <w:highlight w:val="none"/>
        </w:rPr>
        <w:t>）的管理事项达成以下协议：</w:t>
      </w:r>
    </w:p>
    <w:p w14:paraId="455E83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一、工资保证金存储企业（以下简称</w:t>
      </w:r>
      <w:r>
        <w:rPr>
          <w:rFonts w:hint="eastAsia" w:ascii="宋体" w:hAnsi="宋体" w:cs="宋体"/>
          <w:color w:val="auto"/>
          <w:sz w:val="24"/>
          <w:highlight w:val="none"/>
          <w:lang w:eastAsia="zh-CN"/>
        </w:rPr>
        <w:t>“</w:t>
      </w:r>
      <w:r>
        <w:rPr>
          <w:rFonts w:hint="eastAsia" w:ascii="宋体" w:hAnsi="宋体" w:cs="宋体"/>
          <w:color w:val="auto"/>
          <w:sz w:val="24"/>
          <w:highlight w:val="none"/>
        </w:rPr>
        <w:t>存储企业</w:t>
      </w:r>
      <w:r>
        <w:rPr>
          <w:rFonts w:hint="eastAsia" w:ascii="宋体" w:hAnsi="宋体" w:cs="宋体"/>
          <w:color w:val="auto"/>
          <w:sz w:val="24"/>
          <w:highlight w:val="none"/>
          <w:lang w:eastAsia="zh-CN"/>
        </w:rPr>
        <w:t>”</w:t>
      </w:r>
      <w:r>
        <w:rPr>
          <w:rFonts w:hint="eastAsia" w:ascii="宋体" w:hAnsi="宋体" w:cs="宋体"/>
          <w:color w:val="auto"/>
          <w:sz w:val="24"/>
          <w:highlight w:val="none"/>
        </w:rPr>
        <w:t>）依法缴存保障为其承包工程提供劳动的农民工工资报酬权益的保证金，除发生《工程建设领域农民工工资保证金规定》第十九条的情形外，任何单位和个人不得使用工资保证金。</w:t>
      </w:r>
    </w:p>
    <w:p w14:paraId="05BE26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二、存储企业承诺按照《工程建设领域农民工工资保证金规定》及本地区确定的具体缴存比例存储（补足）工资保证金，银行对存储（补足）是否足额不承担审查义务。</w:t>
      </w:r>
    </w:p>
    <w:p w14:paraId="3A4CE9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三、银行对存储企业缴存的工资保证金，按照（</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）年定期、到期自动转存管理。本金和全部利息收入归存储企业所有。</w:t>
      </w:r>
    </w:p>
    <w:p w14:paraId="544D7D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四、存储企业不得以缴纳工资保证金的有关凭证设定担保，银行应在出具的工资保证金有关凭证上注明</w:t>
      </w:r>
      <w:r>
        <w:rPr>
          <w:rFonts w:ascii="宋体" w:hAnsi="宋体" w:cs="宋体"/>
          <w:color w:val="auto"/>
          <w:sz w:val="24"/>
          <w:highlight w:val="none"/>
        </w:rPr>
        <w:t>“</w:t>
      </w:r>
      <w:r>
        <w:rPr>
          <w:rFonts w:hint="eastAsia" w:ascii="宋体" w:hAnsi="宋体" w:cs="宋体"/>
          <w:color w:val="auto"/>
          <w:sz w:val="24"/>
          <w:highlight w:val="none"/>
        </w:rPr>
        <w:t>专用款项不得担保</w:t>
      </w:r>
      <w:r>
        <w:rPr>
          <w:rFonts w:ascii="宋体" w:hAnsi="宋体" w:cs="宋体"/>
          <w:color w:val="auto"/>
          <w:sz w:val="24"/>
          <w:highlight w:val="none"/>
        </w:rPr>
        <w:t>”</w:t>
      </w:r>
      <w:r>
        <w:rPr>
          <w:rFonts w:hint="eastAsia" w:ascii="宋体" w:hAnsi="宋体" w:cs="宋体"/>
          <w:color w:val="auto"/>
          <w:sz w:val="24"/>
          <w:highlight w:val="none"/>
        </w:rPr>
        <w:t>字样。</w:t>
      </w:r>
    </w:p>
    <w:p w14:paraId="5F0F1C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五、工资保证金使用按照如下方式执行：</w:t>
      </w:r>
    </w:p>
    <w:p w14:paraId="6256F7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发生《工程建设领域农民工工资保证金规定》第十九条情形需要使用工资保证金，工程项目所在地的监管工资保证金的人力资源社会保障行政部门（以下简称</w:t>
      </w:r>
      <w:r>
        <w:rPr>
          <w:rFonts w:hint="eastAsia" w:ascii="宋体" w:hAnsi="宋体" w:cs="宋体"/>
          <w:color w:val="auto"/>
          <w:sz w:val="24"/>
          <w:highlight w:val="none"/>
          <w:lang w:eastAsia="zh-CN"/>
        </w:rPr>
        <w:t>“</w:t>
      </w:r>
      <w:r>
        <w:rPr>
          <w:rFonts w:hint="eastAsia" w:ascii="宋体" w:hAnsi="宋体" w:cs="宋体"/>
          <w:color w:val="auto"/>
          <w:sz w:val="24"/>
          <w:highlight w:val="none"/>
        </w:rPr>
        <w:t>人力资源社会保障部门</w:t>
      </w:r>
      <w:r>
        <w:rPr>
          <w:rFonts w:hint="eastAsia" w:ascii="宋体" w:hAnsi="宋体" w:cs="宋体"/>
          <w:color w:val="auto"/>
          <w:sz w:val="24"/>
          <w:highlight w:val="none"/>
          <w:lang w:eastAsia="zh-CN"/>
        </w:rPr>
        <w:t>”</w:t>
      </w:r>
      <w:r>
        <w:rPr>
          <w:rFonts w:hint="eastAsia" w:ascii="宋体" w:hAnsi="宋体" w:cs="宋体"/>
          <w:color w:val="auto"/>
          <w:sz w:val="24"/>
          <w:highlight w:val="none"/>
        </w:rPr>
        <w:t>）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14:paraId="5264A2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非以上规定的情形而出现工资保证金减少，银行应承担补足责任，但因有权机关依法查封、冻结、划拨的除外。</w:t>
      </w:r>
    </w:p>
    <w:p w14:paraId="1CFDDD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对超出存储企业实际缴存的工资保证金数额的，银行不承担任何支付义务。</w:t>
      </w:r>
    </w:p>
    <w:p w14:paraId="364189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六、工资保证金使用后</w:t>
      </w:r>
      <w:r>
        <w:rPr>
          <w:rFonts w:ascii="宋体" w:hAnsi="宋体" w:cs="宋体"/>
          <w:color w:val="auto"/>
          <w:sz w:val="24"/>
          <w:highlight w:val="none"/>
        </w:rPr>
        <w:t>3</w:t>
      </w:r>
      <w:r>
        <w:rPr>
          <w:rFonts w:hint="eastAsia" w:ascii="宋体" w:hAnsi="宋体" w:cs="宋体"/>
          <w:color w:val="auto"/>
          <w:sz w:val="24"/>
          <w:highlight w:val="none"/>
        </w:rPr>
        <w:t>个工作日内，银行应将工资保证金使用的有关情况通知存储企业和人力资源社会保障部门。</w:t>
      </w:r>
    </w:p>
    <w:p w14:paraId="0E8A95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七、银行应每季度出具工资保证金存款对账单一式两份，分别发送给存储企业和人力资源社会保障部门。</w:t>
      </w:r>
    </w:p>
    <w:p w14:paraId="443691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八、本协议一式两份，存储企业和银行各存一份，复印件送人力资源社会保障部门备案。</w:t>
      </w:r>
    </w:p>
    <w:p w14:paraId="05C50B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附注一：工程项目基本信息（项目名称、项目所在地、施工合同期限、施工合同造价、存储比例等）</w:t>
      </w:r>
    </w:p>
    <w:p w14:paraId="497602A2">
      <w:pPr>
        <w:spacing w:line="360" w:lineRule="auto"/>
        <w:ind w:firstLine="480" w:firstLineChars="200"/>
        <w:rPr>
          <w:rFonts w:ascii="宋体" w:hAnsi="宋体" w:cs="宋体"/>
          <w:color w:val="auto"/>
          <w:sz w:val="24"/>
          <w:highlight w:val="none"/>
        </w:rPr>
      </w:pPr>
    </w:p>
    <w:p w14:paraId="4EC4C5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附注二：存款金额</w:t>
      </w:r>
    </w:p>
    <w:p w14:paraId="1526F7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存款金额：</w:t>
      </w:r>
      <w:r>
        <w:rPr>
          <w:rFonts w:hint="eastAsia" w:ascii="宋体" w:hAnsi="宋体" w:cs="宋体"/>
          <w:color w:val="auto"/>
          <w:sz w:val="24"/>
          <w:highlight w:val="none"/>
          <w:u w:val="single"/>
        </w:rPr>
        <w:t>　　</w:t>
      </w:r>
      <w:r>
        <w:rPr>
          <w:rFonts w:hint="eastAsia" w:ascii="宋体" w:hAnsi="宋体" w:cs="宋体"/>
          <w:color w:val="auto"/>
          <w:sz w:val="24"/>
          <w:highlight w:val="none"/>
        </w:rPr>
        <w:t>佰</w:t>
      </w:r>
      <w:r>
        <w:rPr>
          <w:rFonts w:hint="eastAsia" w:ascii="宋体" w:hAnsi="宋体" w:cs="宋体"/>
          <w:color w:val="auto"/>
          <w:sz w:val="24"/>
          <w:highlight w:val="none"/>
          <w:u w:val="single"/>
        </w:rPr>
        <w:t>　</w:t>
      </w:r>
      <w:r>
        <w:rPr>
          <w:rFonts w:hint="eastAsia" w:ascii="宋体" w:hAnsi="宋体" w:cs="宋体"/>
          <w:color w:val="auto"/>
          <w:sz w:val="24"/>
          <w:highlight w:val="none"/>
        </w:rPr>
        <w:t>拾</w:t>
      </w:r>
      <w:r>
        <w:rPr>
          <w:rFonts w:hint="eastAsia" w:ascii="宋体" w:hAnsi="宋体" w:cs="宋体"/>
          <w:color w:val="auto"/>
          <w:sz w:val="24"/>
          <w:highlight w:val="none"/>
          <w:u w:val="single"/>
        </w:rPr>
        <w:t>　</w:t>
      </w:r>
      <w:r>
        <w:rPr>
          <w:rFonts w:hint="eastAsia" w:ascii="宋体" w:hAnsi="宋体" w:cs="宋体"/>
          <w:color w:val="auto"/>
          <w:sz w:val="24"/>
          <w:highlight w:val="none"/>
        </w:rPr>
        <w:t>万</w:t>
      </w:r>
      <w:r>
        <w:rPr>
          <w:rFonts w:hint="eastAsia" w:ascii="宋体" w:hAnsi="宋体" w:cs="宋体"/>
          <w:color w:val="auto"/>
          <w:sz w:val="24"/>
          <w:highlight w:val="none"/>
          <w:u w:val="single"/>
        </w:rPr>
        <w:t>　</w:t>
      </w:r>
      <w:r>
        <w:rPr>
          <w:rFonts w:hint="eastAsia" w:ascii="宋体" w:hAnsi="宋体" w:cs="宋体"/>
          <w:color w:val="auto"/>
          <w:sz w:val="24"/>
          <w:highlight w:val="none"/>
        </w:rPr>
        <w:t>千</w:t>
      </w:r>
      <w:r>
        <w:rPr>
          <w:rFonts w:hint="eastAsia" w:ascii="宋体" w:hAnsi="宋体" w:cs="宋体"/>
          <w:color w:val="auto"/>
          <w:sz w:val="24"/>
          <w:highlight w:val="none"/>
          <w:u w:val="single"/>
        </w:rPr>
        <w:t>　</w:t>
      </w:r>
      <w:r>
        <w:rPr>
          <w:rFonts w:hint="eastAsia" w:ascii="宋体" w:hAnsi="宋体" w:cs="宋体"/>
          <w:color w:val="auto"/>
          <w:sz w:val="24"/>
          <w:highlight w:val="none"/>
        </w:rPr>
        <w:t>佰</w:t>
      </w:r>
      <w:r>
        <w:rPr>
          <w:rFonts w:hint="eastAsia" w:ascii="宋体" w:hAnsi="宋体" w:cs="宋体"/>
          <w:color w:val="auto"/>
          <w:sz w:val="24"/>
          <w:highlight w:val="none"/>
          <w:u w:val="single"/>
        </w:rPr>
        <w:t>　</w:t>
      </w:r>
      <w:r>
        <w:rPr>
          <w:rFonts w:hint="eastAsia" w:ascii="宋体" w:hAnsi="宋体" w:cs="宋体"/>
          <w:color w:val="auto"/>
          <w:sz w:val="24"/>
          <w:highlight w:val="none"/>
        </w:rPr>
        <w:t>拾</w:t>
      </w:r>
      <w:r>
        <w:rPr>
          <w:rFonts w:hint="eastAsia" w:ascii="宋体" w:hAnsi="宋体" w:cs="宋体"/>
          <w:color w:val="auto"/>
          <w:sz w:val="24"/>
          <w:highlight w:val="none"/>
          <w:u w:val="single"/>
        </w:rPr>
        <w:t>　</w:t>
      </w:r>
      <w:r>
        <w:rPr>
          <w:rFonts w:hint="eastAsia" w:ascii="宋体" w:hAnsi="宋体" w:cs="宋体"/>
          <w:color w:val="auto"/>
          <w:sz w:val="24"/>
          <w:highlight w:val="none"/>
        </w:rPr>
        <w:t>元</w:t>
      </w:r>
      <w:r>
        <w:rPr>
          <w:rFonts w:hint="eastAsia" w:ascii="宋体" w:hAnsi="宋体" w:cs="宋体"/>
          <w:color w:val="auto"/>
          <w:sz w:val="24"/>
          <w:highlight w:val="none"/>
          <w:u w:val="single"/>
        </w:rPr>
        <w:t>　</w:t>
      </w:r>
      <w:r>
        <w:rPr>
          <w:rFonts w:hint="eastAsia" w:ascii="宋体" w:hAnsi="宋体" w:cs="宋体"/>
          <w:color w:val="auto"/>
          <w:sz w:val="24"/>
          <w:highlight w:val="none"/>
        </w:rPr>
        <w:t>角</w:t>
      </w:r>
      <w:r>
        <w:rPr>
          <w:rFonts w:hint="eastAsia" w:ascii="宋体" w:hAnsi="宋体" w:cs="宋体"/>
          <w:color w:val="auto"/>
          <w:sz w:val="24"/>
          <w:highlight w:val="none"/>
          <w:u w:val="single"/>
        </w:rPr>
        <w:t>　</w:t>
      </w:r>
      <w:r>
        <w:rPr>
          <w:rFonts w:hint="eastAsia" w:ascii="宋体" w:hAnsi="宋体" w:cs="宋体"/>
          <w:color w:val="auto"/>
          <w:sz w:val="24"/>
          <w:highlight w:val="none"/>
        </w:rPr>
        <w:t>分</w:t>
      </w:r>
    </w:p>
    <w:p w14:paraId="70C922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小写：</w:t>
      </w:r>
      <w:r>
        <w:rPr>
          <w:rFonts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C73757B">
      <w:pPr>
        <w:spacing w:line="360" w:lineRule="auto"/>
        <w:ind w:firstLine="480" w:firstLineChars="200"/>
        <w:rPr>
          <w:rFonts w:ascii="宋体" w:hAnsi="宋体" w:cs="宋体"/>
          <w:color w:val="auto"/>
          <w:sz w:val="24"/>
          <w:highlight w:val="none"/>
        </w:rPr>
      </w:pPr>
    </w:p>
    <w:p w14:paraId="0FF858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附注三：人力资源社会保障部门、存储企业和开户银行基本信息</w:t>
      </w:r>
    </w:p>
    <w:p w14:paraId="473A0C0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人力资源社会保障部门：</w:t>
      </w:r>
      <w:r>
        <w:rPr>
          <w:rFonts w:ascii="宋体" w:hAnsi="宋体" w:cs="宋体"/>
          <w:color w:val="auto"/>
          <w:sz w:val="24"/>
          <w:highlight w:val="none"/>
          <w:u w:val="single"/>
        </w:rPr>
        <w:t xml:space="preserve">         </w:t>
      </w:r>
    </w:p>
    <w:p w14:paraId="378EB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通信地址及邮编：</w:t>
      </w:r>
      <w:r>
        <w:rPr>
          <w:rFonts w:ascii="宋体" w:hAnsi="宋体" w:cs="宋体"/>
          <w:color w:val="auto"/>
          <w:sz w:val="24"/>
          <w:highlight w:val="none"/>
          <w:u w:val="single"/>
        </w:rPr>
        <w:t xml:space="preserve">           </w:t>
      </w:r>
    </w:p>
    <w:p w14:paraId="1146AF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w:t>
      </w:r>
    </w:p>
    <w:p w14:paraId="29695E9E">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p>
    <w:p w14:paraId="16EA74A2">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u w:val="single"/>
        </w:rPr>
        <w:t xml:space="preserve">                  </w:t>
      </w:r>
    </w:p>
    <w:p w14:paraId="0B896200">
      <w:pPr>
        <w:spacing w:line="360" w:lineRule="auto"/>
        <w:ind w:firstLine="480" w:firstLineChars="200"/>
        <w:rPr>
          <w:rFonts w:ascii="宋体" w:hAnsi="宋体" w:cs="宋体"/>
          <w:color w:val="auto"/>
          <w:sz w:val="24"/>
          <w:highlight w:val="none"/>
        </w:rPr>
      </w:pPr>
    </w:p>
    <w:p w14:paraId="7B2413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存储企业：</w:t>
      </w:r>
      <w:r>
        <w:rPr>
          <w:rFonts w:hint="eastAsia" w:ascii="宋体" w:hAnsi="宋体" w:cs="宋体"/>
          <w:color w:val="auto"/>
          <w:sz w:val="24"/>
          <w:highlight w:val="none"/>
          <w:u w:val="single"/>
        </w:rPr>
        <w:t xml:space="preserve">                      </w:t>
      </w:r>
    </w:p>
    <w:p w14:paraId="3F8C04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 xml:space="preserve">              </w:t>
      </w:r>
    </w:p>
    <w:p w14:paraId="2D01D7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通信地址及邮编：</w:t>
      </w:r>
      <w:r>
        <w:rPr>
          <w:rFonts w:hint="eastAsia" w:ascii="宋体" w:hAnsi="宋体" w:cs="宋体"/>
          <w:color w:val="auto"/>
          <w:sz w:val="24"/>
          <w:highlight w:val="none"/>
          <w:u w:val="single"/>
        </w:rPr>
        <w:t xml:space="preserve">                </w:t>
      </w:r>
    </w:p>
    <w:p w14:paraId="5641D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u w:val="single"/>
        </w:rPr>
        <w:t xml:space="preserve">                      </w:t>
      </w:r>
    </w:p>
    <w:p w14:paraId="6A51DF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hint="eastAsia" w:ascii="宋体" w:hAnsi="宋体" w:cs="宋体"/>
          <w:color w:val="auto"/>
          <w:sz w:val="24"/>
          <w:highlight w:val="none"/>
          <w:u w:val="single"/>
        </w:rPr>
        <w:t xml:space="preserve">                      </w:t>
      </w:r>
    </w:p>
    <w:p w14:paraId="5178EC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u w:val="single"/>
        </w:rPr>
        <w:t xml:space="preserve">                      </w:t>
      </w:r>
    </w:p>
    <w:p w14:paraId="44A6F894">
      <w:pPr>
        <w:spacing w:line="360" w:lineRule="auto"/>
        <w:ind w:firstLine="480" w:firstLineChars="200"/>
        <w:rPr>
          <w:rFonts w:ascii="宋体" w:hAnsi="宋体" w:cs="宋体"/>
          <w:color w:val="auto"/>
          <w:sz w:val="24"/>
          <w:highlight w:val="none"/>
        </w:rPr>
      </w:pPr>
    </w:p>
    <w:p w14:paraId="62FE39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p w14:paraId="32C322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通信地址及邮编：</w:t>
      </w:r>
      <w:r>
        <w:rPr>
          <w:rFonts w:hint="eastAsia" w:ascii="宋体" w:hAnsi="宋体" w:cs="宋体"/>
          <w:color w:val="auto"/>
          <w:sz w:val="24"/>
          <w:highlight w:val="none"/>
          <w:u w:val="single"/>
        </w:rPr>
        <w:t xml:space="preserve">                </w:t>
      </w:r>
    </w:p>
    <w:p w14:paraId="5ECDB0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u w:val="single"/>
        </w:rPr>
        <w:t xml:space="preserve">                      </w:t>
      </w:r>
    </w:p>
    <w:p w14:paraId="2C51FE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hint="eastAsia" w:ascii="宋体" w:hAnsi="宋体" w:cs="宋体"/>
          <w:color w:val="auto"/>
          <w:sz w:val="24"/>
          <w:highlight w:val="none"/>
          <w:u w:val="single"/>
        </w:rPr>
        <w:t xml:space="preserve">                      </w:t>
      </w:r>
    </w:p>
    <w:p w14:paraId="3A5133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u w:val="single"/>
        </w:rPr>
        <w:t xml:space="preserve">                      </w:t>
      </w:r>
    </w:p>
    <w:p w14:paraId="338D639C">
      <w:pPr>
        <w:spacing w:line="360" w:lineRule="auto"/>
        <w:ind w:firstLine="480" w:firstLineChars="200"/>
        <w:rPr>
          <w:rFonts w:ascii="宋体" w:hAnsi="宋体" w:cs="宋体"/>
          <w:color w:val="auto"/>
          <w:sz w:val="24"/>
          <w:highlight w:val="none"/>
        </w:rPr>
      </w:pPr>
    </w:p>
    <w:p w14:paraId="4FE49E90">
      <w:pPr>
        <w:spacing w:line="360" w:lineRule="auto"/>
        <w:ind w:firstLine="480" w:firstLineChars="200"/>
        <w:rPr>
          <w:rFonts w:ascii="宋体" w:hAnsi="宋体" w:cs="宋体"/>
          <w:color w:val="auto"/>
          <w:sz w:val="24"/>
          <w:highlight w:val="none"/>
        </w:rPr>
      </w:pPr>
    </w:p>
    <w:p w14:paraId="04C00437">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存储企业：</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（盖章）</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开户银行：</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（盖章）</w:t>
      </w:r>
      <w:r>
        <w:rPr>
          <w:rFonts w:hint="eastAsia" w:ascii="宋体" w:hAnsi="宋体" w:cs="宋体"/>
          <w:color w:val="auto"/>
          <w:sz w:val="24"/>
          <w:highlight w:val="none"/>
          <w:u w:val="single"/>
          <w:lang w:val="en-US" w:eastAsia="zh-CN"/>
        </w:rPr>
        <w:t xml:space="preserve">      </w:t>
      </w:r>
    </w:p>
    <w:p w14:paraId="37BF53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w:t>
      </w:r>
    </w:p>
    <w:p w14:paraId="5F9A92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法定代表人或授权代表人：</w:t>
      </w:r>
      <w:r>
        <w:rPr>
          <w:rFonts w:hint="eastAsia" w:ascii="宋体" w:hAnsi="宋体" w:cs="宋体"/>
          <w:color w:val="auto"/>
          <w:sz w:val="24"/>
          <w:highlight w:val="none"/>
          <w:u w:val="single"/>
        </w:rPr>
        <w:t>（签字）</w:t>
      </w:r>
      <w:r>
        <w:rPr>
          <w:rFonts w:hint="eastAsia" w:ascii="宋体" w:hAnsi="宋体" w:cs="宋体"/>
          <w:color w:val="auto"/>
          <w:sz w:val="24"/>
          <w:highlight w:val="none"/>
        </w:rPr>
        <w:t>　法定代表人或授权代表人：</w:t>
      </w:r>
      <w:r>
        <w:rPr>
          <w:rFonts w:hint="eastAsia" w:ascii="宋体" w:hAnsi="宋体" w:cs="宋体"/>
          <w:color w:val="auto"/>
          <w:sz w:val="24"/>
          <w:highlight w:val="none"/>
          <w:u w:val="single"/>
        </w:rPr>
        <w:t>（签字）</w:t>
      </w:r>
    </w:p>
    <w:p w14:paraId="30E224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w:t>
      </w:r>
    </w:p>
    <w:p w14:paraId="57BA60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签字时间：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签字时间：</w:t>
      </w:r>
      <w:r>
        <w:rPr>
          <w:rFonts w:hint="eastAsia" w:ascii="宋体" w:hAnsi="宋体" w:cs="宋体"/>
          <w:color w:val="auto"/>
          <w:sz w:val="24"/>
          <w:highlight w:val="none"/>
          <w:u w:val="single"/>
        </w:rPr>
        <w:t xml:space="preserve">                  </w:t>
      </w:r>
    </w:p>
    <w:p w14:paraId="0FEDAA5A">
      <w:pPr>
        <w:spacing w:line="360" w:lineRule="auto"/>
        <w:ind w:firstLine="480" w:firstLineChars="200"/>
        <w:rPr>
          <w:rFonts w:ascii="宋体" w:hAnsi="宋体" w:cs="宋体"/>
          <w:color w:val="auto"/>
          <w:sz w:val="24"/>
          <w:highlight w:val="none"/>
        </w:rPr>
      </w:pPr>
    </w:p>
    <w:p w14:paraId="032E3482">
      <w:pPr>
        <w:spacing w:line="360" w:lineRule="auto"/>
        <w:ind w:firstLine="480" w:firstLineChars="200"/>
        <w:rPr>
          <w:rFonts w:ascii="宋体" w:hAnsi="宋体" w:cs="宋体"/>
          <w:color w:val="auto"/>
          <w:sz w:val="24"/>
          <w:highlight w:val="none"/>
        </w:rPr>
      </w:pPr>
    </w:p>
    <w:p w14:paraId="4CFE4053">
      <w:pPr>
        <w:spacing w:line="360" w:lineRule="auto"/>
        <w:ind w:firstLine="480" w:firstLineChars="200"/>
        <w:rPr>
          <w:rFonts w:ascii="宋体" w:hAnsi="宋体" w:cs="宋体"/>
          <w:color w:val="auto"/>
          <w:sz w:val="24"/>
          <w:highlight w:val="none"/>
        </w:rPr>
      </w:pPr>
    </w:p>
    <w:p w14:paraId="3CBD98A5">
      <w:pPr>
        <w:spacing w:line="360" w:lineRule="auto"/>
        <w:ind w:firstLine="480" w:firstLineChars="200"/>
        <w:rPr>
          <w:rFonts w:ascii="宋体" w:hAnsi="宋体" w:cs="宋体"/>
          <w:color w:val="auto"/>
          <w:sz w:val="24"/>
          <w:highlight w:val="none"/>
        </w:rPr>
      </w:pPr>
    </w:p>
    <w:p w14:paraId="0CFB516B">
      <w:pPr>
        <w:spacing w:line="360" w:lineRule="auto"/>
        <w:ind w:firstLine="480" w:firstLineChars="200"/>
        <w:rPr>
          <w:rFonts w:ascii="宋体" w:hAnsi="宋体" w:cs="宋体"/>
          <w:color w:val="auto"/>
          <w:sz w:val="24"/>
          <w:highlight w:val="none"/>
        </w:rPr>
      </w:pPr>
    </w:p>
    <w:p w14:paraId="4CD8353E">
      <w:pPr>
        <w:spacing w:line="360" w:lineRule="auto"/>
        <w:ind w:firstLine="480" w:firstLineChars="200"/>
        <w:rPr>
          <w:rFonts w:ascii="宋体" w:hAnsi="宋体" w:cs="宋体"/>
          <w:color w:val="auto"/>
          <w:sz w:val="24"/>
          <w:highlight w:val="none"/>
        </w:rPr>
      </w:pPr>
    </w:p>
    <w:p w14:paraId="461D0D60">
      <w:pPr>
        <w:spacing w:line="360" w:lineRule="auto"/>
        <w:ind w:firstLine="480" w:firstLineChars="200"/>
        <w:rPr>
          <w:rFonts w:ascii="宋体" w:hAnsi="宋体" w:cs="宋体"/>
          <w:color w:val="auto"/>
          <w:sz w:val="24"/>
          <w:highlight w:val="none"/>
        </w:rPr>
      </w:pPr>
    </w:p>
    <w:p w14:paraId="67CEF22E">
      <w:pPr>
        <w:spacing w:line="360" w:lineRule="auto"/>
        <w:ind w:firstLine="480" w:firstLineChars="200"/>
        <w:rPr>
          <w:rFonts w:ascii="宋体" w:hAnsi="宋体" w:cs="宋体"/>
          <w:color w:val="auto"/>
          <w:sz w:val="24"/>
          <w:highlight w:val="none"/>
        </w:rPr>
      </w:pPr>
    </w:p>
    <w:p w14:paraId="7EC0837C">
      <w:pPr>
        <w:spacing w:line="360" w:lineRule="auto"/>
        <w:ind w:firstLine="480" w:firstLineChars="200"/>
        <w:rPr>
          <w:rFonts w:ascii="宋体" w:hAnsi="宋体" w:cs="宋体"/>
          <w:color w:val="auto"/>
          <w:sz w:val="24"/>
          <w:highlight w:val="none"/>
        </w:rPr>
      </w:pPr>
    </w:p>
    <w:p w14:paraId="206EBCFC">
      <w:pPr>
        <w:spacing w:line="360" w:lineRule="auto"/>
        <w:ind w:firstLine="480" w:firstLineChars="200"/>
        <w:rPr>
          <w:rFonts w:ascii="宋体" w:hAnsi="宋体" w:cs="宋体"/>
          <w:color w:val="auto"/>
          <w:sz w:val="24"/>
          <w:highlight w:val="none"/>
        </w:rPr>
      </w:pPr>
    </w:p>
    <w:p w14:paraId="710B20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注：样本仅供参考，各地可根据《工程建设领域农民工工资保证金规定》</w:t>
      </w:r>
      <w:r>
        <w:rPr>
          <w:rFonts w:hint="eastAsia" w:ascii="宋体" w:hAnsi="宋体" w:cs="宋体"/>
          <w:color w:val="auto"/>
          <w:sz w:val="24"/>
          <w:highlight w:val="none"/>
          <w:lang w:eastAsia="zh-CN"/>
        </w:rPr>
        <w:t>，</w:t>
      </w:r>
      <w:r>
        <w:rPr>
          <w:rFonts w:hint="eastAsia" w:ascii="宋体" w:hAnsi="宋体" w:cs="宋体"/>
          <w:color w:val="auto"/>
          <w:sz w:val="24"/>
          <w:highlight w:val="none"/>
        </w:rPr>
        <w:t>并结合银行监管和业务管理要求修订使用。</w:t>
      </w:r>
    </w:p>
    <w:p w14:paraId="267BA92B">
      <w:pPr>
        <w:spacing w:line="360" w:lineRule="auto"/>
        <w:ind w:firstLine="480" w:firstLineChars="200"/>
        <w:rPr>
          <w:rFonts w:ascii="宋体" w:hAnsi="宋体" w:cs="宋体"/>
          <w:color w:val="auto"/>
          <w:sz w:val="24"/>
          <w:highlight w:val="none"/>
        </w:rPr>
      </w:pPr>
    </w:p>
    <w:p w14:paraId="46622B20">
      <w:pPr>
        <w:spacing w:line="360" w:lineRule="auto"/>
        <w:ind w:firstLine="480" w:firstLineChars="200"/>
        <w:rPr>
          <w:rFonts w:ascii="宋体" w:hAnsi="宋体" w:cs="宋体"/>
          <w:color w:val="auto"/>
          <w:sz w:val="24"/>
          <w:highlight w:val="none"/>
        </w:rPr>
      </w:pPr>
    </w:p>
    <w:p w14:paraId="548240AC">
      <w:pPr>
        <w:spacing w:line="360" w:lineRule="auto"/>
        <w:ind w:firstLine="480" w:firstLineChars="200"/>
        <w:rPr>
          <w:rFonts w:ascii="宋体" w:hAnsi="宋体" w:cs="宋体"/>
          <w:color w:val="auto"/>
          <w:sz w:val="24"/>
          <w:highlight w:val="none"/>
        </w:rPr>
      </w:pPr>
    </w:p>
    <w:p w14:paraId="54286ED7">
      <w:pPr>
        <w:spacing w:line="360" w:lineRule="auto"/>
        <w:ind w:firstLine="480" w:firstLineChars="200"/>
        <w:rPr>
          <w:rFonts w:ascii="宋体" w:hAnsi="宋体" w:cs="宋体"/>
          <w:color w:val="auto"/>
          <w:sz w:val="24"/>
          <w:highlight w:val="none"/>
        </w:rPr>
      </w:pPr>
    </w:p>
    <w:p w14:paraId="55730DAC">
      <w:pPr>
        <w:spacing w:line="360" w:lineRule="auto"/>
        <w:ind w:firstLine="480" w:firstLineChars="200"/>
        <w:rPr>
          <w:rFonts w:ascii="宋体" w:hAnsi="宋体" w:cs="宋体"/>
          <w:color w:val="auto"/>
          <w:sz w:val="24"/>
          <w:highlight w:val="none"/>
        </w:rPr>
      </w:pPr>
    </w:p>
    <w:p w14:paraId="179A0DEC">
      <w:pPr>
        <w:spacing w:line="360" w:lineRule="auto"/>
        <w:ind w:firstLine="480" w:firstLineChars="200"/>
        <w:rPr>
          <w:rFonts w:ascii="宋体" w:hAnsi="宋体" w:cs="宋体"/>
          <w:color w:val="auto"/>
          <w:sz w:val="24"/>
          <w:highlight w:val="none"/>
        </w:rPr>
      </w:pPr>
    </w:p>
    <w:p w14:paraId="5C358D4D">
      <w:pPr>
        <w:spacing w:line="360" w:lineRule="auto"/>
        <w:ind w:firstLine="480" w:firstLineChars="200"/>
        <w:rPr>
          <w:rFonts w:ascii="宋体" w:hAnsi="宋体" w:cs="宋体"/>
          <w:color w:val="auto"/>
          <w:sz w:val="24"/>
          <w:highlight w:val="none"/>
        </w:rPr>
      </w:pPr>
    </w:p>
    <w:p w14:paraId="59849414">
      <w:pPr>
        <w:spacing w:line="360" w:lineRule="auto"/>
        <w:ind w:firstLine="480" w:firstLineChars="200"/>
        <w:rPr>
          <w:rFonts w:ascii="宋体" w:hAnsi="宋体" w:cs="宋体"/>
          <w:color w:val="auto"/>
          <w:sz w:val="24"/>
          <w:highlight w:val="none"/>
        </w:rPr>
      </w:pPr>
    </w:p>
    <w:p w14:paraId="5FDA05F2">
      <w:pPr>
        <w:spacing w:line="360" w:lineRule="auto"/>
        <w:ind w:firstLine="480" w:firstLineChars="200"/>
        <w:rPr>
          <w:rFonts w:ascii="宋体" w:hAnsi="宋体" w:cs="宋体"/>
          <w:color w:val="auto"/>
          <w:sz w:val="24"/>
          <w:highlight w:val="none"/>
        </w:rPr>
      </w:pPr>
    </w:p>
    <w:p w14:paraId="2EEC5F69">
      <w:pPr>
        <w:spacing w:line="460" w:lineRule="exact"/>
        <w:rPr>
          <w:rFonts w:eastAsia="黑体"/>
          <w:color w:val="auto"/>
          <w:sz w:val="32"/>
          <w:szCs w:val="32"/>
          <w:highlight w:val="none"/>
        </w:rPr>
      </w:pPr>
    </w:p>
    <w:p w14:paraId="624BFBAD">
      <w:pPr>
        <w:spacing w:line="560" w:lineRule="exact"/>
        <w:rPr>
          <w:rFonts w:ascii="黑体" w:hAnsi="黑体" w:eastAsia="黑体" w:cs="黑体"/>
          <w:bCs/>
          <w:color w:val="auto"/>
          <w:sz w:val="24"/>
          <w:highlight w:val="none"/>
        </w:rPr>
      </w:pPr>
      <w:r>
        <w:rPr>
          <w:rFonts w:ascii="黑体" w:hAnsi="黑体" w:eastAsia="黑体" w:cs="黑体"/>
          <w:bCs/>
          <w:color w:val="auto"/>
          <w:sz w:val="24"/>
          <w:highlight w:val="none"/>
        </w:rPr>
        <w:br w:type="page"/>
      </w:r>
    </w:p>
    <w:p w14:paraId="0427CC93">
      <w:pPr>
        <w:spacing w:line="360" w:lineRule="auto"/>
        <w:outlineLvl w:val="2"/>
        <w:rPr>
          <w:rStyle w:val="152"/>
          <w:rFonts w:ascii="Times New Roman" w:hAnsi="Times New Roman" w:cs="Times New Roman"/>
          <w:b w:val="0"/>
          <w:bCs w:val="0"/>
          <w:color w:val="auto"/>
          <w:highlight w:val="none"/>
        </w:rPr>
      </w:pPr>
      <w:r>
        <w:rPr>
          <w:rStyle w:val="152"/>
          <w:rFonts w:ascii="Times New Roman" w:hAnsi="Times New Roman" w:cs="Times New Roman"/>
          <w:b w:val="0"/>
          <w:bCs w:val="0"/>
          <w:color w:val="auto"/>
          <w:highlight w:val="none"/>
        </w:rPr>
        <w:t>附件十三 农民工工资保证金银行保函（样本）</w:t>
      </w:r>
    </w:p>
    <w:p w14:paraId="3578D120">
      <w:pPr>
        <w:pStyle w:val="38"/>
        <w:rPr>
          <w:rFonts w:eastAsia="仿宋_GB2312"/>
          <w:color w:val="auto"/>
          <w:sz w:val="32"/>
          <w:szCs w:val="32"/>
          <w:highlight w:val="none"/>
        </w:rPr>
      </w:pPr>
    </w:p>
    <w:p w14:paraId="71C544AC">
      <w:pPr>
        <w:spacing w:line="360" w:lineRule="auto"/>
        <w:ind w:firstLine="0" w:firstLineChars="0"/>
        <w:jc w:val="center"/>
        <w:rPr>
          <w:rFonts w:ascii="黑体" w:hAnsi="黑体" w:eastAsia="黑体" w:cs="宋体"/>
          <w:color w:val="auto"/>
          <w:sz w:val="28"/>
          <w:szCs w:val="28"/>
          <w:highlight w:val="none"/>
        </w:rPr>
      </w:pPr>
      <w:bookmarkStart w:id="886" w:name="_Hlk100746884"/>
      <w:r>
        <w:rPr>
          <w:rFonts w:hint="eastAsia" w:ascii="黑体" w:hAnsi="黑体" w:eastAsia="黑体" w:cs="宋体"/>
          <w:color w:val="auto"/>
          <w:sz w:val="28"/>
          <w:szCs w:val="28"/>
          <w:highlight w:val="none"/>
        </w:rPr>
        <w:t>农民工工资保证金银行保函</w:t>
      </w:r>
    </w:p>
    <w:bookmarkEnd w:id="886"/>
    <w:p w14:paraId="7B5F48B1">
      <w:pPr>
        <w:spacing w:line="540" w:lineRule="exact"/>
        <w:ind w:right="1280"/>
        <w:jc w:val="right"/>
        <w:rPr>
          <w:rFonts w:ascii="宋体" w:hAnsi="宋体"/>
          <w:color w:val="auto"/>
          <w:kern w:val="0"/>
          <w:sz w:val="24"/>
          <w:highlight w:val="none"/>
        </w:rPr>
      </w:pPr>
      <w:r>
        <w:rPr>
          <w:rFonts w:hint="eastAsia" w:ascii="宋体" w:hAnsi="宋体"/>
          <w:color w:val="auto"/>
          <w:kern w:val="0"/>
          <w:sz w:val="24"/>
          <w:highlight w:val="none"/>
        </w:rPr>
        <w:t>编</w:t>
      </w:r>
      <w:r>
        <w:rPr>
          <w:rFonts w:ascii="宋体" w:hAnsi="宋体"/>
          <w:color w:val="auto"/>
          <w:kern w:val="0"/>
          <w:sz w:val="24"/>
          <w:highlight w:val="none"/>
        </w:rPr>
        <w:t xml:space="preserve">    </w:t>
      </w:r>
      <w:r>
        <w:rPr>
          <w:rFonts w:hint="eastAsia" w:ascii="宋体" w:hAnsi="宋体"/>
          <w:color w:val="auto"/>
          <w:kern w:val="0"/>
          <w:sz w:val="24"/>
          <w:highlight w:val="none"/>
        </w:rPr>
        <w:t>号：</w:t>
      </w:r>
    </w:p>
    <w:p w14:paraId="1A12CAAB">
      <w:pPr>
        <w:spacing w:line="540" w:lineRule="exact"/>
        <w:ind w:right="1280"/>
        <w:jc w:val="right"/>
        <w:rPr>
          <w:rFonts w:ascii="宋体" w:hAnsi="宋体"/>
          <w:color w:val="auto"/>
          <w:kern w:val="0"/>
          <w:sz w:val="24"/>
          <w:highlight w:val="none"/>
        </w:rPr>
      </w:pPr>
      <w:r>
        <w:rPr>
          <w:rFonts w:hint="eastAsia" w:ascii="宋体" w:hAnsi="宋体"/>
          <w:color w:val="auto"/>
          <w:kern w:val="0"/>
          <w:sz w:val="24"/>
          <w:highlight w:val="none"/>
        </w:rPr>
        <w:t>开立日期：</w:t>
      </w:r>
    </w:p>
    <w:p w14:paraId="5D60A592">
      <w:pPr>
        <w:pStyle w:val="38"/>
        <w:spacing w:line="360" w:lineRule="auto"/>
        <w:rPr>
          <w:rFonts w:ascii="宋体" w:hAnsi="宋体" w:cs="黑体"/>
          <w:color w:val="auto"/>
          <w:sz w:val="24"/>
          <w:szCs w:val="24"/>
          <w:highlight w:val="none"/>
        </w:rPr>
      </w:pPr>
    </w:p>
    <w:p w14:paraId="4D03C737">
      <w:pPr>
        <w:spacing w:line="360" w:lineRule="auto"/>
        <w:rPr>
          <w:rFonts w:ascii="宋体" w:hAnsi="宋体"/>
          <w:color w:val="auto"/>
          <w:kern w:val="0"/>
          <w:sz w:val="24"/>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olor w:val="auto"/>
          <w:kern w:val="0"/>
          <w:sz w:val="24"/>
          <w:highlight w:val="none"/>
        </w:rPr>
        <w:t>厅（局）：</w:t>
      </w:r>
    </w:p>
    <w:p w14:paraId="4B6DB49C">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根据《保障农民工工资支付条例》和《工程建设领域农民工工资保证金规定》，</w:t>
      </w:r>
    </w:p>
    <w:p w14:paraId="3AC039B0">
      <w:pPr>
        <w:spacing w:line="360" w:lineRule="auto"/>
        <w:ind w:firstLine="0" w:firstLineChars="0"/>
        <w:rPr>
          <w:rFonts w:hint="default" w:ascii="宋体" w:hAnsi="宋体" w:eastAsia="宋体"/>
          <w:color w:val="auto"/>
          <w:kern w:val="0"/>
          <w:sz w:val="24"/>
          <w:highlight w:val="none"/>
          <w:lang w:val="en-US" w:eastAsia="zh-CN"/>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olor w:val="auto"/>
          <w:kern w:val="0"/>
          <w:sz w:val="24"/>
          <w:highlight w:val="none"/>
        </w:rPr>
        <w:t>企业（以下简称</w:t>
      </w:r>
      <w:r>
        <w:rPr>
          <w:rFonts w:hint="eastAsia" w:ascii="宋体" w:hAnsi="宋体"/>
          <w:color w:val="auto"/>
          <w:kern w:val="0"/>
          <w:sz w:val="24"/>
          <w:highlight w:val="none"/>
          <w:lang w:eastAsia="zh-CN"/>
        </w:rPr>
        <w:t>“</w:t>
      </w:r>
      <w:r>
        <w:rPr>
          <w:rFonts w:hint="eastAsia" w:ascii="宋体" w:hAnsi="宋体"/>
          <w:color w:val="auto"/>
          <w:kern w:val="0"/>
          <w:sz w:val="24"/>
          <w:highlight w:val="none"/>
        </w:rPr>
        <w:t>存储企业</w:t>
      </w:r>
      <w:r>
        <w:rPr>
          <w:rFonts w:hint="eastAsia" w:ascii="宋体" w:hAnsi="宋体"/>
          <w:color w:val="auto"/>
          <w:kern w:val="0"/>
          <w:sz w:val="24"/>
          <w:highlight w:val="none"/>
          <w:lang w:eastAsia="zh-CN"/>
        </w:rPr>
        <w:t>”</w:t>
      </w:r>
      <w:r>
        <w:rPr>
          <w:rFonts w:hint="eastAsia" w:ascii="宋体" w:hAnsi="宋体"/>
          <w:color w:val="auto"/>
          <w:kern w:val="0"/>
          <w:sz w:val="24"/>
          <w:highlight w:val="none"/>
        </w:rPr>
        <w:t>，统一社会信用代码：</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）需依法存储</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（金额大写：</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）的农民工工资保证金。应存储企业申请，我行（担保银行名称、地址）兹开立以贵厅（局）为受益人，金额不超过</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（金额大写：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olor w:val="auto"/>
          <w:kern w:val="0"/>
          <w:sz w:val="24"/>
          <w:highlight w:val="none"/>
        </w:rPr>
        <w:t>）的不可撤销见索即付保函，保证存储企业支付所承包工程项目</w:t>
      </w:r>
      <w:r>
        <w:rPr>
          <w:rFonts w:hint="eastAsia" w:ascii="宋体" w:hAnsi="宋体"/>
          <w:color w:val="auto"/>
          <w:kern w:val="0"/>
          <w:sz w:val="24"/>
          <w:highlight w:val="none"/>
          <w:u w:val="single"/>
          <w:lang w:val="en-US" w:eastAsia="zh-CN"/>
        </w:rPr>
        <w:t xml:space="preserve">      </w:t>
      </w:r>
    </w:p>
    <w:p w14:paraId="0A52AC16">
      <w:pPr>
        <w:spacing w:line="360" w:lineRule="auto"/>
        <w:ind w:firstLine="0" w:firstLineChars="0"/>
        <w:rPr>
          <w:rFonts w:ascii="宋体" w:hAnsi="宋体"/>
          <w:color w:val="auto"/>
          <w:kern w:val="0"/>
          <w:sz w:val="24"/>
          <w:highlight w:val="none"/>
        </w:rPr>
      </w:pPr>
      <w:r>
        <w:rPr>
          <w:rFonts w:hint="eastAsia" w:ascii="宋体" w:hAnsi="宋体" w:cs="宋体"/>
          <w:color w:val="auto"/>
          <w:kern w:val="0"/>
          <w:szCs w:val="21"/>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发生的拖欠农民工工资款项。</w:t>
      </w:r>
    </w:p>
    <w:p w14:paraId="77E7CB1C">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我行保证在收到贵厅（局）出具的《农民工工资保证金支付通知书》及本保函正本原件</w:t>
      </w:r>
      <w:r>
        <w:rPr>
          <w:rFonts w:ascii="宋体" w:hAnsi="宋体"/>
          <w:color w:val="auto"/>
          <w:kern w:val="0"/>
          <w:sz w:val="24"/>
          <w:highlight w:val="none"/>
        </w:rPr>
        <w:t>5</w:t>
      </w:r>
      <w:r>
        <w:rPr>
          <w:rFonts w:hint="eastAsia" w:ascii="宋体" w:hAnsi="宋体"/>
          <w:color w:val="auto"/>
          <w:kern w:val="0"/>
          <w:sz w:val="24"/>
          <w:highlight w:val="none"/>
        </w:rPr>
        <w:t>个工作日内，在上述担保金额范围内，根据《农民工工资保证金支付通知书》向贵厅（局）承担担保责任。</w:t>
      </w:r>
    </w:p>
    <w:p w14:paraId="019C1379">
      <w:pPr>
        <w:spacing w:line="360" w:lineRule="auto"/>
        <w:ind w:left="2" w:firstLine="477" w:firstLineChars="199"/>
        <w:rPr>
          <w:rFonts w:ascii="宋体" w:hAnsi="宋体"/>
          <w:color w:val="auto"/>
          <w:kern w:val="0"/>
          <w:sz w:val="24"/>
          <w:highlight w:val="none"/>
        </w:rPr>
      </w:pPr>
      <w:r>
        <w:rPr>
          <w:rFonts w:hint="eastAsia" w:ascii="宋体" w:hAnsi="宋体"/>
          <w:color w:val="auto"/>
          <w:kern w:val="0"/>
          <w:sz w:val="24"/>
          <w:highlight w:val="none"/>
        </w:rPr>
        <w:t>本保函有效期自</w:t>
      </w:r>
      <w:r>
        <w:rPr>
          <w:rFonts w:ascii="宋体" w:hAnsi="宋体"/>
          <w:color w:val="auto"/>
          <w:kern w:val="0"/>
          <w:sz w:val="24"/>
          <w:highlight w:val="none"/>
        </w:rPr>
        <w:t>______</w:t>
      </w:r>
      <w:r>
        <w:rPr>
          <w:rFonts w:hint="eastAsia" w:ascii="宋体" w:hAnsi="宋体"/>
          <w:color w:val="auto"/>
          <w:kern w:val="0"/>
          <w:sz w:val="24"/>
          <w:highlight w:val="none"/>
        </w:rPr>
        <w:t>年</w:t>
      </w:r>
      <w:r>
        <w:rPr>
          <w:rFonts w:ascii="宋体" w:hAnsi="宋体"/>
          <w:color w:val="auto"/>
          <w:kern w:val="0"/>
          <w:sz w:val="24"/>
          <w:highlight w:val="none"/>
        </w:rPr>
        <w:t>____</w:t>
      </w:r>
      <w:r>
        <w:rPr>
          <w:rFonts w:hint="eastAsia" w:ascii="宋体" w:hAnsi="宋体"/>
          <w:color w:val="auto"/>
          <w:kern w:val="0"/>
          <w:sz w:val="24"/>
          <w:highlight w:val="none"/>
        </w:rPr>
        <w:t>月</w:t>
      </w:r>
      <w:r>
        <w:rPr>
          <w:rFonts w:ascii="宋体" w:hAnsi="宋体"/>
          <w:color w:val="auto"/>
          <w:kern w:val="0"/>
          <w:sz w:val="24"/>
          <w:highlight w:val="none"/>
        </w:rPr>
        <w:t>____</w:t>
      </w:r>
      <w:r>
        <w:rPr>
          <w:rFonts w:hint="eastAsia" w:ascii="宋体" w:hAnsi="宋体"/>
          <w:color w:val="auto"/>
          <w:kern w:val="0"/>
          <w:sz w:val="24"/>
          <w:highlight w:val="none"/>
        </w:rPr>
        <w:t>日起至</w:t>
      </w:r>
      <w:r>
        <w:rPr>
          <w:rFonts w:ascii="宋体" w:hAnsi="宋体"/>
          <w:color w:val="auto"/>
          <w:kern w:val="0"/>
          <w:sz w:val="24"/>
          <w:highlight w:val="none"/>
        </w:rPr>
        <w:t>_______</w:t>
      </w:r>
      <w:r>
        <w:rPr>
          <w:rFonts w:hint="eastAsia" w:ascii="宋体" w:hAnsi="宋体"/>
          <w:color w:val="auto"/>
          <w:kern w:val="0"/>
          <w:sz w:val="24"/>
          <w:highlight w:val="none"/>
        </w:rPr>
        <w:t>年</w:t>
      </w:r>
      <w:r>
        <w:rPr>
          <w:rFonts w:ascii="宋体" w:hAnsi="宋体"/>
          <w:color w:val="auto"/>
          <w:kern w:val="0"/>
          <w:sz w:val="24"/>
          <w:highlight w:val="none"/>
        </w:rPr>
        <w:t>____</w:t>
      </w:r>
      <w:r>
        <w:rPr>
          <w:rFonts w:hint="eastAsia" w:ascii="宋体" w:hAnsi="宋体"/>
          <w:color w:val="auto"/>
          <w:kern w:val="0"/>
          <w:sz w:val="24"/>
          <w:highlight w:val="none"/>
        </w:rPr>
        <w:t>月</w:t>
      </w:r>
      <w:r>
        <w:rPr>
          <w:rFonts w:ascii="宋体" w:hAnsi="宋体"/>
          <w:color w:val="auto"/>
          <w:kern w:val="0"/>
          <w:sz w:val="24"/>
          <w:highlight w:val="none"/>
        </w:rPr>
        <w:t>____</w:t>
      </w:r>
      <w:r>
        <w:rPr>
          <w:rFonts w:hint="eastAsia" w:ascii="宋体" w:hAnsi="宋体"/>
          <w:color w:val="auto"/>
          <w:kern w:val="0"/>
          <w:sz w:val="24"/>
          <w:highlight w:val="none"/>
        </w:rPr>
        <w:t>日止。本保函超过有效期、担保义务履行完毕或开立新保函，本保函即行失效，无论本保函是否退回我行注销。</w:t>
      </w:r>
    </w:p>
    <w:p w14:paraId="5A032540">
      <w:pPr>
        <w:tabs>
          <w:tab w:val="left" w:pos="5970"/>
        </w:tabs>
        <w:spacing w:line="360" w:lineRule="auto"/>
        <w:ind w:firstLine="480" w:firstLineChars="200"/>
        <w:rPr>
          <w:rFonts w:ascii="宋体" w:hAnsi="宋体"/>
          <w:color w:val="auto"/>
          <w:kern w:val="0"/>
          <w:sz w:val="24"/>
          <w:highlight w:val="none"/>
        </w:rPr>
      </w:pPr>
    </w:p>
    <w:p w14:paraId="415F08BB">
      <w:pPr>
        <w:tabs>
          <w:tab w:val="left" w:pos="5970"/>
        </w:tabs>
        <w:spacing w:line="360" w:lineRule="auto"/>
        <w:ind w:firstLine="480" w:firstLineChars="200"/>
        <w:rPr>
          <w:rFonts w:ascii="宋体" w:hAnsi="宋体"/>
          <w:color w:val="auto"/>
          <w:kern w:val="0"/>
          <w:sz w:val="24"/>
          <w:highlight w:val="none"/>
        </w:rPr>
      </w:pPr>
    </w:p>
    <w:p w14:paraId="08A1302D">
      <w:pPr>
        <w:tabs>
          <w:tab w:val="left" w:pos="5970"/>
        </w:tabs>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w:t>
      </w:r>
      <w:r>
        <w:rPr>
          <w:rFonts w:hint="eastAsia" w:ascii="宋体" w:hAnsi="宋体"/>
          <w:color w:val="auto"/>
          <w:kern w:val="0"/>
          <w:sz w:val="24"/>
          <w:highlight w:val="none"/>
          <w:lang w:eastAsia="zh-CN"/>
        </w:rPr>
        <w:t>：</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（盖章）</w:t>
      </w:r>
      <w:r>
        <w:rPr>
          <w:rFonts w:hint="eastAsia" w:ascii="宋体" w:hAnsi="宋体"/>
          <w:color w:val="auto"/>
          <w:kern w:val="0"/>
          <w:sz w:val="24"/>
          <w:highlight w:val="none"/>
          <w:u w:val="single"/>
          <w:lang w:val="en-US" w:eastAsia="zh-CN"/>
        </w:rPr>
        <w:t xml:space="preserve">             </w:t>
      </w:r>
    </w:p>
    <w:p w14:paraId="460557D2">
      <w:pPr>
        <w:tabs>
          <w:tab w:val="left" w:pos="5970"/>
        </w:tabs>
        <w:spacing w:line="360" w:lineRule="auto"/>
        <w:ind w:firstLine="480" w:firstLineChars="200"/>
        <w:rPr>
          <w:rFonts w:hint="default" w:ascii="宋体" w:hAnsi="宋体" w:eastAsia="宋体"/>
          <w:color w:val="auto"/>
          <w:kern w:val="0"/>
          <w:sz w:val="24"/>
          <w:highlight w:val="none"/>
          <w:u w:val="single"/>
          <w:lang w:val="en-US" w:eastAsia="zh-CN"/>
        </w:rPr>
      </w:pPr>
      <w:r>
        <w:rPr>
          <w:rFonts w:hint="eastAsia" w:ascii="宋体" w:hAnsi="宋体"/>
          <w:color w:val="auto"/>
          <w:kern w:val="0"/>
          <w:sz w:val="24"/>
          <w:highlight w:val="none"/>
        </w:rPr>
        <w:t>地</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址：</w:t>
      </w:r>
      <w:r>
        <w:rPr>
          <w:rFonts w:hint="eastAsia" w:ascii="宋体" w:hAnsi="宋体"/>
          <w:color w:val="auto"/>
          <w:kern w:val="0"/>
          <w:sz w:val="24"/>
          <w:highlight w:val="none"/>
          <w:u w:val="single"/>
          <w:lang w:val="en-US" w:eastAsia="zh-CN"/>
        </w:rPr>
        <w:t xml:space="preserve">                                 </w:t>
      </w:r>
    </w:p>
    <w:p w14:paraId="46981CAB">
      <w:pPr>
        <w:tabs>
          <w:tab w:val="left" w:pos="5970"/>
        </w:tabs>
        <w:spacing w:line="360" w:lineRule="auto"/>
        <w:ind w:firstLine="480" w:firstLineChars="200"/>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签字时间：</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en-US" w:eastAsia="zh-CN"/>
        </w:rPr>
        <w:t xml:space="preserve"> </w:t>
      </w:r>
    </w:p>
    <w:p w14:paraId="6CC9BE33">
      <w:pPr>
        <w:tabs>
          <w:tab w:val="left" w:pos="5970"/>
        </w:tabs>
        <w:spacing w:line="460" w:lineRule="exact"/>
        <w:ind w:firstLine="560" w:firstLineChars="200"/>
        <w:rPr>
          <w:rFonts w:eastAsia="仿宋_GB2312"/>
          <w:color w:val="auto"/>
          <w:kern w:val="0"/>
          <w:sz w:val="28"/>
          <w:szCs w:val="28"/>
          <w:highlight w:val="none"/>
        </w:rPr>
      </w:pPr>
    </w:p>
    <w:p w14:paraId="175775A0">
      <w:pPr>
        <w:rPr>
          <w:rFonts w:eastAsia="华文中宋"/>
          <w:color w:val="auto"/>
          <w:highlight w:val="none"/>
        </w:rPr>
      </w:pPr>
    </w:p>
    <w:p w14:paraId="5F2703FA">
      <w:pPr>
        <w:spacing w:line="360" w:lineRule="auto"/>
        <w:rPr>
          <w:rFonts w:ascii="宋体" w:hAnsi="宋体"/>
          <w:color w:val="auto"/>
          <w:kern w:val="0"/>
          <w:sz w:val="24"/>
          <w:highlight w:val="none"/>
        </w:rPr>
      </w:pPr>
      <w:r>
        <w:rPr>
          <w:rFonts w:hint="eastAsia" w:ascii="宋体" w:hAnsi="宋体"/>
          <w:color w:val="auto"/>
          <w:kern w:val="0"/>
          <w:sz w:val="24"/>
          <w:highlight w:val="none"/>
        </w:rPr>
        <w:t>注：样本仅供参考，各地可根据《</w:t>
      </w:r>
      <w:r>
        <w:rPr>
          <w:rFonts w:hint="eastAsia" w:ascii="宋体" w:hAnsi="宋体" w:cs="宋体"/>
          <w:color w:val="auto"/>
          <w:sz w:val="24"/>
          <w:highlight w:val="none"/>
        </w:rPr>
        <w:t>工程建设领域农民工工资保证金规定</w:t>
      </w:r>
      <w:r>
        <w:rPr>
          <w:rFonts w:hint="eastAsia" w:ascii="宋体" w:hAnsi="宋体"/>
          <w:color w:val="auto"/>
          <w:kern w:val="0"/>
          <w:sz w:val="24"/>
          <w:highlight w:val="none"/>
        </w:rPr>
        <w:t>》</w:t>
      </w:r>
      <w:r>
        <w:rPr>
          <w:rFonts w:hint="eastAsia" w:ascii="宋体" w:hAnsi="宋体"/>
          <w:color w:val="auto"/>
          <w:kern w:val="0"/>
          <w:sz w:val="24"/>
          <w:highlight w:val="none"/>
          <w:lang w:eastAsia="zh-CN"/>
        </w:rPr>
        <w:t>，</w:t>
      </w:r>
      <w:r>
        <w:rPr>
          <w:rFonts w:hint="eastAsia" w:ascii="宋体" w:hAnsi="宋体"/>
          <w:color w:val="auto"/>
          <w:kern w:val="0"/>
          <w:sz w:val="24"/>
          <w:highlight w:val="none"/>
        </w:rPr>
        <w:t>并结合银行监管和业务管理要求修订使用。</w:t>
      </w:r>
    </w:p>
    <w:bookmarkEnd w:id="884"/>
    <w:p w14:paraId="470AE16C">
      <w:pPr>
        <w:pStyle w:val="22"/>
        <w:spacing w:before="188" w:line="360" w:lineRule="auto"/>
        <w:ind w:right="-6605"/>
        <w:rPr>
          <w:rFonts w:hint="eastAsia" w:ascii="黑体" w:hAnsi="黑体" w:eastAsia="黑体"/>
          <w:color w:val="auto"/>
          <w:highlight w:val="none"/>
        </w:rPr>
      </w:pPr>
    </w:p>
    <w:p w14:paraId="44F142C2">
      <w:pPr>
        <w:outlineLvl w:val="2"/>
        <w:rPr>
          <w:rStyle w:val="152"/>
          <w:rFonts w:ascii="Times New Roman" w:hAnsi="Times New Roman"/>
          <w:b w:val="0"/>
          <w:bCs w:val="0"/>
          <w:color w:val="auto"/>
          <w:highlight w:val="none"/>
        </w:rPr>
      </w:pPr>
      <w:r>
        <w:rPr>
          <w:rStyle w:val="152"/>
          <w:rFonts w:ascii="Times New Roman" w:hAnsi="Times New Roman"/>
          <w:b w:val="0"/>
          <w:bCs w:val="0"/>
          <w:color w:val="auto"/>
          <w:highlight w:val="none"/>
        </w:rPr>
        <w:t>附件十四 房屋建筑工程质量保修书格式</w:t>
      </w:r>
      <w:r>
        <w:rPr>
          <w:rStyle w:val="152"/>
          <w:rFonts w:ascii="Times New Roman" w:hAnsi="Times New Roman"/>
          <w:b w:val="0"/>
          <w:bCs w:val="0"/>
          <w:color w:val="auto"/>
          <w:highlight w:val="none"/>
          <w:vertAlign w:val="superscript"/>
        </w:rPr>
        <w:footnoteReference w:id="262"/>
      </w:r>
    </w:p>
    <w:p w14:paraId="650FAB0E">
      <w:pPr>
        <w:spacing w:before="198" w:line="360" w:lineRule="auto"/>
        <w:ind w:left="144"/>
        <w:jc w:val="center"/>
        <w:rPr>
          <w:rFonts w:ascii="黑体" w:hAnsi="黑体" w:eastAsia="黑体"/>
          <w:color w:val="auto"/>
          <w:sz w:val="28"/>
          <w:szCs w:val="28"/>
          <w:highlight w:val="none"/>
        </w:rPr>
      </w:pPr>
      <w:r>
        <w:rPr>
          <w:rFonts w:hint="eastAsia" w:hAnsi="宋体" w:cs="Courier New"/>
          <w:color w:val="auto"/>
          <w:sz w:val="24"/>
          <w:highlight w:val="none"/>
        </w:rPr>
        <w:t xml:space="preserve"> </w:t>
      </w:r>
      <w:r>
        <w:rPr>
          <w:rFonts w:hint="eastAsia" w:ascii="黑体" w:hAnsi="黑体" w:eastAsia="黑体"/>
          <w:color w:val="auto"/>
          <w:sz w:val="28"/>
          <w:szCs w:val="28"/>
          <w:highlight w:val="none"/>
        </w:rPr>
        <w:t>房屋建筑工程质量保修书</w:t>
      </w:r>
    </w:p>
    <w:p w14:paraId="72CBD36D">
      <w:pPr>
        <w:spacing w:line="440" w:lineRule="exact"/>
        <w:jc w:val="center"/>
        <w:rPr>
          <w:rFonts w:ascii="宋体" w:hAnsi="宋体"/>
          <w:color w:val="auto"/>
          <w:sz w:val="24"/>
          <w:highlight w:val="none"/>
        </w:rPr>
      </w:pPr>
    </w:p>
    <w:p w14:paraId="0120C640">
      <w:pPr>
        <w:spacing w:line="360" w:lineRule="auto"/>
        <w:rPr>
          <w:rFonts w:ascii="宋体" w:hAnsi="宋体"/>
          <w:color w:val="auto"/>
          <w:sz w:val="24"/>
          <w:highlight w:val="none"/>
          <w:u w:val="single"/>
        </w:rPr>
      </w:pPr>
      <w:r>
        <w:rPr>
          <w:rFonts w:hint="eastAsia" w:ascii="宋体" w:hAnsi="宋体"/>
          <w:color w:val="auto"/>
          <w:sz w:val="24"/>
          <w:highlight w:val="none"/>
        </w:rPr>
        <w:t>发包人（全称）：</w:t>
      </w:r>
      <w:r>
        <w:rPr>
          <w:rFonts w:hint="eastAsia" w:ascii="宋体" w:hAnsi="宋体"/>
          <w:color w:val="auto"/>
          <w:sz w:val="24"/>
          <w:highlight w:val="none"/>
          <w:u w:val="single"/>
        </w:rPr>
        <w:t xml:space="preserve">                     </w:t>
      </w:r>
    </w:p>
    <w:p w14:paraId="74BC86BA">
      <w:pPr>
        <w:spacing w:line="360" w:lineRule="auto"/>
        <w:rPr>
          <w:rFonts w:ascii="宋体" w:hAnsi="宋体"/>
          <w:color w:val="auto"/>
          <w:sz w:val="24"/>
          <w:highlight w:val="none"/>
          <w:u w:val="singl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47C3A97A">
      <w:pPr>
        <w:spacing w:line="360" w:lineRule="auto"/>
        <w:rPr>
          <w:rFonts w:ascii="宋体" w:hAnsi="宋体"/>
          <w:color w:val="auto"/>
          <w:sz w:val="24"/>
          <w:highlight w:val="none"/>
          <w:u w:val="single"/>
        </w:rPr>
      </w:pPr>
    </w:p>
    <w:p w14:paraId="5B06B3D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发包人、承包人根据《中华人民共和国建筑法》《</w:t>
      </w:r>
      <w:r>
        <w:rPr>
          <w:rFonts w:hint="eastAsia" w:ascii="宋体" w:hAnsi="宋体"/>
          <w:color w:val="auto"/>
          <w:sz w:val="24"/>
          <w:highlight w:val="none"/>
          <w:lang w:val="en-US" w:eastAsia="zh-CN"/>
        </w:rPr>
        <w:t>建设</w:t>
      </w:r>
      <w:r>
        <w:rPr>
          <w:rFonts w:hint="eastAsia" w:ascii="宋体" w:hAnsi="宋体"/>
          <w:color w:val="auto"/>
          <w:sz w:val="24"/>
          <w:highlight w:val="none"/>
        </w:rPr>
        <w:t>工程质量管理</w:t>
      </w:r>
      <w:r>
        <w:rPr>
          <w:rFonts w:hint="eastAsia" w:ascii="宋体" w:hAnsi="宋体"/>
          <w:color w:val="auto"/>
          <w:sz w:val="24"/>
          <w:highlight w:val="none"/>
          <w:lang w:eastAsia="zh-CN"/>
        </w:rPr>
        <w:t>条例</w:t>
      </w:r>
      <w:r>
        <w:rPr>
          <w:rFonts w:hint="eastAsia" w:ascii="宋体" w:hAnsi="宋体"/>
          <w:color w:val="auto"/>
          <w:sz w:val="24"/>
          <w:highlight w:val="none"/>
        </w:rPr>
        <w:t>》和《房屋建筑工程质量保修办法》，经协商一致，对</w:t>
      </w:r>
      <w:r>
        <w:rPr>
          <w:rFonts w:hint="eastAsia" w:ascii="宋体" w:hAnsi="宋体"/>
          <w:color w:val="auto"/>
          <w:sz w:val="24"/>
          <w:highlight w:val="none"/>
          <w:u w:val="single"/>
        </w:rPr>
        <w:t xml:space="preserve">       </w:t>
      </w:r>
      <w:r>
        <w:rPr>
          <w:rFonts w:hint="eastAsia" w:ascii="宋体" w:hAnsi="宋体"/>
          <w:color w:val="auto"/>
          <w:sz w:val="24"/>
          <w:highlight w:val="none"/>
        </w:rPr>
        <w:t>（工程名称）签订工程质量保修书。</w:t>
      </w:r>
    </w:p>
    <w:p w14:paraId="21817180">
      <w:pPr>
        <w:numPr>
          <w:ilvl w:val="-1"/>
          <w:numId w:val="0"/>
        </w:numPr>
        <w:adjustRightInd w:val="0"/>
        <w:snapToGrid w:val="0"/>
        <w:spacing w:line="360" w:lineRule="auto"/>
        <w:ind w:left="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工程质量保修范围和内容</w:t>
      </w:r>
    </w:p>
    <w:p w14:paraId="1CD8765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承包人在质量保修期内，按照有关法律、法规、规章规定和双方约定，承担本工程质量保修责任。</w:t>
      </w:r>
    </w:p>
    <w:p w14:paraId="4274539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质量保修范围包括地基基础工程、主体结构工程，屋面防水工程、有防水要求的卫生间、房间和外墙面的防渗漏，供热</w:t>
      </w:r>
      <w:r>
        <w:rPr>
          <w:rFonts w:hint="eastAsia" w:ascii="宋体" w:hAnsi="宋体"/>
          <w:color w:val="auto"/>
          <w:sz w:val="24"/>
          <w:highlight w:val="none"/>
          <w:lang w:eastAsia="zh-CN"/>
        </w:rPr>
        <w:t>制冷</w:t>
      </w:r>
      <w:r>
        <w:rPr>
          <w:rFonts w:hint="eastAsia" w:ascii="宋体" w:hAnsi="宋体"/>
          <w:color w:val="auto"/>
          <w:sz w:val="24"/>
          <w:highlight w:val="none"/>
        </w:rPr>
        <w:t>系统，电气管线、给排水管道、设备安装和装修工程，以及双方约定的其他项目。具体保修的内容，双方约定如下：</w:t>
      </w:r>
    </w:p>
    <w:p w14:paraId="31C584D3">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w:t>
      </w:r>
    </w:p>
    <w:p w14:paraId="7B6EBD05">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w:t>
      </w:r>
    </w:p>
    <w:p w14:paraId="5E7E824F">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p>
    <w:p w14:paraId="70A2A200">
      <w:pPr>
        <w:numPr>
          <w:ilvl w:val="0"/>
          <w:numId w:val="0"/>
        </w:numPr>
        <w:adjustRightInd w:val="0"/>
        <w:snapToGrid w:val="0"/>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2．质量保修期</w:t>
      </w:r>
    </w:p>
    <w:p w14:paraId="200839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 双方根据《建设工程质量管理条例》及有关规定，约定本工程的质量保修如下：</w:t>
      </w:r>
    </w:p>
    <w:p w14:paraId="065B739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（1）地基基础工程和主体结构工程为设计文件规定的该工程合理使用年限；</w:t>
      </w:r>
    </w:p>
    <w:p w14:paraId="69CC49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（2）屋面防水工程、有防水要求的卫生间、房间和外墙面的防渗漏为</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697B7B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（3）装修工程为</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476504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（4）电气管线、给排水管道、设备安装工程为</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7C8CDB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（5）供热与供冷系统为</w:t>
      </w:r>
      <w:r>
        <w:rPr>
          <w:rFonts w:hint="eastAsia" w:ascii="宋体" w:hAnsi="宋体"/>
          <w:color w:val="auto"/>
          <w:sz w:val="24"/>
          <w:highlight w:val="none"/>
          <w:u w:val="single"/>
        </w:rPr>
        <w:t xml:space="preserve">   </w:t>
      </w:r>
      <w:r>
        <w:rPr>
          <w:rFonts w:hint="eastAsia" w:ascii="宋体" w:hAnsi="宋体"/>
          <w:color w:val="auto"/>
          <w:sz w:val="24"/>
          <w:highlight w:val="none"/>
        </w:rPr>
        <w:t>个采暖期、供冷期；</w:t>
      </w:r>
    </w:p>
    <w:p w14:paraId="131490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（6）给排水设施、道路等配套工程为</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648F32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（7）其他项目保修期限约定如下：</w:t>
      </w:r>
    </w:p>
    <w:p w14:paraId="3B620A86">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w:t>
      </w:r>
    </w:p>
    <w:p w14:paraId="3ABBD2CC">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w:t>
      </w:r>
    </w:p>
    <w:p w14:paraId="4F264436">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p>
    <w:p w14:paraId="7A2BFB9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质量保修期自工程交工验收合格之日起计算。</w:t>
      </w:r>
    </w:p>
    <w:p w14:paraId="04DC47C5">
      <w:pPr>
        <w:numPr>
          <w:ilvl w:val="0"/>
          <w:numId w:val="0"/>
        </w:numPr>
        <w:adjustRightInd w:val="0"/>
        <w:snapToGrid w:val="0"/>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3．质量保修责任</w:t>
      </w:r>
    </w:p>
    <w:p w14:paraId="29905A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  属于保修范围、内容的项目，承包人应当在接到保修通知之日起7天内派人保修。承包人不在约定期限内派人保修的，业主可以委托他人修理。</w:t>
      </w:r>
    </w:p>
    <w:p w14:paraId="61FA532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发生紧急抢修事故的，承包人在接到事故通知后，应当立即到达事故现场抢修。</w:t>
      </w:r>
    </w:p>
    <w:p w14:paraId="7D003B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1EED48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  质量保修完成后，由业主组织验收。</w:t>
      </w:r>
    </w:p>
    <w:p w14:paraId="2EE230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4．保修费用</w:t>
      </w:r>
    </w:p>
    <w:p w14:paraId="7DF03F97">
      <w:pPr>
        <w:numPr>
          <w:ilvl w:val="1"/>
          <w:numId w:val="3"/>
        </w:numPr>
        <w:spacing w:line="360" w:lineRule="auto"/>
        <w:rPr>
          <w:rFonts w:ascii="宋体" w:hAnsi="宋体"/>
          <w:color w:val="auto"/>
          <w:sz w:val="24"/>
          <w:highlight w:val="none"/>
        </w:rPr>
      </w:pPr>
      <w:r>
        <w:rPr>
          <w:rFonts w:hint="eastAsia" w:ascii="宋体" w:hAnsi="宋体"/>
          <w:color w:val="auto"/>
          <w:sz w:val="24"/>
          <w:highlight w:val="none"/>
        </w:rPr>
        <w:t>保修费用由造成质量缺陷的责任方承担。</w:t>
      </w:r>
    </w:p>
    <w:p w14:paraId="7E236A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w:t>
      </w:r>
    </w:p>
    <w:p w14:paraId="0D1F00E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1  双方约定的其他工程质量保修事项：</w:t>
      </w:r>
      <w:r>
        <w:rPr>
          <w:rFonts w:hint="eastAsia" w:ascii="宋体" w:hAnsi="宋体"/>
          <w:color w:val="auto"/>
          <w:sz w:val="24"/>
          <w:highlight w:val="none"/>
          <w:u w:val="single"/>
        </w:rPr>
        <w:t xml:space="preserve">                                                                     </w:t>
      </w:r>
    </w:p>
    <w:p w14:paraId="1460692E">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w:t>
      </w:r>
    </w:p>
    <w:p w14:paraId="3462085A">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w:t>
      </w:r>
    </w:p>
    <w:p w14:paraId="68FC84D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  本工程质量保修书，由施工合同业主、承包人双方在缺陷责任终止证书颁发之前共同签署，作为施工合同附件，其有效期限至质量保修期满。</w:t>
      </w:r>
    </w:p>
    <w:p w14:paraId="548C00B1">
      <w:pPr>
        <w:spacing w:line="360" w:lineRule="auto"/>
        <w:rPr>
          <w:rFonts w:ascii="宋体" w:hAnsi="宋体"/>
          <w:color w:val="auto"/>
          <w:sz w:val="24"/>
          <w:highlight w:val="none"/>
        </w:rPr>
      </w:pPr>
    </w:p>
    <w:p w14:paraId="2620B3FC">
      <w:pPr>
        <w:spacing w:line="360" w:lineRule="auto"/>
        <w:ind w:firstLine="480"/>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val="en-US" w:eastAsia="zh-CN"/>
        </w:rPr>
        <w:t>盖单位</w:t>
      </w:r>
      <w:r>
        <w:rPr>
          <w:rFonts w:hint="eastAsia" w:ascii="宋体" w:hAnsi="宋体"/>
          <w:color w:val="auto"/>
          <w:sz w:val="24"/>
          <w:highlight w:val="none"/>
        </w:rPr>
        <w:t>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承包人（</w:t>
      </w:r>
      <w:r>
        <w:rPr>
          <w:rFonts w:hint="eastAsia" w:ascii="宋体" w:hAnsi="宋体"/>
          <w:color w:val="auto"/>
          <w:sz w:val="24"/>
          <w:highlight w:val="none"/>
          <w:lang w:val="en-US" w:eastAsia="zh-CN"/>
        </w:rPr>
        <w:t>盖单位</w:t>
      </w:r>
      <w:r>
        <w:rPr>
          <w:rFonts w:hint="eastAsia" w:ascii="宋体" w:hAnsi="宋体"/>
          <w:color w:val="auto"/>
          <w:sz w:val="24"/>
          <w:highlight w:val="none"/>
        </w:rPr>
        <w:t>章）：</w:t>
      </w:r>
      <w:r>
        <w:rPr>
          <w:rFonts w:hint="eastAsia" w:ascii="宋体" w:hAnsi="宋体"/>
          <w:color w:val="auto"/>
          <w:sz w:val="24"/>
          <w:highlight w:val="none"/>
          <w:u w:val="single"/>
        </w:rPr>
        <w:t xml:space="preserve">          </w:t>
      </w:r>
    </w:p>
    <w:p w14:paraId="21B0647F">
      <w:pPr>
        <w:spacing w:line="360" w:lineRule="auto"/>
        <w:ind w:firstLine="480"/>
        <w:rPr>
          <w:rFonts w:ascii="宋体" w:hAnsi="宋体"/>
          <w:color w:val="auto"/>
          <w:sz w:val="24"/>
          <w:highlight w:val="non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6A50CAC">
      <w:pPr>
        <w:pStyle w:val="22"/>
        <w:ind w:firstLine="1920" w:firstLineChars="800"/>
        <w:rPr>
          <w:color w:val="auto"/>
          <w:sz w:val="20"/>
          <w:highlight w:val="none"/>
        </w:rPr>
      </w:pP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B09B2C0">
      <w:pPr>
        <w:pStyle w:val="22"/>
        <w:rPr>
          <w:color w:val="auto"/>
          <w:sz w:val="20"/>
          <w:highlight w:val="none"/>
        </w:rPr>
      </w:pPr>
    </w:p>
    <w:p w14:paraId="422F68CE">
      <w:pPr>
        <w:pStyle w:val="22"/>
        <w:rPr>
          <w:color w:val="auto"/>
          <w:sz w:val="20"/>
          <w:highlight w:val="none"/>
        </w:rPr>
      </w:pPr>
    </w:p>
    <w:p w14:paraId="3E91EA40">
      <w:pPr>
        <w:pStyle w:val="22"/>
        <w:rPr>
          <w:color w:val="auto"/>
          <w:sz w:val="20"/>
          <w:highlight w:val="none"/>
        </w:rPr>
      </w:pPr>
    </w:p>
    <w:p w14:paraId="132BB605">
      <w:pPr>
        <w:pStyle w:val="22"/>
        <w:rPr>
          <w:color w:val="auto"/>
          <w:sz w:val="20"/>
          <w:highlight w:val="none"/>
        </w:rPr>
      </w:pPr>
      <w:r>
        <w:rPr>
          <w:color w:val="auto"/>
          <w:sz w:val="20"/>
          <w:highlight w:val="none"/>
        </w:rPr>
        <w:br w:type="page"/>
      </w:r>
    </w:p>
    <w:p w14:paraId="52D33B5A">
      <w:pPr>
        <w:spacing w:line="360" w:lineRule="auto"/>
        <w:outlineLvl w:val="2"/>
        <w:rPr>
          <w:rStyle w:val="152"/>
          <w:rFonts w:ascii="Times New Roman" w:hAnsi="Times New Roman"/>
          <w:b w:val="0"/>
          <w:bCs w:val="0"/>
          <w:color w:val="auto"/>
          <w:highlight w:val="none"/>
        </w:rPr>
      </w:pPr>
      <w:r>
        <w:rPr>
          <w:rStyle w:val="152"/>
          <w:rFonts w:ascii="Times New Roman" w:hAnsi="Times New Roman"/>
          <w:b w:val="0"/>
          <w:bCs w:val="0"/>
          <w:color w:val="auto"/>
          <w:highlight w:val="none"/>
        </w:rPr>
        <w:t>附近十五 拟用于本项目关键机电设备品牌及主要技术性能指标表</w:t>
      </w:r>
      <w:r>
        <w:rPr>
          <w:rStyle w:val="152"/>
          <w:rFonts w:ascii="Times New Roman" w:hAnsi="Times New Roman"/>
          <w:b w:val="0"/>
          <w:bCs w:val="0"/>
          <w:color w:val="auto"/>
          <w:highlight w:val="none"/>
          <w:vertAlign w:val="superscript"/>
        </w:rPr>
        <w:footnoteReference w:id="263"/>
      </w:r>
    </w:p>
    <w:p w14:paraId="7E57DE44">
      <w:pPr>
        <w:pStyle w:val="27"/>
        <w:spacing w:line="360" w:lineRule="auto"/>
        <w:rPr>
          <w:rFonts w:hAnsi="宋体"/>
          <w:color w:val="auto"/>
          <w:sz w:val="24"/>
          <w:szCs w:val="24"/>
          <w:highlight w:val="none"/>
        </w:rPr>
      </w:pPr>
      <w:r>
        <w:rPr>
          <w:rFonts w:hint="eastAsia" w:hAnsi="宋体"/>
          <w:color w:val="auto"/>
          <w:sz w:val="24"/>
          <w:szCs w:val="24"/>
          <w:highlight w:val="none"/>
        </w:rPr>
        <w:t>标段：</w:t>
      </w:r>
      <w:r>
        <w:rPr>
          <w:rFonts w:hAnsi="宋体"/>
          <w:color w:val="auto"/>
          <w:sz w:val="24"/>
          <w:szCs w:val="24"/>
          <w:highlight w:val="none"/>
          <w:u w:val="single"/>
        </w:rPr>
        <w:t xml:space="preserve">        </w:t>
      </w:r>
    </w:p>
    <w:tbl>
      <w:tblPr>
        <w:tblStyle w:val="50"/>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097"/>
        <w:gridCol w:w="5697"/>
      </w:tblGrid>
      <w:tr w14:paraId="534B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74" w:type="dxa"/>
            <w:vMerge w:val="restart"/>
            <w:vAlign w:val="center"/>
          </w:tcPr>
          <w:p w14:paraId="1F8DADC4">
            <w:pPr>
              <w:jc w:val="center"/>
              <w:rPr>
                <w:rFonts w:ascii="宋体" w:hAnsi="宋体"/>
                <w:color w:val="auto"/>
                <w:szCs w:val="21"/>
                <w:highlight w:val="none"/>
              </w:rPr>
            </w:pPr>
            <w:r>
              <w:rPr>
                <w:rFonts w:hint="eastAsia" w:ascii="宋体" w:hAnsi="宋体"/>
                <w:color w:val="auto"/>
                <w:szCs w:val="21"/>
                <w:highlight w:val="none"/>
              </w:rPr>
              <w:t>序号</w:t>
            </w:r>
          </w:p>
        </w:tc>
        <w:tc>
          <w:tcPr>
            <w:tcW w:w="2097" w:type="dxa"/>
            <w:vMerge w:val="restart"/>
            <w:vAlign w:val="center"/>
          </w:tcPr>
          <w:p w14:paraId="6F954B55">
            <w:pPr>
              <w:jc w:val="center"/>
              <w:rPr>
                <w:rFonts w:ascii="宋体" w:hAnsi="宋体"/>
                <w:color w:val="auto"/>
                <w:szCs w:val="21"/>
                <w:highlight w:val="none"/>
              </w:rPr>
            </w:pPr>
            <w:r>
              <w:rPr>
                <w:rFonts w:hint="eastAsia" w:ascii="宋体" w:hAnsi="宋体"/>
                <w:color w:val="auto"/>
                <w:szCs w:val="21"/>
                <w:highlight w:val="none"/>
              </w:rPr>
              <w:t>设备</w:t>
            </w:r>
            <w:r>
              <w:rPr>
                <w:rFonts w:ascii="宋体" w:hAnsi="宋体"/>
                <w:color w:val="auto"/>
                <w:szCs w:val="21"/>
                <w:highlight w:val="none"/>
              </w:rPr>
              <w:t>名称</w:t>
            </w:r>
          </w:p>
        </w:tc>
        <w:tc>
          <w:tcPr>
            <w:tcW w:w="5697" w:type="dxa"/>
            <w:vMerge w:val="restart"/>
            <w:vAlign w:val="center"/>
          </w:tcPr>
          <w:p w14:paraId="102BAA57">
            <w:pPr>
              <w:jc w:val="center"/>
              <w:rPr>
                <w:rFonts w:ascii="宋体" w:hAnsi="宋体"/>
                <w:color w:val="auto"/>
                <w:szCs w:val="21"/>
                <w:highlight w:val="none"/>
              </w:rPr>
            </w:pPr>
            <w:r>
              <w:rPr>
                <w:rFonts w:hint="eastAsia" w:ascii="宋体" w:hAnsi="宋体"/>
                <w:color w:val="auto"/>
                <w:szCs w:val="21"/>
                <w:highlight w:val="none"/>
              </w:rPr>
              <w:t>主要技术性能指标最低要求</w:t>
            </w:r>
          </w:p>
        </w:tc>
      </w:tr>
      <w:tr w14:paraId="4482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74" w:type="dxa"/>
            <w:vMerge w:val="continue"/>
            <w:vAlign w:val="center"/>
          </w:tcPr>
          <w:p w14:paraId="1CAFA49E">
            <w:pPr>
              <w:spacing w:line="400" w:lineRule="exact"/>
              <w:jc w:val="center"/>
              <w:rPr>
                <w:rFonts w:ascii="宋体" w:hAnsi="宋体"/>
                <w:color w:val="auto"/>
                <w:szCs w:val="21"/>
                <w:highlight w:val="none"/>
              </w:rPr>
            </w:pPr>
          </w:p>
        </w:tc>
        <w:tc>
          <w:tcPr>
            <w:tcW w:w="2097" w:type="dxa"/>
            <w:vMerge w:val="continue"/>
            <w:vAlign w:val="center"/>
          </w:tcPr>
          <w:p w14:paraId="5E2D0BEF">
            <w:pPr>
              <w:spacing w:line="400" w:lineRule="exact"/>
              <w:jc w:val="center"/>
              <w:rPr>
                <w:rFonts w:ascii="宋体" w:hAnsi="宋体"/>
                <w:color w:val="auto"/>
                <w:szCs w:val="21"/>
                <w:highlight w:val="none"/>
              </w:rPr>
            </w:pPr>
          </w:p>
        </w:tc>
        <w:tc>
          <w:tcPr>
            <w:tcW w:w="5697" w:type="dxa"/>
            <w:vMerge w:val="continue"/>
            <w:vAlign w:val="center"/>
          </w:tcPr>
          <w:p w14:paraId="644CAB70">
            <w:pPr>
              <w:spacing w:line="400" w:lineRule="exact"/>
              <w:jc w:val="center"/>
              <w:rPr>
                <w:rFonts w:ascii="宋体" w:hAnsi="宋体"/>
                <w:color w:val="auto"/>
                <w:szCs w:val="21"/>
                <w:highlight w:val="none"/>
              </w:rPr>
            </w:pPr>
          </w:p>
        </w:tc>
      </w:tr>
      <w:tr w14:paraId="5D4F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4" w:type="dxa"/>
            <w:vAlign w:val="center"/>
          </w:tcPr>
          <w:p w14:paraId="1264D5FD">
            <w:pPr>
              <w:spacing w:line="400" w:lineRule="exact"/>
              <w:jc w:val="center"/>
              <w:rPr>
                <w:rFonts w:ascii="宋体" w:hAnsi="宋体"/>
                <w:color w:val="auto"/>
                <w:szCs w:val="21"/>
                <w:highlight w:val="none"/>
              </w:rPr>
            </w:pPr>
            <w:r>
              <w:rPr>
                <w:rFonts w:ascii="宋体" w:hAnsi="宋体"/>
                <w:color w:val="auto"/>
                <w:szCs w:val="21"/>
                <w:highlight w:val="none"/>
              </w:rPr>
              <w:t>一</w:t>
            </w:r>
          </w:p>
        </w:tc>
        <w:tc>
          <w:tcPr>
            <w:tcW w:w="7794" w:type="dxa"/>
            <w:gridSpan w:val="2"/>
            <w:vAlign w:val="center"/>
          </w:tcPr>
          <w:p w14:paraId="111FB5BA">
            <w:pPr>
              <w:spacing w:line="400" w:lineRule="exact"/>
              <w:rPr>
                <w:rFonts w:ascii="宋体" w:hAnsi="宋体"/>
                <w:color w:val="auto"/>
                <w:szCs w:val="21"/>
                <w:highlight w:val="none"/>
              </w:rPr>
            </w:pPr>
            <w:r>
              <w:rPr>
                <w:rFonts w:hint="default" w:ascii="Arial" w:hAnsi="Arial" w:cs="Arial"/>
                <w:color w:val="auto"/>
                <w:szCs w:val="21"/>
                <w:highlight w:val="none"/>
              </w:rPr>
              <w:t>××</w:t>
            </w:r>
            <w:r>
              <w:rPr>
                <w:rFonts w:ascii="宋体" w:hAnsi="宋体"/>
                <w:color w:val="auto"/>
                <w:szCs w:val="21"/>
                <w:highlight w:val="none"/>
              </w:rPr>
              <w:t>系统</w:t>
            </w:r>
            <w:r>
              <w:rPr>
                <w:rStyle w:val="59"/>
                <w:rFonts w:ascii="宋体" w:hAnsi="宋体"/>
                <w:color w:val="auto"/>
                <w:szCs w:val="21"/>
                <w:highlight w:val="none"/>
              </w:rPr>
              <w:footnoteReference w:id="264"/>
            </w:r>
          </w:p>
        </w:tc>
      </w:tr>
      <w:tr w14:paraId="127B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4" w:type="dxa"/>
            <w:vMerge w:val="restart"/>
            <w:vAlign w:val="center"/>
          </w:tcPr>
          <w:p w14:paraId="35F27FE2">
            <w:pPr>
              <w:spacing w:line="400" w:lineRule="exact"/>
              <w:jc w:val="center"/>
              <w:rPr>
                <w:rFonts w:ascii="宋体" w:hAnsi="宋体"/>
                <w:color w:val="auto"/>
                <w:szCs w:val="21"/>
                <w:highlight w:val="none"/>
              </w:rPr>
            </w:pPr>
            <w:r>
              <w:rPr>
                <w:rFonts w:hAnsi="宋体"/>
                <w:color w:val="auto"/>
                <w:highlight w:val="none"/>
              </w:rPr>
              <w:t>1</w:t>
            </w:r>
          </w:p>
        </w:tc>
        <w:tc>
          <w:tcPr>
            <w:tcW w:w="2097" w:type="dxa"/>
            <w:vMerge w:val="restart"/>
            <w:vAlign w:val="center"/>
          </w:tcPr>
          <w:p w14:paraId="177BAA07">
            <w:pPr>
              <w:spacing w:line="400" w:lineRule="exact"/>
              <w:jc w:val="center"/>
              <w:rPr>
                <w:rFonts w:ascii="宋体" w:hAnsi="宋体"/>
                <w:color w:val="auto"/>
                <w:szCs w:val="21"/>
                <w:highlight w:val="none"/>
              </w:rPr>
            </w:pPr>
            <w:r>
              <w:rPr>
                <w:rFonts w:hint="default" w:ascii="Arial" w:hAnsi="Arial" w:cs="Arial"/>
                <w:color w:val="auto"/>
                <w:szCs w:val="21"/>
                <w:highlight w:val="none"/>
              </w:rPr>
              <w:t>××</w:t>
            </w:r>
            <w:r>
              <w:rPr>
                <w:rFonts w:hAnsi="宋体"/>
                <w:color w:val="auto"/>
                <w:highlight w:val="none"/>
              </w:rPr>
              <w:t>设备</w:t>
            </w:r>
            <w:r>
              <w:rPr>
                <w:rStyle w:val="59"/>
                <w:rFonts w:hAnsi="宋体"/>
                <w:color w:val="auto"/>
                <w:highlight w:val="none"/>
              </w:rPr>
              <w:footnoteReference w:id="265"/>
            </w:r>
          </w:p>
        </w:tc>
        <w:tc>
          <w:tcPr>
            <w:tcW w:w="5697" w:type="dxa"/>
            <w:vAlign w:val="center"/>
          </w:tcPr>
          <w:p w14:paraId="0051964E">
            <w:pPr>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Ansi="宋体"/>
                <w:color w:val="auto"/>
                <w:highlight w:val="none"/>
              </w:rPr>
              <w:t>）</w:t>
            </w:r>
            <w:r>
              <w:rPr>
                <w:rFonts w:hint="default" w:ascii="Arial" w:hAnsi="Arial" w:cs="Arial"/>
                <w:color w:val="auto"/>
                <w:szCs w:val="21"/>
                <w:highlight w:val="none"/>
              </w:rPr>
              <w:t>××</w:t>
            </w:r>
            <w:r>
              <w:rPr>
                <w:rFonts w:hAnsi="宋体"/>
                <w:color w:val="auto"/>
                <w:highlight w:val="none"/>
              </w:rPr>
              <w:t>指标</w:t>
            </w:r>
            <w:r>
              <w:rPr>
                <w:rStyle w:val="59"/>
                <w:rFonts w:hAnsi="宋体"/>
                <w:color w:val="auto"/>
                <w:highlight w:val="none"/>
              </w:rPr>
              <w:footnoteReference w:id="266"/>
            </w:r>
            <w:r>
              <w:rPr>
                <w:rFonts w:hAnsi="宋体"/>
                <w:color w:val="auto"/>
                <w:highlight w:val="none"/>
              </w:rPr>
              <w:t xml:space="preserve">   </w:t>
            </w:r>
          </w:p>
        </w:tc>
      </w:tr>
      <w:tr w14:paraId="39BF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4" w:type="dxa"/>
            <w:vMerge w:val="continue"/>
            <w:vAlign w:val="center"/>
          </w:tcPr>
          <w:p w14:paraId="7AA9E6BB">
            <w:pPr>
              <w:spacing w:line="400" w:lineRule="exact"/>
              <w:jc w:val="center"/>
              <w:rPr>
                <w:rFonts w:ascii="宋体" w:hAnsi="宋体"/>
                <w:color w:val="auto"/>
                <w:szCs w:val="21"/>
                <w:highlight w:val="none"/>
              </w:rPr>
            </w:pPr>
          </w:p>
        </w:tc>
        <w:tc>
          <w:tcPr>
            <w:tcW w:w="2097" w:type="dxa"/>
            <w:vMerge w:val="continue"/>
            <w:vAlign w:val="center"/>
          </w:tcPr>
          <w:p w14:paraId="3F9F0003">
            <w:pPr>
              <w:spacing w:line="400" w:lineRule="exact"/>
              <w:jc w:val="center"/>
              <w:rPr>
                <w:rFonts w:ascii="宋体" w:hAnsi="宋体"/>
                <w:color w:val="auto"/>
                <w:szCs w:val="21"/>
                <w:highlight w:val="none"/>
              </w:rPr>
            </w:pPr>
          </w:p>
        </w:tc>
        <w:tc>
          <w:tcPr>
            <w:tcW w:w="5697" w:type="dxa"/>
            <w:vAlign w:val="center"/>
          </w:tcPr>
          <w:p w14:paraId="394CC7BF">
            <w:pPr>
              <w:spacing w:line="400" w:lineRule="exact"/>
              <w:rPr>
                <w:rFonts w:ascii="宋体" w:hAnsi="宋体"/>
                <w:color w:val="auto"/>
                <w:szCs w:val="21"/>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w:t>
            </w:r>
          </w:p>
        </w:tc>
      </w:tr>
      <w:tr w14:paraId="1C40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4" w:type="dxa"/>
            <w:vMerge w:val="continue"/>
            <w:vAlign w:val="center"/>
          </w:tcPr>
          <w:p w14:paraId="6DBF1A02">
            <w:pPr>
              <w:spacing w:line="400" w:lineRule="exact"/>
              <w:jc w:val="center"/>
              <w:rPr>
                <w:rFonts w:ascii="宋体" w:hAnsi="宋体"/>
                <w:color w:val="auto"/>
                <w:szCs w:val="21"/>
                <w:highlight w:val="none"/>
              </w:rPr>
            </w:pPr>
          </w:p>
        </w:tc>
        <w:tc>
          <w:tcPr>
            <w:tcW w:w="2097" w:type="dxa"/>
            <w:vMerge w:val="continue"/>
            <w:vAlign w:val="center"/>
          </w:tcPr>
          <w:p w14:paraId="31BF9DC9">
            <w:pPr>
              <w:spacing w:line="400" w:lineRule="exact"/>
              <w:jc w:val="center"/>
              <w:rPr>
                <w:rFonts w:ascii="宋体" w:hAnsi="宋体"/>
                <w:color w:val="auto"/>
                <w:szCs w:val="21"/>
                <w:highlight w:val="none"/>
              </w:rPr>
            </w:pPr>
          </w:p>
        </w:tc>
        <w:tc>
          <w:tcPr>
            <w:tcW w:w="5697" w:type="dxa"/>
            <w:vAlign w:val="center"/>
          </w:tcPr>
          <w:p w14:paraId="669A0B09">
            <w:pPr>
              <w:spacing w:line="400" w:lineRule="exact"/>
              <w:rPr>
                <w:rFonts w:ascii="宋体" w:hAnsi="宋体"/>
                <w:color w:val="auto"/>
                <w:szCs w:val="21"/>
                <w:highlight w:val="none"/>
              </w:rPr>
            </w:pPr>
            <w:r>
              <w:rPr>
                <w:rFonts w:hint="eastAsia" w:hAnsi="宋体"/>
                <w:color w:val="auto"/>
                <w:highlight w:val="none"/>
              </w:rPr>
              <w:t>…</w:t>
            </w:r>
          </w:p>
        </w:tc>
      </w:tr>
      <w:tr w14:paraId="3D1F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4" w:type="dxa"/>
            <w:vMerge w:val="continue"/>
            <w:vAlign w:val="center"/>
          </w:tcPr>
          <w:p w14:paraId="18FC2173">
            <w:pPr>
              <w:spacing w:line="400" w:lineRule="exact"/>
              <w:jc w:val="center"/>
              <w:rPr>
                <w:rFonts w:ascii="宋体" w:hAnsi="宋体"/>
                <w:color w:val="auto"/>
                <w:szCs w:val="21"/>
                <w:highlight w:val="none"/>
              </w:rPr>
            </w:pPr>
          </w:p>
        </w:tc>
        <w:tc>
          <w:tcPr>
            <w:tcW w:w="2097" w:type="dxa"/>
            <w:vMerge w:val="continue"/>
            <w:vAlign w:val="center"/>
          </w:tcPr>
          <w:p w14:paraId="13528D8D">
            <w:pPr>
              <w:spacing w:line="400" w:lineRule="exact"/>
              <w:jc w:val="center"/>
              <w:rPr>
                <w:rFonts w:ascii="宋体" w:hAnsi="宋体"/>
                <w:color w:val="auto"/>
                <w:szCs w:val="21"/>
                <w:highlight w:val="none"/>
              </w:rPr>
            </w:pPr>
          </w:p>
        </w:tc>
        <w:tc>
          <w:tcPr>
            <w:tcW w:w="5697" w:type="dxa"/>
            <w:vAlign w:val="center"/>
          </w:tcPr>
          <w:p w14:paraId="1EC6EC16">
            <w:pPr>
              <w:spacing w:line="400" w:lineRule="exact"/>
              <w:rPr>
                <w:rFonts w:ascii="宋体" w:hAnsi="宋体"/>
                <w:color w:val="auto"/>
                <w:szCs w:val="21"/>
                <w:highlight w:val="none"/>
              </w:rPr>
            </w:pPr>
            <w:r>
              <w:rPr>
                <w:rFonts w:hint="eastAsia" w:hAnsi="宋体"/>
                <w:color w:val="auto"/>
                <w:highlight w:val="none"/>
              </w:rPr>
              <w:t>…</w:t>
            </w:r>
          </w:p>
        </w:tc>
      </w:tr>
      <w:tr w14:paraId="7FE3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4" w:type="dxa"/>
            <w:vMerge w:val="restart"/>
            <w:vAlign w:val="center"/>
          </w:tcPr>
          <w:p w14:paraId="37727450">
            <w:pPr>
              <w:spacing w:line="400" w:lineRule="exact"/>
              <w:jc w:val="center"/>
              <w:rPr>
                <w:rFonts w:ascii="宋体" w:hAnsi="宋体"/>
                <w:color w:val="auto"/>
                <w:szCs w:val="21"/>
                <w:highlight w:val="none"/>
              </w:rPr>
            </w:pPr>
            <w:r>
              <w:rPr>
                <w:rFonts w:hAnsi="宋体"/>
                <w:color w:val="auto"/>
                <w:highlight w:val="none"/>
              </w:rPr>
              <w:t>2</w:t>
            </w:r>
          </w:p>
        </w:tc>
        <w:tc>
          <w:tcPr>
            <w:tcW w:w="2097" w:type="dxa"/>
            <w:vMerge w:val="restart"/>
            <w:vAlign w:val="center"/>
          </w:tcPr>
          <w:p w14:paraId="65200A91">
            <w:pPr>
              <w:spacing w:line="400" w:lineRule="exact"/>
              <w:jc w:val="center"/>
              <w:rPr>
                <w:rFonts w:ascii="宋体" w:hAnsi="宋体"/>
                <w:color w:val="auto"/>
                <w:szCs w:val="21"/>
                <w:highlight w:val="none"/>
              </w:rPr>
            </w:pPr>
            <w:r>
              <w:rPr>
                <w:rFonts w:hint="default" w:ascii="Arial" w:hAnsi="Arial" w:cs="Arial"/>
                <w:color w:val="auto"/>
                <w:szCs w:val="21"/>
                <w:highlight w:val="none"/>
              </w:rPr>
              <w:t>××</w:t>
            </w:r>
            <w:r>
              <w:rPr>
                <w:rFonts w:hAnsi="宋体"/>
                <w:color w:val="auto"/>
                <w:highlight w:val="none"/>
              </w:rPr>
              <w:t>设备</w:t>
            </w:r>
          </w:p>
        </w:tc>
        <w:tc>
          <w:tcPr>
            <w:tcW w:w="5697" w:type="dxa"/>
            <w:vAlign w:val="center"/>
          </w:tcPr>
          <w:p w14:paraId="2B62EA40">
            <w:pPr>
              <w:spacing w:line="400" w:lineRule="exact"/>
              <w:rPr>
                <w:rFonts w:ascii="宋体" w:hAnsi="宋体"/>
                <w:color w:val="auto"/>
                <w:szCs w:val="21"/>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w:t>
            </w:r>
          </w:p>
        </w:tc>
      </w:tr>
      <w:tr w14:paraId="5738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4" w:type="dxa"/>
            <w:vMerge w:val="continue"/>
            <w:vAlign w:val="center"/>
          </w:tcPr>
          <w:p w14:paraId="187A4FEF">
            <w:pPr>
              <w:spacing w:line="400" w:lineRule="exact"/>
              <w:jc w:val="center"/>
              <w:rPr>
                <w:rFonts w:ascii="宋体" w:hAnsi="宋体"/>
                <w:color w:val="auto"/>
                <w:szCs w:val="21"/>
                <w:highlight w:val="none"/>
              </w:rPr>
            </w:pPr>
          </w:p>
        </w:tc>
        <w:tc>
          <w:tcPr>
            <w:tcW w:w="2097" w:type="dxa"/>
            <w:vMerge w:val="continue"/>
            <w:vAlign w:val="center"/>
          </w:tcPr>
          <w:p w14:paraId="66ED3620">
            <w:pPr>
              <w:spacing w:line="400" w:lineRule="exact"/>
              <w:jc w:val="center"/>
              <w:rPr>
                <w:rFonts w:ascii="宋体" w:hAnsi="宋体"/>
                <w:color w:val="auto"/>
                <w:szCs w:val="21"/>
                <w:highlight w:val="none"/>
              </w:rPr>
            </w:pPr>
          </w:p>
        </w:tc>
        <w:tc>
          <w:tcPr>
            <w:tcW w:w="5697" w:type="dxa"/>
            <w:vAlign w:val="center"/>
          </w:tcPr>
          <w:p w14:paraId="727ED2D6">
            <w:pPr>
              <w:spacing w:line="400" w:lineRule="exact"/>
              <w:rPr>
                <w:rFonts w:ascii="宋体" w:hAnsi="宋体"/>
                <w:color w:val="auto"/>
                <w:szCs w:val="21"/>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w:t>
            </w:r>
          </w:p>
        </w:tc>
      </w:tr>
      <w:tr w14:paraId="2FF4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continue"/>
            <w:vAlign w:val="center"/>
          </w:tcPr>
          <w:p w14:paraId="53CF247C">
            <w:pPr>
              <w:spacing w:line="400" w:lineRule="exact"/>
              <w:jc w:val="center"/>
              <w:rPr>
                <w:rFonts w:ascii="宋体" w:hAnsi="宋体"/>
                <w:color w:val="auto"/>
                <w:szCs w:val="21"/>
                <w:highlight w:val="none"/>
              </w:rPr>
            </w:pPr>
          </w:p>
        </w:tc>
        <w:tc>
          <w:tcPr>
            <w:tcW w:w="2097" w:type="dxa"/>
            <w:vMerge w:val="continue"/>
            <w:vAlign w:val="center"/>
          </w:tcPr>
          <w:p w14:paraId="5F8C23F7">
            <w:pPr>
              <w:spacing w:line="400" w:lineRule="exact"/>
              <w:jc w:val="center"/>
              <w:rPr>
                <w:rFonts w:ascii="宋体" w:hAnsi="宋体"/>
                <w:color w:val="auto"/>
                <w:szCs w:val="21"/>
                <w:highlight w:val="none"/>
              </w:rPr>
            </w:pPr>
          </w:p>
        </w:tc>
        <w:tc>
          <w:tcPr>
            <w:tcW w:w="5697" w:type="dxa"/>
            <w:vAlign w:val="center"/>
          </w:tcPr>
          <w:p w14:paraId="2AA76911">
            <w:pPr>
              <w:spacing w:line="400" w:lineRule="exact"/>
              <w:rPr>
                <w:rFonts w:ascii="宋体" w:hAnsi="宋体"/>
                <w:color w:val="auto"/>
                <w:szCs w:val="21"/>
                <w:highlight w:val="none"/>
              </w:rPr>
            </w:pPr>
            <w:r>
              <w:rPr>
                <w:rFonts w:hint="eastAsia" w:hAnsi="宋体"/>
                <w:color w:val="auto"/>
                <w:highlight w:val="none"/>
              </w:rPr>
              <w:t>…</w:t>
            </w:r>
          </w:p>
        </w:tc>
      </w:tr>
      <w:tr w14:paraId="57A4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continue"/>
            <w:vAlign w:val="center"/>
          </w:tcPr>
          <w:p w14:paraId="66B121B0">
            <w:pPr>
              <w:spacing w:line="400" w:lineRule="exact"/>
              <w:jc w:val="center"/>
              <w:rPr>
                <w:rFonts w:ascii="宋体" w:hAnsi="宋体"/>
                <w:color w:val="auto"/>
                <w:szCs w:val="21"/>
                <w:highlight w:val="none"/>
              </w:rPr>
            </w:pPr>
          </w:p>
        </w:tc>
        <w:tc>
          <w:tcPr>
            <w:tcW w:w="2097" w:type="dxa"/>
            <w:vMerge w:val="continue"/>
            <w:vAlign w:val="center"/>
          </w:tcPr>
          <w:p w14:paraId="7D67B59E">
            <w:pPr>
              <w:spacing w:line="400" w:lineRule="exact"/>
              <w:jc w:val="center"/>
              <w:rPr>
                <w:rFonts w:ascii="宋体" w:hAnsi="宋体"/>
                <w:color w:val="auto"/>
                <w:szCs w:val="21"/>
                <w:highlight w:val="none"/>
              </w:rPr>
            </w:pPr>
          </w:p>
        </w:tc>
        <w:tc>
          <w:tcPr>
            <w:tcW w:w="5697" w:type="dxa"/>
            <w:vAlign w:val="center"/>
          </w:tcPr>
          <w:p w14:paraId="51ABB7AF">
            <w:pPr>
              <w:spacing w:line="400" w:lineRule="exact"/>
              <w:rPr>
                <w:rFonts w:hAnsi="宋体"/>
                <w:color w:val="auto"/>
                <w:highlight w:val="none"/>
              </w:rPr>
            </w:pPr>
            <w:r>
              <w:rPr>
                <w:rFonts w:hint="eastAsia" w:hAnsi="宋体"/>
                <w:color w:val="auto"/>
                <w:highlight w:val="none"/>
              </w:rPr>
              <w:t>…</w:t>
            </w:r>
          </w:p>
        </w:tc>
      </w:tr>
      <w:tr w14:paraId="680F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Align w:val="center"/>
          </w:tcPr>
          <w:p w14:paraId="586489B6">
            <w:pPr>
              <w:spacing w:line="400" w:lineRule="exact"/>
              <w:jc w:val="center"/>
              <w:rPr>
                <w:rFonts w:ascii="宋体" w:hAnsi="宋体"/>
                <w:color w:val="auto"/>
                <w:szCs w:val="21"/>
                <w:highlight w:val="none"/>
              </w:rPr>
            </w:pPr>
            <w:r>
              <w:rPr>
                <w:rFonts w:hint="eastAsia" w:hAnsi="宋体"/>
                <w:color w:val="auto"/>
                <w:highlight w:val="none"/>
              </w:rPr>
              <w:t>…</w:t>
            </w:r>
          </w:p>
        </w:tc>
        <w:tc>
          <w:tcPr>
            <w:tcW w:w="2097" w:type="dxa"/>
            <w:vAlign w:val="center"/>
          </w:tcPr>
          <w:p w14:paraId="64DEDD81">
            <w:pPr>
              <w:spacing w:line="400" w:lineRule="exact"/>
              <w:jc w:val="center"/>
              <w:rPr>
                <w:rFonts w:ascii="宋体" w:hAnsi="宋体"/>
                <w:color w:val="auto"/>
                <w:szCs w:val="21"/>
                <w:highlight w:val="none"/>
              </w:rPr>
            </w:pPr>
            <w:r>
              <w:rPr>
                <w:rFonts w:hint="eastAsia" w:hAnsi="宋体"/>
                <w:color w:val="auto"/>
                <w:highlight w:val="none"/>
              </w:rPr>
              <w:t>…</w:t>
            </w:r>
          </w:p>
        </w:tc>
        <w:tc>
          <w:tcPr>
            <w:tcW w:w="5697" w:type="dxa"/>
            <w:vAlign w:val="center"/>
          </w:tcPr>
          <w:p w14:paraId="393041AF">
            <w:pPr>
              <w:spacing w:line="400" w:lineRule="exact"/>
              <w:rPr>
                <w:rFonts w:hAnsi="宋体"/>
                <w:color w:val="auto"/>
                <w:highlight w:val="none"/>
              </w:rPr>
            </w:pPr>
            <w:r>
              <w:rPr>
                <w:rFonts w:hint="eastAsia" w:hAnsi="宋体"/>
                <w:color w:val="auto"/>
                <w:highlight w:val="none"/>
              </w:rPr>
              <w:t>…</w:t>
            </w:r>
          </w:p>
        </w:tc>
      </w:tr>
      <w:tr w14:paraId="199A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Align w:val="center"/>
          </w:tcPr>
          <w:p w14:paraId="6E94950A">
            <w:pPr>
              <w:spacing w:line="400" w:lineRule="exact"/>
              <w:jc w:val="center"/>
              <w:rPr>
                <w:rFonts w:ascii="宋体" w:hAnsi="宋体"/>
                <w:color w:val="auto"/>
                <w:szCs w:val="21"/>
                <w:highlight w:val="none"/>
              </w:rPr>
            </w:pPr>
            <w:r>
              <w:rPr>
                <w:rFonts w:hint="eastAsia" w:hAnsi="宋体"/>
                <w:color w:val="auto"/>
                <w:highlight w:val="none"/>
              </w:rPr>
              <w:t>…</w:t>
            </w:r>
          </w:p>
        </w:tc>
        <w:tc>
          <w:tcPr>
            <w:tcW w:w="2097" w:type="dxa"/>
            <w:vAlign w:val="center"/>
          </w:tcPr>
          <w:p w14:paraId="574A760D">
            <w:pPr>
              <w:spacing w:line="400" w:lineRule="exact"/>
              <w:jc w:val="center"/>
              <w:rPr>
                <w:rFonts w:ascii="宋体" w:hAnsi="宋体"/>
                <w:color w:val="auto"/>
                <w:szCs w:val="21"/>
                <w:highlight w:val="none"/>
              </w:rPr>
            </w:pPr>
            <w:r>
              <w:rPr>
                <w:rFonts w:hint="eastAsia" w:hAnsi="宋体"/>
                <w:color w:val="auto"/>
                <w:highlight w:val="none"/>
              </w:rPr>
              <w:t>…</w:t>
            </w:r>
          </w:p>
        </w:tc>
        <w:tc>
          <w:tcPr>
            <w:tcW w:w="5697" w:type="dxa"/>
            <w:vAlign w:val="center"/>
          </w:tcPr>
          <w:p w14:paraId="42BC2740">
            <w:pPr>
              <w:spacing w:line="400" w:lineRule="exact"/>
              <w:rPr>
                <w:rFonts w:hAnsi="宋体"/>
                <w:color w:val="auto"/>
                <w:highlight w:val="none"/>
              </w:rPr>
            </w:pPr>
            <w:r>
              <w:rPr>
                <w:rFonts w:hint="eastAsia" w:hAnsi="宋体"/>
                <w:color w:val="auto"/>
                <w:highlight w:val="none"/>
              </w:rPr>
              <w:t>…</w:t>
            </w:r>
          </w:p>
        </w:tc>
      </w:tr>
      <w:tr w14:paraId="7CF6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Align w:val="center"/>
          </w:tcPr>
          <w:p w14:paraId="29DF5D7F">
            <w:pPr>
              <w:spacing w:line="400" w:lineRule="exact"/>
              <w:jc w:val="center"/>
              <w:rPr>
                <w:rFonts w:ascii="宋体" w:hAnsi="宋体"/>
                <w:color w:val="auto"/>
                <w:szCs w:val="21"/>
                <w:highlight w:val="none"/>
              </w:rPr>
            </w:pPr>
            <w:r>
              <w:rPr>
                <w:rFonts w:ascii="宋体" w:hAnsi="宋体"/>
                <w:color w:val="auto"/>
                <w:szCs w:val="21"/>
                <w:highlight w:val="none"/>
              </w:rPr>
              <w:t>二</w:t>
            </w:r>
          </w:p>
        </w:tc>
        <w:tc>
          <w:tcPr>
            <w:tcW w:w="7794" w:type="dxa"/>
            <w:gridSpan w:val="2"/>
            <w:vAlign w:val="center"/>
          </w:tcPr>
          <w:p w14:paraId="66960681">
            <w:pPr>
              <w:spacing w:line="400" w:lineRule="exact"/>
              <w:rPr>
                <w:rFonts w:hAnsi="宋体"/>
                <w:color w:val="auto"/>
                <w:highlight w:val="none"/>
              </w:rPr>
            </w:pPr>
            <w:r>
              <w:rPr>
                <w:rFonts w:hint="default" w:ascii="Arial" w:hAnsi="Arial" w:cs="Arial"/>
                <w:color w:val="auto"/>
                <w:szCs w:val="21"/>
                <w:highlight w:val="none"/>
              </w:rPr>
              <w:t>××</w:t>
            </w:r>
            <w:r>
              <w:rPr>
                <w:rFonts w:ascii="宋体" w:hAnsi="宋体"/>
                <w:color w:val="auto"/>
                <w:szCs w:val="21"/>
                <w:highlight w:val="none"/>
              </w:rPr>
              <w:t>系统</w:t>
            </w:r>
          </w:p>
        </w:tc>
      </w:tr>
      <w:tr w14:paraId="68F6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restart"/>
            <w:vAlign w:val="center"/>
          </w:tcPr>
          <w:p w14:paraId="6998464C">
            <w:pPr>
              <w:spacing w:line="400" w:lineRule="exact"/>
              <w:jc w:val="center"/>
              <w:rPr>
                <w:rFonts w:ascii="宋体" w:hAnsi="宋体"/>
                <w:color w:val="auto"/>
                <w:szCs w:val="21"/>
                <w:highlight w:val="none"/>
              </w:rPr>
            </w:pPr>
            <w:r>
              <w:rPr>
                <w:rFonts w:hAnsi="宋体"/>
                <w:color w:val="auto"/>
                <w:highlight w:val="none"/>
              </w:rPr>
              <w:t>1</w:t>
            </w:r>
          </w:p>
        </w:tc>
        <w:tc>
          <w:tcPr>
            <w:tcW w:w="2097" w:type="dxa"/>
            <w:vMerge w:val="restart"/>
            <w:vAlign w:val="center"/>
          </w:tcPr>
          <w:p w14:paraId="4B8105A9">
            <w:pPr>
              <w:spacing w:line="400" w:lineRule="exact"/>
              <w:jc w:val="center"/>
              <w:rPr>
                <w:rFonts w:ascii="宋体" w:hAnsi="宋体"/>
                <w:color w:val="auto"/>
                <w:szCs w:val="21"/>
                <w:highlight w:val="none"/>
              </w:rPr>
            </w:pPr>
            <w:r>
              <w:rPr>
                <w:rFonts w:hint="default" w:ascii="Arial" w:hAnsi="Arial" w:cs="Arial"/>
                <w:color w:val="auto"/>
                <w:szCs w:val="21"/>
                <w:highlight w:val="none"/>
              </w:rPr>
              <w:t>××</w:t>
            </w:r>
            <w:r>
              <w:rPr>
                <w:rFonts w:hAnsi="宋体"/>
                <w:color w:val="auto"/>
                <w:highlight w:val="none"/>
              </w:rPr>
              <w:t>设备</w:t>
            </w:r>
          </w:p>
        </w:tc>
        <w:tc>
          <w:tcPr>
            <w:tcW w:w="5697" w:type="dxa"/>
            <w:vAlign w:val="center"/>
          </w:tcPr>
          <w:p w14:paraId="2804BB6F">
            <w:pPr>
              <w:spacing w:line="400" w:lineRule="exact"/>
              <w:rPr>
                <w:rFonts w:hAnsi="宋体"/>
                <w:color w:val="auto"/>
                <w:highlight w:val="none"/>
              </w:rPr>
            </w:pPr>
            <w:r>
              <w:rPr>
                <w:rFonts w:hint="eastAsia" w:ascii="宋体" w:hAnsi="宋体"/>
                <w:color w:val="auto"/>
                <w:szCs w:val="21"/>
                <w:highlight w:val="none"/>
              </w:rPr>
              <w:t>（</w:t>
            </w:r>
            <w:r>
              <w:rPr>
                <w:rFonts w:ascii="宋体" w:hAnsi="宋体"/>
                <w:color w:val="auto"/>
                <w:szCs w:val="21"/>
                <w:highlight w:val="none"/>
              </w:rPr>
              <w:t>1</w:t>
            </w:r>
            <w:r>
              <w:rPr>
                <w:rFonts w:hAnsi="宋体"/>
                <w:color w:val="auto"/>
                <w:highlight w:val="none"/>
              </w:rPr>
              <w:t xml:space="preserve">）   </w:t>
            </w:r>
          </w:p>
        </w:tc>
      </w:tr>
      <w:tr w14:paraId="603A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continue"/>
            <w:vAlign w:val="center"/>
          </w:tcPr>
          <w:p w14:paraId="67C326DF">
            <w:pPr>
              <w:spacing w:line="400" w:lineRule="exact"/>
              <w:jc w:val="center"/>
              <w:rPr>
                <w:rFonts w:ascii="宋体" w:hAnsi="宋体"/>
                <w:color w:val="auto"/>
                <w:szCs w:val="21"/>
                <w:highlight w:val="none"/>
              </w:rPr>
            </w:pPr>
          </w:p>
        </w:tc>
        <w:tc>
          <w:tcPr>
            <w:tcW w:w="2097" w:type="dxa"/>
            <w:vMerge w:val="continue"/>
            <w:vAlign w:val="center"/>
          </w:tcPr>
          <w:p w14:paraId="5A4D56F0">
            <w:pPr>
              <w:spacing w:line="400" w:lineRule="exact"/>
              <w:jc w:val="center"/>
              <w:rPr>
                <w:rFonts w:ascii="宋体" w:hAnsi="宋体"/>
                <w:color w:val="auto"/>
                <w:szCs w:val="21"/>
                <w:highlight w:val="none"/>
              </w:rPr>
            </w:pPr>
          </w:p>
        </w:tc>
        <w:tc>
          <w:tcPr>
            <w:tcW w:w="5697" w:type="dxa"/>
            <w:vAlign w:val="center"/>
          </w:tcPr>
          <w:p w14:paraId="2E116BFB">
            <w:pPr>
              <w:spacing w:line="400" w:lineRule="exac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w:t>
            </w:r>
          </w:p>
        </w:tc>
      </w:tr>
      <w:tr w14:paraId="5956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continue"/>
            <w:vAlign w:val="center"/>
          </w:tcPr>
          <w:p w14:paraId="51380849">
            <w:pPr>
              <w:spacing w:line="400" w:lineRule="exact"/>
              <w:jc w:val="center"/>
              <w:rPr>
                <w:rFonts w:ascii="宋体" w:hAnsi="宋体"/>
                <w:color w:val="auto"/>
                <w:szCs w:val="21"/>
                <w:highlight w:val="none"/>
              </w:rPr>
            </w:pPr>
          </w:p>
        </w:tc>
        <w:tc>
          <w:tcPr>
            <w:tcW w:w="2097" w:type="dxa"/>
            <w:vMerge w:val="continue"/>
            <w:vAlign w:val="center"/>
          </w:tcPr>
          <w:p w14:paraId="506674F6">
            <w:pPr>
              <w:spacing w:line="400" w:lineRule="exact"/>
              <w:jc w:val="center"/>
              <w:rPr>
                <w:rFonts w:ascii="宋体" w:hAnsi="宋体"/>
                <w:color w:val="auto"/>
                <w:szCs w:val="21"/>
                <w:highlight w:val="none"/>
              </w:rPr>
            </w:pPr>
          </w:p>
        </w:tc>
        <w:tc>
          <w:tcPr>
            <w:tcW w:w="5697" w:type="dxa"/>
            <w:vAlign w:val="center"/>
          </w:tcPr>
          <w:p w14:paraId="3C705E91">
            <w:pPr>
              <w:spacing w:line="400" w:lineRule="exact"/>
              <w:rPr>
                <w:rFonts w:hAnsi="宋体"/>
                <w:color w:val="auto"/>
                <w:highlight w:val="none"/>
              </w:rPr>
            </w:pPr>
            <w:r>
              <w:rPr>
                <w:rFonts w:hint="eastAsia" w:hAnsi="宋体"/>
                <w:color w:val="auto"/>
                <w:highlight w:val="none"/>
              </w:rPr>
              <w:t>…</w:t>
            </w:r>
          </w:p>
        </w:tc>
      </w:tr>
      <w:tr w14:paraId="6CA5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continue"/>
            <w:vAlign w:val="center"/>
          </w:tcPr>
          <w:p w14:paraId="09C45F93">
            <w:pPr>
              <w:spacing w:line="400" w:lineRule="exact"/>
              <w:jc w:val="center"/>
              <w:rPr>
                <w:rFonts w:ascii="宋体" w:hAnsi="宋体"/>
                <w:color w:val="auto"/>
                <w:szCs w:val="21"/>
                <w:highlight w:val="none"/>
              </w:rPr>
            </w:pPr>
          </w:p>
        </w:tc>
        <w:tc>
          <w:tcPr>
            <w:tcW w:w="2097" w:type="dxa"/>
            <w:vMerge w:val="continue"/>
            <w:vAlign w:val="center"/>
          </w:tcPr>
          <w:p w14:paraId="370DF2F1">
            <w:pPr>
              <w:spacing w:line="400" w:lineRule="exact"/>
              <w:jc w:val="center"/>
              <w:rPr>
                <w:rFonts w:ascii="宋体" w:hAnsi="宋体"/>
                <w:color w:val="auto"/>
                <w:szCs w:val="21"/>
                <w:highlight w:val="none"/>
              </w:rPr>
            </w:pPr>
          </w:p>
        </w:tc>
        <w:tc>
          <w:tcPr>
            <w:tcW w:w="5697" w:type="dxa"/>
            <w:vAlign w:val="center"/>
          </w:tcPr>
          <w:p w14:paraId="69A648F1">
            <w:pPr>
              <w:spacing w:line="400" w:lineRule="exact"/>
              <w:rPr>
                <w:rFonts w:hAnsi="宋体"/>
                <w:color w:val="auto"/>
                <w:highlight w:val="none"/>
              </w:rPr>
            </w:pPr>
            <w:r>
              <w:rPr>
                <w:rFonts w:hint="eastAsia" w:hAnsi="宋体"/>
                <w:color w:val="auto"/>
                <w:highlight w:val="none"/>
              </w:rPr>
              <w:t>…</w:t>
            </w:r>
          </w:p>
        </w:tc>
      </w:tr>
      <w:tr w14:paraId="0FF3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restart"/>
            <w:vAlign w:val="center"/>
          </w:tcPr>
          <w:p w14:paraId="3E5F7A06">
            <w:pPr>
              <w:spacing w:line="400" w:lineRule="exact"/>
              <w:jc w:val="center"/>
              <w:rPr>
                <w:rFonts w:ascii="宋体" w:hAnsi="宋体"/>
                <w:color w:val="auto"/>
                <w:szCs w:val="21"/>
                <w:highlight w:val="none"/>
              </w:rPr>
            </w:pPr>
            <w:r>
              <w:rPr>
                <w:rFonts w:hAnsi="宋体"/>
                <w:color w:val="auto"/>
                <w:highlight w:val="none"/>
              </w:rPr>
              <w:t>2</w:t>
            </w:r>
          </w:p>
        </w:tc>
        <w:tc>
          <w:tcPr>
            <w:tcW w:w="2097" w:type="dxa"/>
            <w:vMerge w:val="restart"/>
            <w:vAlign w:val="center"/>
          </w:tcPr>
          <w:p w14:paraId="532FB663">
            <w:pPr>
              <w:spacing w:line="400" w:lineRule="exact"/>
              <w:jc w:val="center"/>
              <w:rPr>
                <w:rFonts w:ascii="宋体" w:hAnsi="宋体"/>
                <w:color w:val="auto"/>
                <w:szCs w:val="21"/>
                <w:highlight w:val="none"/>
              </w:rPr>
            </w:pPr>
            <w:r>
              <w:rPr>
                <w:rFonts w:hint="default" w:ascii="Arial" w:hAnsi="Arial" w:cs="Arial"/>
                <w:color w:val="auto"/>
                <w:szCs w:val="21"/>
                <w:highlight w:val="none"/>
              </w:rPr>
              <w:t>××</w:t>
            </w:r>
            <w:r>
              <w:rPr>
                <w:rFonts w:hAnsi="宋体"/>
                <w:color w:val="auto"/>
                <w:highlight w:val="none"/>
              </w:rPr>
              <w:t>设备</w:t>
            </w:r>
          </w:p>
        </w:tc>
        <w:tc>
          <w:tcPr>
            <w:tcW w:w="5697" w:type="dxa"/>
            <w:vAlign w:val="center"/>
          </w:tcPr>
          <w:p w14:paraId="2F75F86C">
            <w:pPr>
              <w:spacing w:line="400" w:lineRule="exac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w:t>
            </w:r>
          </w:p>
        </w:tc>
      </w:tr>
      <w:tr w14:paraId="7ED2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continue"/>
            <w:vAlign w:val="center"/>
          </w:tcPr>
          <w:p w14:paraId="36F382CC">
            <w:pPr>
              <w:spacing w:line="400" w:lineRule="exact"/>
              <w:jc w:val="center"/>
              <w:rPr>
                <w:rFonts w:ascii="宋体" w:hAnsi="宋体"/>
                <w:color w:val="auto"/>
                <w:szCs w:val="21"/>
                <w:highlight w:val="none"/>
              </w:rPr>
            </w:pPr>
          </w:p>
        </w:tc>
        <w:tc>
          <w:tcPr>
            <w:tcW w:w="2097" w:type="dxa"/>
            <w:vMerge w:val="continue"/>
            <w:vAlign w:val="center"/>
          </w:tcPr>
          <w:p w14:paraId="34BFF0D8">
            <w:pPr>
              <w:spacing w:line="400" w:lineRule="exact"/>
              <w:jc w:val="center"/>
              <w:rPr>
                <w:rFonts w:ascii="宋体" w:hAnsi="宋体"/>
                <w:color w:val="auto"/>
                <w:szCs w:val="21"/>
                <w:highlight w:val="none"/>
              </w:rPr>
            </w:pPr>
          </w:p>
        </w:tc>
        <w:tc>
          <w:tcPr>
            <w:tcW w:w="5697" w:type="dxa"/>
            <w:vAlign w:val="center"/>
          </w:tcPr>
          <w:p w14:paraId="10BF90B6">
            <w:pPr>
              <w:spacing w:line="400" w:lineRule="exac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w:t>
            </w:r>
          </w:p>
        </w:tc>
      </w:tr>
      <w:tr w14:paraId="0A9A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continue"/>
            <w:vAlign w:val="center"/>
          </w:tcPr>
          <w:p w14:paraId="03BF4AD5">
            <w:pPr>
              <w:spacing w:line="400" w:lineRule="exact"/>
              <w:jc w:val="center"/>
              <w:rPr>
                <w:rFonts w:ascii="宋体" w:hAnsi="宋体"/>
                <w:color w:val="auto"/>
                <w:szCs w:val="21"/>
                <w:highlight w:val="none"/>
              </w:rPr>
            </w:pPr>
          </w:p>
        </w:tc>
        <w:tc>
          <w:tcPr>
            <w:tcW w:w="2097" w:type="dxa"/>
            <w:vMerge w:val="continue"/>
            <w:vAlign w:val="center"/>
          </w:tcPr>
          <w:p w14:paraId="66D75F01">
            <w:pPr>
              <w:spacing w:line="400" w:lineRule="exact"/>
              <w:jc w:val="center"/>
              <w:rPr>
                <w:rFonts w:ascii="宋体" w:hAnsi="宋体"/>
                <w:color w:val="auto"/>
                <w:szCs w:val="21"/>
                <w:highlight w:val="none"/>
              </w:rPr>
            </w:pPr>
          </w:p>
        </w:tc>
        <w:tc>
          <w:tcPr>
            <w:tcW w:w="5697" w:type="dxa"/>
            <w:vAlign w:val="center"/>
          </w:tcPr>
          <w:p w14:paraId="0A027232">
            <w:pPr>
              <w:spacing w:line="400" w:lineRule="exact"/>
              <w:rPr>
                <w:rFonts w:hAnsi="宋体"/>
                <w:color w:val="auto"/>
                <w:highlight w:val="none"/>
              </w:rPr>
            </w:pPr>
            <w:r>
              <w:rPr>
                <w:rFonts w:hint="eastAsia" w:hAnsi="宋体"/>
                <w:color w:val="auto"/>
                <w:highlight w:val="none"/>
              </w:rPr>
              <w:t>…</w:t>
            </w:r>
          </w:p>
        </w:tc>
      </w:tr>
      <w:tr w14:paraId="672C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Merge w:val="continue"/>
            <w:vAlign w:val="center"/>
          </w:tcPr>
          <w:p w14:paraId="7C42C396">
            <w:pPr>
              <w:spacing w:line="400" w:lineRule="exact"/>
              <w:jc w:val="center"/>
              <w:rPr>
                <w:rFonts w:ascii="宋体" w:hAnsi="宋体"/>
                <w:color w:val="auto"/>
                <w:szCs w:val="21"/>
                <w:highlight w:val="none"/>
              </w:rPr>
            </w:pPr>
          </w:p>
        </w:tc>
        <w:tc>
          <w:tcPr>
            <w:tcW w:w="2097" w:type="dxa"/>
            <w:vMerge w:val="continue"/>
            <w:vAlign w:val="center"/>
          </w:tcPr>
          <w:p w14:paraId="0F5F478D">
            <w:pPr>
              <w:spacing w:line="400" w:lineRule="exact"/>
              <w:jc w:val="center"/>
              <w:rPr>
                <w:rFonts w:ascii="宋体" w:hAnsi="宋体"/>
                <w:color w:val="auto"/>
                <w:szCs w:val="21"/>
                <w:highlight w:val="none"/>
              </w:rPr>
            </w:pPr>
          </w:p>
        </w:tc>
        <w:tc>
          <w:tcPr>
            <w:tcW w:w="5697" w:type="dxa"/>
            <w:vAlign w:val="center"/>
          </w:tcPr>
          <w:p w14:paraId="550520DB">
            <w:pPr>
              <w:spacing w:line="400" w:lineRule="exact"/>
              <w:rPr>
                <w:rFonts w:hAnsi="宋体"/>
                <w:color w:val="auto"/>
                <w:highlight w:val="none"/>
              </w:rPr>
            </w:pPr>
            <w:r>
              <w:rPr>
                <w:rFonts w:hint="eastAsia" w:hAnsi="宋体"/>
                <w:color w:val="auto"/>
                <w:highlight w:val="none"/>
              </w:rPr>
              <w:t>…</w:t>
            </w:r>
          </w:p>
        </w:tc>
      </w:tr>
      <w:tr w14:paraId="72BF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Align w:val="center"/>
          </w:tcPr>
          <w:p w14:paraId="4624B1D5">
            <w:pPr>
              <w:spacing w:line="400" w:lineRule="exact"/>
              <w:jc w:val="center"/>
              <w:rPr>
                <w:rFonts w:ascii="宋体" w:hAnsi="宋体"/>
                <w:color w:val="auto"/>
                <w:szCs w:val="21"/>
                <w:highlight w:val="none"/>
              </w:rPr>
            </w:pPr>
            <w:r>
              <w:rPr>
                <w:rFonts w:hint="eastAsia" w:hAnsi="宋体"/>
                <w:color w:val="auto"/>
                <w:highlight w:val="none"/>
              </w:rPr>
              <w:t>…</w:t>
            </w:r>
          </w:p>
        </w:tc>
        <w:tc>
          <w:tcPr>
            <w:tcW w:w="2097" w:type="dxa"/>
            <w:vAlign w:val="center"/>
          </w:tcPr>
          <w:p w14:paraId="14310D18">
            <w:pPr>
              <w:spacing w:line="400" w:lineRule="exact"/>
              <w:jc w:val="center"/>
              <w:rPr>
                <w:rFonts w:ascii="宋体" w:hAnsi="宋体"/>
                <w:color w:val="auto"/>
                <w:szCs w:val="21"/>
                <w:highlight w:val="none"/>
              </w:rPr>
            </w:pPr>
            <w:r>
              <w:rPr>
                <w:rFonts w:hint="eastAsia" w:hAnsi="宋体"/>
                <w:color w:val="auto"/>
                <w:highlight w:val="none"/>
              </w:rPr>
              <w:t>…</w:t>
            </w:r>
          </w:p>
        </w:tc>
        <w:tc>
          <w:tcPr>
            <w:tcW w:w="5697" w:type="dxa"/>
            <w:vAlign w:val="center"/>
          </w:tcPr>
          <w:p w14:paraId="0B0D95A9">
            <w:pPr>
              <w:spacing w:line="400" w:lineRule="exact"/>
              <w:rPr>
                <w:rFonts w:hAnsi="宋体"/>
                <w:color w:val="auto"/>
                <w:highlight w:val="none"/>
              </w:rPr>
            </w:pPr>
            <w:r>
              <w:rPr>
                <w:rFonts w:hint="eastAsia" w:hAnsi="宋体"/>
                <w:color w:val="auto"/>
                <w:highlight w:val="none"/>
              </w:rPr>
              <w:t>…</w:t>
            </w:r>
          </w:p>
        </w:tc>
      </w:tr>
      <w:tr w14:paraId="066E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 w:type="dxa"/>
            <w:vAlign w:val="center"/>
          </w:tcPr>
          <w:p w14:paraId="43F75E48">
            <w:pPr>
              <w:spacing w:line="400" w:lineRule="exact"/>
              <w:jc w:val="center"/>
              <w:rPr>
                <w:rFonts w:ascii="宋体" w:hAnsi="宋体"/>
                <w:color w:val="auto"/>
                <w:szCs w:val="21"/>
                <w:highlight w:val="none"/>
              </w:rPr>
            </w:pPr>
            <w:r>
              <w:rPr>
                <w:rFonts w:hint="eastAsia" w:hAnsi="宋体"/>
                <w:color w:val="auto"/>
                <w:highlight w:val="none"/>
              </w:rPr>
              <w:t>…</w:t>
            </w:r>
          </w:p>
        </w:tc>
        <w:tc>
          <w:tcPr>
            <w:tcW w:w="2097" w:type="dxa"/>
            <w:vAlign w:val="center"/>
          </w:tcPr>
          <w:p w14:paraId="5CBF670E">
            <w:pPr>
              <w:spacing w:line="400" w:lineRule="exact"/>
              <w:jc w:val="center"/>
              <w:rPr>
                <w:rFonts w:ascii="宋体" w:hAnsi="宋体"/>
                <w:color w:val="auto"/>
                <w:szCs w:val="21"/>
                <w:highlight w:val="none"/>
              </w:rPr>
            </w:pPr>
            <w:r>
              <w:rPr>
                <w:rFonts w:hint="eastAsia" w:hAnsi="宋体"/>
                <w:color w:val="auto"/>
                <w:highlight w:val="none"/>
              </w:rPr>
              <w:t>…</w:t>
            </w:r>
          </w:p>
        </w:tc>
        <w:tc>
          <w:tcPr>
            <w:tcW w:w="5697" w:type="dxa"/>
            <w:vAlign w:val="center"/>
          </w:tcPr>
          <w:p w14:paraId="7AC70E7B">
            <w:pPr>
              <w:spacing w:line="400" w:lineRule="exact"/>
              <w:rPr>
                <w:rFonts w:hAnsi="宋体"/>
                <w:color w:val="auto"/>
                <w:highlight w:val="none"/>
              </w:rPr>
            </w:pPr>
            <w:r>
              <w:rPr>
                <w:rFonts w:hint="eastAsia" w:hAnsi="宋体"/>
                <w:color w:val="auto"/>
                <w:highlight w:val="none"/>
              </w:rPr>
              <w:t>…</w:t>
            </w:r>
          </w:p>
        </w:tc>
      </w:tr>
    </w:tbl>
    <w:p w14:paraId="357E3D36">
      <w:pPr>
        <w:pStyle w:val="27"/>
        <w:spacing w:line="360" w:lineRule="auto"/>
        <w:rPr>
          <w:rFonts w:ascii="黑体" w:hAnsi="黑体" w:eastAsia="黑体"/>
          <w:color w:val="auto"/>
          <w:sz w:val="24"/>
          <w:szCs w:val="24"/>
          <w:highlight w:val="none"/>
        </w:rPr>
      </w:pPr>
      <w:r>
        <w:rPr>
          <w:rFonts w:hint="eastAsia" w:asciiTheme="minorEastAsia" w:hAnsiTheme="minorEastAsia" w:eastAsiaTheme="minorEastAsia"/>
          <w:color w:val="auto"/>
          <w:szCs w:val="24"/>
          <w:highlight w:val="none"/>
        </w:rPr>
        <w:t>注：如本表“主要技术性能指标要求”与技术规范不一致，以本表中主要性能指标要求为准。</w:t>
      </w:r>
    </w:p>
    <w:p w14:paraId="1087BC9A">
      <w:pPr>
        <w:pStyle w:val="22"/>
        <w:rPr>
          <w:color w:val="auto"/>
          <w:sz w:val="20"/>
          <w:highlight w:val="none"/>
        </w:rPr>
      </w:pPr>
    </w:p>
    <w:p w14:paraId="5949BF38">
      <w:pPr>
        <w:pStyle w:val="22"/>
        <w:rPr>
          <w:color w:val="auto"/>
          <w:sz w:val="20"/>
          <w:highlight w:val="none"/>
        </w:rPr>
      </w:pPr>
    </w:p>
    <w:p w14:paraId="0DF85C85">
      <w:pPr>
        <w:pStyle w:val="22"/>
        <w:rPr>
          <w:color w:val="auto"/>
          <w:sz w:val="20"/>
          <w:highlight w:val="none"/>
        </w:rPr>
      </w:pPr>
    </w:p>
    <w:p w14:paraId="71F6903D">
      <w:pPr>
        <w:pStyle w:val="22"/>
        <w:rPr>
          <w:color w:val="auto"/>
          <w:sz w:val="20"/>
          <w:highlight w:val="none"/>
        </w:rPr>
      </w:pPr>
    </w:p>
    <w:p w14:paraId="5A4F2541">
      <w:pPr>
        <w:pStyle w:val="22"/>
        <w:rPr>
          <w:color w:val="auto"/>
          <w:sz w:val="20"/>
          <w:highlight w:val="none"/>
        </w:rPr>
      </w:pPr>
    </w:p>
    <w:p w14:paraId="5C4F63CF">
      <w:pPr>
        <w:pStyle w:val="22"/>
        <w:rPr>
          <w:color w:val="auto"/>
          <w:sz w:val="20"/>
          <w:highlight w:val="none"/>
        </w:rPr>
      </w:pPr>
    </w:p>
    <w:p w14:paraId="744F4896">
      <w:pPr>
        <w:pStyle w:val="22"/>
        <w:rPr>
          <w:color w:val="auto"/>
          <w:sz w:val="20"/>
          <w:highlight w:val="none"/>
        </w:rPr>
      </w:pPr>
    </w:p>
    <w:p w14:paraId="3FC4D08B">
      <w:pPr>
        <w:pStyle w:val="22"/>
        <w:rPr>
          <w:color w:val="auto"/>
          <w:sz w:val="20"/>
          <w:highlight w:val="none"/>
        </w:rPr>
      </w:pPr>
    </w:p>
    <w:p w14:paraId="6730E0EB">
      <w:pPr>
        <w:pStyle w:val="22"/>
        <w:rPr>
          <w:color w:val="auto"/>
          <w:sz w:val="20"/>
          <w:highlight w:val="none"/>
        </w:rPr>
      </w:pPr>
    </w:p>
    <w:p w14:paraId="321916E2">
      <w:pPr>
        <w:pStyle w:val="22"/>
        <w:rPr>
          <w:color w:val="auto"/>
          <w:sz w:val="20"/>
          <w:highlight w:val="none"/>
        </w:rPr>
      </w:pPr>
    </w:p>
    <w:p w14:paraId="32DF52D1">
      <w:pPr>
        <w:pStyle w:val="22"/>
        <w:rPr>
          <w:color w:val="auto"/>
          <w:sz w:val="20"/>
          <w:highlight w:val="none"/>
        </w:rPr>
      </w:pPr>
    </w:p>
    <w:p w14:paraId="3911C080">
      <w:pPr>
        <w:pStyle w:val="22"/>
        <w:rPr>
          <w:color w:val="auto"/>
          <w:sz w:val="20"/>
          <w:highlight w:val="none"/>
        </w:rPr>
      </w:pPr>
    </w:p>
    <w:p w14:paraId="18CF5012">
      <w:pPr>
        <w:pStyle w:val="22"/>
        <w:rPr>
          <w:color w:val="auto"/>
          <w:sz w:val="20"/>
          <w:highlight w:val="none"/>
        </w:rPr>
      </w:pPr>
    </w:p>
    <w:p w14:paraId="19684BE7">
      <w:pPr>
        <w:pStyle w:val="22"/>
        <w:rPr>
          <w:color w:val="auto"/>
          <w:sz w:val="20"/>
          <w:highlight w:val="none"/>
        </w:rPr>
      </w:pPr>
    </w:p>
    <w:p w14:paraId="6E5331E9">
      <w:pPr>
        <w:pStyle w:val="22"/>
        <w:rPr>
          <w:color w:val="auto"/>
          <w:sz w:val="20"/>
          <w:highlight w:val="none"/>
        </w:rPr>
      </w:pPr>
    </w:p>
    <w:p w14:paraId="0A5947A0">
      <w:pPr>
        <w:pStyle w:val="22"/>
        <w:rPr>
          <w:color w:val="auto"/>
          <w:sz w:val="20"/>
          <w:highlight w:val="none"/>
        </w:rPr>
      </w:pPr>
      <w:r>
        <w:rPr>
          <w:rFonts w:hint="eastAsia"/>
          <w:color w:val="auto"/>
          <w:sz w:val="20"/>
          <w:highlight w:val="none"/>
        </w:rPr>
        <w:t xml:space="preserve"> </w:t>
      </w:r>
      <w:r>
        <w:rPr>
          <w:color w:val="auto"/>
          <w:sz w:val="20"/>
          <w:highlight w:val="none"/>
        </w:rPr>
        <w:t xml:space="preserve">    </w:t>
      </w:r>
    </w:p>
    <w:p w14:paraId="09848E23">
      <w:pPr>
        <w:pStyle w:val="22"/>
        <w:rPr>
          <w:color w:val="auto"/>
          <w:sz w:val="20"/>
          <w:highlight w:val="none"/>
        </w:rPr>
      </w:pPr>
    </w:p>
    <w:p w14:paraId="10FA9286">
      <w:pPr>
        <w:pStyle w:val="22"/>
        <w:rPr>
          <w:color w:val="auto"/>
          <w:sz w:val="20"/>
          <w:highlight w:val="none"/>
        </w:rPr>
      </w:pPr>
    </w:p>
    <w:p w14:paraId="290D5F48">
      <w:pPr>
        <w:pStyle w:val="22"/>
        <w:rPr>
          <w:color w:val="auto"/>
          <w:sz w:val="20"/>
          <w:highlight w:val="none"/>
        </w:rPr>
      </w:pPr>
    </w:p>
    <w:p w14:paraId="26E187FC">
      <w:pPr>
        <w:pStyle w:val="4"/>
        <w:spacing w:before="120" w:after="120" w:line="480" w:lineRule="auto"/>
        <w:jc w:val="center"/>
        <w:rPr>
          <w:rStyle w:val="175"/>
          <w:rFonts w:hint="eastAsia" w:ascii="黑体" w:hAnsi="黑体" w:cs="黑体"/>
          <w:b w:val="0"/>
          <w:bCs w:val="0"/>
          <w:color w:val="auto"/>
          <w:szCs w:val="44"/>
          <w:highlight w:val="none"/>
        </w:rPr>
        <w:sectPr>
          <w:footerReference r:id="rId15" w:type="even"/>
          <w:footnotePr>
            <w:numFmt w:val="decimalEnclosedCircleChinese"/>
            <w:numRestart w:val="eachPage"/>
          </w:footnotePr>
          <w:pgSz w:w="11900" w:h="16838"/>
          <w:pgMar w:top="1417" w:right="1417" w:bottom="1417" w:left="1701" w:header="850" w:footer="624" w:gutter="0"/>
          <w:cols w:space="0" w:num="1"/>
          <w:rtlGutter w:val="0"/>
          <w:docGrid w:linePitch="360" w:charSpace="0"/>
        </w:sectPr>
      </w:pPr>
      <w:bookmarkStart w:id="887" w:name="_Toc53685806"/>
      <w:r>
        <w:rPr>
          <w:rStyle w:val="175"/>
          <w:rFonts w:hint="eastAsia" w:ascii="黑体" w:hAnsi="黑体" w:cs="黑体"/>
          <w:b w:val="0"/>
          <w:bCs w:val="0"/>
          <w:color w:val="auto"/>
          <w:szCs w:val="44"/>
          <w:highlight w:val="none"/>
        </w:rPr>
        <w:t>第五章  工程量清单</w:t>
      </w:r>
      <w:r>
        <w:rPr>
          <w:rStyle w:val="175"/>
          <w:rFonts w:hint="eastAsia" w:ascii="黑体" w:hAnsi="黑体" w:cs="黑体"/>
          <w:b w:val="0"/>
          <w:bCs/>
          <w:color w:val="auto"/>
          <w:highlight w:val="none"/>
          <w:vertAlign w:val="superscript"/>
        </w:rPr>
        <w:footnoteReference w:id="267"/>
      </w:r>
      <w:r>
        <w:rPr>
          <w:rStyle w:val="175"/>
          <w:rFonts w:hint="eastAsia" w:ascii="黑体" w:hAnsi="黑体" w:cs="黑体"/>
          <w:b w:val="0"/>
          <w:bCs w:val="0"/>
          <w:color w:val="auto"/>
          <w:szCs w:val="44"/>
          <w:highlight w:val="none"/>
        </w:rPr>
        <w:t>（另册）</w:t>
      </w:r>
      <w:bookmarkEnd w:id="887"/>
    </w:p>
    <w:p w14:paraId="07267833">
      <w:pPr>
        <w:rPr>
          <w:color w:val="auto"/>
          <w:highlight w:val="none"/>
        </w:rPr>
      </w:pPr>
    </w:p>
    <w:p w14:paraId="73881BF8">
      <w:pPr>
        <w:pStyle w:val="2"/>
        <w:rPr>
          <w:color w:val="auto"/>
          <w:highlight w:val="none"/>
        </w:rPr>
      </w:pPr>
    </w:p>
    <w:p w14:paraId="5BF87244">
      <w:pPr>
        <w:pStyle w:val="2"/>
        <w:rPr>
          <w:color w:val="auto"/>
          <w:highlight w:val="none"/>
        </w:rPr>
      </w:pPr>
    </w:p>
    <w:p w14:paraId="417C70B5">
      <w:pPr>
        <w:pStyle w:val="2"/>
        <w:rPr>
          <w:color w:val="auto"/>
          <w:highlight w:val="none"/>
        </w:rPr>
      </w:pPr>
    </w:p>
    <w:p w14:paraId="272F4703">
      <w:pPr>
        <w:pStyle w:val="2"/>
        <w:rPr>
          <w:color w:val="auto"/>
          <w:highlight w:val="none"/>
        </w:rPr>
      </w:pPr>
    </w:p>
    <w:p w14:paraId="7E7C1807">
      <w:pPr>
        <w:pStyle w:val="2"/>
        <w:rPr>
          <w:color w:val="auto"/>
          <w:highlight w:val="none"/>
        </w:rPr>
      </w:pPr>
    </w:p>
    <w:p w14:paraId="0A618FE9">
      <w:pPr>
        <w:pStyle w:val="2"/>
        <w:rPr>
          <w:color w:val="auto"/>
          <w:highlight w:val="none"/>
        </w:rPr>
      </w:pPr>
    </w:p>
    <w:p w14:paraId="53503367">
      <w:pPr>
        <w:pStyle w:val="2"/>
        <w:rPr>
          <w:color w:val="auto"/>
          <w:highlight w:val="none"/>
        </w:rPr>
      </w:pPr>
    </w:p>
    <w:p w14:paraId="2A84FE6C">
      <w:pPr>
        <w:pStyle w:val="2"/>
        <w:rPr>
          <w:color w:val="auto"/>
          <w:highlight w:val="none"/>
        </w:rPr>
      </w:pPr>
    </w:p>
    <w:p w14:paraId="33BB3943">
      <w:pPr>
        <w:pStyle w:val="2"/>
        <w:rPr>
          <w:color w:val="auto"/>
          <w:highlight w:val="none"/>
        </w:rPr>
      </w:pPr>
    </w:p>
    <w:p w14:paraId="58CF0288">
      <w:pPr>
        <w:pStyle w:val="2"/>
        <w:rPr>
          <w:color w:val="auto"/>
          <w:highlight w:val="none"/>
        </w:rPr>
      </w:pPr>
    </w:p>
    <w:p w14:paraId="5DDD3509">
      <w:pPr>
        <w:pStyle w:val="2"/>
        <w:rPr>
          <w:color w:val="auto"/>
          <w:highlight w:val="none"/>
        </w:rPr>
      </w:pPr>
    </w:p>
    <w:p w14:paraId="2A989DF4">
      <w:pPr>
        <w:pStyle w:val="2"/>
        <w:rPr>
          <w:color w:val="auto"/>
          <w:highlight w:val="none"/>
        </w:rPr>
      </w:pPr>
    </w:p>
    <w:p w14:paraId="461A251B">
      <w:pPr>
        <w:pStyle w:val="22"/>
        <w:kinsoku w:val="0"/>
        <w:overflowPunct w:val="0"/>
        <w:spacing w:before="9"/>
        <w:rPr>
          <w:rFonts w:cs="黑体"/>
          <w:color w:val="auto"/>
          <w:sz w:val="2"/>
          <w:szCs w:val="2"/>
          <w:highlight w:val="none"/>
        </w:rPr>
      </w:pPr>
    </w:p>
    <w:p w14:paraId="25C70537">
      <w:pPr>
        <w:ind w:firstLine="3052" w:firstLineChars="400"/>
        <w:rPr>
          <w:rStyle w:val="175"/>
          <w:rFonts w:hint="eastAsia" w:ascii="Times New Roman" w:hAnsi="Times New Roman"/>
          <w:b/>
          <w:bCs/>
          <w:color w:val="auto"/>
          <w:sz w:val="76"/>
          <w:szCs w:val="76"/>
          <w:highlight w:val="none"/>
        </w:rPr>
      </w:pPr>
      <w:bookmarkStart w:id="888" w:name="_Toc53685807"/>
      <w:bookmarkStart w:id="889" w:name="_Toc27060729"/>
      <w:r>
        <w:rPr>
          <w:rStyle w:val="175"/>
          <w:rFonts w:hint="eastAsia" w:ascii="Times New Roman" w:hAnsi="Times New Roman"/>
          <w:b/>
          <w:bCs/>
          <w:color w:val="auto"/>
          <w:sz w:val="76"/>
          <w:szCs w:val="76"/>
          <w:highlight w:val="none"/>
        </w:rPr>
        <w:t>第 二 卷</w:t>
      </w:r>
      <w:bookmarkEnd w:id="888"/>
      <w:bookmarkEnd w:id="889"/>
      <w:bookmarkStart w:id="890" w:name="_Toc53685808"/>
      <w:r>
        <w:rPr>
          <w:rStyle w:val="175"/>
          <w:rFonts w:hint="eastAsia" w:ascii="Times New Roman" w:hAnsi="Times New Roman"/>
          <w:b/>
          <w:bCs/>
          <w:color w:val="auto"/>
          <w:sz w:val="76"/>
          <w:szCs w:val="76"/>
          <w:highlight w:val="none"/>
        </w:rPr>
        <w:br w:type="page"/>
      </w:r>
    </w:p>
    <w:p w14:paraId="4B37E272">
      <w:pPr>
        <w:rPr>
          <w:rStyle w:val="175"/>
          <w:rFonts w:hint="default"/>
          <w:b w:val="0"/>
          <w:bCs w:val="0"/>
          <w:color w:val="auto"/>
          <w:szCs w:val="24"/>
          <w:highlight w:val="none"/>
        </w:rPr>
      </w:pPr>
    </w:p>
    <w:p w14:paraId="7BA7D617">
      <w:pPr>
        <w:pStyle w:val="2"/>
        <w:rPr>
          <w:rStyle w:val="175"/>
          <w:rFonts w:hint="default"/>
          <w:b w:val="0"/>
          <w:bCs w:val="0"/>
          <w:color w:val="auto"/>
          <w:szCs w:val="24"/>
          <w:highlight w:val="none"/>
        </w:rPr>
      </w:pPr>
    </w:p>
    <w:p w14:paraId="77744FA6">
      <w:pPr>
        <w:pStyle w:val="2"/>
        <w:rPr>
          <w:rStyle w:val="175"/>
          <w:rFonts w:hint="default"/>
          <w:b w:val="0"/>
          <w:bCs w:val="0"/>
          <w:color w:val="auto"/>
          <w:szCs w:val="24"/>
          <w:highlight w:val="none"/>
        </w:rPr>
      </w:pPr>
    </w:p>
    <w:p w14:paraId="5E587EE7">
      <w:pPr>
        <w:pStyle w:val="2"/>
        <w:rPr>
          <w:rStyle w:val="175"/>
          <w:rFonts w:hint="default"/>
          <w:b w:val="0"/>
          <w:bCs w:val="0"/>
          <w:color w:val="auto"/>
          <w:szCs w:val="24"/>
          <w:highlight w:val="none"/>
        </w:rPr>
      </w:pPr>
    </w:p>
    <w:p w14:paraId="50CC6F46">
      <w:pPr>
        <w:pStyle w:val="2"/>
        <w:rPr>
          <w:rStyle w:val="175"/>
          <w:rFonts w:hint="default"/>
          <w:b w:val="0"/>
          <w:bCs w:val="0"/>
          <w:color w:val="auto"/>
          <w:szCs w:val="24"/>
          <w:highlight w:val="none"/>
        </w:rPr>
      </w:pPr>
    </w:p>
    <w:p w14:paraId="54A17A98">
      <w:pPr>
        <w:pStyle w:val="2"/>
        <w:rPr>
          <w:rStyle w:val="175"/>
          <w:rFonts w:hint="default"/>
          <w:b w:val="0"/>
          <w:bCs w:val="0"/>
          <w:color w:val="auto"/>
          <w:szCs w:val="24"/>
          <w:highlight w:val="none"/>
        </w:rPr>
      </w:pPr>
    </w:p>
    <w:p w14:paraId="0BBA0F96">
      <w:pPr>
        <w:pStyle w:val="2"/>
        <w:rPr>
          <w:rStyle w:val="175"/>
          <w:rFonts w:hint="default"/>
          <w:b w:val="0"/>
          <w:bCs w:val="0"/>
          <w:color w:val="auto"/>
          <w:szCs w:val="24"/>
          <w:highlight w:val="none"/>
        </w:rPr>
      </w:pPr>
    </w:p>
    <w:p w14:paraId="6CBBEC31">
      <w:pPr>
        <w:pStyle w:val="2"/>
        <w:rPr>
          <w:rStyle w:val="175"/>
          <w:rFonts w:hint="default"/>
          <w:b w:val="0"/>
          <w:bCs w:val="0"/>
          <w:color w:val="auto"/>
          <w:szCs w:val="24"/>
          <w:highlight w:val="none"/>
        </w:rPr>
      </w:pPr>
    </w:p>
    <w:p w14:paraId="61538632">
      <w:pPr>
        <w:pStyle w:val="4"/>
        <w:numPr>
          <w:ilvl w:val="0"/>
          <w:numId w:val="0"/>
        </w:numPr>
        <w:spacing w:before="0" w:after="0"/>
        <w:ind w:firstLine="2080" w:firstLineChars="400"/>
        <w:jc w:val="left"/>
        <w:rPr>
          <w:rStyle w:val="175"/>
          <w:rFonts w:hint="eastAsia"/>
          <w:b w:val="0"/>
          <w:bCs w:val="0"/>
          <w:color w:val="auto"/>
          <w:szCs w:val="52"/>
          <w:highlight w:val="none"/>
        </w:rPr>
      </w:pPr>
      <w:r>
        <w:rPr>
          <w:rStyle w:val="175"/>
          <w:rFonts w:hint="eastAsia"/>
          <w:b w:val="0"/>
          <w:bCs w:val="0"/>
          <w:color w:val="auto"/>
          <w:szCs w:val="52"/>
          <w:highlight w:val="none"/>
          <w:lang w:val="en-US" w:eastAsia="zh-CN"/>
        </w:rPr>
        <w:t xml:space="preserve">第六章  </w:t>
      </w:r>
      <w:r>
        <w:rPr>
          <w:rStyle w:val="175"/>
          <w:rFonts w:hint="eastAsia"/>
          <w:b w:val="0"/>
          <w:bCs w:val="0"/>
          <w:color w:val="auto"/>
          <w:szCs w:val="52"/>
          <w:highlight w:val="none"/>
        </w:rPr>
        <w:t>图纸（另册）</w:t>
      </w:r>
      <w:bookmarkEnd w:id="890"/>
      <w:bookmarkStart w:id="891" w:name="_Toc53685809"/>
    </w:p>
    <w:p w14:paraId="0A2E25A5">
      <w:pPr>
        <w:rPr>
          <w:rStyle w:val="175"/>
          <w:rFonts w:hint="eastAsia"/>
          <w:b w:val="0"/>
          <w:bCs w:val="0"/>
          <w:color w:val="auto"/>
          <w:szCs w:val="52"/>
          <w:highlight w:val="none"/>
        </w:rPr>
      </w:pPr>
    </w:p>
    <w:p w14:paraId="624877FD">
      <w:pPr>
        <w:rPr>
          <w:rStyle w:val="175"/>
          <w:rFonts w:hint="eastAsia"/>
          <w:b w:val="0"/>
          <w:bCs w:val="0"/>
          <w:color w:val="auto"/>
          <w:szCs w:val="52"/>
          <w:highlight w:val="none"/>
        </w:rPr>
      </w:pPr>
    </w:p>
    <w:p w14:paraId="44104FDC">
      <w:pPr>
        <w:rPr>
          <w:rStyle w:val="175"/>
          <w:rFonts w:hint="eastAsia"/>
          <w:b w:val="0"/>
          <w:bCs w:val="0"/>
          <w:color w:val="auto"/>
          <w:szCs w:val="52"/>
          <w:highlight w:val="none"/>
        </w:rPr>
      </w:pPr>
    </w:p>
    <w:p w14:paraId="5C5B2837">
      <w:pPr>
        <w:rPr>
          <w:rStyle w:val="175"/>
          <w:rFonts w:hint="eastAsia"/>
          <w:b w:val="0"/>
          <w:bCs w:val="0"/>
          <w:color w:val="auto"/>
          <w:szCs w:val="52"/>
          <w:highlight w:val="none"/>
        </w:rPr>
      </w:pPr>
    </w:p>
    <w:p w14:paraId="7A053F6D">
      <w:pPr>
        <w:rPr>
          <w:rStyle w:val="175"/>
          <w:rFonts w:hint="eastAsia"/>
          <w:b w:val="0"/>
          <w:bCs w:val="0"/>
          <w:color w:val="auto"/>
          <w:szCs w:val="52"/>
          <w:highlight w:val="none"/>
        </w:rPr>
      </w:pPr>
    </w:p>
    <w:p w14:paraId="3DC55B41">
      <w:pPr>
        <w:rPr>
          <w:rStyle w:val="175"/>
          <w:rFonts w:hint="eastAsia"/>
          <w:b w:val="0"/>
          <w:bCs w:val="0"/>
          <w:color w:val="auto"/>
          <w:szCs w:val="52"/>
          <w:highlight w:val="none"/>
        </w:rPr>
      </w:pPr>
    </w:p>
    <w:p w14:paraId="163E5B8A">
      <w:pPr>
        <w:rPr>
          <w:rStyle w:val="175"/>
          <w:rFonts w:hint="eastAsia"/>
          <w:b w:val="0"/>
          <w:bCs w:val="0"/>
          <w:color w:val="auto"/>
          <w:szCs w:val="52"/>
          <w:highlight w:val="none"/>
        </w:rPr>
      </w:pPr>
    </w:p>
    <w:p w14:paraId="2851A98F">
      <w:pPr>
        <w:rPr>
          <w:rStyle w:val="175"/>
          <w:rFonts w:hint="eastAsia"/>
          <w:b w:val="0"/>
          <w:bCs w:val="0"/>
          <w:color w:val="auto"/>
          <w:szCs w:val="52"/>
          <w:highlight w:val="none"/>
        </w:rPr>
      </w:pPr>
    </w:p>
    <w:p w14:paraId="4A4DE77A">
      <w:pPr>
        <w:rPr>
          <w:rStyle w:val="175"/>
          <w:rFonts w:hint="eastAsia"/>
          <w:b w:val="0"/>
          <w:bCs w:val="0"/>
          <w:color w:val="auto"/>
          <w:szCs w:val="52"/>
          <w:highlight w:val="none"/>
        </w:rPr>
      </w:pPr>
      <w:r>
        <w:rPr>
          <w:rStyle w:val="175"/>
          <w:rFonts w:hint="eastAsia"/>
          <w:b w:val="0"/>
          <w:bCs w:val="0"/>
          <w:color w:val="auto"/>
          <w:szCs w:val="52"/>
          <w:highlight w:val="none"/>
        </w:rPr>
        <w:br w:type="page"/>
      </w:r>
    </w:p>
    <w:p w14:paraId="2736FD2A">
      <w:pPr>
        <w:rPr>
          <w:rStyle w:val="175"/>
          <w:rFonts w:hint="eastAsia" w:ascii="Times New Roman" w:hAnsi="Times New Roman"/>
          <w:b/>
          <w:bCs/>
          <w:color w:val="auto"/>
          <w:sz w:val="28"/>
          <w:szCs w:val="28"/>
          <w:highlight w:val="none"/>
        </w:rPr>
      </w:pPr>
    </w:p>
    <w:p w14:paraId="37E872C5">
      <w:pPr>
        <w:rPr>
          <w:rStyle w:val="175"/>
          <w:rFonts w:hint="eastAsia" w:ascii="Times New Roman" w:hAnsi="Times New Roman"/>
          <w:b/>
          <w:bCs/>
          <w:color w:val="auto"/>
          <w:sz w:val="28"/>
          <w:szCs w:val="28"/>
          <w:highlight w:val="none"/>
        </w:rPr>
      </w:pPr>
    </w:p>
    <w:p w14:paraId="1DCC02F1">
      <w:pPr>
        <w:pStyle w:val="2"/>
        <w:rPr>
          <w:rStyle w:val="175"/>
          <w:rFonts w:hint="eastAsia" w:ascii="Times New Roman" w:hAnsi="Times New Roman"/>
          <w:b/>
          <w:bCs/>
          <w:color w:val="auto"/>
          <w:sz w:val="28"/>
          <w:szCs w:val="28"/>
          <w:highlight w:val="none"/>
        </w:rPr>
      </w:pPr>
    </w:p>
    <w:p w14:paraId="37524B7D">
      <w:pPr>
        <w:pStyle w:val="2"/>
        <w:rPr>
          <w:rStyle w:val="175"/>
          <w:rFonts w:hint="eastAsia" w:ascii="Times New Roman" w:hAnsi="Times New Roman"/>
          <w:b/>
          <w:bCs/>
          <w:color w:val="auto"/>
          <w:sz w:val="28"/>
          <w:szCs w:val="28"/>
          <w:highlight w:val="none"/>
        </w:rPr>
      </w:pPr>
    </w:p>
    <w:p w14:paraId="3E5A370F">
      <w:pPr>
        <w:pStyle w:val="2"/>
        <w:rPr>
          <w:rStyle w:val="175"/>
          <w:rFonts w:hint="eastAsia" w:ascii="Times New Roman" w:hAnsi="Times New Roman"/>
          <w:b/>
          <w:bCs/>
          <w:color w:val="auto"/>
          <w:sz w:val="28"/>
          <w:szCs w:val="28"/>
          <w:highlight w:val="none"/>
        </w:rPr>
      </w:pPr>
    </w:p>
    <w:p w14:paraId="5CEB4CAA">
      <w:pPr>
        <w:pStyle w:val="2"/>
        <w:rPr>
          <w:rStyle w:val="175"/>
          <w:rFonts w:hint="eastAsia" w:ascii="Times New Roman" w:hAnsi="Times New Roman"/>
          <w:b/>
          <w:bCs/>
          <w:color w:val="auto"/>
          <w:sz w:val="28"/>
          <w:szCs w:val="28"/>
          <w:highlight w:val="none"/>
        </w:rPr>
      </w:pPr>
    </w:p>
    <w:p w14:paraId="268490A7">
      <w:pPr>
        <w:pStyle w:val="2"/>
        <w:rPr>
          <w:rStyle w:val="175"/>
          <w:rFonts w:hint="eastAsia" w:ascii="Times New Roman" w:hAnsi="Times New Roman"/>
          <w:b/>
          <w:bCs/>
          <w:color w:val="auto"/>
          <w:sz w:val="28"/>
          <w:szCs w:val="28"/>
          <w:highlight w:val="none"/>
        </w:rPr>
      </w:pPr>
    </w:p>
    <w:p w14:paraId="410EFFB0">
      <w:pPr>
        <w:pStyle w:val="2"/>
        <w:rPr>
          <w:rStyle w:val="175"/>
          <w:rFonts w:hint="eastAsia" w:ascii="Times New Roman" w:hAnsi="Times New Roman"/>
          <w:b/>
          <w:bCs/>
          <w:color w:val="auto"/>
          <w:sz w:val="28"/>
          <w:szCs w:val="28"/>
          <w:highlight w:val="none"/>
        </w:rPr>
      </w:pPr>
    </w:p>
    <w:p w14:paraId="207DCB81">
      <w:pPr>
        <w:pStyle w:val="2"/>
        <w:rPr>
          <w:rStyle w:val="175"/>
          <w:rFonts w:hint="eastAsia" w:ascii="Times New Roman" w:hAnsi="Times New Roman"/>
          <w:b/>
          <w:bCs/>
          <w:color w:val="auto"/>
          <w:sz w:val="28"/>
          <w:szCs w:val="28"/>
          <w:highlight w:val="none"/>
        </w:rPr>
      </w:pPr>
    </w:p>
    <w:p w14:paraId="77C81AE0">
      <w:pPr>
        <w:pStyle w:val="2"/>
        <w:rPr>
          <w:rStyle w:val="175"/>
          <w:rFonts w:hint="eastAsia" w:ascii="Times New Roman" w:hAnsi="Times New Roman"/>
          <w:b/>
          <w:bCs/>
          <w:color w:val="auto"/>
          <w:sz w:val="28"/>
          <w:szCs w:val="28"/>
          <w:highlight w:val="none"/>
        </w:rPr>
      </w:pPr>
    </w:p>
    <w:p w14:paraId="5751298A">
      <w:pPr>
        <w:pStyle w:val="2"/>
        <w:rPr>
          <w:rStyle w:val="175"/>
          <w:rFonts w:hint="default"/>
          <w:b/>
          <w:bCs/>
          <w:color w:val="auto"/>
          <w:sz w:val="28"/>
          <w:szCs w:val="28"/>
          <w:highlight w:val="none"/>
        </w:rPr>
      </w:pPr>
    </w:p>
    <w:p w14:paraId="6517A7C2">
      <w:pPr>
        <w:rPr>
          <w:rStyle w:val="175"/>
          <w:rFonts w:hint="eastAsia" w:ascii="Times New Roman" w:hAnsi="Times New Roman"/>
          <w:b/>
          <w:bCs/>
          <w:color w:val="auto"/>
          <w:sz w:val="28"/>
          <w:szCs w:val="28"/>
          <w:highlight w:val="none"/>
        </w:rPr>
      </w:pPr>
    </w:p>
    <w:p w14:paraId="4D44AAEF">
      <w:pPr>
        <w:pStyle w:val="2"/>
        <w:rPr>
          <w:rStyle w:val="175"/>
          <w:rFonts w:hint="eastAsia" w:ascii="Times New Roman" w:hAnsi="Times New Roman"/>
          <w:b/>
          <w:bCs/>
          <w:color w:val="auto"/>
          <w:sz w:val="28"/>
          <w:szCs w:val="28"/>
          <w:highlight w:val="none"/>
        </w:rPr>
      </w:pPr>
    </w:p>
    <w:p w14:paraId="795B2C89">
      <w:pPr>
        <w:rPr>
          <w:rStyle w:val="175"/>
          <w:rFonts w:hint="eastAsia" w:ascii="Times New Roman" w:hAnsi="Times New Roman"/>
          <w:b/>
          <w:bCs/>
          <w:color w:val="auto"/>
          <w:sz w:val="28"/>
          <w:szCs w:val="28"/>
          <w:highlight w:val="none"/>
        </w:rPr>
      </w:pPr>
    </w:p>
    <w:p w14:paraId="3153F15F">
      <w:pPr>
        <w:ind w:firstLine="3052" w:firstLineChars="400"/>
        <w:outlineLvl w:val="0"/>
        <w:rPr>
          <w:rStyle w:val="175"/>
          <w:rFonts w:hint="eastAsia" w:ascii="Times New Roman" w:hAnsi="Times New Roman"/>
          <w:b/>
          <w:bCs/>
          <w:color w:val="auto"/>
          <w:sz w:val="76"/>
          <w:szCs w:val="76"/>
          <w:highlight w:val="none"/>
        </w:rPr>
      </w:pPr>
      <w:r>
        <w:rPr>
          <w:rStyle w:val="175"/>
          <w:rFonts w:hint="eastAsia" w:ascii="Times New Roman" w:hAnsi="Times New Roman"/>
          <w:b/>
          <w:bCs/>
          <w:color w:val="auto"/>
          <w:sz w:val="76"/>
          <w:szCs w:val="76"/>
          <w:highlight w:val="none"/>
        </w:rPr>
        <w:t>第 三 卷</w:t>
      </w:r>
      <w:bookmarkEnd w:id="891"/>
    </w:p>
    <w:p w14:paraId="419710A3">
      <w:pPr>
        <w:rPr>
          <w:rStyle w:val="175"/>
          <w:rFonts w:hint="default"/>
          <w:b w:val="0"/>
          <w:bCs w:val="0"/>
          <w:color w:val="auto"/>
          <w:szCs w:val="52"/>
          <w:highlight w:val="none"/>
        </w:rPr>
      </w:pPr>
      <w:r>
        <w:rPr>
          <w:rStyle w:val="175"/>
          <w:rFonts w:hint="eastAsia" w:ascii="Times New Roman" w:hAnsi="Times New Roman"/>
          <w:b/>
          <w:bCs/>
          <w:color w:val="auto"/>
          <w:sz w:val="76"/>
          <w:szCs w:val="76"/>
          <w:highlight w:val="none"/>
        </w:rPr>
        <w:br w:type="page"/>
      </w:r>
      <w:bookmarkStart w:id="892" w:name="_Toc53685810"/>
    </w:p>
    <w:p w14:paraId="2D329C94">
      <w:pPr>
        <w:pStyle w:val="2"/>
        <w:rPr>
          <w:rStyle w:val="175"/>
          <w:rFonts w:hint="default"/>
          <w:b w:val="0"/>
          <w:bCs w:val="0"/>
          <w:color w:val="auto"/>
          <w:szCs w:val="52"/>
          <w:highlight w:val="none"/>
        </w:rPr>
      </w:pPr>
    </w:p>
    <w:p w14:paraId="0AB462C7">
      <w:pPr>
        <w:pStyle w:val="2"/>
        <w:rPr>
          <w:rStyle w:val="175"/>
          <w:rFonts w:hint="default"/>
          <w:b w:val="0"/>
          <w:bCs w:val="0"/>
          <w:color w:val="auto"/>
          <w:szCs w:val="52"/>
          <w:highlight w:val="none"/>
        </w:rPr>
      </w:pPr>
    </w:p>
    <w:p w14:paraId="584703A3">
      <w:pPr>
        <w:pStyle w:val="2"/>
        <w:rPr>
          <w:rStyle w:val="175"/>
          <w:rFonts w:hint="default"/>
          <w:b w:val="0"/>
          <w:bCs w:val="0"/>
          <w:color w:val="auto"/>
          <w:szCs w:val="52"/>
          <w:highlight w:val="none"/>
        </w:rPr>
      </w:pPr>
    </w:p>
    <w:p w14:paraId="51FB8DDB">
      <w:pPr>
        <w:pStyle w:val="2"/>
        <w:rPr>
          <w:rStyle w:val="175"/>
          <w:rFonts w:hint="default"/>
          <w:b w:val="0"/>
          <w:bCs w:val="0"/>
          <w:color w:val="auto"/>
          <w:szCs w:val="52"/>
          <w:highlight w:val="none"/>
        </w:rPr>
      </w:pPr>
    </w:p>
    <w:p w14:paraId="422EFE0F">
      <w:pPr>
        <w:pStyle w:val="2"/>
        <w:rPr>
          <w:rStyle w:val="175"/>
          <w:rFonts w:hint="default"/>
          <w:b w:val="0"/>
          <w:bCs w:val="0"/>
          <w:color w:val="auto"/>
          <w:szCs w:val="52"/>
          <w:highlight w:val="none"/>
        </w:rPr>
      </w:pPr>
    </w:p>
    <w:p w14:paraId="6EF34D86">
      <w:pPr>
        <w:pStyle w:val="2"/>
        <w:rPr>
          <w:rStyle w:val="175"/>
          <w:rFonts w:hint="default"/>
          <w:b w:val="0"/>
          <w:bCs w:val="0"/>
          <w:color w:val="auto"/>
          <w:szCs w:val="52"/>
          <w:highlight w:val="none"/>
        </w:rPr>
      </w:pPr>
    </w:p>
    <w:p w14:paraId="53CC3AEB">
      <w:pPr>
        <w:pStyle w:val="4"/>
        <w:spacing w:before="120" w:after="120"/>
        <w:jc w:val="center"/>
        <w:rPr>
          <w:rStyle w:val="175"/>
          <w:b w:val="0"/>
          <w:bCs w:val="0"/>
          <w:color w:val="auto"/>
          <w:szCs w:val="52"/>
          <w:highlight w:val="none"/>
        </w:rPr>
      </w:pPr>
      <w:r>
        <w:rPr>
          <w:rStyle w:val="175"/>
          <w:rFonts w:hint="default"/>
          <w:b w:val="0"/>
          <w:bCs w:val="0"/>
          <w:color w:val="auto"/>
          <w:szCs w:val="52"/>
          <w:highlight w:val="none"/>
        </w:rPr>
        <w:t>第七章</w:t>
      </w:r>
      <w:r>
        <w:rPr>
          <w:rStyle w:val="175"/>
          <w:b w:val="0"/>
          <w:bCs w:val="0"/>
          <w:color w:val="auto"/>
          <w:szCs w:val="52"/>
          <w:highlight w:val="none"/>
        </w:rPr>
        <w:t xml:space="preserve">  </w:t>
      </w:r>
      <w:r>
        <w:rPr>
          <w:rStyle w:val="175"/>
          <w:rFonts w:hint="default"/>
          <w:b w:val="0"/>
          <w:bCs w:val="0"/>
          <w:color w:val="auto"/>
          <w:szCs w:val="52"/>
          <w:highlight w:val="none"/>
        </w:rPr>
        <w:t>技术规范（另册）</w:t>
      </w:r>
      <w:bookmarkEnd w:id="892"/>
      <w:r>
        <w:rPr>
          <w:rStyle w:val="59"/>
          <w:rFonts w:hint="eastAsia" w:ascii="黑体" w:hAnsi="黑体" w:cs="黑体"/>
          <w:b w:val="0"/>
          <w:bCs w:val="0"/>
          <w:color w:val="auto"/>
          <w:sz w:val="52"/>
          <w:szCs w:val="52"/>
          <w:highlight w:val="none"/>
        </w:rPr>
        <w:footnoteReference w:id="268"/>
      </w:r>
    </w:p>
    <w:p w14:paraId="0B670E11">
      <w:pPr>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rPr>
        <w:t xml:space="preserve"> 一、详见《公路工程标准施工招标文件》（2018年版</w:t>
      </w:r>
      <w:bookmarkStart w:id="893" w:name="_Hlk53672143"/>
      <w:r>
        <w:rPr>
          <w:rFonts w:hint="eastAsia" w:ascii="黑体" w:hAnsi="黑体" w:eastAsia="黑体"/>
          <w:color w:val="auto"/>
          <w:sz w:val="28"/>
          <w:szCs w:val="28"/>
          <w:highlight w:val="none"/>
        </w:rPr>
        <w:t>˙第二册</w:t>
      </w:r>
      <w:bookmarkEnd w:id="893"/>
      <w:r>
        <w:rPr>
          <w:rFonts w:hint="eastAsia" w:ascii="黑体" w:hAnsi="黑体" w:eastAsia="黑体"/>
          <w:color w:val="auto"/>
          <w:sz w:val="28"/>
          <w:szCs w:val="28"/>
          <w:highlight w:val="none"/>
        </w:rPr>
        <w:t>）</w:t>
      </w:r>
    </w:p>
    <w:p w14:paraId="6E3D0B84">
      <w:pPr>
        <w:spacing w:line="360" w:lineRule="auto"/>
        <w:ind w:firstLine="562" w:firstLineChars="200"/>
        <w:rPr>
          <w:rFonts w:ascii="黑体" w:hAnsi="黑体" w:eastAsia="黑体"/>
          <w:color w:val="auto"/>
          <w:sz w:val="28"/>
          <w:szCs w:val="28"/>
          <w:highlight w:val="none"/>
        </w:rPr>
      </w:pPr>
      <w:r>
        <w:rPr>
          <w:rFonts w:hint="eastAsia" w:ascii="黑体" w:hAnsi="黑体" w:eastAsia="黑体"/>
          <w:b/>
          <w:bCs/>
          <w:color w:val="auto"/>
          <w:sz w:val="28"/>
          <w:szCs w:val="28"/>
          <w:highlight w:val="none"/>
        </w:rPr>
        <w:sym w:font="Wingdings 2" w:char="00A3"/>
      </w:r>
      <w:r>
        <w:rPr>
          <w:rFonts w:hint="eastAsia" w:ascii="黑体" w:hAnsi="黑体" w:eastAsia="黑体"/>
          <w:b/>
          <w:bCs/>
          <w:color w:val="auto"/>
          <w:sz w:val="28"/>
          <w:szCs w:val="28"/>
          <w:highlight w:val="none"/>
          <w:lang w:val="en-US" w:eastAsia="zh-CN"/>
        </w:rPr>
        <w:t xml:space="preserve"> </w:t>
      </w:r>
      <w:r>
        <w:rPr>
          <w:rFonts w:hint="eastAsia" w:ascii="黑体" w:hAnsi="黑体" w:eastAsia="黑体"/>
          <w:color w:val="auto"/>
          <w:sz w:val="28"/>
          <w:szCs w:val="28"/>
          <w:highlight w:val="none"/>
        </w:rPr>
        <w:t>二、补充技术规范</w:t>
      </w:r>
    </w:p>
    <w:p w14:paraId="1E265784">
      <w:pPr>
        <w:pStyle w:val="22"/>
        <w:spacing w:before="10"/>
        <w:rPr>
          <w:color w:val="auto"/>
          <w:sz w:val="20"/>
          <w:highlight w:val="none"/>
        </w:rPr>
      </w:pPr>
    </w:p>
    <w:p w14:paraId="24A423E2">
      <w:pPr>
        <w:spacing w:line="360" w:lineRule="auto"/>
        <w:jc w:val="center"/>
        <w:rPr>
          <w:rFonts w:ascii="宋体" w:hAnsi="宋体"/>
          <w:b/>
          <w:color w:val="auto"/>
          <w:sz w:val="48"/>
          <w:szCs w:val="48"/>
          <w:highlight w:val="none"/>
        </w:rPr>
      </w:pPr>
    </w:p>
    <w:p w14:paraId="224B262E">
      <w:pPr>
        <w:spacing w:line="360" w:lineRule="auto"/>
        <w:jc w:val="center"/>
        <w:rPr>
          <w:rFonts w:ascii="宋体" w:hAnsi="宋体"/>
          <w:b/>
          <w:color w:val="auto"/>
          <w:sz w:val="48"/>
          <w:szCs w:val="48"/>
          <w:highlight w:val="none"/>
        </w:rPr>
      </w:pPr>
    </w:p>
    <w:p w14:paraId="317E3845">
      <w:pPr>
        <w:spacing w:line="360" w:lineRule="auto"/>
        <w:jc w:val="center"/>
        <w:rPr>
          <w:rFonts w:ascii="宋体" w:hAnsi="宋体"/>
          <w:b/>
          <w:color w:val="auto"/>
          <w:sz w:val="48"/>
          <w:szCs w:val="48"/>
          <w:highlight w:val="none"/>
        </w:rPr>
      </w:pPr>
    </w:p>
    <w:p w14:paraId="49341FAD">
      <w:pPr>
        <w:spacing w:line="360" w:lineRule="auto"/>
        <w:jc w:val="center"/>
        <w:rPr>
          <w:rFonts w:ascii="宋体" w:hAnsi="宋体"/>
          <w:b/>
          <w:color w:val="auto"/>
          <w:sz w:val="48"/>
          <w:szCs w:val="48"/>
          <w:highlight w:val="none"/>
        </w:rPr>
      </w:pPr>
    </w:p>
    <w:p w14:paraId="266B0975">
      <w:pPr>
        <w:spacing w:line="360" w:lineRule="auto"/>
        <w:jc w:val="center"/>
        <w:rPr>
          <w:rFonts w:ascii="宋体" w:hAnsi="宋体"/>
          <w:b/>
          <w:color w:val="auto"/>
          <w:sz w:val="48"/>
          <w:szCs w:val="48"/>
          <w:highlight w:val="none"/>
        </w:rPr>
      </w:pPr>
    </w:p>
    <w:p w14:paraId="59025948">
      <w:pPr>
        <w:spacing w:line="360" w:lineRule="auto"/>
        <w:jc w:val="center"/>
        <w:rPr>
          <w:rFonts w:ascii="宋体" w:hAnsi="宋体"/>
          <w:b/>
          <w:color w:val="auto"/>
          <w:sz w:val="48"/>
          <w:szCs w:val="48"/>
          <w:highlight w:val="none"/>
        </w:rPr>
      </w:pPr>
    </w:p>
    <w:p w14:paraId="42BBE124">
      <w:pPr>
        <w:spacing w:line="360" w:lineRule="auto"/>
        <w:jc w:val="center"/>
        <w:rPr>
          <w:rFonts w:ascii="宋体" w:hAnsi="宋体"/>
          <w:b/>
          <w:color w:val="auto"/>
          <w:sz w:val="48"/>
          <w:szCs w:val="48"/>
          <w:highlight w:val="none"/>
        </w:rPr>
        <w:sectPr>
          <w:headerReference r:id="rId16" w:type="default"/>
          <w:footnotePr>
            <w:numFmt w:val="decimalEnclosedCircleChinese"/>
            <w:numRestart w:val="eachPage"/>
          </w:footnotePr>
          <w:pgSz w:w="11900" w:h="16838"/>
          <w:pgMar w:top="1417" w:right="1417" w:bottom="1417" w:left="1701" w:header="850" w:footer="624" w:gutter="0"/>
          <w:cols w:space="0" w:num="1"/>
          <w:rtlGutter w:val="0"/>
          <w:docGrid w:linePitch="360" w:charSpace="0"/>
        </w:sectPr>
      </w:pPr>
    </w:p>
    <w:p w14:paraId="505FF6CC">
      <w:pPr>
        <w:spacing w:line="240" w:lineRule="auto"/>
        <w:jc w:val="left"/>
        <w:rPr>
          <w:rFonts w:ascii="Times New Roman" w:hAnsi="Times New Roman"/>
          <w:b w:val="0"/>
          <w:color w:val="auto"/>
          <w:sz w:val="21"/>
          <w:szCs w:val="24"/>
          <w:highlight w:val="none"/>
        </w:rPr>
      </w:pPr>
    </w:p>
    <w:p w14:paraId="5395F4F7">
      <w:pPr>
        <w:spacing w:line="240" w:lineRule="auto"/>
        <w:jc w:val="left"/>
        <w:rPr>
          <w:rFonts w:ascii="Times New Roman" w:hAnsi="Times New Roman"/>
          <w:b w:val="0"/>
          <w:color w:val="auto"/>
          <w:sz w:val="21"/>
          <w:szCs w:val="24"/>
          <w:highlight w:val="none"/>
        </w:rPr>
      </w:pPr>
    </w:p>
    <w:p w14:paraId="711143BD">
      <w:pPr>
        <w:spacing w:before="120" w:after="120" w:line="480" w:lineRule="auto"/>
        <w:rPr>
          <w:rStyle w:val="51"/>
          <w:b w:val="0"/>
          <w:bCs w:val="0"/>
          <w:color w:val="auto"/>
          <w:sz w:val="21"/>
          <w:szCs w:val="24"/>
          <w:highlight w:val="none"/>
        </w:rPr>
      </w:pPr>
    </w:p>
    <w:p w14:paraId="7A576749">
      <w:pPr>
        <w:rPr>
          <w:color w:val="auto"/>
          <w:highlight w:val="none"/>
        </w:rPr>
      </w:pPr>
    </w:p>
    <w:p w14:paraId="34420688">
      <w:pPr>
        <w:rPr>
          <w:color w:val="auto"/>
          <w:highlight w:val="none"/>
        </w:rPr>
      </w:pPr>
    </w:p>
    <w:p w14:paraId="4AB93C11">
      <w:pPr>
        <w:rPr>
          <w:color w:val="auto"/>
          <w:highlight w:val="none"/>
        </w:rPr>
      </w:pPr>
    </w:p>
    <w:p w14:paraId="305FE62A">
      <w:pPr>
        <w:rPr>
          <w:color w:val="auto"/>
          <w:highlight w:val="none"/>
        </w:rPr>
      </w:pPr>
    </w:p>
    <w:p w14:paraId="202D79F3">
      <w:pPr>
        <w:rPr>
          <w:color w:val="auto"/>
          <w:highlight w:val="none"/>
        </w:rPr>
      </w:pPr>
    </w:p>
    <w:p w14:paraId="4688E245">
      <w:pPr>
        <w:rPr>
          <w:color w:val="auto"/>
          <w:highlight w:val="none"/>
        </w:rPr>
      </w:pPr>
    </w:p>
    <w:p w14:paraId="16C18F1A">
      <w:pPr>
        <w:rPr>
          <w:color w:val="auto"/>
          <w:highlight w:val="none"/>
        </w:rPr>
      </w:pPr>
    </w:p>
    <w:p w14:paraId="2DE03716">
      <w:pPr>
        <w:rPr>
          <w:color w:val="auto"/>
          <w:highlight w:val="none"/>
        </w:rPr>
      </w:pPr>
    </w:p>
    <w:p w14:paraId="3E098629">
      <w:pPr>
        <w:rPr>
          <w:color w:val="auto"/>
          <w:highlight w:val="none"/>
        </w:rPr>
      </w:pPr>
    </w:p>
    <w:p w14:paraId="52A8A136">
      <w:pPr>
        <w:rPr>
          <w:color w:val="auto"/>
          <w:highlight w:val="none"/>
        </w:rPr>
      </w:pPr>
    </w:p>
    <w:p w14:paraId="47741763">
      <w:pPr>
        <w:rPr>
          <w:color w:val="auto"/>
          <w:highlight w:val="none"/>
        </w:rPr>
      </w:pPr>
    </w:p>
    <w:p w14:paraId="27FEC5ED">
      <w:pPr>
        <w:rPr>
          <w:color w:val="auto"/>
          <w:highlight w:val="none"/>
        </w:rPr>
      </w:pPr>
    </w:p>
    <w:p w14:paraId="2DBAD028">
      <w:pPr>
        <w:rPr>
          <w:color w:val="auto"/>
          <w:highlight w:val="none"/>
        </w:rPr>
      </w:pPr>
    </w:p>
    <w:p w14:paraId="54388200">
      <w:pPr>
        <w:pStyle w:val="4"/>
        <w:spacing w:before="120" w:after="120" w:line="480" w:lineRule="auto"/>
        <w:jc w:val="center"/>
        <w:rPr>
          <w:rStyle w:val="175"/>
          <w:b w:val="0"/>
          <w:bCs w:val="0"/>
          <w:color w:val="auto"/>
          <w:szCs w:val="44"/>
          <w:highlight w:val="none"/>
        </w:rPr>
      </w:pPr>
      <w:bookmarkStart w:id="894" w:name="_Toc53685811"/>
      <w:r>
        <w:rPr>
          <w:rStyle w:val="175"/>
          <w:rFonts w:hint="default"/>
          <w:b w:val="0"/>
          <w:bCs w:val="0"/>
          <w:color w:val="auto"/>
          <w:szCs w:val="44"/>
          <w:highlight w:val="none"/>
        </w:rPr>
        <w:t>第八章</w:t>
      </w:r>
      <w:r>
        <w:rPr>
          <w:rStyle w:val="175"/>
          <w:b w:val="0"/>
          <w:bCs w:val="0"/>
          <w:color w:val="auto"/>
          <w:szCs w:val="44"/>
          <w:highlight w:val="none"/>
        </w:rPr>
        <w:t xml:space="preserve">  </w:t>
      </w:r>
      <w:r>
        <w:rPr>
          <w:rStyle w:val="175"/>
          <w:rFonts w:hint="default"/>
          <w:b w:val="0"/>
          <w:bCs w:val="0"/>
          <w:color w:val="auto"/>
          <w:szCs w:val="44"/>
          <w:highlight w:val="none"/>
        </w:rPr>
        <w:t>工程量清单</w:t>
      </w:r>
      <w:bookmarkStart w:id="895" w:name="page2"/>
      <w:bookmarkEnd w:id="895"/>
      <w:r>
        <w:rPr>
          <w:rStyle w:val="175"/>
          <w:rFonts w:hint="default"/>
          <w:b w:val="0"/>
          <w:bCs w:val="0"/>
          <w:color w:val="auto"/>
          <w:szCs w:val="44"/>
          <w:highlight w:val="none"/>
        </w:rPr>
        <w:t>计量规则</w:t>
      </w:r>
      <w:r>
        <w:rPr>
          <w:rStyle w:val="175"/>
          <w:rFonts w:ascii="黑体" w:hAnsi="黑体" w:cs="黑体"/>
          <w:b/>
          <w:bCs/>
          <w:color w:val="auto"/>
          <w:highlight w:val="none"/>
          <w:vertAlign w:val="superscript"/>
        </w:rPr>
        <w:footnoteReference w:id="269"/>
      </w:r>
      <w:r>
        <w:rPr>
          <w:rStyle w:val="175"/>
          <w:rFonts w:hint="default"/>
          <w:b w:val="0"/>
          <w:bCs w:val="0"/>
          <w:color w:val="auto"/>
          <w:szCs w:val="44"/>
          <w:highlight w:val="none"/>
        </w:rPr>
        <w:t>（另册）</w:t>
      </w:r>
      <w:bookmarkEnd w:id="894"/>
    </w:p>
    <w:p w14:paraId="50D42E6F">
      <w:pPr>
        <w:spacing w:line="360" w:lineRule="auto"/>
        <w:rPr>
          <w:rFonts w:ascii="黑体" w:hAnsi="黑体" w:eastAsia="黑体"/>
          <w:color w:val="auto"/>
          <w:sz w:val="28"/>
          <w:szCs w:val="28"/>
          <w:highlight w:val="none"/>
        </w:rPr>
      </w:pPr>
      <w:r>
        <w:rPr>
          <w:rFonts w:hint="eastAsia" w:ascii="黑体" w:hAnsi="黑体" w:eastAsia="黑体"/>
          <w:color w:val="auto"/>
          <w:sz w:val="28"/>
          <w:szCs w:val="28"/>
          <w:highlight w:val="none"/>
        </w:rPr>
        <w:t>一</w:t>
      </w:r>
      <w:r>
        <w:rPr>
          <w:rFonts w:ascii="黑体" w:hAnsi="黑体" w:eastAsia="黑体"/>
          <w:color w:val="auto"/>
          <w:sz w:val="28"/>
          <w:szCs w:val="28"/>
          <w:highlight w:val="none"/>
        </w:rPr>
        <w:t>、</w:t>
      </w:r>
      <w:r>
        <w:rPr>
          <w:rFonts w:hint="eastAsia" w:ascii="黑体" w:hAnsi="黑体" w:eastAsia="黑体"/>
          <w:color w:val="auto"/>
          <w:sz w:val="28"/>
          <w:szCs w:val="28"/>
          <w:highlight w:val="none"/>
        </w:rPr>
        <w:t>工程量清单计量规则</w:t>
      </w:r>
    </w:p>
    <w:p w14:paraId="65FFF318">
      <w:pPr>
        <w:spacing w:line="360" w:lineRule="auto"/>
        <w:ind w:firstLine="1680" w:firstLineChars="600"/>
        <w:rPr>
          <w:rFonts w:ascii="黑体" w:hAnsi="黑体" w:eastAsia="黑体"/>
          <w:color w:val="auto"/>
          <w:sz w:val="28"/>
          <w:szCs w:val="28"/>
          <w:highlight w:val="none"/>
        </w:rPr>
      </w:pPr>
      <w:r>
        <w:rPr>
          <w:rFonts w:hint="eastAsia" w:ascii="黑体" w:hAnsi="黑体" w:eastAsia="黑体"/>
          <w:color w:val="auto"/>
          <w:sz w:val="28"/>
          <w:szCs w:val="28"/>
          <w:highlight w:val="none"/>
        </w:rPr>
        <w:t>详见《公路工程标准施工招标文件》（</w:t>
      </w:r>
      <w:r>
        <w:rPr>
          <w:rFonts w:ascii="黑体" w:hAnsi="黑体" w:eastAsia="黑体"/>
          <w:color w:val="auto"/>
          <w:sz w:val="28"/>
          <w:szCs w:val="28"/>
          <w:highlight w:val="none"/>
        </w:rPr>
        <w:t>2018年版˙第三册）</w:t>
      </w:r>
    </w:p>
    <w:p w14:paraId="1A3248F2">
      <w:pPr>
        <w:spacing w:line="360" w:lineRule="auto"/>
        <w:rPr>
          <w:rFonts w:ascii="黑体" w:hAnsi="黑体" w:eastAsia="黑体"/>
          <w:color w:val="auto"/>
          <w:sz w:val="28"/>
          <w:szCs w:val="28"/>
          <w:highlight w:val="none"/>
        </w:rPr>
      </w:pPr>
      <w:r>
        <w:rPr>
          <w:rFonts w:hint="eastAsia" w:ascii="黑体" w:hAnsi="黑体" w:eastAsia="黑体"/>
          <w:b/>
          <w:bCs/>
          <w:color w:val="auto"/>
          <w:sz w:val="28"/>
          <w:szCs w:val="28"/>
          <w:highlight w:val="none"/>
        </w:rPr>
        <w:t>□</w:t>
      </w:r>
      <w:r>
        <w:rPr>
          <w:rFonts w:hint="eastAsia" w:ascii="黑体" w:hAnsi="黑体" w:eastAsia="黑体"/>
          <w:b/>
          <w:bCs/>
          <w:color w:val="auto"/>
          <w:sz w:val="28"/>
          <w:szCs w:val="28"/>
          <w:highlight w:val="none"/>
          <w:lang w:val="en-US" w:eastAsia="zh-CN"/>
        </w:rPr>
        <w:t xml:space="preserve"> </w:t>
      </w:r>
      <w:r>
        <w:rPr>
          <w:rFonts w:hint="eastAsia" w:ascii="黑体" w:hAnsi="黑体" w:eastAsia="黑体"/>
          <w:color w:val="auto"/>
          <w:sz w:val="28"/>
          <w:szCs w:val="28"/>
          <w:highlight w:val="none"/>
        </w:rPr>
        <w:t>二</w:t>
      </w:r>
      <w:r>
        <w:rPr>
          <w:rFonts w:ascii="黑体" w:hAnsi="黑体" w:eastAsia="黑体"/>
          <w:color w:val="auto"/>
          <w:sz w:val="28"/>
          <w:szCs w:val="28"/>
          <w:highlight w:val="none"/>
        </w:rPr>
        <w:t>、</w:t>
      </w:r>
      <w:r>
        <w:rPr>
          <w:rFonts w:hint="eastAsia" w:ascii="黑体" w:hAnsi="黑体" w:eastAsia="黑体"/>
          <w:color w:val="auto"/>
          <w:sz w:val="28"/>
          <w:szCs w:val="28"/>
          <w:highlight w:val="none"/>
        </w:rPr>
        <w:t>补充工程量清单计量规则（另册）</w:t>
      </w:r>
    </w:p>
    <w:p w14:paraId="03F085E3">
      <w:pPr>
        <w:pStyle w:val="22"/>
        <w:spacing w:before="10"/>
        <w:rPr>
          <w:color w:val="auto"/>
          <w:sz w:val="20"/>
          <w:highlight w:val="none"/>
        </w:rPr>
      </w:pPr>
    </w:p>
    <w:p w14:paraId="713EFE5C">
      <w:pPr>
        <w:spacing w:line="360" w:lineRule="auto"/>
        <w:jc w:val="center"/>
        <w:rPr>
          <w:rFonts w:ascii="宋体" w:hAnsi="宋体"/>
          <w:b/>
          <w:color w:val="auto"/>
          <w:sz w:val="48"/>
          <w:szCs w:val="48"/>
          <w:highlight w:val="none"/>
        </w:rPr>
      </w:pPr>
    </w:p>
    <w:p w14:paraId="2C59D2F2">
      <w:pPr>
        <w:spacing w:line="360" w:lineRule="auto"/>
        <w:jc w:val="center"/>
        <w:rPr>
          <w:rFonts w:ascii="宋体" w:hAnsi="宋体"/>
          <w:b/>
          <w:color w:val="auto"/>
          <w:sz w:val="48"/>
          <w:szCs w:val="48"/>
          <w:highlight w:val="none"/>
        </w:rPr>
      </w:pPr>
    </w:p>
    <w:p w14:paraId="2EC9099C">
      <w:pPr>
        <w:spacing w:line="360" w:lineRule="auto"/>
        <w:jc w:val="center"/>
        <w:rPr>
          <w:rFonts w:ascii="宋体" w:hAnsi="宋体"/>
          <w:b/>
          <w:color w:val="auto"/>
          <w:sz w:val="48"/>
          <w:szCs w:val="48"/>
          <w:highlight w:val="none"/>
        </w:rPr>
      </w:pPr>
    </w:p>
    <w:p w14:paraId="57B36FFC">
      <w:pPr>
        <w:spacing w:line="360" w:lineRule="auto"/>
        <w:rPr>
          <w:rFonts w:ascii="宋体" w:hAnsi="宋体"/>
          <w:b/>
          <w:color w:val="auto"/>
          <w:sz w:val="48"/>
          <w:szCs w:val="48"/>
          <w:highlight w:val="none"/>
        </w:rPr>
      </w:pPr>
    </w:p>
    <w:p w14:paraId="12EDA155">
      <w:pPr>
        <w:tabs>
          <w:tab w:val="left" w:pos="3921"/>
          <w:tab w:val="left" w:pos="5440"/>
        </w:tabs>
        <w:spacing w:line="860" w:lineRule="exact"/>
        <w:ind w:left="2401"/>
        <w:rPr>
          <w:rFonts w:ascii="宋体" w:hAnsi="宋体"/>
          <w:color w:val="auto"/>
          <w:sz w:val="76"/>
          <w:highlight w:val="none"/>
        </w:rPr>
        <w:sectPr>
          <w:headerReference r:id="rId17" w:type="even"/>
          <w:footerReference r:id="rId18" w:type="even"/>
          <w:footnotePr>
            <w:numFmt w:val="decimalEnclosedCircleChinese"/>
            <w:numRestart w:val="eachPage"/>
          </w:footnotePr>
          <w:type w:val="continuous"/>
          <w:pgSz w:w="11900" w:h="16838"/>
          <w:pgMar w:top="1417" w:right="1417" w:bottom="1417" w:left="1701" w:header="850" w:footer="624" w:gutter="0"/>
          <w:cols w:space="0" w:num="1"/>
          <w:rtlGutter w:val="0"/>
          <w:docGrid w:linePitch="286" w:charSpace="0"/>
        </w:sectPr>
      </w:pPr>
    </w:p>
    <w:p w14:paraId="7FCE7761">
      <w:pPr>
        <w:tabs>
          <w:tab w:val="left" w:pos="3921"/>
          <w:tab w:val="left" w:pos="5440"/>
        </w:tabs>
        <w:spacing w:line="860" w:lineRule="exact"/>
        <w:ind w:left="2401"/>
        <w:rPr>
          <w:rFonts w:ascii="宋体" w:hAnsi="宋体"/>
          <w:color w:val="auto"/>
          <w:sz w:val="76"/>
          <w:highlight w:val="none"/>
        </w:rPr>
      </w:pPr>
    </w:p>
    <w:p w14:paraId="613BEE72">
      <w:pPr>
        <w:tabs>
          <w:tab w:val="left" w:pos="3921"/>
          <w:tab w:val="left" w:pos="5440"/>
        </w:tabs>
        <w:spacing w:line="860" w:lineRule="exact"/>
        <w:ind w:left="2401"/>
        <w:rPr>
          <w:rFonts w:ascii="宋体" w:hAnsi="宋体"/>
          <w:color w:val="auto"/>
          <w:sz w:val="76"/>
          <w:highlight w:val="none"/>
        </w:rPr>
      </w:pPr>
    </w:p>
    <w:p w14:paraId="4A8F3650">
      <w:pPr>
        <w:tabs>
          <w:tab w:val="left" w:pos="3921"/>
          <w:tab w:val="left" w:pos="5440"/>
        </w:tabs>
        <w:spacing w:line="860" w:lineRule="exact"/>
        <w:ind w:left="2401"/>
        <w:rPr>
          <w:rFonts w:ascii="宋体" w:hAnsi="宋体"/>
          <w:color w:val="auto"/>
          <w:sz w:val="76"/>
          <w:highlight w:val="none"/>
        </w:rPr>
      </w:pPr>
    </w:p>
    <w:p w14:paraId="1D6BABC1">
      <w:pPr>
        <w:tabs>
          <w:tab w:val="left" w:pos="3921"/>
          <w:tab w:val="left" w:pos="5440"/>
        </w:tabs>
        <w:spacing w:line="860" w:lineRule="exact"/>
        <w:ind w:left="2401"/>
        <w:rPr>
          <w:rFonts w:ascii="宋体" w:hAnsi="宋体"/>
          <w:color w:val="auto"/>
          <w:sz w:val="76"/>
          <w:highlight w:val="none"/>
        </w:rPr>
      </w:pPr>
    </w:p>
    <w:p w14:paraId="186C32F2">
      <w:pPr>
        <w:tabs>
          <w:tab w:val="left" w:pos="3921"/>
          <w:tab w:val="left" w:pos="5440"/>
        </w:tabs>
        <w:spacing w:line="860" w:lineRule="exact"/>
        <w:ind w:left="2401"/>
        <w:rPr>
          <w:rFonts w:ascii="宋体" w:hAnsi="宋体"/>
          <w:color w:val="auto"/>
          <w:sz w:val="76"/>
          <w:highlight w:val="none"/>
        </w:rPr>
      </w:pPr>
    </w:p>
    <w:p w14:paraId="3EF36381">
      <w:pPr>
        <w:pStyle w:val="4"/>
        <w:spacing w:before="120" w:after="120"/>
        <w:jc w:val="center"/>
        <w:rPr>
          <w:rStyle w:val="175"/>
          <w:b/>
          <w:bCs w:val="0"/>
          <w:color w:val="auto"/>
          <w:sz w:val="76"/>
          <w:szCs w:val="76"/>
          <w:highlight w:val="none"/>
        </w:rPr>
      </w:pPr>
      <w:bookmarkStart w:id="896" w:name="_Toc27059828"/>
      <w:bookmarkStart w:id="897" w:name="_Toc27059738"/>
      <w:bookmarkStart w:id="898" w:name="_Toc27059557"/>
      <w:bookmarkStart w:id="899" w:name="_Toc53685812"/>
      <w:bookmarkStart w:id="900" w:name="_Toc27059930"/>
      <w:r>
        <w:rPr>
          <w:rStyle w:val="175"/>
          <w:rFonts w:hint="eastAsia"/>
          <w:b/>
          <w:bCs w:val="0"/>
          <w:color w:val="auto"/>
          <w:sz w:val="76"/>
          <w:szCs w:val="76"/>
          <w:highlight w:val="none"/>
        </w:rPr>
        <w:t>第</w:t>
      </w:r>
      <w:r>
        <w:rPr>
          <w:rStyle w:val="175"/>
          <w:b/>
          <w:bCs w:val="0"/>
          <w:color w:val="auto"/>
          <w:sz w:val="76"/>
          <w:szCs w:val="76"/>
          <w:highlight w:val="none"/>
        </w:rPr>
        <w:t xml:space="preserve"> </w:t>
      </w:r>
      <w:r>
        <w:rPr>
          <w:rStyle w:val="175"/>
          <w:rFonts w:hint="eastAsia"/>
          <w:b/>
          <w:bCs w:val="0"/>
          <w:color w:val="auto"/>
          <w:sz w:val="76"/>
          <w:szCs w:val="76"/>
          <w:highlight w:val="none"/>
        </w:rPr>
        <w:t>四</w:t>
      </w:r>
      <w:r>
        <w:rPr>
          <w:rStyle w:val="175"/>
          <w:b/>
          <w:bCs w:val="0"/>
          <w:color w:val="auto"/>
          <w:sz w:val="76"/>
          <w:szCs w:val="76"/>
          <w:highlight w:val="none"/>
        </w:rPr>
        <w:t xml:space="preserve"> </w:t>
      </w:r>
      <w:r>
        <w:rPr>
          <w:rStyle w:val="175"/>
          <w:rFonts w:hint="eastAsia"/>
          <w:b/>
          <w:bCs w:val="0"/>
          <w:color w:val="auto"/>
          <w:sz w:val="76"/>
          <w:szCs w:val="76"/>
          <w:highlight w:val="none"/>
        </w:rPr>
        <w:t>卷</w:t>
      </w:r>
      <w:bookmarkEnd w:id="896"/>
      <w:bookmarkEnd w:id="897"/>
      <w:bookmarkEnd w:id="898"/>
      <w:bookmarkEnd w:id="899"/>
      <w:bookmarkEnd w:id="900"/>
    </w:p>
    <w:p w14:paraId="3CC48908">
      <w:pPr>
        <w:spacing w:line="860" w:lineRule="exact"/>
        <w:rPr>
          <w:rFonts w:ascii="宋体" w:hAnsi="宋体"/>
          <w:color w:val="auto"/>
          <w:sz w:val="76"/>
          <w:highlight w:val="none"/>
        </w:rPr>
      </w:pPr>
    </w:p>
    <w:p w14:paraId="6FC3C542">
      <w:pPr>
        <w:spacing w:line="860" w:lineRule="exact"/>
        <w:rPr>
          <w:rFonts w:ascii="宋体" w:hAnsi="宋体"/>
          <w:color w:val="auto"/>
          <w:sz w:val="76"/>
          <w:highlight w:val="none"/>
        </w:rPr>
      </w:pPr>
    </w:p>
    <w:p w14:paraId="6296EA1E">
      <w:pPr>
        <w:spacing w:line="860" w:lineRule="exact"/>
        <w:rPr>
          <w:rFonts w:ascii="宋体" w:hAnsi="宋体"/>
          <w:color w:val="auto"/>
          <w:sz w:val="76"/>
          <w:highlight w:val="none"/>
        </w:rPr>
      </w:pPr>
    </w:p>
    <w:p w14:paraId="7F4AA789">
      <w:pPr>
        <w:spacing w:line="860" w:lineRule="exact"/>
        <w:rPr>
          <w:rFonts w:ascii="宋体" w:hAnsi="宋体"/>
          <w:color w:val="auto"/>
          <w:sz w:val="76"/>
          <w:highlight w:val="none"/>
        </w:rPr>
      </w:pPr>
    </w:p>
    <w:p w14:paraId="72049F11">
      <w:pPr>
        <w:spacing w:line="860" w:lineRule="exact"/>
        <w:rPr>
          <w:rFonts w:ascii="宋体" w:hAnsi="宋体"/>
          <w:color w:val="auto"/>
          <w:sz w:val="76"/>
          <w:highlight w:val="none"/>
        </w:rPr>
      </w:pPr>
    </w:p>
    <w:p w14:paraId="2AB2A552">
      <w:pPr>
        <w:spacing w:line="860" w:lineRule="exact"/>
        <w:rPr>
          <w:rFonts w:ascii="宋体" w:hAnsi="宋体"/>
          <w:color w:val="auto"/>
          <w:sz w:val="76"/>
          <w:highlight w:val="none"/>
        </w:rPr>
      </w:pPr>
    </w:p>
    <w:p w14:paraId="11AA2D52">
      <w:pPr>
        <w:spacing w:line="860" w:lineRule="exact"/>
        <w:rPr>
          <w:rFonts w:ascii="宋体" w:hAnsi="宋体"/>
          <w:color w:val="auto"/>
          <w:sz w:val="76"/>
          <w:highlight w:val="none"/>
        </w:rPr>
      </w:pPr>
    </w:p>
    <w:p w14:paraId="30EE8E71">
      <w:pPr>
        <w:spacing w:line="860" w:lineRule="exact"/>
        <w:rPr>
          <w:rFonts w:ascii="宋体" w:hAnsi="宋体"/>
          <w:color w:val="auto"/>
          <w:sz w:val="76"/>
          <w:highlight w:val="none"/>
        </w:rPr>
      </w:pPr>
    </w:p>
    <w:p w14:paraId="2C9FD351">
      <w:pPr>
        <w:spacing w:line="860" w:lineRule="exact"/>
        <w:rPr>
          <w:rFonts w:ascii="宋体" w:hAnsi="宋体"/>
          <w:color w:val="auto"/>
          <w:sz w:val="76"/>
          <w:highlight w:val="none"/>
        </w:rPr>
      </w:pPr>
    </w:p>
    <w:p w14:paraId="6066B657">
      <w:pPr>
        <w:pStyle w:val="22"/>
        <w:rPr>
          <w:color w:val="auto"/>
          <w:sz w:val="20"/>
          <w:highlight w:val="none"/>
        </w:rPr>
      </w:pPr>
    </w:p>
    <w:p w14:paraId="1DC8F0F2">
      <w:pPr>
        <w:pStyle w:val="22"/>
        <w:rPr>
          <w:color w:val="auto"/>
          <w:sz w:val="20"/>
          <w:highlight w:val="none"/>
        </w:rPr>
      </w:pPr>
    </w:p>
    <w:p w14:paraId="5EE3DEC8">
      <w:pPr>
        <w:pStyle w:val="22"/>
        <w:rPr>
          <w:color w:val="auto"/>
          <w:sz w:val="20"/>
          <w:highlight w:val="none"/>
        </w:rPr>
      </w:pPr>
    </w:p>
    <w:p w14:paraId="41B5693F">
      <w:pPr>
        <w:pStyle w:val="22"/>
        <w:rPr>
          <w:color w:val="auto"/>
          <w:sz w:val="20"/>
          <w:highlight w:val="none"/>
        </w:rPr>
      </w:pPr>
    </w:p>
    <w:p w14:paraId="18F1DB8D">
      <w:pPr>
        <w:pStyle w:val="22"/>
        <w:rPr>
          <w:color w:val="auto"/>
          <w:sz w:val="20"/>
          <w:highlight w:val="none"/>
        </w:rPr>
      </w:pPr>
    </w:p>
    <w:p w14:paraId="066D84BC">
      <w:pPr>
        <w:pStyle w:val="22"/>
        <w:rPr>
          <w:color w:val="auto"/>
          <w:sz w:val="20"/>
          <w:highlight w:val="none"/>
        </w:rPr>
      </w:pPr>
    </w:p>
    <w:p w14:paraId="7E7ABD6B">
      <w:pPr>
        <w:pStyle w:val="22"/>
        <w:rPr>
          <w:color w:val="auto"/>
          <w:sz w:val="20"/>
          <w:highlight w:val="none"/>
        </w:rPr>
      </w:pPr>
    </w:p>
    <w:p w14:paraId="5AD9349C">
      <w:pPr>
        <w:pStyle w:val="22"/>
        <w:rPr>
          <w:color w:val="auto"/>
          <w:sz w:val="20"/>
          <w:highlight w:val="none"/>
        </w:rPr>
      </w:pPr>
    </w:p>
    <w:p w14:paraId="506FD30C">
      <w:pPr>
        <w:pStyle w:val="22"/>
        <w:rPr>
          <w:color w:val="auto"/>
          <w:sz w:val="20"/>
          <w:highlight w:val="none"/>
        </w:rPr>
      </w:pPr>
    </w:p>
    <w:p w14:paraId="2EC543C5">
      <w:pPr>
        <w:pStyle w:val="22"/>
        <w:rPr>
          <w:color w:val="auto"/>
          <w:sz w:val="20"/>
          <w:highlight w:val="none"/>
        </w:rPr>
      </w:pPr>
    </w:p>
    <w:p w14:paraId="6ECF8473">
      <w:pPr>
        <w:pStyle w:val="22"/>
        <w:rPr>
          <w:color w:val="auto"/>
          <w:sz w:val="20"/>
          <w:highlight w:val="none"/>
        </w:rPr>
      </w:pPr>
    </w:p>
    <w:p w14:paraId="0B356656">
      <w:pPr>
        <w:pStyle w:val="22"/>
        <w:rPr>
          <w:color w:val="auto"/>
          <w:sz w:val="20"/>
          <w:highlight w:val="none"/>
        </w:rPr>
      </w:pPr>
    </w:p>
    <w:p w14:paraId="66265E58">
      <w:pPr>
        <w:pStyle w:val="22"/>
        <w:rPr>
          <w:color w:val="auto"/>
          <w:sz w:val="20"/>
          <w:highlight w:val="none"/>
        </w:rPr>
      </w:pPr>
    </w:p>
    <w:p w14:paraId="30C87F10">
      <w:pPr>
        <w:pStyle w:val="22"/>
        <w:rPr>
          <w:color w:val="auto"/>
          <w:sz w:val="20"/>
          <w:highlight w:val="none"/>
        </w:rPr>
      </w:pPr>
    </w:p>
    <w:p w14:paraId="19E55FD5">
      <w:pPr>
        <w:pStyle w:val="22"/>
        <w:rPr>
          <w:color w:val="auto"/>
          <w:sz w:val="20"/>
          <w:highlight w:val="none"/>
        </w:rPr>
      </w:pPr>
    </w:p>
    <w:p w14:paraId="48983565">
      <w:pPr>
        <w:pStyle w:val="22"/>
        <w:rPr>
          <w:color w:val="auto"/>
          <w:sz w:val="20"/>
          <w:highlight w:val="none"/>
        </w:rPr>
      </w:pPr>
    </w:p>
    <w:p w14:paraId="30660B8B">
      <w:pPr>
        <w:pStyle w:val="4"/>
        <w:rPr>
          <w:rFonts w:ascii="黑体" w:hAnsi="黑体" w:eastAsia="黑体"/>
          <w:color w:val="auto"/>
          <w:sz w:val="32"/>
          <w:szCs w:val="32"/>
          <w:highlight w:val="none"/>
        </w:rPr>
      </w:pPr>
      <w:bookmarkStart w:id="901" w:name="_TOC_250039"/>
      <w:bookmarkStart w:id="902" w:name="_Toc53685813"/>
      <w:r>
        <w:rPr>
          <w:rStyle w:val="175"/>
          <w:rFonts w:hint="eastAsia" w:ascii="黑体" w:hAnsi="黑体"/>
          <w:b w:val="0"/>
          <w:bCs w:val="0"/>
          <w:color w:val="auto"/>
          <w:szCs w:val="52"/>
          <w:highlight w:val="none"/>
        </w:rPr>
        <w:t>第九章</w:t>
      </w:r>
      <w:r>
        <w:rPr>
          <w:rStyle w:val="175"/>
          <w:rFonts w:ascii="黑体" w:hAnsi="黑体"/>
          <w:b w:val="0"/>
          <w:bCs w:val="0"/>
          <w:color w:val="auto"/>
          <w:szCs w:val="52"/>
          <w:highlight w:val="none"/>
        </w:rPr>
        <w:t xml:space="preserve">  </w:t>
      </w:r>
      <w:r>
        <w:rPr>
          <w:rStyle w:val="175"/>
          <w:rFonts w:hint="eastAsia" w:ascii="黑体" w:hAnsi="黑体"/>
          <w:b w:val="0"/>
          <w:bCs w:val="0"/>
          <w:color w:val="auto"/>
          <w:szCs w:val="52"/>
          <w:highlight w:val="none"/>
        </w:rPr>
        <w:t>投标文件格式</w:t>
      </w:r>
      <w:bookmarkEnd w:id="901"/>
      <w:r>
        <w:rPr>
          <w:rStyle w:val="175"/>
          <w:rFonts w:ascii="黑体" w:hAnsi="黑体"/>
          <w:b w:val="0"/>
          <w:bCs w:val="0"/>
          <w:color w:val="auto"/>
          <w:szCs w:val="52"/>
          <w:highlight w:val="none"/>
          <w:vertAlign w:val="superscript"/>
        </w:rPr>
        <w:footnoteReference w:id="270"/>
      </w:r>
      <w:bookmarkEnd w:id="902"/>
    </w:p>
    <w:p w14:paraId="556AAAD9">
      <w:pPr>
        <w:rPr>
          <w:rFonts w:ascii="黑体" w:hAnsi="黑体" w:eastAsia="黑体"/>
          <w:color w:val="auto"/>
          <w:sz w:val="32"/>
          <w:szCs w:val="32"/>
          <w:highlight w:val="none"/>
          <w:u w:val="single"/>
        </w:rPr>
      </w:pPr>
      <w:r>
        <w:rPr>
          <w:rFonts w:ascii="黑体" w:hAnsi="黑体" w:eastAsia="黑体"/>
          <w:color w:val="auto"/>
          <w:sz w:val="32"/>
          <w:szCs w:val="32"/>
          <w:highlight w:val="none"/>
          <w:u w:val="single"/>
        </w:rPr>
        <w:br w:type="page"/>
      </w:r>
    </w:p>
    <w:p w14:paraId="20C54FDB">
      <w:pPr>
        <w:pStyle w:val="22"/>
        <w:tabs>
          <w:tab w:val="left" w:pos="3224"/>
          <w:tab w:val="left" w:pos="5665"/>
        </w:tabs>
        <w:spacing w:line="360" w:lineRule="auto"/>
        <w:rPr>
          <w:rFonts w:ascii="黑体" w:hAnsi="黑体" w:eastAsia="黑体"/>
          <w:color w:val="auto"/>
          <w:sz w:val="32"/>
          <w:szCs w:val="32"/>
          <w:highlight w:val="none"/>
          <w:u w:val="single"/>
        </w:rPr>
      </w:pPr>
    </w:p>
    <w:p w14:paraId="0D344A40">
      <w:pPr>
        <w:pStyle w:val="22"/>
        <w:tabs>
          <w:tab w:val="left" w:pos="3224"/>
          <w:tab w:val="left" w:pos="5665"/>
        </w:tabs>
        <w:spacing w:line="360" w:lineRule="auto"/>
        <w:jc w:val="center"/>
        <w:rPr>
          <w:rFonts w:ascii="黑体" w:hAnsi="黑体" w:eastAsia="黑体"/>
          <w:color w:val="auto"/>
          <w:sz w:val="36"/>
          <w:szCs w:val="36"/>
          <w:highlight w:val="none"/>
        </w:rPr>
      </w:pPr>
      <w:r>
        <w:rPr>
          <w:rFonts w:ascii="黑体" w:hAnsi="黑体" w:eastAsia="黑体"/>
          <w:color w:val="auto"/>
          <w:sz w:val="36"/>
          <w:szCs w:val="36"/>
          <w:highlight w:val="none"/>
          <w:u w:val="single"/>
        </w:rPr>
        <w:t xml:space="preserve">            </w:t>
      </w:r>
      <w:r>
        <w:rPr>
          <w:rFonts w:ascii="黑体" w:hAnsi="黑体" w:eastAsia="黑体"/>
          <w:color w:val="auto"/>
          <w:sz w:val="36"/>
          <w:szCs w:val="36"/>
          <w:highlight w:val="none"/>
        </w:rPr>
        <w:t>（</w:t>
      </w:r>
      <w:r>
        <w:rPr>
          <w:rFonts w:hint="eastAsia" w:ascii="黑体" w:hAnsi="黑体" w:eastAsia="黑体"/>
          <w:color w:val="auto"/>
          <w:sz w:val="36"/>
          <w:szCs w:val="36"/>
          <w:highlight w:val="none"/>
        </w:rPr>
        <w:t>招标项目名称</w:t>
      </w:r>
      <w:r>
        <w:rPr>
          <w:rFonts w:ascii="黑体" w:hAnsi="黑体" w:eastAsia="黑体"/>
          <w:color w:val="auto"/>
          <w:sz w:val="36"/>
          <w:szCs w:val="36"/>
          <w:highlight w:val="none"/>
        </w:rPr>
        <w:t>）</w:t>
      </w:r>
      <w:r>
        <w:rPr>
          <w:rFonts w:hint="eastAsia" w:ascii="黑体" w:hAnsi="黑体" w:eastAsia="黑体"/>
          <w:color w:val="auto"/>
          <w:sz w:val="36"/>
          <w:szCs w:val="36"/>
          <w:highlight w:val="none"/>
        </w:rPr>
        <w:t>招标第</w:t>
      </w:r>
      <w:r>
        <w:rPr>
          <w:rFonts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rPr>
        <w:t>标段</w:t>
      </w:r>
    </w:p>
    <w:p w14:paraId="571534EA">
      <w:pPr>
        <w:pStyle w:val="22"/>
        <w:tabs>
          <w:tab w:val="left" w:pos="3224"/>
          <w:tab w:val="left" w:pos="5665"/>
        </w:tabs>
        <w:jc w:val="center"/>
        <w:rPr>
          <w:b/>
          <w:color w:val="auto"/>
          <w:sz w:val="36"/>
          <w:szCs w:val="36"/>
          <w:highlight w:val="none"/>
          <w:u w:val="single"/>
        </w:rPr>
      </w:pPr>
    </w:p>
    <w:p w14:paraId="6B420699">
      <w:pPr>
        <w:pStyle w:val="22"/>
        <w:spacing w:line="360" w:lineRule="auto"/>
        <w:rPr>
          <w:color w:val="auto"/>
          <w:sz w:val="20"/>
          <w:highlight w:val="none"/>
        </w:rPr>
      </w:pPr>
    </w:p>
    <w:p w14:paraId="5964494F">
      <w:pPr>
        <w:pStyle w:val="22"/>
        <w:rPr>
          <w:color w:val="auto"/>
          <w:sz w:val="20"/>
          <w:highlight w:val="none"/>
        </w:rPr>
      </w:pPr>
    </w:p>
    <w:p w14:paraId="07D3102D">
      <w:pPr>
        <w:pStyle w:val="22"/>
        <w:rPr>
          <w:color w:val="auto"/>
          <w:sz w:val="20"/>
          <w:highlight w:val="none"/>
        </w:rPr>
      </w:pPr>
    </w:p>
    <w:p w14:paraId="1F050C0C">
      <w:pPr>
        <w:pStyle w:val="22"/>
        <w:rPr>
          <w:color w:val="auto"/>
          <w:sz w:val="20"/>
          <w:highlight w:val="none"/>
        </w:rPr>
      </w:pPr>
    </w:p>
    <w:p w14:paraId="08FC0781">
      <w:pPr>
        <w:pStyle w:val="22"/>
        <w:rPr>
          <w:color w:val="auto"/>
          <w:sz w:val="20"/>
          <w:highlight w:val="none"/>
        </w:rPr>
      </w:pPr>
    </w:p>
    <w:p w14:paraId="0B923667">
      <w:pPr>
        <w:pStyle w:val="22"/>
        <w:rPr>
          <w:color w:val="auto"/>
          <w:sz w:val="20"/>
          <w:highlight w:val="none"/>
        </w:rPr>
      </w:pPr>
    </w:p>
    <w:p w14:paraId="49FACA09">
      <w:pPr>
        <w:pStyle w:val="22"/>
        <w:rPr>
          <w:color w:val="auto"/>
          <w:sz w:val="20"/>
          <w:highlight w:val="none"/>
        </w:rPr>
      </w:pPr>
    </w:p>
    <w:p w14:paraId="4E95B855">
      <w:pPr>
        <w:pStyle w:val="22"/>
        <w:rPr>
          <w:color w:val="auto"/>
          <w:sz w:val="20"/>
          <w:highlight w:val="none"/>
        </w:rPr>
      </w:pPr>
    </w:p>
    <w:p w14:paraId="56AFD2D7">
      <w:pPr>
        <w:pStyle w:val="22"/>
        <w:rPr>
          <w:color w:val="auto"/>
          <w:sz w:val="20"/>
          <w:highlight w:val="none"/>
        </w:rPr>
      </w:pPr>
    </w:p>
    <w:p w14:paraId="461C153B">
      <w:pPr>
        <w:pStyle w:val="22"/>
        <w:rPr>
          <w:color w:val="auto"/>
          <w:sz w:val="20"/>
          <w:highlight w:val="none"/>
        </w:rPr>
      </w:pPr>
    </w:p>
    <w:p w14:paraId="4349D58F">
      <w:pPr>
        <w:pStyle w:val="22"/>
        <w:rPr>
          <w:color w:val="auto"/>
          <w:sz w:val="20"/>
          <w:highlight w:val="none"/>
        </w:rPr>
      </w:pPr>
    </w:p>
    <w:p w14:paraId="2819F060">
      <w:pPr>
        <w:pStyle w:val="22"/>
        <w:rPr>
          <w:color w:val="auto"/>
          <w:sz w:val="20"/>
          <w:highlight w:val="none"/>
        </w:rPr>
      </w:pPr>
    </w:p>
    <w:p w14:paraId="63B7D3F5">
      <w:pPr>
        <w:pStyle w:val="5"/>
        <w:ind w:left="0" w:firstLine="2168" w:firstLineChars="300"/>
        <w:rPr>
          <w:rFonts w:hint="eastAsia"/>
          <w:color w:val="auto"/>
          <w:sz w:val="72"/>
          <w:szCs w:val="72"/>
          <w:highlight w:val="none"/>
        </w:rPr>
      </w:pPr>
      <w:r>
        <w:rPr>
          <w:rFonts w:hint="eastAsia"/>
          <w:color w:val="auto"/>
          <w:sz w:val="72"/>
          <w:szCs w:val="72"/>
          <w:highlight w:val="none"/>
        </w:rPr>
        <w:t>投</w:t>
      </w:r>
      <w:r>
        <w:rPr>
          <w:rFonts w:hint="eastAsia"/>
          <w:color w:val="auto"/>
          <w:sz w:val="72"/>
          <w:szCs w:val="72"/>
          <w:highlight w:val="none"/>
          <w:lang w:val="en-US" w:eastAsia="zh-CN"/>
        </w:rPr>
        <w:t xml:space="preserve"> </w:t>
      </w:r>
      <w:r>
        <w:rPr>
          <w:rFonts w:hint="eastAsia"/>
          <w:color w:val="auto"/>
          <w:sz w:val="72"/>
          <w:szCs w:val="72"/>
          <w:highlight w:val="none"/>
        </w:rPr>
        <w:t>标</w:t>
      </w:r>
      <w:r>
        <w:rPr>
          <w:rFonts w:hint="eastAsia"/>
          <w:color w:val="auto"/>
          <w:sz w:val="72"/>
          <w:szCs w:val="72"/>
          <w:highlight w:val="none"/>
          <w:lang w:val="en-US" w:eastAsia="zh-CN"/>
        </w:rPr>
        <w:t xml:space="preserve"> </w:t>
      </w:r>
      <w:r>
        <w:rPr>
          <w:rFonts w:hint="eastAsia"/>
          <w:color w:val="auto"/>
          <w:sz w:val="72"/>
          <w:szCs w:val="72"/>
          <w:highlight w:val="none"/>
        </w:rPr>
        <w:t>文</w:t>
      </w:r>
      <w:r>
        <w:rPr>
          <w:rFonts w:hint="eastAsia"/>
          <w:color w:val="auto"/>
          <w:sz w:val="72"/>
          <w:szCs w:val="72"/>
          <w:highlight w:val="none"/>
          <w:lang w:val="en-US" w:eastAsia="zh-CN"/>
        </w:rPr>
        <w:t xml:space="preserve"> </w:t>
      </w:r>
      <w:r>
        <w:rPr>
          <w:rFonts w:hint="eastAsia"/>
          <w:color w:val="auto"/>
          <w:sz w:val="72"/>
          <w:szCs w:val="72"/>
          <w:highlight w:val="none"/>
        </w:rPr>
        <w:t>件</w:t>
      </w:r>
    </w:p>
    <w:p w14:paraId="285F6BF6">
      <w:pPr>
        <w:pStyle w:val="5"/>
        <w:jc w:val="center"/>
        <w:rPr>
          <w:color w:val="auto"/>
          <w:highlight w:val="none"/>
          <w:lang w:eastAsia="zh-CN"/>
        </w:rPr>
      </w:pPr>
      <w:r>
        <w:rPr>
          <w:color w:val="auto"/>
          <w:highlight w:val="none"/>
          <w:lang w:eastAsia="zh-CN"/>
        </w:rPr>
        <w:t>第一个信封（商务及技术文件）</w:t>
      </w:r>
    </w:p>
    <w:p w14:paraId="167FBAD5">
      <w:pPr>
        <w:pStyle w:val="22"/>
        <w:rPr>
          <w:color w:val="auto"/>
          <w:sz w:val="32"/>
          <w:highlight w:val="none"/>
        </w:rPr>
      </w:pPr>
    </w:p>
    <w:p w14:paraId="2B0FE576">
      <w:pPr>
        <w:pStyle w:val="22"/>
        <w:rPr>
          <w:color w:val="auto"/>
          <w:sz w:val="32"/>
          <w:highlight w:val="none"/>
        </w:rPr>
      </w:pPr>
    </w:p>
    <w:p w14:paraId="4E7DF8C7">
      <w:pPr>
        <w:pStyle w:val="22"/>
        <w:rPr>
          <w:color w:val="auto"/>
          <w:sz w:val="32"/>
          <w:highlight w:val="none"/>
        </w:rPr>
      </w:pPr>
    </w:p>
    <w:p w14:paraId="072FB668">
      <w:pPr>
        <w:pStyle w:val="22"/>
        <w:rPr>
          <w:color w:val="auto"/>
          <w:sz w:val="32"/>
          <w:highlight w:val="none"/>
        </w:rPr>
      </w:pPr>
    </w:p>
    <w:p w14:paraId="7E6B47BE">
      <w:pPr>
        <w:pStyle w:val="22"/>
        <w:rPr>
          <w:color w:val="auto"/>
          <w:sz w:val="32"/>
          <w:highlight w:val="none"/>
        </w:rPr>
      </w:pPr>
    </w:p>
    <w:p w14:paraId="36B1FA19">
      <w:pPr>
        <w:pStyle w:val="22"/>
        <w:rPr>
          <w:color w:val="auto"/>
          <w:sz w:val="32"/>
          <w:highlight w:val="none"/>
        </w:rPr>
      </w:pPr>
    </w:p>
    <w:p w14:paraId="54B359D6">
      <w:pPr>
        <w:pStyle w:val="22"/>
        <w:rPr>
          <w:color w:val="auto"/>
          <w:sz w:val="32"/>
          <w:highlight w:val="none"/>
        </w:rPr>
      </w:pPr>
    </w:p>
    <w:p w14:paraId="58824F51">
      <w:pPr>
        <w:pStyle w:val="22"/>
        <w:rPr>
          <w:color w:val="auto"/>
          <w:sz w:val="32"/>
          <w:highlight w:val="none"/>
        </w:rPr>
      </w:pPr>
    </w:p>
    <w:p w14:paraId="477477F3">
      <w:pPr>
        <w:pStyle w:val="22"/>
        <w:rPr>
          <w:rFonts w:hint="default" w:eastAsia="宋体"/>
          <w:color w:val="auto"/>
          <w:sz w:val="32"/>
          <w:highlight w:val="none"/>
          <w:lang w:val="en-US" w:eastAsia="zh-CN"/>
        </w:rPr>
      </w:pPr>
      <w:r>
        <w:rPr>
          <w:rFonts w:hint="eastAsia"/>
          <w:color w:val="auto"/>
          <w:sz w:val="32"/>
          <w:highlight w:val="none"/>
          <w:lang w:val="en-US" w:eastAsia="zh-CN"/>
        </w:rPr>
        <w:t xml:space="preserve">  </w:t>
      </w:r>
    </w:p>
    <w:p w14:paraId="6CAC19A0">
      <w:pPr>
        <w:pStyle w:val="22"/>
        <w:spacing w:before="6"/>
        <w:rPr>
          <w:color w:val="auto"/>
          <w:sz w:val="28"/>
          <w:szCs w:val="28"/>
          <w:highlight w:val="none"/>
        </w:rPr>
      </w:pPr>
    </w:p>
    <w:p w14:paraId="13F457DC">
      <w:pPr>
        <w:pStyle w:val="299"/>
        <w:ind w:firstLine="1680" w:firstLineChars="6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投标人：</w:t>
      </w:r>
      <w:r>
        <w:rPr>
          <w:rFonts w:ascii="黑体" w:hAnsi="黑体" w:eastAsia="黑体" w:cs="宋体"/>
          <w:color w:val="auto"/>
          <w:sz w:val="28"/>
          <w:szCs w:val="28"/>
          <w:highlight w:val="none"/>
          <w:u w:val="single"/>
        </w:rPr>
        <w:t xml:space="preserve">                         </w:t>
      </w:r>
      <w:r>
        <w:rPr>
          <w:rFonts w:ascii="黑体" w:hAnsi="黑体" w:eastAsia="黑体" w:cs="宋体"/>
          <w:color w:val="auto"/>
          <w:sz w:val="28"/>
          <w:szCs w:val="28"/>
          <w:highlight w:val="none"/>
        </w:rPr>
        <w:t xml:space="preserve"> （全称）</w:t>
      </w:r>
      <w:r>
        <w:rPr>
          <w:rStyle w:val="59"/>
          <w:rFonts w:ascii="黑体" w:hAnsi="黑体" w:eastAsia="黑体" w:cs="宋体"/>
          <w:color w:val="auto"/>
          <w:sz w:val="28"/>
          <w:szCs w:val="28"/>
          <w:highlight w:val="none"/>
        </w:rPr>
        <w:footnoteReference w:id="271"/>
      </w:r>
    </w:p>
    <w:p w14:paraId="785DF553">
      <w:pPr>
        <w:pStyle w:val="299"/>
        <w:rPr>
          <w:rFonts w:ascii="黑体" w:hAnsi="黑体" w:eastAsia="黑体" w:cs="宋体"/>
          <w:color w:val="auto"/>
          <w:sz w:val="28"/>
          <w:szCs w:val="28"/>
          <w:highlight w:val="none"/>
        </w:rPr>
      </w:pPr>
    </w:p>
    <w:p w14:paraId="20EAEA9A">
      <w:pPr>
        <w:pStyle w:val="299"/>
        <w:rPr>
          <w:rFonts w:ascii="黑体" w:hAnsi="黑体" w:eastAsia="黑体" w:cs="宋体"/>
          <w:color w:val="auto"/>
          <w:sz w:val="28"/>
          <w:szCs w:val="28"/>
          <w:highlight w:val="none"/>
        </w:rPr>
      </w:pP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年</w:t>
      </w:r>
      <w:r>
        <w:rPr>
          <w:rFonts w:ascii="黑体" w:hAnsi="黑体" w:eastAsia="黑体" w:cs="宋体"/>
          <w:color w:val="auto"/>
          <w:sz w:val="28"/>
          <w:szCs w:val="28"/>
          <w:highlight w:val="none"/>
          <w:u w:val="single"/>
        </w:rPr>
        <w:t xml:space="preserve">  </w:t>
      </w:r>
      <w:r>
        <w:rPr>
          <w:rFonts w:ascii="黑体" w:hAnsi="黑体" w:eastAsia="黑体" w:cs="宋体"/>
          <w:color w:val="auto"/>
          <w:sz w:val="28"/>
          <w:szCs w:val="28"/>
          <w:highlight w:val="none"/>
          <w:u w:val="single"/>
        </w:rPr>
        <w:tab/>
      </w:r>
      <w:r>
        <w:rPr>
          <w:rFonts w:hint="eastAsia" w:ascii="黑体" w:hAnsi="黑体" w:eastAsia="黑体" w:cs="宋体"/>
          <w:color w:val="auto"/>
          <w:sz w:val="28"/>
          <w:szCs w:val="28"/>
          <w:highlight w:val="none"/>
        </w:rPr>
        <w:t>月</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日</w:t>
      </w:r>
    </w:p>
    <w:p w14:paraId="1F11AA07">
      <w:pPr>
        <w:pStyle w:val="299"/>
        <w:rPr>
          <w:rFonts w:ascii="黑体" w:hAnsi="黑体" w:eastAsia="黑体" w:cs="宋体"/>
          <w:color w:val="auto"/>
          <w:highlight w:val="none"/>
        </w:rPr>
        <w:sectPr>
          <w:headerReference r:id="rId19" w:type="default"/>
          <w:headerReference r:id="rId20" w:type="even"/>
          <w:footerReference r:id="rId21" w:type="even"/>
          <w:footnotePr>
            <w:numFmt w:val="decimalEnclosedCircleChinese"/>
            <w:numRestart w:val="eachPage"/>
          </w:footnotePr>
          <w:pgSz w:w="11900" w:h="16838"/>
          <w:pgMar w:top="1417" w:right="1417" w:bottom="1417" w:left="1701" w:header="850" w:footer="624" w:gutter="0"/>
          <w:cols w:space="0" w:num="1"/>
          <w:rtlGutter w:val="0"/>
          <w:docGrid w:linePitch="286" w:charSpace="0"/>
        </w:sectPr>
      </w:pPr>
    </w:p>
    <w:p w14:paraId="74623C12">
      <w:pPr>
        <w:tabs>
          <w:tab w:val="left" w:pos="1108"/>
        </w:tabs>
        <w:spacing w:before="7"/>
        <w:ind w:left="58"/>
        <w:jc w:val="center"/>
        <w:rPr>
          <w:rFonts w:ascii="宋体" w:hAnsi="宋体"/>
          <w:color w:val="auto"/>
          <w:sz w:val="30"/>
          <w:highlight w:val="none"/>
        </w:rPr>
      </w:pPr>
      <w:bookmarkStart w:id="903" w:name="_TOC_250038"/>
      <w:bookmarkEnd w:id="903"/>
      <w:r>
        <w:rPr>
          <w:rFonts w:hint="eastAsia" w:ascii="黑体" w:hAnsi="黑体" w:eastAsia="黑体"/>
          <w:color w:val="auto"/>
          <w:sz w:val="30"/>
          <w:highlight w:val="none"/>
        </w:rPr>
        <w:t>目</w:t>
      </w:r>
      <w:r>
        <w:rPr>
          <w:rFonts w:ascii="黑体" w:hAnsi="黑体" w:eastAsia="黑体"/>
          <w:color w:val="auto"/>
          <w:sz w:val="30"/>
          <w:highlight w:val="none"/>
        </w:rPr>
        <w:t xml:space="preserve">   </w:t>
      </w:r>
      <w:r>
        <w:rPr>
          <w:rFonts w:hint="eastAsia" w:ascii="黑体" w:hAnsi="黑体" w:eastAsia="黑体"/>
          <w:color w:val="auto"/>
          <w:sz w:val="30"/>
          <w:highlight w:val="none"/>
        </w:rPr>
        <w:t>录</w:t>
      </w:r>
      <w:r>
        <w:rPr>
          <w:rStyle w:val="59"/>
          <w:rFonts w:ascii="黑体" w:hAnsi="黑体" w:eastAsia="黑体" w:cs="黑体"/>
          <w:bCs/>
          <w:color w:val="auto"/>
          <w:sz w:val="30"/>
          <w:szCs w:val="30"/>
          <w:highlight w:val="none"/>
        </w:rPr>
        <w:footnoteReference w:id="272"/>
      </w:r>
    </w:p>
    <w:p w14:paraId="08280809">
      <w:pPr>
        <w:pStyle w:val="22"/>
        <w:rPr>
          <w:color w:val="auto"/>
          <w:sz w:val="30"/>
          <w:highlight w:val="none"/>
        </w:rPr>
      </w:pPr>
    </w:p>
    <w:p w14:paraId="332B48F4">
      <w:pPr>
        <w:pStyle w:val="22"/>
        <w:spacing w:before="11"/>
        <w:rPr>
          <w:color w:val="auto"/>
          <w:sz w:val="30"/>
          <w:highlight w:val="none"/>
        </w:rPr>
      </w:pPr>
    </w:p>
    <w:p w14:paraId="64E9605E">
      <w:pPr>
        <w:pStyle w:val="22"/>
        <w:spacing w:line="480" w:lineRule="auto"/>
        <w:ind w:right="-97"/>
        <w:rPr>
          <w:color w:val="auto"/>
          <w:highlight w:val="none"/>
        </w:rPr>
      </w:pPr>
      <w:r>
        <w:rPr>
          <w:color w:val="auto"/>
          <w:highlight w:val="none"/>
        </w:rPr>
        <w:t>一、投标函及投标函附录</w:t>
      </w:r>
    </w:p>
    <w:p w14:paraId="4EA17E11">
      <w:pPr>
        <w:pStyle w:val="22"/>
        <w:spacing w:line="480" w:lineRule="auto"/>
        <w:ind w:right="-97"/>
        <w:rPr>
          <w:color w:val="auto"/>
          <w:highlight w:val="none"/>
        </w:rPr>
      </w:pPr>
      <w:r>
        <w:rPr>
          <w:color w:val="auto"/>
          <w:highlight w:val="none"/>
        </w:rPr>
        <w:t>二、授权委托书或法定代表人身份证明</w:t>
      </w:r>
    </w:p>
    <w:p w14:paraId="422880B1">
      <w:pPr>
        <w:pStyle w:val="22"/>
        <w:spacing w:line="480" w:lineRule="auto"/>
        <w:ind w:right="-97"/>
        <w:rPr>
          <w:rFonts w:hint="eastAsia" w:eastAsia="宋体"/>
          <w:color w:val="auto"/>
          <w:highlight w:val="none"/>
          <w:lang w:eastAsia="zh-CN"/>
        </w:rPr>
      </w:pPr>
      <w:r>
        <w:rPr>
          <w:color w:val="auto"/>
          <w:highlight w:val="none"/>
        </w:rPr>
        <w:t>三、</w:t>
      </w:r>
      <w:r>
        <w:rPr>
          <w:rFonts w:hint="eastAsia"/>
          <w:color w:val="auto"/>
          <w:highlight w:val="none"/>
        </w:rPr>
        <w:t>联合体协议书</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73C29D97">
      <w:pPr>
        <w:pStyle w:val="22"/>
        <w:spacing w:line="480" w:lineRule="auto"/>
        <w:ind w:right="-97"/>
        <w:rPr>
          <w:color w:val="auto"/>
          <w:highlight w:val="none"/>
        </w:rPr>
      </w:pPr>
      <w:r>
        <w:rPr>
          <w:rFonts w:hint="eastAsia"/>
          <w:color w:val="auto"/>
          <w:highlight w:val="none"/>
        </w:rPr>
        <w:t>四</w:t>
      </w:r>
      <w:r>
        <w:rPr>
          <w:color w:val="auto"/>
          <w:highlight w:val="none"/>
        </w:rPr>
        <w:t xml:space="preserve">、投标保证金 </w:t>
      </w:r>
    </w:p>
    <w:p w14:paraId="02D6979D">
      <w:pPr>
        <w:pStyle w:val="22"/>
        <w:spacing w:line="480" w:lineRule="auto"/>
        <w:ind w:right="4547"/>
        <w:rPr>
          <w:color w:val="auto"/>
          <w:highlight w:val="none"/>
        </w:rPr>
      </w:pPr>
      <w:r>
        <w:rPr>
          <w:rFonts w:hint="eastAsia"/>
          <w:color w:val="auto"/>
          <w:highlight w:val="none"/>
        </w:rPr>
        <w:t>五</w:t>
      </w:r>
      <w:r>
        <w:rPr>
          <w:color w:val="auto"/>
          <w:highlight w:val="none"/>
        </w:rPr>
        <w:t>、施工组织设计</w:t>
      </w:r>
    </w:p>
    <w:p w14:paraId="242F28FD">
      <w:pPr>
        <w:pStyle w:val="22"/>
        <w:spacing w:line="480" w:lineRule="auto"/>
        <w:ind w:right="4547"/>
        <w:rPr>
          <w:color w:val="auto"/>
          <w:highlight w:val="none"/>
        </w:rPr>
      </w:pPr>
      <w:r>
        <w:rPr>
          <w:rFonts w:hint="eastAsia"/>
          <w:color w:val="auto"/>
          <w:highlight w:val="none"/>
        </w:rPr>
        <w:t>六</w:t>
      </w:r>
      <w:r>
        <w:rPr>
          <w:color w:val="auto"/>
          <w:highlight w:val="none"/>
        </w:rPr>
        <w:t xml:space="preserve">、项目管理机构 </w:t>
      </w:r>
    </w:p>
    <w:p w14:paraId="0519B6E5">
      <w:pPr>
        <w:pStyle w:val="22"/>
        <w:spacing w:line="480" w:lineRule="auto"/>
        <w:ind w:right="2158"/>
        <w:rPr>
          <w:color w:val="auto"/>
          <w:highlight w:val="none"/>
        </w:rPr>
      </w:pPr>
      <w:r>
        <w:rPr>
          <w:rFonts w:hint="eastAsia"/>
          <w:color w:val="auto"/>
          <w:highlight w:val="none"/>
        </w:rPr>
        <w:t>七</w:t>
      </w:r>
      <w:r>
        <w:rPr>
          <w:color w:val="auto"/>
          <w:highlight w:val="none"/>
        </w:rPr>
        <w:t>、拟分包项目情况表</w:t>
      </w:r>
      <w:r>
        <w:rPr>
          <w:rFonts w:hint="eastAsia"/>
          <w:color w:val="auto"/>
          <w:highlight w:val="none"/>
        </w:rPr>
        <w:t>（如有）</w:t>
      </w:r>
    </w:p>
    <w:p w14:paraId="5389CECF">
      <w:pPr>
        <w:pStyle w:val="22"/>
        <w:spacing w:line="480" w:lineRule="auto"/>
        <w:ind w:right="2158"/>
        <w:rPr>
          <w:color w:val="auto"/>
          <w:highlight w:val="none"/>
        </w:rPr>
      </w:pPr>
      <w:r>
        <w:rPr>
          <w:rFonts w:hint="eastAsia"/>
          <w:color w:val="auto"/>
          <w:highlight w:val="none"/>
        </w:rPr>
        <w:t>八</w:t>
      </w:r>
      <w:r>
        <w:rPr>
          <w:color w:val="auto"/>
          <w:highlight w:val="none"/>
        </w:rPr>
        <w:t xml:space="preserve">、资格审查资料 </w:t>
      </w:r>
    </w:p>
    <w:p w14:paraId="6F37EA92">
      <w:pPr>
        <w:pStyle w:val="22"/>
        <w:spacing w:line="480" w:lineRule="auto"/>
        <w:ind w:right="2158"/>
        <w:rPr>
          <w:color w:val="auto"/>
          <w:highlight w:val="none"/>
        </w:rPr>
      </w:pPr>
      <w:r>
        <w:rPr>
          <w:rFonts w:hint="eastAsia"/>
          <w:color w:val="auto"/>
          <w:highlight w:val="none"/>
        </w:rPr>
        <w:t>九</w:t>
      </w:r>
      <w:r>
        <w:rPr>
          <w:color w:val="auto"/>
          <w:highlight w:val="none"/>
        </w:rPr>
        <w:t>、其他</w:t>
      </w:r>
      <w:r>
        <w:rPr>
          <w:rFonts w:hint="eastAsia"/>
          <w:color w:val="auto"/>
          <w:highlight w:val="none"/>
        </w:rPr>
        <w:t>资</w:t>
      </w:r>
      <w:r>
        <w:rPr>
          <w:color w:val="auto"/>
          <w:highlight w:val="none"/>
        </w:rPr>
        <w:t>料</w:t>
      </w:r>
      <w:r>
        <w:rPr>
          <w:rFonts w:hint="eastAsia"/>
          <w:color w:val="auto"/>
          <w:highlight w:val="none"/>
        </w:rPr>
        <w:t>（如有）</w:t>
      </w:r>
    </w:p>
    <w:p w14:paraId="0643F7F1">
      <w:pPr>
        <w:rPr>
          <w:rFonts w:ascii="宋体" w:hAnsi="宋体"/>
          <w:color w:val="auto"/>
          <w:highlight w:val="none"/>
        </w:rPr>
      </w:pPr>
    </w:p>
    <w:p w14:paraId="327E0828">
      <w:pPr>
        <w:rPr>
          <w:rFonts w:ascii="宋体" w:hAnsi="宋体"/>
          <w:color w:val="auto"/>
          <w:highlight w:val="none"/>
        </w:rPr>
      </w:pPr>
    </w:p>
    <w:p w14:paraId="5829463F">
      <w:pPr>
        <w:rPr>
          <w:rFonts w:ascii="宋体" w:hAnsi="宋体"/>
          <w:color w:val="auto"/>
          <w:highlight w:val="none"/>
        </w:rPr>
      </w:pPr>
    </w:p>
    <w:p w14:paraId="58D7E447">
      <w:pPr>
        <w:rPr>
          <w:rFonts w:ascii="宋体" w:hAnsi="宋体"/>
          <w:color w:val="auto"/>
          <w:highlight w:val="none"/>
        </w:rPr>
      </w:pPr>
    </w:p>
    <w:p w14:paraId="72F146E9">
      <w:pPr>
        <w:rPr>
          <w:rFonts w:ascii="宋体" w:hAnsi="宋体"/>
          <w:color w:val="auto"/>
          <w:highlight w:val="none"/>
        </w:rPr>
      </w:pPr>
    </w:p>
    <w:p w14:paraId="51AAC730">
      <w:pPr>
        <w:rPr>
          <w:rFonts w:ascii="宋体" w:hAnsi="宋体"/>
          <w:color w:val="auto"/>
          <w:highlight w:val="none"/>
        </w:rPr>
      </w:pPr>
    </w:p>
    <w:p w14:paraId="5E815FA1">
      <w:pPr>
        <w:rPr>
          <w:rFonts w:ascii="宋体" w:hAnsi="宋体"/>
          <w:color w:val="auto"/>
          <w:highlight w:val="none"/>
        </w:rPr>
      </w:pPr>
    </w:p>
    <w:p w14:paraId="23A03E0F">
      <w:pPr>
        <w:rPr>
          <w:rFonts w:ascii="宋体" w:hAnsi="宋体"/>
          <w:color w:val="auto"/>
          <w:highlight w:val="none"/>
        </w:rPr>
      </w:pPr>
    </w:p>
    <w:p w14:paraId="366470D8">
      <w:pPr>
        <w:rPr>
          <w:rFonts w:ascii="宋体" w:hAnsi="宋体"/>
          <w:color w:val="auto"/>
          <w:highlight w:val="none"/>
        </w:rPr>
      </w:pPr>
    </w:p>
    <w:p w14:paraId="7F079879">
      <w:pPr>
        <w:rPr>
          <w:rFonts w:ascii="宋体" w:hAnsi="宋体"/>
          <w:color w:val="auto"/>
          <w:highlight w:val="none"/>
        </w:rPr>
      </w:pPr>
    </w:p>
    <w:p w14:paraId="2E3E9959">
      <w:pPr>
        <w:rPr>
          <w:rFonts w:ascii="宋体" w:hAnsi="宋体"/>
          <w:color w:val="auto"/>
          <w:highlight w:val="none"/>
        </w:rPr>
      </w:pPr>
    </w:p>
    <w:p w14:paraId="062D0075">
      <w:pPr>
        <w:rPr>
          <w:rFonts w:ascii="宋体" w:hAnsi="宋体"/>
          <w:color w:val="auto"/>
          <w:highlight w:val="none"/>
        </w:rPr>
      </w:pPr>
    </w:p>
    <w:p w14:paraId="75C22AA3">
      <w:pPr>
        <w:rPr>
          <w:rFonts w:ascii="宋体" w:hAnsi="宋体"/>
          <w:color w:val="auto"/>
          <w:highlight w:val="none"/>
        </w:rPr>
      </w:pPr>
    </w:p>
    <w:p w14:paraId="605E5AB9">
      <w:pPr>
        <w:rPr>
          <w:rFonts w:ascii="宋体" w:hAnsi="宋体"/>
          <w:color w:val="auto"/>
          <w:highlight w:val="none"/>
        </w:rPr>
      </w:pPr>
    </w:p>
    <w:p w14:paraId="009FA9E6">
      <w:pPr>
        <w:rPr>
          <w:rFonts w:ascii="宋体" w:hAnsi="宋体"/>
          <w:color w:val="auto"/>
          <w:highlight w:val="none"/>
        </w:rPr>
      </w:pPr>
    </w:p>
    <w:p w14:paraId="09E5C571">
      <w:pPr>
        <w:rPr>
          <w:rFonts w:ascii="宋体" w:hAnsi="宋体"/>
          <w:color w:val="auto"/>
          <w:highlight w:val="none"/>
        </w:rPr>
      </w:pPr>
    </w:p>
    <w:p w14:paraId="6D14A106">
      <w:pPr>
        <w:rPr>
          <w:rFonts w:ascii="宋体" w:hAnsi="宋体"/>
          <w:color w:val="auto"/>
          <w:highlight w:val="none"/>
        </w:rPr>
      </w:pPr>
    </w:p>
    <w:p w14:paraId="08843F05">
      <w:pPr>
        <w:rPr>
          <w:rFonts w:ascii="宋体" w:hAnsi="宋体"/>
          <w:color w:val="auto"/>
          <w:highlight w:val="none"/>
        </w:rPr>
      </w:pPr>
    </w:p>
    <w:p w14:paraId="751A5B25">
      <w:pPr>
        <w:rPr>
          <w:rFonts w:ascii="宋体" w:hAnsi="宋体"/>
          <w:color w:val="auto"/>
          <w:highlight w:val="none"/>
        </w:rPr>
      </w:pPr>
    </w:p>
    <w:p w14:paraId="2C766B62">
      <w:pPr>
        <w:rPr>
          <w:rFonts w:ascii="宋体" w:hAnsi="宋体"/>
          <w:color w:val="auto"/>
          <w:highlight w:val="none"/>
        </w:rPr>
      </w:pPr>
    </w:p>
    <w:p w14:paraId="441EB65A">
      <w:pPr>
        <w:rPr>
          <w:rFonts w:ascii="宋体" w:hAnsi="宋体"/>
          <w:color w:val="auto"/>
          <w:highlight w:val="none"/>
        </w:rPr>
        <w:sectPr>
          <w:headerReference r:id="rId22" w:type="default"/>
          <w:headerReference r:id="rId23" w:type="even"/>
          <w:footerReference r:id="rId24" w:type="even"/>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pPr>
    </w:p>
    <w:p w14:paraId="0BC73932">
      <w:pPr>
        <w:pStyle w:val="265"/>
        <w:spacing w:line="360" w:lineRule="auto"/>
        <w:jc w:val="center"/>
        <w:outlineLvl w:val="1"/>
        <w:rPr>
          <w:rFonts w:hint="eastAsia" w:ascii="Arial" w:hAnsi="Arial" w:cs="Times New Roman"/>
          <w:b w:val="0"/>
          <w:bCs w:val="0"/>
          <w:color w:val="auto"/>
          <w:sz w:val="30"/>
          <w:szCs w:val="32"/>
          <w:highlight w:val="none"/>
        </w:rPr>
      </w:pPr>
      <w:bookmarkStart w:id="904" w:name="_TOC_250037"/>
      <w:bookmarkEnd w:id="904"/>
      <w:bookmarkStart w:id="905" w:name="_Toc53685814"/>
      <w:r>
        <w:rPr>
          <w:rStyle w:val="346"/>
          <w:rFonts w:hint="default" w:ascii="宋体" w:hAnsi="宋体"/>
          <w:b w:val="0"/>
          <w:bCs/>
          <w:color w:val="auto"/>
          <w:highlight w:val="none"/>
        </w:rPr>
        <w:t>一、投标函及投标函附录</w:t>
      </w:r>
      <w:bookmarkEnd w:id="905"/>
    </w:p>
    <w:p w14:paraId="2880847B">
      <w:pPr>
        <w:tabs>
          <w:tab w:val="left" w:pos="0"/>
        </w:tabs>
        <w:snapToGrid w:val="0"/>
        <w:spacing w:line="360" w:lineRule="auto"/>
        <w:jc w:val="center"/>
        <w:outlineLvl w:val="2"/>
        <w:rPr>
          <w:rFonts w:ascii="黑体" w:hAnsi="黑体" w:eastAsia="黑体"/>
          <w:bCs/>
          <w:color w:val="auto"/>
          <w:sz w:val="28"/>
          <w:szCs w:val="28"/>
          <w:highlight w:val="none"/>
        </w:rPr>
      </w:pPr>
      <w:r>
        <w:rPr>
          <w:rFonts w:hint="eastAsia" w:ascii="黑体" w:hAnsi="黑体" w:eastAsia="黑体"/>
          <w:bCs/>
          <w:color w:val="auto"/>
          <w:sz w:val="28"/>
          <w:szCs w:val="28"/>
          <w:highlight w:val="none"/>
        </w:rPr>
        <w:t>（一）投</w:t>
      </w:r>
      <w:r>
        <w:rPr>
          <w:rFonts w:hint="eastAsia" w:ascii="黑体" w:hAnsi="黑体" w:eastAsia="黑体"/>
          <w:bCs/>
          <w:color w:val="auto"/>
          <w:sz w:val="28"/>
          <w:szCs w:val="28"/>
          <w:highlight w:val="none"/>
          <w:lang w:val="en-US" w:eastAsia="zh-CN"/>
        </w:rPr>
        <w:t xml:space="preserve"> </w:t>
      </w:r>
      <w:r>
        <w:rPr>
          <w:rFonts w:hint="eastAsia" w:ascii="黑体" w:hAnsi="黑体" w:eastAsia="黑体"/>
          <w:bCs/>
          <w:color w:val="auto"/>
          <w:sz w:val="28"/>
          <w:szCs w:val="28"/>
          <w:highlight w:val="none"/>
        </w:rPr>
        <w:t>标</w:t>
      </w:r>
      <w:r>
        <w:rPr>
          <w:rFonts w:hint="eastAsia" w:ascii="黑体" w:hAnsi="黑体" w:eastAsia="黑体"/>
          <w:bCs/>
          <w:color w:val="auto"/>
          <w:sz w:val="28"/>
          <w:szCs w:val="28"/>
          <w:highlight w:val="none"/>
          <w:lang w:val="en-US" w:eastAsia="zh-CN"/>
        </w:rPr>
        <w:t xml:space="preserve"> </w:t>
      </w:r>
      <w:r>
        <w:rPr>
          <w:rFonts w:hint="eastAsia" w:ascii="黑体" w:hAnsi="黑体" w:eastAsia="黑体"/>
          <w:bCs/>
          <w:color w:val="auto"/>
          <w:sz w:val="28"/>
          <w:szCs w:val="28"/>
          <w:highlight w:val="none"/>
        </w:rPr>
        <w:t>函</w:t>
      </w:r>
    </w:p>
    <w:p w14:paraId="7B3EA50E">
      <w:pPr>
        <w:tabs>
          <w:tab w:val="left" w:pos="0"/>
        </w:tabs>
        <w:snapToGrid w:val="0"/>
        <w:spacing w:line="360" w:lineRule="auto"/>
        <w:rPr>
          <w:rFonts w:ascii="宋体" w:hAnsi="宋体"/>
          <w:color w:val="auto"/>
          <w:sz w:val="24"/>
          <w:highlight w:val="none"/>
        </w:rPr>
      </w:pPr>
      <w:r>
        <w:rPr>
          <w:rFonts w:ascii="宋体" w:hAnsi="宋体"/>
          <w:color w:val="auto"/>
          <w:sz w:val="24"/>
          <w:highlight w:val="none"/>
        </w:rPr>
        <w:t>_______________</w:t>
      </w:r>
      <w:r>
        <w:rPr>
          <w:rFonts w:hint="eastAsia" w:ascii="宋体" w:hAnsi="宋体"/>
          <w:color w:val="auto"/>
          <w:sz w:val="24"/>
          <w:highlight w:val="none"/>
        </w:rPr>
        <w:t>（招标人名称）：</w:t>
      </w:r>
    </w:p>
    <w:p w14:paraId="4946F589">
      <w:pPr>
        <w:tabs>
          <w:tab w:val="left" w:pos="0"/>
        </w:tabs>
        <w:snapToGrid w:val="0"/>
        <w:spacing w:line="360" w:lineRule="auto"/>
        <w:ind w:firstLine="480" w:firstLineChars="200"/>
        <w:rPr>
          <w:rFonts w:ascii="宋体" w:hAnsi="宋体"/>
          <w:color w:val="auto"/>
          <w:sz w:val="24"/>
          <w:highlight w:val="none"/>
        </w:rPr>
      </w:pPr>
    </w:p>
    <w:p w14:paraId="7ADA4643">
      <w:pPr>
        <w:tabs>
          <w:tab w:val="left" w:pos="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．我方已仔细研究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（招标项目名称）招标第</w:t>
      </w:r>
      <w:r>
        <w:rPr>
          <w:rFonts w:ascii="宋体" w:hAnsi="宋体"/>
          <w:color w:val="auto"/>
          <w:sz w:val="24"/>
          <w:highlight w:val="none"/>
        </w:rPr>
        <w:t>_____</w:t>
      </w:r>
      <w:r>
        <w:rPr>
          <w:rFonts w:hint="eastAsia" w:ascii="宋体" w:hAnsi="宋体"/>
          <w:color w:val="auto"/>
          <w:sz w:val="24"/>
          <w:highlight w:val="none"/>
        </w:rPr>
        <w:t>标段招标文件的全部内容（含所有补遗书），在考察工程现场后，愿意以第二个信封（报价文件）中的投标总报价，按合同约定实施和完成承包工程，修补工程中的任何缺陷。</w:t>
      </w:r>
      <w:r>
        <w:rPr>
          <w:rFonts w:ascii="宋体" w:hAnsi="宋体"/>
          <w:color w:val="auto"/>
          <w:sz w:val="24"/>
          <w:highlight w:val="none"/>
        </w:rPr>
        <w:t xml:space="preserve"> </w:t>
      </w:r>
    </w:p>
    <w:p w14:paraId="638D909D">
      <w:pPr>
        <w:tabs>
          <w:tab w:val="left" w:pos="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．我方承诺在招标文件规定的投标有效期内不撤销投标文件。</w:t>
      </w:r>
    </w:p>
    <w:p w14:paraId="36166FF3">
      <w:pPr>
        <w:tabs>
          <w:tab w:val="left" w:pos="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．工程质量：</w:t>
      </w:r>
      <w:r>
        <w:rPr>
          <w:rFonts w:hint="eastAsia" w:ascii="宋体" w:hAnsi="宋体" w:cs="宋体"/>
          <w:color w:val="auto"/>
          <w:sz w:val="24"/>
          <w:highlight w:val="none"/>
          <w:u w:val="single"/>
        </w:rPr>
        <w:t>同第二章“投标人须知”前附表第</w:t>
      </w:r>
      <w:r>
        <w:rPr>
          <w:rFonts w:ascii="宋体" w:hAnsi="宋体" w:cs="宋体"/>
          <w:color w:val="auto"/>
          <w:sz w:val="24"/>
          <w:highlight w:val="none"/>
          <w:u w:val="single"/>
        </w:rPr>
        <w:t>1.3.3项</w:t>
      </w:r>
      <w:r>
        <w:rPr>
          <w:rFonts w:ascii="宋体" w:hAnsi="宋体"/>
          <w:color w:val="auto"/>
          <w:sz w:val="24"/>
          <w:highlight w:val="none"/>
        </w:rPr>
        <w:t xml:space="preserve"> </w:t>
      </w:r>
      <w:r>
        <w:rPr>
          <w:rFonts w:hint="eastAsia" w:ascii="宋体" w:hAnsi="宋体"/>
          <w:color w:val="auto"/>
          <w:sz w:val="24"/>
          <w:highlight w:val="none"/>
        </w:rPr>
        <w:t>，安全目标：</w:t>
      </w:r>
      <w:r>
        <w:rPr>
          <w:rFonts w:hint="eastAsia" w:ascii="宋体" w:hAnsi="宋体" w:cs="宋体"/>
          <w:color w:val="auto"/>
          <w:sz w:val="24"/>
          <w:highlight w:val="none"/>
          <w:u w:val="single"/>
        </w:rPr>
        <w:t>同第二章“投标人须知”前附表第</w:t>
      </w:r>
      <w:r>
        <w:rPr>
          <w:rFonts w:ascii="宋体" w:hAnsi="宋体" w:cs="宋体"/>
          <w:color w:val="auto"/>
          <w:sz w:val="24"/>
          <w:highlight w:val="none"/>
          <w:u w:val="single"/>
        </w:rPr>
        <w:t>1.3.4项</w:t>
      </w:r>
      <w:r>
        <w:rPr>
          <w:rFonts w:hint="eastAsia" w:ascii="宋体" w:hAnsi="宋体"/>
          <w:color w:val="auto"/>
          <w:sz w:val="24"/>
          <w:highlight w:val="none"/>
        </w:rPr>
        <w:t>，工期：</w:t>
      </w:r>
      <w:r>
        <w:rPr>
          <w:rFonts w:ascii="宋体" w:hAnsi="宋体"/>
          <w:color w:val="auto"/>
          <w:sz w:val="24"/>
          <w:highlight w:val="none"/>
        </w:rPr>
        <w:t>____</w:t>
      </w:r>
      <w:r>
        <w:rPr>
          <w:rFonts w:hint="eastAsia" w:ascii="宋体" w:hAnsi="宋体"/>
          <w:color w:val="auto"/>
          <w:sz w:val="24"/>
          <w:highlight w:val="none"/>
        </w:rPr>
        <w:t>个月。</w:t>
      </w:r>
    </w:p>
    <w:p w14:paraId="2E1F0846">
      <w:pPr>
        <w:tabs>
          <w:tab w:val="left" w:pos="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．如我方中标，我方承诺：</w:t>
      </w:r>
      <w:r>
        <w:rPr>
          <w:rFonts w:ascii="宋体" w:hAnsi="宋体"/>
          <w:color w:val="auto"/>
          <w:sz w:val="24"/>
          <w:highlight w:val="none"/>
        </w:rPr>
        <w:t xml:space="preserve"> </w:t>
      </w:r>
    </w:p>
    <w:p w14:paraId="0EFFF8CF">
      <w:pPr>
        <w:tabs>
          <w:tab w:val="left" w:pos="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）在收到中标通知书后，在中标通知书规定的期限内与你方签订合同；</w:t>
      </w:r>
    </w:p>
    <w:p w14:paraId="35C2CB54">
      <w:pPr>
        <w:tabs>
          <w:tab w:val="left" w:pos="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）在签订合同时不向你方提出附加条件；</w:t>
      </w:r>
    </w:p>
    <w:p w14:paraId="14986B07">
      <w:pPr>
        <w:tabs>
          <w:tab w:val="left" w:pos="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）按照招标文件要求提交履约保证金；</w:t>
      </w:r>
    </w:p>
    <w:p w14:paraId="351D3CE3">
      <w:pPr>
        <w:tabs>
          <w:tab w:val="left" w:pos="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）在合同约定的期限内完成合同规定的全部义务；</w:t>
      </w:r>
    </w:p>
    <w:p w14:paraId="02EEB7D0">
      <w:pPr>
        <w:tabs>
          <w:tab w:val="left" w:pos="0"/>
        </w:tabs>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w:t>
      </w:r>
      <w:r>
        <w:rPr>
          <w:rFonts w:hint="eastAsia" w:ascii="宋体" w:hAnsi="宋体" w:cs="宋体"/>
          <w:color w:val="auto"/>
          <w:sz w:val="24"/>
          <w:highlight w:val="none"/>
        </w:rPr>
        <w:t>本标段拟委任的</w:t>
      </w:r>
      <w:r>
        <w:rPr>
          <w:rFonts w:ascii="宋体" w:hAnsi="宋体" w:cs="宋体"/>
          <w:color w:val="auto"/>
          <w:sz w:val="24"/>
          <w:highlight w:val="none"/>
        </w:rPr>
        <w:t>主要人员</w:t>
      </w:r>
      <w:r>
        <w:rPr>
          <w:rFonts w:hint="eastAsia" w:ascii="宋体" w:hAnsi="宋体" w:cs="宋体"/>
          <w:color w:val="auto"/>
          <w:sz w:val="24"/>
          <w:highlight w:val="none"/>
        </w:rPr>
        <w:t>未在</w:t>
      </w:r>
      <w:r>
        <w:rPr>
          <w:rFonts w:ascii="宋体" w:hAnsi="宋体" w:cs="宋体"/>
          <w:color w:val="auto"/>
          <w:sz w:val="24"/>
          <w:highlight w:val="none"/>
        </w:rPr>
        <w:t>其他项目上任职，或</w:t>
      </w:r>
      <w:r>
        <w:rPr>
          <w:rFonts w:hint="eastAsia" w:ascii="宋体" w:hAnsi="宋体" w:cs="宋体"/>
          <w:color w:val="auto"/>
          <w:sz w:val="24"/>
          <w:highlight w:val="none"/>
        </w:rPr>
        <w:t>虽</w:t>
      </w:r>
      <w:r>
        <w:rPr>
          <w:rFonts w:ascii="宋体" w:hAnsi="宋体" w:cs="宋体"/>
          <w:color w:val="auto"/>
          <w:sz w:val="24"/>
          <w:highlight w:val="none"/>
        </w:rPr>
        <w:t>在其他项目上任职</w:t>
      </w:r>
      <w:r>
        <w:rPr>
          <w:rFonts w:hint="eastAsia" w:ascii="宋体" w:hAnsi="宋体" w:cs="宋体"/>
          <w:color w:val="auto"/>
          <w:sz w:val="24"/>
          <w:highlight w:val="none"/>
        </w:rPr>
        <w:t>但本项目中标后能够</w:t>
      </w:r>
      <w:r>
        <w:rPr>
          <w:rFonts w:ascii="宋体" w:hAnsi="宋体" w:cs="宋体"/>
          <w:color w:val="auto"/>
          <w:sz w:val="24"/>
          <w:highlight w:val="none"/>
        </w:rPr>
        <w:t>从该项目撤离</w:t>
      </w:r>
      <w:r>
        <w:rPr>
          <w:rFonts w:hint="eastAsia" w:ascii="宋体" w:hAnsi="宋体" w:cs="宋体"/>
          <w:color w:val="auto"/>
          <w:sz w:val="24"/>
          <w:highlight w:val="none"/>
          <w:lang w:eastAsia="zh-CN"/>
        </w:rPr>
        <w:t>；</w:t>
      </w:r>
    </w:p>
    <w:p w14:paraId="3F241586">
      <w:pPr>
        <w:tabs>
          <w:tab w:val="left" w:pos="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6）在你方和我方进行合同谈判之前，我方将按照合同附件提出的最低要求填报派驻本标段的主要人员或</w:t>
      </w:r>
      <w:r>
        <w:rPr>
          <w:rFonts w:hint="eastAsia" w:ascii="宋体" w:hAnsi="宋体"/>
          <w:color w:val="auto"/>
          <w:sz w:val="24"/>
          <w:highlight w:val="none"/>
        </w:rPr>
        <w:t>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r>
        <w:rPr>
          <w:rStyle w:val="59"/>
          <w:rFonts w:ascii="宋体" w:hAnsi="宋体"/>
          <w:color w:val="auto"/>
          <w:sz w:val="24"/>
          <w:highlight w:val="none"/>
        </w:rPr>
        <w:footnoteReference w:id="273"/>
      </w:r>
    </w:p>
    <w:p w14:paraId="245D6759">
      <w:pPr>
        <w:tabs>
          <w:tab w:val="left" w:pos="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．我方在此声明，所递交的投标文件及有关资料内容完整、真实和准确，且不存在招标文件第二章</w:t>
      </w:r>
      <w:r>
        <w:rPr>
          <w:rFonts w:ascii="宋体" w:hAnsi="宋体"/>
          <w:color w:val="auto"/>
          <w:sz w:val="24"/>
          <w:highlight w:val="none"/>
        </w:rPr>
        <w:t>“</w:t>
      </w:r>
      <w:r>
        <w:rPr>
          <w:rFonts w:hint="eastAsia" w:ascii="宋体" w:hAnsi="宋体"/>
          <w:color w:val="auto"/>
          <w:sz w:val="24"/>
          <w:highlight w:val="none"/>
        </w:rPr>
        <w:t>投标人须知</w:t>
      </w:r>
      <w:r>
        <w:rPr>
          <w:rFonts w:ascii="宋体" w:hAnsi="宋体"/>
          <w:color w:val="auto"/>
          <w:sz w:val="24"/>
          <w:highlight w:val="none"/>
        </w:rPr>
        <w:t>”</w:t>
      </w:r>
      <w:r>
        <w:rPr>
          <w:rFonts w:hint="eastAsia" w:ascii="宋体" w:hAnsi="宋体"/>
          <w:color w:val="auto"/>
          <w:sz w:val="24"/>
          <w:highlight w:val="none"/>
        </w:rPr>
        <w:t>第</w:t>
      </w:r>
      <w:r>
        <w:rPr>
          <w:rFonts w:ascii="宋体" w:hAnsi="宋体"/>
          <w:color w:val="auto"/>
          <w:sz w:val="24"/>
          <w:highlight w:val="none"/>
        </w:rPr>
        <w:t>1.4.3</w:t>
      </w:r>
      <w:r>
        <w:rPr>
          <w:rFonts w:hint="eastAsia" w:ascii="宋体" w:hAnsi="宋体"/>
          <w:color w:val="auto"/>
          <w:sz w:val="24"/>
          <w:highlight w:val="none"/>
        </w:rPr>
        <w:t>项和第</w:t>
      </w:r>
      <w:r>
        <w:rPr>
          <w:rFonts w:ascii="宋体" w:hAnsi="宋体"/>
          <w:color w:val="auto"/>
          <w:sz w:val="24"/>
          <w:highlight w:val="none"/>
        </w:rPr>
        <w:t>1.4.4</w:t>
      </w:r>
      <w:r>
        <w:rPr>
          <w:rFonts w:hint="eastAsia" w:ascii="宋体" w:hAnsi="宋体"/>
          <w:color w:val="auto"/>
          <w:sz w:val="24"/>
          <w:highlight w:val="none"/>
        </w:rPr>
        <w:t>项规定的任何一种情形。同时，</w:t>
      </w:r>
      <w:r>
        <w:rPr>
          <w:rFonts w:hint="eastAsia" w:ascii="宋体" w:hAnsi="宋体" w:cs="宋体"/>
          <w:color w:val="auto"/>
          <w:sz w:val="24"/>
          <w:highlight w:val="none"/>
        </w:rPr>
        <w:t>投标文件</w:t>
      </w:r>
      <w:r>
        <w:rPr>
          <w:rFonts w:ascii="宋体" w:hAnsi="宋体" w:cs="宋体"/>
          <w:color w:val="auto"/>
          <w:sz w:val="24"/>
          <w:highlight w:val="none"/>
        </w:rPr>
        <w:t>中</w:t>
      </w:r>
      <w:r>
        <w:rPr>
          <w:rFonts w:hint="eastAsia" w:ascii="宋体" w:hAnsi="宋体" w:cs="宋体"/>
          <w:color w:val="auto"/>
          <w:sz w:val="24"/>
          <w:highlight w:val="none"/>
        </w:rPr>
        <w:t>权利义务</w:t>
      </w:r>
      <w:r>
        <w:rPr>
          <w:rFonts w:hint="eastAsia" w:ascii="宋体" w:hAnsi="宋体"/>
          <w:color w:val="auto"/>
          <w:sz w:val="24"/>
          <w:highlight w:val="none"/>
        </w:rPr>
        <w:t>符合第二章“投标人须知”前附表第</w:t>
      </w:r>
      <w:r>
        <w:rPr>
          <w:rFonts w:hint="eastAsia" w:ascii="宋体" w:hAnsi="宋体"/>
          <w:color w:val="auto"/>
          <w:sz w:val="24"/>
          <w:highlight w:val="none"/>
          <w:lang w:val="en-US" w:eastAsia="zh-CN"/>
        </w:rPr>
        <w:t>10</w:t>
      </w:r>
      <w:r>
        <w:rPr>
          <w:rFonts w:ascii="宋体" w:hAnsi="宋体"/>
          <w:color w:val="auto"/>
          <w:sz w:val="24"/>
          <w:highlight w:val="none"/>
        </w:rPr>
        <w:t>.2款的规定。</w:t>
      </w:r>
    </w:p>
    <w:p w14:paraId="751DC77E">
      <w:pPr>
        <w:tabs>
          <w:tab w:val="left" w:pos="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．在合同协议书正式签署生效之前，本投标函连同你方的中标通知书将构成我们双方之间共同遵守的文件，对双方具有约束力。</w:t>
      </w:r>
    </w:p>
    <w:p w14:paraId="0F84F0F5">
      <w:pPr>
        <w:tabs>
          <w:tab w:val="left" w:pos="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（其他补充说明）。</w:t>
      </w:r>
      <w:r>
        <w:rPr>
          <w:rFonts w:ascii="宋体" w:hAnsi="宋体"/>
          <w:color w:val="auto"/>
          <w:sz w:val="24"/>
          <w:highlight w:val="none"/>
        </w:rPr>
        <w:t xml:space="preserve"> </w:t>
      </w:r>
    </w:p>
    <w:p w14:paraId="4F7285B3">
      <w:pPr>
        <w:tabs>
          <w:tab w:val="left" w:pos="0"/>
        </w:tabs>
        <w:snapToGrid w:val="0"/>
        <w:spacing w:line="360" w:lineRule="auto"/>
        <w:rPr>
          <w:rFonts w:ascii="宋体" w:hAnsi="宋体"/>
          <w:color w:val="auto"/>
          <w:sz w:val="24"/>
          <w:highlight w:val="none"/>
        </w:rPr>
      </w:pPr>
    </w:p>
    <w:p w14:paraId="7CC69647">
      <w:pPr>
        <w:spacing w:line="360" w:lineRule="auto"/>
        <w:ind w:firstLine="1680" w:firstLineChars="700"/>
        <w:rPr>
          <w:rFonts w:ascii="宋体" w:hAnsi="宋体" w:cs="宋体"/>
          <w:color w:val="auto"/>
          <w:sz w:val="24"/>
          <w:highlight w:val="none"/>
        </w:rPr>
      </w:pPr>
      <w:r>
        <w:rPr>
          <w:rFonts w:hint="eastAsia" w:ascii="宋体" w:hAnsi="宋体" w:cs="宋体"/>
          <w:color w:val="auto"/>
          <w:sz w:val="24"/>
          <w:highlight w:val="none"/>
        </w:rPr>
        <w:t>投</w:t>
      </w:r>
      <w:r>
        <w:rPr>
          <w:rFonts w:ascii="宋体" w:hAnsi="宋体" w:cs="宋体"/>
          <w:color w:val="auto"/>
          <w:sz w:val="24"/>
          <w:highlight w:val="none"/>
        </w:rPr>
        <w:t xml:space="preserve"> </w:t>
      </w:r>
      <w:r>
        <w:rPr>
          <w:rFonts w:hint="eastAsia" w:ascii="宋体" w:hAnsi="宋体" w:cs="宋体"/>
          <w:color w:val="auto"/>
          <w:sz w:val="24"/>
          <w:highlight w:val="none"/>
        </w:rPr>
        <w:t>标</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（全称）</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Style w:val="59"/>
          <w:rFonts w:ascii="宋体" w:hAnsi="宋体" w:cs="宋体"/>
          <w:color w:val="auto"/>
          <w:sz w:val="28"/>
          <w:szCs w:val="28"/>
          <w:highlight w:val="none"/>
        </w:rPr>
        <w:footnoteReference w:id="274"/>
      </w:r>
      <w:r>
        <w:rPr>
          <w:rFonts w:hint="eastAsia" w:ascii="宋体" w:hAnsi="宋体" w:cs="宋体"/>
          <w:color w:val="auto"/>
          <w:sz w:val="24"/>
          <w:highlight w:val="none"/>
        </w:rPr>
        <w:t>（盖单位电子印章）</w:t>
      </w:r>
      <w:r>
        <w:rPr>
          <w:rStyle w:val="59"/>
          <w:rFonts w:ascii="宋体" w:hAnsi="宋体" w:cs="宋体"/>
          <w:color w:val="auto"/>
          <w:sz w:val="28"/>
          <w:szCs w:val="28"/>
          <w:highlight w:val="none"/>
        </w:rPr>
        <w:footnoteReference w:id="275"/>
      </w:r>
    </w:p>
    <w:p w14:paraId="07376E49">
      <w:pPr>
        <w:spacing w:line="360" w:lineRule="auto"/>
        <w:ind w:firstLine="1680" w:firstLineChars="700"/>
        <w:rPr>
          <w:rFonts w:hint="eastAsia" w:ascii="宋体" w:hAnsi="宋体" w:cs="宋体"/>
          <w:color w:val="auto"/>
          <w:sz w:val="24"/>
          <w:highlight w:val="none"/>
        </w:rPr>
      </w:pPr>
      <w:r>
        <w:rPr>
          <w:rFonts w:hint="eastAsia" w:ascii="宋体" w:hAnsi="宋体" w:cs="宋体"/>
          <w:color w:val="auto"/>
          <w:sz w:val="24"/>
          <w:highlight w:val="none"/>
        </w:rPr>
        <w:t>法定代表人</w:t>
      </w:r>
    </w:p>
    <w:p w14:paraId="220B77E8">
      <w:pPr>
        <w:spacing w:line="360" w:lineRule="auto"/>
        <w:ind w:firstLine="1680" w:firstLineChars="700"/>
        <w:rPr>
          <w:rFonts w:ascii="宋体" w:hAnsi="宋体" w:cs="宋体"/>
          <w:color w:val="auto"/>
          <w:sz w:val="24"/>
          <w:highlight w:val="none"/>
        </w:rPr>
      </w:pPr>
      <w:r>
        <w:rPr>
          <w:rFonts w:hint="eastAsia" w:ascii="宋体" w:hAnsi="宋体" w:cs="宋体"/>
          <w:color w:val="auto"/>
          <w:sz w:val="24"/>
          <w:highlight w:val="none"/>
        </w:rPr>
        <w:t>或其委托代理人</w:t>
      </w:r>
      <w:r>
        <w:rPr>
          <w:rStyle w:val="59"/>
          <w:rFonts w:ascii="宋体" w:hAnsi="宋体" w:cs="宋体"/>
          <w:color w:val="auto"/>
          <w:sz w:val="24"/>
          <w:highlight w:val="none"/>
        </w:rPr>
        <w:footnoteReference w:id="276"/>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（个人电子签名章或个人电子印章）</w:t>
      </w:r>
    </w:p>
    <w:p w14:paraId="04C9EF6A">
      <w:pPr>
        <w:spacing w:line="360" w:lineRule="auto"/>
        <w:ind w:firstLine="1680" w:firstLineChars="700"/>
        <w:rPr>
          <w:rFonts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53598A92">
      <w:pPr>
        <w:spacing w:line="360" w:lineRule="auto"/>
        <w:ind w:firstLine="1680" w:firstLineChars="700"/>
        <w:rPr>
          <w:rFonts w:ascii="宋体" w:hAnsi="宋体" w:cs="宋体"/>
          <w:color w:val="auto"/>
          <w:sz w:val="24"/>
          <w:highlight w:val="none"/>
        </w:rPr>
      </w:pPr>
      <w:r>
        <w:rPr>
          <w:rFonts w:hint="eastAsia" w:ascii="宋体" w:hAnsi="宋体" w:cs="宋体"/>
          <w:color w:val="auto"/>
          <w:sz w:val="24"/>
          <w:highlight w:val="none"/>
        </w:rPr>
        <w:t>网</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62DDB26F">
      <w:pPr>
        <w:spacing w:line="360" w:lineRule="auto"/>
        <w:ind w:firstLine="1680" w:firstLineChars="70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7AF37014">
      <w:pPr>
        <w:tabs>
          <w:tab w:val="left" w:pos="0"/>
        </w:tabs>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5732236F">
      <w:pPr>
        <w:tabs>
          <w:tab w:val="left" w:pos="0"/>
        </w:tabs>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邮政编码：</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78C0EEA2">
      <w:pPr>
        <w:tabs>
          <w:tab w:val="left" w:pos="0"/>
        </w:tabs>
        <w:spacing w:line="360" w:lineRule="auto"/>
        <w:ind w:firstLine="5520" w:firstLineChars="2300"/>
        <w:jc w:val="left"/>
        <w:rPr>
          <w:rFonts w:ascii="宋体" w:hAnsi="宋体" w:cs="宋体"/>
          <w:color w:val="auto"/>
          <w:sz w:val="24"/>
          <w:highlight w:val="none"/>
          <w:u w:val="single"/>
        </w:rPr>
      </w:pPr>
    </w:p>
    <w:p w14:paraId="1F896B93">
      <w:pPr>
        <w:tabs>
          <w:tab w:val="left" w:pos="0"/>
        </w:tabs>
        <w:spacing w:line="360" w:lineRule="auto"/>
        <w:ind w:firstLine="5520" w:firstLineChars="2300"/>
        <w:jc w:val="left"/>
        <w:rPr>
          <w:rFonts w:ascii="宋体" w:hAnsi="宋体"/>
          <w:color w:val="auto"/>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日</w:t>
      </w:r>
    </w:p>
    <w:p w14:paraId="2A1FCD83">
      <w:pPr>
        <w:pStyle w:val="22"/>
        <w:kinsoku w:val="0"/>
        <w:overflowPunct w:val="0"/>
        <w:rPr>
          <w:color w:val="auto"/>
          <w:sz w:val="20"/>
          <w:szCs w:val="20"/>
          <w:highlight w:val="none"/>
        </w:rPr>
      </w:pPr>
    </w:p>
    <w:p w14:paraId="15DAC97F">
      <w:pPr>
        <w:pStyle w:val="265"/>
        <w:kinsoku w:val="0"/>
        <w:overflowPunct w:val="0"/>
        <w:ind w:right="40"/>
        <w:jc w:val="center"/>
        <w:outlineLvl w:val="2"/>
        <w:rPr>
          <w:rFonts w:ascii="黑体" w:hAnsi="黑体" w:eastAsia="黑体"/>
          <w:b w:val="0"/>
          <w:color w:val="auto"/>
          <w:sz w:val="28"/>
          <w:szCs w:val="28"/>
          <w:highlight w:val="none"/>
          <w:lang w:eastAsia="zh-CN"/>
        </w:rPr>
      </w:pPr>
      <w:bookmarkStart w:id="906" w:name="bookmark291"/>
      <w:bookmarkEnd w:id="906"/>
      <w:r>
        <w:rPr>
          <w:color w:val="auto"/>
          <w:highlight w:val="none"/>
          <w:lang w:eastAsia="zh-CN"/>
        </w:rPr>
        <w:br w:type="page"/>
      </w:r>
      <w:r>
        <w:rPr>
          <w:rFonts w:hint="eastAsia" w:ascii="黑体" w:hAnsi="黑体" w:eastAsia="黑体"/>
          <w:b w:val="0"/>
          <w:color w:val="auto"/>
          <w:sz w:val="28"/>
          <w:szCs w:val="28"/>
          <w:highlight w:val="none"/>
          <w:lang w:eastAsia="zh-CN"/>
        </w:rPr>
        <w:t>（二）投标函附录</w:t>
      </w:r>
    </w:p>
    <w:p w14:paraId="5961ECBD">
      <w:pPr>
        <w:pStyle w:val="22"/>
        <w:kinsoku w:val="0"/>
        <w:overflowPunct w:val="0"/>
        <w:spacing w:before="4"/>
        <w:rPr>
          <w:rFonts w:cs="黑体"/>
          <w:color w:val="auto"/>
          <w:sz w:val="22"/>
          <w:szCs w:val="22"/>
          <w:highlight w:val="none"/>
        </w:rPr>
      </w:pPr>
      <w:r>
        <w:rPr>
          <w:rFonts w:cs="黑体"/>
          <w:color w:val="auto"/>
          <w:sz w:val="22"/>
          <w:szCs w:val="22"/>
          <w:highlight w:val="none"/>
        </w:rPr>
        <w:t xml:space="preserve"> </w:t>
      </w:r>
    </w:p>
    <w:tbl>
      <w:tblPr>
        <w:tblStyle w:val="49"/>
        <w:tblW w:w="8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700"/>
        <w:gridCol w:w="1311"/>
        <w:gridCol w:w="1216"/>
        <w:gridCol w:w="2215"/>
        <w:gridCol w:w="646"/>
      </w:tblGrid>
      <w:tr w14:paraId="3634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3E0D92FB">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hint="eastAsia"/>
                <w:b/>
                <w:bCs/>
                <w:color w:val="auto"/>
                <w:szCs w:val="21"/>
                <w:highlight w:val="none"/>
              </w:rPr>
              <w:t>序号</w:t>
            </w:r>
          </w:p>
        </w:tc>
        <w:tc>
          <w:tcPr>
            <w:tcW w:w="2700" w:type="dxa"/>
            <w:vAlign w:val="center"/>
          </w:tcPr>
          <w:p w14:paraId="33788F32">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1"/>
              <w:jc w:val="center"/>
              <w:textAlignment w:val="auto"/>
              <w:rPr>
                <w:rFonts w:cs="Times New Roman"/>
                <w:color w:val="auto"/>
                <w:szCs w:val="21"/>
                <w:highlight w:val="none"/>
              </w:rPr>
            </w:pPr>
            <w:r>
              <w:rPr>
                <w:rFonts w:hint="eastAsia"/>
                <w:b/>
                <w:bCs/>
                <w:color w:val="auto"/>
                <w:szCs w:val="21"/>
                <w:highlight w:val="none"/>
              </w:rPr>
              <w:t>条款名称</w:t>
            </w:r>
          </w:p>
        </w:tc>
        <w:tc>
          <w:tcPr>
            <w:tcW w:w="2527" w:type="dxa"/>
            <w:gridSpan w:val="2"/>
            <w:vAlign w:val="center"/>
          </w:tcPr>
          <w:p w14:paraId="11B709F6">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59"/>
              <w:jc w:val="center"/>
              <w:textAlignment w:val="auto"/>
              <w:rPr>
                <w:rFonts w:cs="Times New Roman"/>
                <w:color w:val="auto"/>
                <w:szCs w:val="21"/>
                <w:highlight w:val="none"/>
              </w:rPr>
            </w:pPr>
            <w:r>
              <w:rPr>
                <w:rFonts w:hint="eastAsia"/>
                <w:b/>
                <w:bCs/>
                <w:color w:val="auto"/>
                <w:szCs w:val="21"/>
                <w:highlight w:val="none"/>
              </w:rPr>
              <w:t>合同条目号</w:t>
            </w:r>
          </w:p>
        </w:tc>
        <w:tc>
          <w:tcPr>
            <w:tcW w:w="2215" w:type="dxa"/>
            <w:vAlign w:val="center"/>
          </w:tcPr>
          <w:p w14:paraId="02AA21F6">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hint="eastAsia"/>
                <w:b/>
                <w:bCs/>
                <w:color w:val="auto"/>
                <w:szCs w:val="21"/>
                <w:highlight w:val="none"/>
              </w:rPr>
              <w:t>约定内容</w:t>
            </w:r>
          </w:p>
        </w:tc>
        <w:tc>
          <w:tcPr>
            <w:tcW w:w="646" w:type="dxa"/>
            <w:vAlign w:val="center"/>
          </w:tcPr>
          <w:p w14:paraId="34D208AA">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hint="eastAsia"/>
                <w:b/>
                <w:bCs/>
                <w:color w:val="auto"/>
                <w:szCs w:val="21"/>
                <w:highlight w:val="none"/>
              </w:rPr>
              <w:t>备注</w:t>
            </w:r>
          </w:p>
        </w:tc>
      </w:tr>
      <w:tr w14:paraId="7199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585DB78A">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1</w:t>
            </w:r>
          </w:p>
        </w:tc>
        <w:tc>
          <w:tcPr>
            <w:tcW w:w="2700" w:type="dxa"/>
            <w:vAlign w:val="center"/>
          </w:tcPr>
          <w:p w14:paraId="1B42D8E0">
            <w:pPr>
              <w:keepNext w:val="0"/>
              <w:keepLines w:val="0"/>
              <w:pageBreakBefore w:val="0"/>
              <w:widowControl w:val="0"/>
              <w:wordWrap/>
              <w:topLinePunct w:val="0"/>
              <w:autoSpaceDE/>
              <w:autoSpaceDN/>
              <w:bidi w:val="0"/>
              <w:adjustRightInd w:val="0"/>
              <w:snapToGrid w:val="0"/>
              <w:spacing w:line="380" w:lineRule="exact"/>
              <w:jc w:val="center"/>
              <w:textAlignment w:val="auto"/>
              <w:rPr>
                <w:color w:val="auto"/>
                <w:szCs w:val="21"/>
                <w:highlight w:val="none"/>
              </w:rPr>
            </w:pPr>
            <w:r>
              <w:rPr>
                <w:rFonts w:hint="eastAsia"/>
                <w:color w:val="auto"/>
                <w:szCs w:val="21"/>
                <w:highlight w:val="none"/>
              </w:rPr>
              <w:t>缺陷责任期</w:t>
            </w:r>
          </w:p>
        </w:tc>
        <w:tc>
          <w:tcPr>
            <w:tcW w:w="2527" w:type="dxa"/>
            <w:gridSpan w:val="2"/>
            <w:vAlign w:val="center"/>
          </w:tcPr>
          <w:p w14:paraId="5B4909A5">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1.1.4.5</w:t>
            </w:r>
          </w:p>
        </w:tc>
        <w:tc>
          <w:tcPr>
            <w:tcW w:w="2215" w:type="dxa"/>
            <w:vAlign w:val="center"/>
          </w:tcPr>
          <w:p w14:paraId="54C44565">
            <w:pPr>
              <w:pStyle w:val="256"/>
              <w:keepNext w:val="0"/>
              <w:keepLines w:val="0"/>
              <w:pageBreakBefore w:val="0"/>
              <w:widowControl w:val="0"/>
              <w:tabs>
                <w:tab w:val="left" w:pos="2516"/>
              </w:tabs>
              <w:kinsoku w:val="0"/>
              <w:wordWrap/>
              <w:overflowPunct w:val="0"/>
              <w:topLinePunct w:val="0"/>
              <w:autoSpaceDE/>
              <w:autoSpaceDN/>
              <w:bidi w:val="0"/>
              <w:adjustRightInd w:val="0"/>
              <w:snapToGrid w:val="0"/>
              <w:spacing w:line="380" w:lineRule="exact"/>
              <w:textAlignment w:val="auto"/>
              <w:rPr>
                <w:rFonts w:cs="Times New Roman"/>
                <w:color w:val="auto"/>
                <w:szCs w:val="21"/>
                <w:highlight w:val="none"/>
              </w:rPr>
            </w:pPr>
            <w:r>
              <w:rPr>
                <w:rFonts w:hint="eastAsia"/>
                <w:color w:val="auto"/>
                <w:spacing w:val="-2"/>
                <w:szCs w:val="21"/>
                <w:highlight w:val="none"/>
              </w:rPr>
              <w:t>自实际交工日期起计算</w:t>
            </w:r>
            <w:r>
              <w:rPr>
                <w:rFonts w:cs="Times New Roman"/>
                <w:color w:val="auto"/>
                <w:spacing w:val="-2"/>
                <w:szCs w:val="21"/>
                <w:highlight w:val="none"/>
                <w:u w:val="single"/>
              </w:rPr>
              <w:t xml:space="preserve">   </w:t>
            </w:r>
            <w:r>
              <w:rPr>
                <w:rFonts w:hint="eastAsia" w:cs="Times New Roman"/>
                <w:color w:val="auto"/>
                <w:spacing w:val="-2"/>
                <w:szCs w:val="21"/>
                <w:highlight w:val="none"/>
                <w:u w:val="single"/>
                <w:lang w:val="en-US" w:eastAsia="zh-CN"/>
              </w:rPr>
              <w:t xml:space="preserve">  </w:t>
            </w:r>
            <w:r>
              <w:rPr>
                <w:rFonts w:hint="eastAsia" w:cs="Times New Roman"/>
                <w:color w:val="auto"/>
                <w:spacing w:val="-2"/>
                <w:szCs w:val="21"/>
                <w:highlight w:val="none"/>
                <w:u w:val="none"/>
                <w:lang w:val="en-US" w:eastAsia="zh-CN"/>
              </w:rPr>
              <w:t>个月</w:t>
            </w:r>
          </w:p>
        </w:tc>
        <w:tc>
          <w:tcPr>
            <w:tcW w:w="646" w:type="dxa"/>
          </w:tcPr>
          <w:p w14:paraId="7A581220">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08DC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47DBF17D">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2</w:t>
            </w:r>
          </w:p>
        </w:tc>
        <w:tc>
          <w:tcPr>
            <w:tcW w:w="2700" w:type="dxa"/>
            <w:vAlign w:val="center"/>
          </w:tcPr>
          <w:p w14:paraId="11C60C2C">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逾期交工违约金</w:t>
            </w:r>
          </w:p>
          <w:p w14:paraId="0471B984">
            <w:pPr>
              <w:keepNext w:val="0"/>
              <w:keepLines w:val="0"/>
              <w:pageBreakBefore w:val="0"/>
              <w:widowControl w:val="0"/>
              <w:wordWrap/>
              <w:topLinePunct w:val="0"/>
              <w:autoSpaceDE/>
              <w:autoSpaceDN/>
              <w:bidi w:val="0"/>
              <w:adjustRightInd w:val="0"/>
              <w:snapToGrid w:val="0"/>
              <w:spacing w:line="380" w:lineRule="exact"/>
              <w:textAlignment w:val="auto"/>
              <w:rPr>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逾期交（竣）工违约金</w:t>
            </w:r>
            <w:r>
              <w:rPr>
                <w:rStyle w:val="59"/>
                <w:rFonts w:ascii="宋体" w:hAnsi="宋体" w:cs="宋体"/>
                <w:color w:val="auto"/>
                <w:szCs w:val="21"/>
                <w:highlight w:val="none"/>
              </w:rPr>
              <w:footnoteReference w:id="277"/>
            </w:r>
          </w:p>
        </w:tc>
        <w:tc>
          <w:tcPr>
            <w:tcW w:w="2527" w:type="dxa"/>
            <w:gridSpan w:val="2"/>
            <w:vAlign w:val="center"/>
          </w:tcPr>
          <w:p w14:paraId="548A2F93">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143"/>
              <w:jc w:val="center"/>
              <w:textAlignment w:val="auto"/>
              <w:rPr>
                <w:rFonts w:cs="Times New Roman"/>
                <w:color w:val="auto"/>
                <w:szCs w:val="21"/>
                <w:highlight w:val="none"/>
              </w:rPr>
            </w:pPr>
            <w:r>
              <w:rPr>
                <w:rFonts w:cs="Times New Roman"/>
                <w:color w:val="auto"/>
                <w:spacing w:val="-2"/>
                <w:szCs w:val="21"/>
                <w:highlight w:val="none"/>
              </w:rPr>
              <w:t>11.5</w:t>
            </w:r>
            <w:r>
              <w:rPr>
                <w:rFonts w:hint="eastAsia"/>
                <w:color w:val="auto"/>
                <w:spacing w:val="-2"/>
                <w:szCs w:val="21"/>
                <w:highlight w:val="none"/>
              </w:rPr>
              <w:t>（</w:t>
            </w:r>
            <w:r>
              <w:rPr>
                <w:rFonts w:cs="Times New Roman"/>
                <w:color w:val="auto"/>
                <w:spacing w:val="-2"/>
                <w:szCs w:val="21"/>
                <w:highlight w:val="none"/>
              </w:rPr>
              <w:t>3</w:t>
            </w:r>
            <w:r>
              <w:rPr>
                <w:rFonts w:hint="eastAsia"/>
                <w:color w:val="auto"/>
                <w:spacing w:val="-2"/>
                <w:szCs w:val="21"/>
                <w:highlight w:val="none"/>
              </w:rPr>
              <w:t>）</w:t>
            </w:r>
          </w:p>
        </w:tc>
        <w:tc>
          <w:tcPr>
            <w:tcW w:w="2215" w:type="dxa"/>
            <w:vAlign w:val="center"/>
          </w:tcPr>
          <w:p w14:paraId="4236FEC0">
            <w:pPr>
              <w:pStyle w:val="256"/>
              <w:keepNext w:val="0"/>
              <w:keepLines w:val="0"/>
              <w:pageBreakBefore w:val="0"/>
              <w:widowControl w:val="0"/>
              <w:tabs>
                <w:tab w:val="left" w:pos="524"/>
              </w:tabs>
              <w:kinsoku w:val="0"/>
              <w:wordWrap/>
              <w:overflowPunct w:val="0"/>
              <w:topLinePunct w:val="0"/>
              <w:autoSpaceDE/>
              <w:autoSpaceDN/>
              <w:bidi w:val="0"/>
              <w:adjustRightInd w:val="0"/>
              <w:snapToGrid w:val="0"/>
              <w:spacing w:line="380" w:lineRule="exact"/>
              <w:textAlignment w:val="auto"/>
              <w:rPr>
                <w:rFonts w:cs="Times New Roman"/>
                <w:color w:val="auto"/>
                <w:szCs w:val="21"/>
                <w:highlight w:val="none"/>
              </w:rPr>
            </w:pPr>
            <w:r>
              <w:rPr>
                <w:rFonts w:cs="Times New Roman"/>
                <w:color w:val="auto"/>
                <w:szCs w:val="21"/>
                <w:highlight w:val="none"/>
                <w:u w:val="single"/>
              </w:rPr>
              <w:tab/>
            </w:r>
            <w:r>
              <w:rPr>
                <w:rFonts w:hint="eastAsia"/>
                <w:color w:val="auto"/>
                <w:spacing w:val="-2"/>
                <w:szCs w:val="21"/>
                <w:highlight w:val="none"/>
              </w:rPr>
              <w:t>元</w:t>
            </w:r>
            <w:r>
              <w:rPr>
                <w:rFonts w:cs="Times New Roman"/>
                <w:color w:val="auto"/>
                <w:spacing w:val="-2"/>
                <w:szCs w:val="21"/>
                <w:highlight w:val="none"/>
              </w:rPr>
              <w:t>/</w:t>
            </w:r>
            <w:r>
              <w:rPr>
                <w:rFonts w:hint="eastAsia"/>
                <w:color w:val="auto"/>
                <w:spacing w:val="-2"/>
                <w:szCs w:val="21"/>
                <w:highlight w:val="none"/>
              </w:rPr>
              <w:t>天</w:t>
            </w:r>
          </w:p>
        </w:tc>
        <w:tc>
          <w:tcPr>
            <w:tcW w:w="646" w:type="dxa"/>
          </w:tcPr>
          <w:p w14:paraId="0B7E0825">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7941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282939D8">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3</w:t>
            </w:r>
          </w:p>
        </w:tc>
        <w:tc>
          <w:tcPr>
            <w:tcW w:w="2700" w:type="dxa"/>
            <w:vAlign w:val="center"/>
          </w:tcPr>
          <w:p w14:paraId="1DF1AF5F">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逾期交工违约金限额</w:t>
            </w:r>
          </w:p>
          <w:p w14:paraId="6B48D4F6">
            <w:pPr>
              <w:keepNext w:val="0"/>
              <w:keepLines w:val="0"/>
              <w:pageBreakBefore w:val="0"/>
              <w:widowControl w:val="0"/>
              <w:wordWrap/>
              <w:topLinePunct w:val="0"/>
              <w:autoSpaceDE/>
              <w:autoSpaceDN/>
              <w:bidi w:val="0"/>
              <w:adjustRightInd w:val="0"/>
              <w:snapToGrid w:val="0"/>
              <w:spacing w:line="380" w:lineRule="exact"/>
              <w:textAlignment w:val="auto"/>
              <w:rPr>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逾期交（竣）工违约金限额</w:t>
            </w:r>
            <w:r>
              <w:rPr>
                <w:rStyle w:val="59"/>
                <w:rFonts w:ascii="宋体" w:hAnsi="宋体" w:cs="宋体"/>
                <w:color w:val="auto"/>
                <w:szCs w:val="21"/>
                <w:highlight w:val="none"/>
              </w:rPr>
              <w:footnoteReference w:id="278"/>
            </w:r>
          </w:p>
        </w:tc>
        <w:tc>
          <w:tcPr>
            <w:tcW w:w="2527" w:type="dxa"/>
            <w:gridSpan w:val="2"/>
            <w:vAlign w:val="center"/>
          </w:tcPr>
          <w:p w14:paraId="0D294C0F">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143"/>
              <w:jc w:val="center"/>
              <w:textAlignment w:val="auto"/>
              <w:rPr>
                <w:rFonts w:cs="Times New Roman"/>
                <w:color w:val="auto"/>
                <w:szCs w:val="21"/>
                <w:highlight w:val="none"/>
              </w:rPr>
            </w:pPr>
            <w:r>
              <w:rPr>
                <w:rFonts w:cs="Times New Roman"/>
                <w:color w:val="auto"/>
                <w:spacing w:val="-2"/>
                <w:szCs w:val="21"/>
                <w:highlight w:val="none"/>
              </w:rPr>
              <w:t>11.5</w:t>
            </w:r>
            <w:r>
              <w:rPr>
                <w:rFonts w:hint="eastAsia"/>
                <w:color w:val="auto"/>
                <w:spacing w:val="-2"/>
                <w:szCs w:val="21"/>
                <w:highlight w:val="none"/>
              </w:rPr>
              <w:t>（</w:t>
            </w:r>
            <w:r>
              <w:rPr>
                <w:rFonts w:cs="Times New Roman"/>
                <w:color w:val="auto"/>
                <w:spacing w:val="-2"/>
                <w:szCs w:val="21"/>
                <w:highlight w:val="none"/>
              </w:rPr>
              <w:t>3</w:t>
            </w:r>
            <w:r>
              <w:rPr>
                <w:rFonts w:hint="eastAsia"/>
                <w:color w:val="auto"/>
                <w:spacing w:val="-2"/>
                <w:szCs w:val="21"/>
                <w:highlight w:val="none"/>
              </w:rPr>
              <w:t>）</w:t>
            </w:r>
          </w:p>
        </w:tc>
        <w:tc>
          <w:tcPr>
            <w:tcW w:w="2215" w:type="dxa"/>
            <w:vAlign w:val="center"/>
          </w:tcPr>
          <w:p w14:paraId="70B776B1">
            <w:pPr>
              <w:pStyle w:val="256"/>
              <w:keepNext w:val="0"/>
              <w:keepLines w:val="0"/>
              <w:pageBreakBefore w:val="0"/>
              <w:widowControl w:val="0"/>
              <w:tabs>
                <w:tab w:val="left" w:pos="419"/>
              </w:tabs>
              <w:kinsoku w:val="0"/>
              <w:wordWrap/>
              <w:overflowPunct w:val="0"/>
              <w:topLinePunct w:val="0"/>
              <w:autoSpaceDE/>
              <w:autoSpaceDN/>
              <w:bidi w:val="0"/>
              <w:adjustRightInd w:val="0"/>
              <w:snapToGrid w:val="0"/>
              <w:spacing w:line="380" w:lineRule="exact"/>
              <w:textAlignment w:val="auto"/>
              <w:rPr>
                <w:rFonts w:cs="Times New Roman"/>
                <w:color w:val="auto"/>
                <w:szCs w:val="21"/>
                <w:highlight w:val="none"/>
              </w:rPr>
            </w:pPr>
            <w:r>
              <w:rPr>
                <w:rFonts w:cs="Times New Roman"/>
                <w:color w:val="auto"/>
                <w:szCs w:val="21"/>
                <w:highlight w:val="none"/>
                <w:u w:val="single"/>
              </w:rPr>
              <w:tab/>
            </w:r>
            <w:r>
              <w:rPr>
                <w:rFonts w:hint="eastAsia" w:cs="Times New Roman"/>
                <w:color w:val="auto"/>
                <w:szCs w:val="21"/>
                <w:highlight w:val="none"/>
                <w:u w:val="single"/>
                <w:lang w:val="en-US" w:eastAsia="zh-CN"/>
              </w:rPr>
              <w:t xml:space="preserve"> </w:t>
            </w:r>
            <w:r>
              <w:rPr>
                <w:rFonts w:cs="Times New Roman"/>
                <w:color w:val="auto"/>
                <w:spacing w:val="-2"/>
                <w:szCs w:val="21"/>
                <w:highlight w:val="none"/>
              </w:rPr>
              <w:t xml:space="preserve">% </w:t>
            </w:r>
            <w:r>
              <w:rPr>
                <w:rFonts w:hint="eastAsia"/>
                <w:color w:val="auto"/>
                <w:spacing w:val="-2"/>
                <w:szCs w:val="21"/>
                <w:highlight w:val="none"/>
              </w:rPr>
              <w:t>签约合同价</w:t>
            </w:r>
          </w:p>
        </w:tc>
        <w:tc>
          <w:tcPr>
            <w:tcW w:w="646" w:type="dxa"/>
          </w:tcPr>
          <w:p w14:paraId="1E210275">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7D52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438961C0">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4</w:t>
            </w:r>
          </w:p>
        </w:tc>
        <w:tc>
          <w:tcPr>
            <w:tcW w:w="2700" w:type="dxa"/>
            <w:vAlign w:val="center"/>
          </w:tcPr>
          <w:p w14:paraId="3402944A">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提前交工的奖金</w:t>
            </w:r>
          </w:p>
          <w:p w14:paraId="490E1CA7">
            <w:pPr>
              <w:keepNext w:val="0"/>
              <w:keepLines w:val="0"/>
              <w:pageBreakBefore w:val="0"/>
              <w:widowControl w:val="0"/>
              <w:wordWrap/>
              <w:topLinePunct w:val="0"/>
              <w:autoSpaceDE/>
              <w:autoSpaceDN/>
              <w:bidi w:val="0"/>
              <w:adjustRightInd w:val="0"/>
              <w:snapToGrid w:val="0"/>
              <w:spacing w:line="380" w:lineRule="exact"/>
              <w:textAlignment w:val="auto"/>
              <w:rPr>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提前交（竣）工的奖金</w:t>
            </w:r>
            <w:r>
              <w:rPr>
                <w:rStyle w:val="59"/>
                <w:rFonts w:ascii="宋体" w:hAnsi="宋体" w:cs="宋体"/>
                <w:color w:val="auto"/>
                <w:szCs w:val="21"/>
                <w:highlight w:val="none"/>
              </w:rPr>
              <w:footnoteReference w:id="279"/>
            </w:r>
          </w:p>
        </w:tc>
        <w:tc>
          <w:tcPr>
            <w:tcW w:w="2527" w:type="dxa"/>
            <w:gridSpan w:val="2"/>
            <w:vAlign w:val="center"/>
          </w:tcPr>
          <w:p w14:paraId="1AE9CF52">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2"/>
              <w:jc w:val="center"/>
              <w:textAlignment w:val="auto"/>
              <w:rPr>
                <w:rFonts w:cs="Times New Roman"/>
                <w:color w:val="auto"/>
                <w:szCs w:val="21"/>
                <w:highlight w:val="none"/>
              </w:rPr>
            </w:pPr>
            <w:r>
              <w:rPr>
                <w:rFonts w:cs="Times New Roman"/>
                <w:color w:val="auto"/>
                <w:spacing w:val="-2"/>
                <w:szCs w:val="21"/>
                <w:highlight w:val="none"/>
              </w:rPr>
              <w:t>11.6</w:t>
            </w:r>
          </w:p>
        </w:tc>
        <w:tc>
          <w:tcPr>
            <w:tcW w:w="2215" w:type="dxa"/>
            <w:vAlign w:val="center"/>
          </w:tcPr>
          <w:p w14:paraId="281D1762">
            <w:pPr>
              <w:pStyle w:val="256"/>
              <w:keepNext w:val="0"/>
              <w:keepLines w:val="0"/>
              <w:pageBreakBefore w:val="0"/>
              <w:widowControl w:val="0"/>
              <w:tabs>
                <w:tab w:val="left" w:pos="1365"/>
              </w:tabs>
              <w:kinsoku w:val="0"/>
              <w:wordWrap/>
              <w:overflowPunct w:val="0"/>
              <w:topLinePunct w:val="0"/>
              <w:autoSpaceDE/>
              <w:autoSpaceDN/>
              <w:bidi w:val="0"/>
              <w:adjustRightInd w:val="0"/>
              <w:snapToGrid w:val="0"/>
              <w:spacing w:line="380" w:lineRule="exact"/>
              <w:textAlignment w:val="auto"/>
              <w:rPr>
                <w:rFonts w:cs="Times New Roman"/>
                <w:color w:val="auto"/>
                <w:szCs w:val="21"/>
                <w:highlight w:val="none"/>
              </w:rPr>
            </w:pPr>
            <w:r>
              <w:rPr>
                <w:rFonts w:cs="Times New Roman"/>
                <w:color w:val="auto"/>
                <w:szCs w:val="21"/>
                <w:highlight w:val="none"/>
                <w:u w:val="single"/>
              </w:rPr>
              <w:tab/>
            </w:r>
          </w:p>
        </w:tc>
        <w:tc>
          <w:tcPr>
            <w:tcW w:w="646" w:type="dxa"/>
          </w:tcPr>
          <w:p w14:paraId="7CC63F67">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3CC4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20E727EF">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5</w:t>
            </w:r>
          </w:p>
        </w:tc>
        <w:tc>
          <w:tcPr>
            <w:tcW w:w="2700" w:type="dxa"/>
            <w:vAlign w:val="center"/>
          </w:tcPr>
          <w:p w14:paraId="1A0A64F9">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提前交工的奖金限额</w:t>
            </w:r>
          </w:p>
          <w:p w14:paraId="4AFB3A97">
            <w:pPr>
              <w:keepNext w:val="0"/>
              <w:keepLines w:val="0"/>
              <w:pageBreakBefore w:val="0"/>
              <w:widowControl w:val="0"/>
              <w:wordWrap/>
              <w:topLinePunct w:val="0"/>
              <w:autoSpaceDE/>
              <w:autoSpaceDN/>
              <w:bidi w:val="0"/>
              <w:adjustRightInd w:val="0"/>
              <w:snapToGrid w:val="0"/>
              <w:spacing w:line="380" w:lineRule="exact"/>
              <w:textAlignment w:val="auto"/>
              <w:rPr>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提前交（竣）工的奖金限额</w:t>
            </w:r>
            <w:r>
              <w:rPr>
                <w:rStyle w:val="59"/>
                <w:rFonts w:ascii="宋体" w:hAnsi="宋体" w:cs="宋体"/>
                <w:color w:val="auto"/>
                <w:szCs w:val="21"/>
                <w:highlight w:val="none"/>
              </w:rPr>
              <w:footnoteReference w:id="280"/>
            </w:r>
          </w:p>
        </w:tc>
        <w:tc>
          <w:tcPr>
            <w:tcW w:w="2527" w:type="dxa"/>
            <w:gridSpan w:val="2"/>
            <w:vAlign w:val="center"/>
          </w:tcPr>
          <w:p w14:paraId="42CAD305">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2"/>
              <w:jc w:val="center"/>
              <w:textAlignment w:val="auto"/>
              <w:rPr>
                <w:rFonts w:cs="Times New Roman"/>
                <w:color w:val="auto"/>
                <w:szCs w:val="21"/>
                <w:highlight w:val="none"/>
              </w:rPr>
            </w:pPr>
            <w:r>
              <w:rPr>
                <w:rFonts w:cs="Times New Roman"/>
                <w:color w:val="auto"/>
                <w:spacing w:val="-2"/>
                <w:szCs w:val="21"/>
                <w:highlight w:val="none"/>
              </w:rPr>
              <w:t>11.6</w:t>
            </w:r>
          </w:p>
        </w:tc>
        <w:tc>
          <w:tcPr>
            <w:tcW w:w="2215" w:type="dxa"/>
            <w:vAlign w:val="center"/>
          </w:tcPr>
          <w:p w14:paraId="2CE93C8E">
            <w:pPr>
              <w:pStyle w:val="256"/>
              <w:keepNext w:val="0"/>
              <w:keepLines w:val="0"/>
              <w:pageBreakBefore w:val="0"/>
              <w:widowControl w:val="0"/>
              <w:tabs>
                <w:tab w:val="left" w:pos="1155"/>
              </w:tabs>
              <w:kinsoku w:val="0"/>
              <w:wordWrap/>
              <w:overflowPunct w:val="0"/>
              <w:topLinePunct w:val="0"/>
              <w:autoSpaceDE/>
              <w:autoSpaceDN/>
              <w:bidi w:val="0"/>
              <w:adjustRightInd w:val="0"/>
              <w:snapToGrid w:val="0"/>
              <w:spacing w:line="380" w:lineRule="exact"/>
              <w:textAlignment w:val="auto"/>
              <w:rPr>
                <w:rFonts w:cs="Times New Roman"/>
                <w:color w:val="auto"/>
                <w:szCs w:val="21"/>
                <w:highlight w:val="none"/>
                <w:u w:val="single"/>
              </w:rPr>
            </w:pPr>
            <w:r>
              <w:rPr>
                <w:rFonts w:cs="Times New Roman"/>
                <w:color w:val="auto"/>
                <w:szCs w:val="21"/>
                <w:highlight w:val="none"/>
                <w:u w:val="single"/>
              </w:rPr>
              <w:tab/>
            </w:r>
            <w:r>
              <w:rPr>
                <w:rFonts w:cs="Times New Roman"/>
                <w:color w:val="auto"/>
                <w:szCs w:val="21"/>
                <w:highlight w:val="none"/>
                <w:u w:val="single"/>
              </w:rPr>
              <w:t xml:space="preserve">   </w:t>
            </w:r>
          </w:p>
        </w:tc>
        <w:tc>
          <w:tcPr>
            <w:tcW w:w="646" w:type="dxa"/>
          </w:tcPr>
          <w:p w14:paraId="6AB82171">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624D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Merge w:val="restart"/>
            <w:vAlign w:val="center"/>
          </w:tcPr>
          <w:p w14:paraId="48AF07C6">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ascii="宋体" w:hAnsi="宋体" w:eastAsia="宋体" w:cs="Times New Roman"/>
                <w:color w:val="auto"/>
                <w:kern w:val="2"/>
                <w:sz w:val="21"/>
                <w:szCs w:val="21"/>
                <w:highlight w:val="none"/>
                <w:lang w:val="en-US" w:eastAsia="zh-CN" w:bidi="ar-SA"/>
              </w:rPr>
            </w:pPr>
            <w:r>
              <w:rPr>
                <w:rFonts w:cs="Times New Roman"/>
                <w:color w:val="auto"/>
                <w:szCs w:val="21"/>
                <w:highlight w:val="none"/>
              </w:rPr>
              <w:t>6</w:t>
            </w:r>
          </w:p>
        </w:tc>
        <w:tc>
          <w:tcPr>
            <w:tcW w:w="2700" w:type="dxa"/>
            <w:vMerge w:val="restart"/>
            <w:vAlign w:val="center"/>
          </w:tcPr>
          <w:p w14:paraId="2D63E5D8">
            <w:pPr>
              <w:keepNext w:val="0"/>
              <w:keepLines w:val="0"/>
              <w:pageBreakBefore w:val="0"/>
              <w:widowControl w:val="0"/>
              <w:wordWrap/>
              <w:topLinePunct w:val="0"/>
              <w:autoSpaceDE/>
              <w:autoSpaceDN/>
              <w:bidi w:val="0"/>
              <w:adjustRightInd w:val="0"/>
              <w:snapToGrid w:val="0"/>
              <w:spacing w:line="38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价格调整的差额计算</w:t>
            </w:r>
          </w:p>
        </w:tc>
        <w:tc>
          <w:tcPr>
            <w:tcW w:w="1311" w:type="dxa"/>
            <w:vMerge w:val="restart"/>
            <w:vAlign w:val="center"/>
          </w:tcPr>
          <w:p w14:paraId="119E3933">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2"/>
              <w:jc w:val="center"/>
              <w:textAlignment w:val="auto"/>
              <w:rPr>
                <w:rFonts w:cs="Times New Roman"/>
                <w:color w:val="auto"/>
                <w:spacing w:val="-2"/>
                <w:szCs w:val="21"/>
                <w:highlight w:val="none"/>
              </w:rPr>
            </w:pPr>
            <w:r>
              <w:rPr>
                <w:rFonts w:hint="eastAsia"/>
                <w:b/>
                <w:bCs/>
                <w:color w:val="auto"/>
                <w:szCs w:val="21"/>
                <w:highlight w:val="none"/>
              </w:rPr>
              <w:t>□</w:t>
            </w:r>
            <w:r>
              <w:rPr>
                <w:rFonts w:hint="eastAsia"/>
                <w:color w:val="auto"/>
                <w:szCs w:val="21"/>
                <w:highlight w:val="none"/>
              </w:rPr>
              <w:t>1</w:t>
            </w:r>
            <w:r>
              <w:rPr>
                <w:color w:val="auto"/>
                <w:szCs w:val="21"/>
                <w:highlight w:val="none"/>
              </w:rPr>
              <w:t>6.1</w:t>
            </w: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p>
        </w:tc>
        <w:tc>
          <w:tcPr>
            <w:tcW w:w="1216" w:type="dxa"/>
            <w:vAlign w:val="center"/>
          </w:tcPr>
          <w:p w14:paraId="4B6514C3">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2"/>
              <w:jc w:val="center"/>
              <w:textAlignment w:val="auto"/>
              <w:rPr>
                <w:rFonts w:cs="Times New Roman"/>
                <w:color w:val="auto"/>
                <w:spacing w:val="-2"/>
                <w:szCs w:val="21"/>
                <w:highlight w:val="none"/>
              </w:rPr>
            </w:pPr>
            <w:r>
              <w:rPr>
                <w:rFonts w:hint="eastAsia"/>
                <w:b/>
                <w:bCs/>
                <w:color w:val="auto"/>
                <w:szCs w:val="21"/>
                <w:highlight w:val="none"/>
              </w:rPr>
              <w:sym w:font="Wingdings 2" w:char="00A3"/>
            </w:r>
            <w:r>
              <w:rPr>
                <w:rFonts w:cs="Times New Roman"/>
                <w:color w:val="auto"/>
                <w:szCs w:val="21"/>
                <w:highlight w:val="none"/>
              </w:rPr>
              <w:t>16.1.1</w:t>
            </w:r>
          </w:p>
        </w:tc>
        <w:tc>
          <w:tcPr>
            <w:tcW w:w="2215" w:type="dxa"/>
            <w:vAlign w:val="center"/>
          </w:tcPr>
          <w:p w14:paraId="5AA7857C">
            <w:pPr>
              <w:pStyle w:val="256"/>
              <w:tabs>
                <w:tab w:val="left" w:pos="419"/>
              </w:tabs>
              <w:kinsoku w:val="0"/>
              <w:overflowPunct w:val="0"/>
              <w:adjustRightInd w:val="0"/>
              <w:snapToGrid w:val="0"/>
              <w:spacing w:line="400" w:lineRule="exact"/>
              <w:rPr>
                <w:rFonts w:ascii="宋体" w:hAnsi="宋体" w:eastAsia="宋体" w:cs="Times New Roman"/>
                <w:color w:val="auto"/>
                <w:kern w:val="2"/>
                <w:sz w:val="21"/>
                <w:szCs w:val="21"/>
                <w:highlight w:val="none"/>
                <w:u w:val="single"/>
                <w:lang w:val="en-US" w:eastAsia="zh-CN" w:bidi="ar-SA"/>
              </w:rPr>
            </w:pPr>
            <w:r>
              <w:rPr>
                <w:rFonts w:hint="eastAsia" w:cs="Times New Roman"/>
                <w:color w:val="auto"/>
                <w:szCs w:val="21"/>
                <w:highlight w:val="none"/>
                <w:u w:val="single"/>
              </w:rPr>
              <w:t>采用价格指数调整价格差额</w:t>
            </w:r>
            <w:r>
              <w:rPr>
                <w:rFonts w:cs="Times New Roman"/>
                <w:color w:val="auto"/>
                <w:szCs w:val="21"/>
                <w:highlight w:val="none"/>
                <w:u w:val="single"/>
              </w:rPr>
              <w:t xml:space="preserve"> </w:t>
            </w:r>
          </w:p>
        </w:tc>
        <w:tc>
          <w:tcPr>
            <w:tcW w:w="646" w:type="dxa"/>
          </w:tcPr>
          <w:p w14:paraId="330F4712">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1733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Merge w:val="continue"/>
            <w:vAlign w:val="center"/>
          </w:tcPr>
          <w:p w14:paraId="2B625E86">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p>
        </w:tc>
        <w:tc>
          <w:tcPr>
            <w:tcW w:w="2700" w:type="dxa"/>
            <w:vMerge w:val="continue"/>
            <w:vAlign w:val="center"/>
          </w:tcPr>
          <w:p w14:paraId="073AEA2F">
            <w:pPr>
              <w:keepNext w:val="0"/>
              <w:keepLines w:val="0"/>
              <w:pageBreakBefore w:val="0"/>
              <w:widowControl w:val="0"/>
              <w:wordWrap/>
              <w:topLinePunct w:val="0"/>
              <w:autoSpaceDE/>
              <w:autoSpaceDN/>
              <w:bidi w:val="0"/>
              <w:adjustRightInd w:val="0"/>
              <w:snapToGrid w:val="0"/>
              <w:spacing w:line="380" w:lineRule="exact"/>
              <w:textAlignment w:val="auto"/>
              <w:rPr>
                <w:rFonts w:hint="eastAsia" w:ascii="宋体" w:hAnsi="宋体" w:cs="宋体"/>
                <w:b/>
                <w:color w:val="auto"/>
                <w:szCs w:val="21"/>
                <w:highlight w:val="none"/>
              </w:rPr>
            </w:pPr>
          </w:p>
        </w:tc>
        <w:tc>
          <w:tcPr>
            <w:tcW w:w="1311" w:type="dxa"/>
            <w:vMerge w:val="continue"/>
            <w:vAlign w:val="center"/>
          </w:tcPr>
          <w:p w14:paraId="68525574">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2"/>
              <w:jc w:val="center"/>
              <w:textAlignment w:val="auto"/>
              <w:rPr>
                <w:rFonts w:cs="Times New Roman"/>
                <w:color w:val="auto"/>
                <w:spacing w:val="-2"/>
                <w:szCs w:val="21"/>
                <w:highlight w:val="none"/>
              </w:rPr>
            </w:pPr>
          </w:p>
        </w:tc>
        <w:tc>
          <w:tcPr>
            <w:tcW w:w="1216" w:type="dxa"/>
            <w:vAlign w:val="center"/>
          </w:tcPr>
          <w:p w14:paraId="2C0AE517">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2"/>
              <w:jc w:val="center"/>
              <w:textAlignment w:val="auto"/>
              <w:rPr>
                <w:rFonts w:cs="Times New Roman"/>
                <w:color w:val="auto"/>
                <w:spacing w:val="-2"/>
                <w:szCs w:val="21"/>
                <w:highlight w:val="none"/>
              </w:rPr>
            </w:pPr>
            <w:r>
              <w:rPr>
                <w:rFonts w:hint="eastAsia"/>
                <w:b/>
                <w:bCs/>
                <w:color w:val="auto"/>
                <w:szCs w:val="21"/>
                <w:highlight w:val="none"/>
              </w:rPr>
              <w:sym w:font="Wingdings 2" w:char="00A3"/>
            </w:r>
            <w:r>
              <w:rPr>
                <w:rFonts w:cs="Times New Roman"/>
                <w:color w:val="auto"/>
                <w:szCs w:val="21"/>
                <w:highlight w:val="none"/>
              </w:rPr>
              <w:t>16.1.2</w:t>
            </w:r>
          </w:p>
        </w:tc>
        <w:tc>
          <w:tcPr>
            <w:tcW w:w="2215" w:type="dxa"/>
            <w:vAlign w:val="center"/>
          </w:tcPr>
          <w:p w14:paraId="69648BF2">
            <w:pPr>
              <w:pStyle w:val="256"/>
              <w:tabs>
                <w:tab w:val="left" w:pos="419"/>
              </w:tabs>
              <w:kinsoku w:val="0"/>
              <w:overflowPunct w:val="0"/>
              <w:adjustRightInd w:val="0"/>
              <w:snapToGrid w:val="0"/>
              <w:spacing w:line="400" w:lineRule="exact"/>
              <w:rPr>
                <w:rFonts w:ascii="宋体" w:hAnsi="宋体" w:eastAsia="宋体" w:cs="Times New Roman"/>
                <w:color w:val="auto"/>
                <w:kern w:val="2"/>
                <w:sz w:val="21"/>
                <w:szCs w:val="21"/>
                <w:highlight w:val="none"/>
                <w:u w:val="single"/>
                <w:lang w:val="en-US" w:eastAsia="zh-CN" w:bidi="ar-SA"/>
              </w:rPr>
            </w:pPr>
            <w:r>
              <w:rPr>
                <w:rFonts w:hint="eastAsia" w:cs="Times New Roman"/>
                <w:color w:val="auto"/>
                <w:szCs w:val="21"/>
                <w:highlight w:val="none"/>
                <w:u w:val="single"/>
              </w:rPr>
              <w:t>采用造价信息调整价格差额</w:t>
            </w:r>
          </w:p>
        </w:tc>
        <w:tc>
          <w:tcPr>
            <w:tcW w:w="646" w:type="dxa"/>
          </w:tcPr>
          <w:p w14:paraId="4090E653">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44D4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Merge w:val="continue"/>
            <w:vAlign w:val="center"/>
          </w:tcPr>
          <w:p w14:paraId="13196801">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p>
        </w:tc>
        <w:tc>
          <w:tcPr>
            <w:tcW w:w="2700" w:type="dxa"/>
            <w:vMerge w:val="continue"/>
            <w:vAlign w:val="center"/>
          </w:tcPr>
          <w:p w14:paraId="1A6FD50F">
            <w:pPr>
              <w:keepNext w:val="0"/>
              <w:keepLines w:val="0"/>
              <w:pageBreakBefore w:val="0"/>
              <w:widowControl w:val="0"/>
              <w:wordWrap/>
              <w:topLinePunct w:val="0"/>
              <w:autoSpaceDE/>
              <w:autoSpaceDN/>
              <w:bidi w:val="0"/>
              <w:adjustRightInd w:val="0"/>
              <w:snapToGrid w:val="0"/>
              <w:spacing w:line="380" w:lineRule="exact"/>
              <w:jc w:val="center"/>
              <w:textAlignment w:val="auto"/>
              <w:rPr>
                <w:color w:val="auto"/>
                <w:szCs w:val="21"/>
                <w:highlight w:val="none"/>
              </w:rPr>
            </w:pPr>
          </w:p>
        </w:tc>
        <w:tc>
          <w:tcPr>
            <w:tcW w:w="2527" w:type="dxa"/>
            <w:gridSpan w:val="2"/>
            <w:vAlign w:val="center"/>
          </w:tcPr>
          <w:p w14:paraId="5EB01159">
            <w:pPr>
              <w:pStyle w:val="256"/>
              <w:keepNext w:val="0"/>
              <w:keepLines w:val="0"/>
              <w:pageBreakBefore w:val="0"/>
              <w:widowControl w:val="0"/>
              <w:numPr>
                <w:ilvl w:val="-1"/>
                <w:numId w:val="0"/>
              </w:numPr>
              <w:kinsoku w:val="0"/>
              <w:wordWrap/>
              <w:overflowPunct w:val="0"/>
              <w:topLinePunct w:val="0"/>
              <w:autoSpaceDE/>
              <w:autoSpaceDN/>
              <w:bidi w:val="0"/>
              <w:adjustRightInd w:val="0"/>
              <w:snapToGrid w:val="0"/>
              <w:spacing w:line="380" w:lineRule="exact"/>
              <w:ind w:left="0" w:leftChars="0" w:firstLine="0" w:firstLineChars="0"/>
              <w:jc w:val="center"/>
              <w:textAlignment w:val="auto"/>
              <w:rPr>
                <w:color w:val="auto"/>
                <w:szCs w:val="21"/>
                <w:highlight w:val="none"/>
              </w:rPr>
            </w:pPr>
            <w:r>
              <w:rPr>
                <w:rFonts w:hint="eastAsia" w:ascii="宋体" w:hAnsi="宋体" w:eastAsia="宋体" w:cs="宋体"/>
                <w:b/>
                <w:bCs/>
                <w:color w:val="auto"/>
                <w:szCs w:val="21"/>
                <w:highlight w:val="none"/>
              </w:rPr>
              <w:t>□</w:t>
            </w:r>
            <w:r>
              <w:rPr>
                <w:color w:val="auto"/>
                <w:szCs w:val="21"/>
                <w:highlight w:val="none"/>
              </w:rPr>
              <w:t>16.1</w:t>
            </w: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p>
        </w:tc>
        <w:tc>
          <w:tcPr>
            <w:tcW w:w="2215" w:type="dxa"/>
            <w:vAlign w:val="center"/>
          </w:tcPr>
          <w:p w14:paraId="5CA7AF63">
            <w:pPr>
              <w:pStyle w:val="256"/>
              <w:keepNext w:val="0"/>
              <w:keepLines w:val="0"/>
              <w:pageBreakBefore w:val="0"/>
              <w:widowControl w:val="0"/>
              <w:kinsoku w:val="0"/>
              <w:wordWrap/>
              <w:overflowPunct w:val="0"/>
              <w:topLinePunct w:val="0"/>
              <w:autoSpaceDE/>
              <w:autoSpaceDN/>
              <w:bidi w:val="0"/>
              <w:adjustRightInd w:val="0"/>
              <w:snapToGrid w:val="0"/>
              <w:spacing w:line="380" w:lineRule="exact"/>
              <w:textAlignment w:val="auto"/>
              <w:rPr>
                <w:rFonts w:hint="eastAsia" w:cs="Times New Roman"/>
                <w:color w:val="auto"/>
                <w:szCs w:val="21"/>
                <w:highlight w:val="none"/>
                <w:u w:val="single"/>
              </w:rPr>
            </w:pPr>
            <w:r>
              <w:rPr>
                <w:rFonts w:hint="eastAsia" w:cs="Times New Roman"/>
                <w:color w:val="auto"/>
                <w:szCs w:val="21"/>
                <w:highlight w:val="none"/>
                <w:u w:val="single"/>
              </w:rPr>
              <w:t>合同执行期间不调整</w:t>
            </w:r>
          </w:p>
        </w:tc>
        <w:tc>
          <w:tcPr>
            <w:tcW w:w="646" w:type="dxa"/>
          </w:tcPr>
          <w:p w14:paraId="28537374">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535B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08449AA5">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7</w:t>
            </w:r>
          </w:p>
        </w:tc>
        <w:tc>
          <w:tcPr>
            <w:tcW w:w="2700" w:type="dxa"/>
            <w:vAlign w:val="center"/>
          </w:tcPr>
          <w:p w14:paraId="3A24D030">
            <w:pPr>
              <w:keepNext w:val="0"/>
              <w:keepLines w:val="0"/>
              <w:pageBreakBefore w:val="0"/>
              <w:widowControl w:val="0"/>
              <w:wordWrap/>
              <w:topLinePunct w:val="0"/>
              <w:autoSpaceDE/>
              <w:autoSpaceDN/>
              <w:bidi w:val="0"/>
              <w:adjustRightInd w:val="0"/>
              <w:snapToGrid w:val="0"/>
              <w:spacing w:line="380" w:lineRule="exact"/>
              <w:jc w:val="center"/>
              <w:textAlignment w:val="auto"/>
              <w:rPr>
                <w:color w:val="auto"/>
                <w:szCs w:val="21"/>
                <w:highlight w:val="none"/>
              </w:rPr>
            </w:pPr>
            <w:r>
              <w:rPr>
                <w:rFonts w:hint="eastAsia"/>
                <w:color w:val="auto"/>
                <w:szCs w:val="21"/>
                <w:highlight w:val="none"/>
              </w:rPr>
              <w:t>开工预付款金额</w:t>
            </w:r>
          </w:p>
        </w:tc>
        <w:tc>
          <w:tcPr>
            <w:tcW w:w="2527" w:type="dxa"/>
            <w:gridSpan w:val="2"/>
            <w:vAlign w:val="center"/>
          </w:tcPr>
          <w:p w14:paraId="63B04F13">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102"/>
              <w:jc w:val="center"/>
              <w:textAlignment w:val="auto"/>
              <w:rPr>
                <w:rFonts w:cs="Times New Roman"/>
                <w:color w:val="auto"/>
                <w:szCs w:val="21"/>
                <w:highlight w:val="none"/>
              </w:rPr>
            </w:pPr>
            <w:r>
              <w:rPr>
                <w:rFonts w:cs="Times New Roman"/>
                <w:color w:val="auto"/>
                <w:spacing w:val="-1"/>
                <w:szCs w:val="21"/>
                <w:highlight w:val="none"/>
              </w:rPr>
              <w:t>17.2.1</w:t>
            </w:r>
            <w:r>
              <w:rPr>
                <w:rFonts w:hint="eastAsia"/>
                <w:color w:val="auto"/>
                <w:spacing w:val="-1"/>
                <w:szCs w:val="21"/>
                <w:highlight w:val="none"/>
              </w:rPr>
              <w:t>（</w:t>
            </w:r>
            <w:r>
              <w:rPr>
                <w:rFonts w:cs="Times New Roman"/>
                <w:color w:val="auto"/>
                <w:spacing w:val="-1"/>
                <w:szCs w:val="21"/>
                <w:highlight w:val="none"/>
              </w:rPr>
              <w:t>1</w:t>
            </w:r>
            <w:r>
              <w:rPr>
                <w:rFonts w:hint="eastAsia"/>
                <w:color w:val="auto"/>
                <w:spacing w:val="-1"/>
                <w:szCs w:val="21"/>
                <w:highlight w:val="none"/>
              </w:rPr>
              <w:t>）</w:t>
            </w:r>
          </w:p>
        </w:tc>
        <w:tc>
          <w:tcPr>
            <w:tcW w:w="2215" w:type="dxa"/>
            <w:vAlign w:val="center"/>
          </w:tcPr>
          <w:p w14:paraId="50FBCD6E">
            <w:pPr>
              <w:pStyle w:val="256"/>
              <w:keepNext w:val="0"/>
              <w:keepLines w:val="0"/>
              <w:pageBreakBefore w:val="0"/>
              <w:widowControl w:val="0"/>
              <w:tabs>
                <w:tab w:val="left" w:pos="419"/>
              </w:tabs>
              <w:kinsoku w:val="0"/>
              <w:wordWrap/>
              <w:overflowPunct w:val="0"/>
              <w:topLinePunct w:val="0"/>
              <w:autoSpaceDE/>
              <w:autoSpaceDN/>
              <w:bidi w:val="0"/>
              <w:adjustRightInd w:val="0"/>
              <w:snapToGrid w:val="0"/>
              <w:spacing w:line="380" w:lineRule="exact"/>
              <w:textAlignment w:val="auto"/>
              <w:rPr>
                <w:rFonts w:cs="Times New Roman"/>
                <w:color w:val="auto"/>
                <w:szCs w:val="21"/>
                <w:highlight w:val="none"/>
              </w:rPr>
            </w:pPr>
            <w:r>
              <w:rPr>
                <w:rFonts w:cs="Times New Roman"/>
                <w:color w:val="auto"/>
                <w:szCs w:val="21"/>
                <w:highlight w:val="none"/>
                <w:u w:val="single"/>
              </w:rPr>
              <w:tab/>
            </w:r>
            <w:r>
              <w:rPr>
                <w:rFonts w:hint="eastAsia" w:cs="Times New Roman"/>
                <w:color w:val="auto"/>
                <w:szCs w:val="21"/>
                <w:highlight w:val="none"/>
                <w:u w:val="single"/>
                <w:lang w:val="en-US" w:eastAsia="zh-CN"/>
              </w:rPr>
              <w:t xml:space="preserve">  </w:t>
            </w:r>
            <w:r>
              <w:rPr>
                <w:rFonts w:cs="Times New Roman"/>
                <w:color w:val="auto"/>
                <w:spacing w:val="-2"/>
                <w:szCs w:val="21"/>
                <w:highlight w:val="none"/>
              </w:rPr>
              <w:t>%</w:t>
            </w:r>
            <w:r>
              <w:rPr>
                <w:rFonts w:hint="eastAsia"/>
                <w:color w:val="auto"/>
                <w:spacing w:val="-2"/>
                <w:szCs w:val="21"/>
                <w:highlight w:val="none"/>
              </w:rPr>
              <w:t>签约合同价</w:t>
            </w:r>
          </w:p>
        </w:tc>
        <w:tc>
          <w:tcPr>
            <w:tcW w:w="646" w:type="dxa"/>
          </w:tcPr>
          <w:p w14:paraId="19E56F7C">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458D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78CBAFF8">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8</w:t>
            </w:r>
          </w:p>
        </w:tc>
        <w:tc>
          <w:tcPr>
            <w:tcW w:w="2700" w:type="dxa"/>
            <w:vAlign w:val="center"/>
          </w:tcPr>
          <w:p w14:paraId="34EBFAB7">
            <w:pPr>
              <w:keepNext w:val="0"/>
              <w:keepLines w:val="0"/>
              <w:pageBreakBefore w:val="0"/>
              <w:widowControl w:val="0"/>
              <w:wordWrap/>
              <w:topLinePunct w:val="0"/>
              <w:autoSpaceDE/>
              <w:autoSpaceDN/>
              <w:bidi w:val="0"/>
              <w:adjustRightInd w:val="0"/>
              <w:snapToGrid w:val="0"/>
              <w:spacing w:line="380" w:lineRule="exact"/>
              <w:jc w:val="center"/>
              <w:textAlignment w:val="auto"/>
              <w:rPr>
                <w:color w:val="auto"/>
                <w:szCs w:val="21"/>
                <w:highlight w:val="none"/>
              </w:rPr>
            </w:pPr>
            <w:r>
              <w:rPr>
                <w:rFonts w:hint="eastAsia"/>
                <w:color w:val="auto"/>
                <w:szCs w:val="21"/>
                <w:highlight w:val="none"/>
              </w:rPr>
              <w:t>材料、设备预付款比例</w:t>
            </w:r>
          </w:p>
        </w:tc>
        <w:tc>
          <w:tcPr>
            <w:tcW w:w="2527" w:type="dxa"/>
            <w:gridSpan w:val="2"/>
            <w:vAlign w:val="center"/>
          </w:tcPr>
          <w:p w14:paraId="5796016D">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102"/>
              <w:jc w:val="center"/>
              <w:textAlignment w:val="auto"/>
              <w:rPr>
                <w:rFonts w:cs="Times New Roman"/>
                <w:color w:val="auto"/>
                <w:szCs w:val="21"/>
                <w:highlight w:val="none"/>
              </w:rPr>
            </w:pPr>
            <w:r>
              <w:rPr>
                <w:rFonts w:cs="Times New Roman"/>
                <w:color w:val="auto"/>
                <w:spacing w:val="-1"/>
                <w:szCs w:val="21"/>
                <w:highlight w:val="none"/>
              </w:rPr>
              <w:t>17.2.1</w:t>
            </w:r>
            <w:r>
              <w:rPr>
                <w:rFonts w:hint="eastAsia"/>
                <w:color w:val="auto"/>
                <w:spacing w:val="-1"/>
                <w:szCs w:val="21"/>
                <w:highlight w:val="none"/>
              </w:rPr>
              <w:t>（</w:t>
            </w:r>
            <w:r>
              <w:rPr>
                <w:rFonts w:cs="Times New Roman"/>
                <w:color w:val="auto"/>
                <w:spacing w:val="-1"/>
                <w:szCs w:val="21"/>
                <w:highlight w:val="none"/>
              </w:rPr>
              <w:t>2</w:t>
            </w:r>
            <w:r>
              <w:rPr>
                <w:rFonts w:hint="eastAsia"/>
                <w:color w:val="auto"/>
                <w:spacing w:val="-1"/>
                <w:szCs w:val="21"/>
                <w:highlight w:val="none"/>
              </w:rPr>
              <w:t>）</w:t>
            </w:r>
          </w:p>
        </w:tc>
        <w:tc>
          <w:tcPr>
            <w:tcW w:w="2215" w:type="dxa"/>
            <w:vAlign w:val="center"/>
          </w:tcPr>
          <w:p w14:paraId="65D45E63">
            <w:pPr>
              <w:pStyle w:val="256"/>
              <w:keepNext w:val="0"/>
              <w:keepLines w:val="0"/>
              <w:pageBreakBefore w:val="0"/>
              <w:widowControl w:val="0"/>
              <w:tabs>
                <w:tab w:val="left" w:pos="735"/>
                <w:tab w:val="left" w:pos="840"/>
              </w:tabs>
              <w:kinsoku w:val="0"/>
              <w:wordWrap/>
              <w:overflowPunct w:val="0"/>
              <w:topLinePunct w:val="0"/>
              <w:autoSpaceDE/>
              <w:autoSpaceDN/>
              <w:bidi w:val="0"/>
              <w:adjustRightInd w:val="0"/>
              <w:snapToGrid w:val="0"/>
              <w:spacing w:line="380" w:lineRule="exact"/>
              <w:ind w:right="103"/>
              <w:jc w:val="left"/>
              <w:textAlignment w:val="auto"/>
              <w:rPr>
                <w:rFonts w:cs="Times New Roman"/>
                <w:color w:val="auto"/>
                <w:szCs w:val="21"/>
                <w:highlight w:val="none"/>
              </w:rPr>
            </w:pPr>
            <w:r>
              <w:rPr>
                <w:rFonts w:cs="Times New Roman"/>
                <w:color w:val="auto"/>
                <w:szCs w:val="21"/>
                <w:highlight w:val="none"/>
                <w:u w:val="single"/>
              </w:rPr>
              <w:tab/>
            </w:r>
            <w:r>
              <w:rPr>
                <w:rFonts w:hint="eastAsia"/>
                <w:color w:val="auto"/>
                <w:spacing w:val="1"/>
                <w:szCs w:val="21"/>
                <w:highlight w:val="none"/>
              </w:rPr>
              <w:t>等主要材料、设备单据所列费用</w:t>
            </w:r>
            <w:r>
              <w:rPr>
                <w:rFonts w:hint="eastAsia"/>
                <w:color w:val="auto"/>
                <w:szCs w:val="21"/>
                <w:highlight w:val="none"/>
              </w:rPr>
              <w:t>的</w:t>
            </w:r>
            <w:r>
              <w:rPr>
                <w:rFonts w:hint="eastAsia" w:cs="Times New Roman"/>
                <w:color w:val="auto"/>
                <w:szCs w:val="21"/>
                <w:highlight w:val="none"/>
                <w:u w:val="single"/>
                <w:lang w:val="en-US" w:eastAsia="zh-CN"/>
              </w:rPr>
              <w:t xml:space="preserve">   </w:t>
            </w:r>
            <w:r>
              <w:rPr>
                <w:rFonts w:cs="Times New Roman"/>
                <w:color w:val="auto"/>
                <w:szCs w:val="21"/>
                <w:highlight w:val="none"/>
              </w:rPr>
              <w:t>%</w:t>
            </w:r>
          </w:p>
        </w:tc>
        <w:tc>
          <w:tcPr>
            <w:tcW w:w="646" w:type="dxa"/>
          </w:tcPr>
          <w:p w14:paraId="0FE5130D">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0514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0F3ECAE4">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9</w:t>
            </w:r>
          </w:p>
        </w:tc>
        <w:tc>
          <w:tcPr>
            <w:tcW w:w="2700" w:type="dxa"/>
            <w:vAlign w:val="center"/>
          </w:tcPr>
          <w:p w14:paraId="01FE1AC9">
            <w:pPr>
              <w:keepNext w:val="0"/>
              <w:keepLines w:val="0"/>
              <w:pageBreakBefore w:val="0"/>
              <w:widowControl w:val="0"/>
              <w:wordWrap/>
              <w:topLinePunct w:val="0"/>
              <w:autoSpaceDE/>
              <w:autoSpaceDN/>
              <w:bidi w:val="0"/>
              <w:adjustRightInd w:val="0"/>
              <w:snapToGrid w:val="0"/>
              <w:spacing w:line="380" w:lineRule="exact"/>
              <w:jc w:val="center"/>
              <w:textAlignment w:val="auto"/>
              <w:rPr>
                <w:color w:val="auto"/>
                <w:szCs w:val="21"/>
                <w:highlight w:val="none"/>
              </w:rPr>
            </w:pPr>
            <w:r>
              <w:rPr>
                <w:rFonts w:hint="eastAsia"/>
                <w:color w:val="auto"/>
                <w:szCs w:val="21"/>
                <w:highlight w:val="none"/>
              </w:rPr>
              <w:t>进度付款证书最低限额</w:t>
            </w:r>
          </w:p>
        </w:tc>
        <w:tc>
          <w:tcPr>
            <w:tcW w:w="2527" w:type="dxa"/>
            <w:gridSpan w:val="2"/>
            <w:vAlign w:val="center"/>
          </w:tcPr>
          <w:p w14:paraId="18FEB881">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102"/>
              <w:jc w:val="center"/>
              <w:textAlignment w:val="auto"/>
              <w:rPr>
                <w:rFonts w:cs="Times New Roman"/>
                <w:color w:val="auto"/>
                <w:szCs w:val="21"/>
                <w:highlight w:val="none"/>
              </w:rPr>
            </w:pPr>
            <w:r>
              <w:rPr>
                <w:rFonts w:cs="Times New Roman"/>
                <w:color w:val="auto"/>
                <w:spacing w:val="-1"/>
                <w:szCs w:val="21"/>
                <w:highlight w:val="none"/>
              </w:rPr>
              <w:t>17.3.</w:t>
            </w:r>
            <w:r>
              <w:rPr>
                <w:rFonts w:hint="eastAsia" w:cs="Times New Roman"/>
                <w:color w:val="auto"/>
                <w:spacing w:val="-1"/>
                <w:szCs w:val="21"/>
                <w:highlight w:val="none"/>
                <w:lang w:val="en-US" w:eastAsia="zh-CN"/>
              </w:rPr>
              <w:t>3</w:t>
            </w:r>
            <w:r>
              <w:rPr>
                <w:rFonts w:hint="eastAsia"/>
                <w:color w:val="auto"/>
                <w:spacing w:val="-1"/>
                <w:szCs w:val="21"/>
                <w:highlight w:val="none"/>
              </w:rPr>
              <w:t>（</w:t>
            </w:r>
            <w:r>
              <w:rPr>
                <w:rFonts w:cs="Times New Roman"/>
                <w:color w:val="auto"/>
                <w:spacing w:val="-1"/>
                <w:szCs w:val="21"/>
                <w:highlight w:val="none"/>
              </w:rPr>
              <w:t>1</w:t>
            </w:r>
            <w:r>
              <w:rPr>
                <w:rFonts w:hint="eastAsia"/>
                <w:color w:val="auto"/>
                <w:spacing w:val="-1"/>
                <w:szCs w:val="21"/>
                <w:highlight w:val="none"/>
              </w:rPr>
              <w:t>）</w:t>
            </w:r>
          </w:p>
        </w:tc>
        <w:tc>
          <w:tcPr>
            <w:tcW w:w="2215" w:type="dxa"/>
            <w:vAlign w:val="center"/>
          </w:tcPr>
          <w:p w14:paraId="64297F19">
            <w:pPr>
              <w:pStyle w:val="256"/>
              <w:keepNext w:val="0"/>
              <w:keepLines w:val="0"/>
              <w:pageBreakBefore w:val="0"/>
              <w:widowControl w:val="0"/>
              <w:tabs>
                <w:tab w:val="left" w:pos="524"/>
                <w:tab w:val="left" w:pos="2483"/>
              </w:tabs>
              <w:kinsoku w:val="0"/>
              <w:wordWrap/>
              <w:overflowPunct w:val="0"/>
              <w:topLinePunct w:val="0"/>
              <w:autoSpaceDE/>
              <w:autoSpaceDN/>
              <w:bidi w:val="0"/>
              <w:adjustRightInd w:val="0"/>
              <w:snapToGrid w:val="0"/>
              <w:spacing w:line="380" w:lineRule="exact"/>
              <w:jc w:val="left"/>
              <w:textAlignment w:val="auto"/>
              <w:rPr>
                <w:rFonts w:hint="eastAsia"/>
                <w:color w:val="auto"/>
                <w:spacing w:val="-2"/>
                <w:szCs w:val="21"/>
                <w:highlight w:val="none"/>
              </w:rPr>
            </w:pPr>
            <w:r>
              <w:rPr>
                <w:rFonts w:cs="Times New Roman"/>
                <w:color w:val="auto"/>
                <w:szCs w:val="21"/>
                <w:highlight w:val="none"/>
                <w:u w:val="single"/>
              </w:rPr>
              <w:tab/>
            </w:r>
            <w:r>
              <w:rPr>
                <w:rFonts w:hint="eastAsia" w:cs="Times New Roman"/>
                <w:color w:val="auto"/>
                <w:szCs w:val="21"/>
                <w:highlight w:val="none"/>
                <w:u w:val="single"/>
                <w:lang w:val="en-US" w:eastAsia="zh-CN"/>
              </w:rPr>
              <w:t xml:space="preserve"> </w:t>
            </w:r>
            <w:r>
              <w:rPr>
                <w:rFonts w:cs="Times New Roman"/>
                <w:color w:val="auto"/>
                <w:spacing w:val="-2"/>
                <w:szCs w:val="21"/>
                <w:highlight w:val="none"/>
              </w:rPr>
              <w:t>%</w:t>
            </w:r>
            <w:r>
              <w:rPr>
                <w:rFonts w:hint="eastAsia"/>
                <w:color w:val="auto"/>
                <w:spacing w:val="-2"/>
                <w:szCs w:val="21"/>
                <w:highlight w:val="none"/>
              </w:rPr>
              <w:t>签约合同价或</w:t>
            </w:r>
          </w:p>
          <w:p w14:paraId="558EB73E">
            <w:pPr>
              <w:pStyle w:val="256"/>
              <w:keepNext w:val="0"/>
              <w:keepLines w:val="0"/>
              <w:pageBreakBefore w:val="0"/>
              <w:widowControl w:val="0"/>
              <w:tabs>
                <w:tab w:val="left" w:pos="524"/>
                <w:tab w:val="left" w:pos="2483"/>
              </w:tabs>
              <w:kinsoku w:val="0"/>
              <w:wordWrap/>
              <w:overflowPunct w:val="0"/>
              <w:topLinePunct w:val="0"/>
              <w:autoSpaceDE/>
              <w:autoSpaceDN/>
              <w:bidi w:val="0"/>
              <w:adjustRightInd w:val="0"/>
              <w:snapToGrid w:val="0"/>
              <w:spacing w:line="380" w:lineRule="exact"/>
              <w:jc w:val="left"/>
              <w:textAlignment w:val="auto"/>
              <w:rPr>
                <w:rFonts w:cs="Times New Roman"/>
                <w:color w:val="auto"/>
                <w:szCs w:val="21"/>
                <w:highlight w:val="none"/>
              </w:rPr>
            </w:pPr>
            <w:r>
              <w:rPr>
                <w:rFonts w:hint="eastAsia" w:cs="Times New Roman"/>
                <w:color w:val="auto"/>
                <w:spacing w:val="-2"/>
                <w:szCs w:val="21"/>
                <w:highlight w:val="none"/>
                <w:u w:val="single"/>
                <w:lang w:val="en-US" w:eastAsia="zh-CN"/>
              </w:rPr>
              <w:t xml:space="preserve">      </w:t>
            </w:r>
            <w:r>
              <w:rPr>
                <w:rFonts w:hint="eastAsia"/>
                <w:color w:val="auto"/>
                <w:szCs w:val="21"/>
                <w:highlight w:val="none"/>
              </w:rPr>
              <w:t>万元</w:t>
            </w:r>
          </w:p>
        </w:tc>
        <w:tc>
          <w:tcPr>
            <w:tcW w:w="646" w:type="dxa"/>
          </w:tcPr>
          <w:p w14:paraId="09264DA3">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444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178B1A9C">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10</w:t>
            </w:r>
          </w:p>
        </w:tc>
        <w:tc>
          <w:tcPr>
            <w:tcW w:w="2700" w:type="dxa"/>
            <w:vAlign w:val="center"/>
          </w:tcPr>
          <w:p w14:paraId="668956BF">
            <w:pPr>
              <w:keepNext w:val="0"/>
              <w:keepLines w:val="0"/>
              <w:pageBreakBefore w:val="0"/>
              <w:widowControl w:val="0"/>
              <w:wordWrap/>
              <w:topLinePunct w:val="0"/>
              <w:autoSpaceDE/>
              <w:autoSpaceDN/>
              <w:bidi w:val="0"/>
              <w:adjustRightInd w:val="0"/>
              <w:snapToGrid w:val="0"/>
              <w:spacing w:line="380" w:lineRule="exact"/>
              <w:jc w:val="center"/>
              <w:textAlignment w:val="auto"/>
              <w:rPr>
                <w:color w:val="auto"/>
                <w:szCs w:val="21"/>
                <w:highlight w:val="none"/>
              </w:rPr>
            </w:pPr>
            <w:r>
              <w:rPr>
                <w:rFonts w:hint="eastAsia"/>
                <w:color w:val="auto"/>
                <w:szCs w:val="21"/>
                <w:highlight w:val="none"/>
              </w:rPr>
              <w:t>逾期付款违约金的利率</w:t>
            </w:r>
          </w:p>
        </w:tc>
        <w:tc>
          <w:tcPr>
            <w:tcW w:w="2527" w:type="dxa"/>
            <w:gridSpan w:val="2"/>
            <w:vAlign w:val="center"/>
          </w:tcPr>
          <w:p w14:paraId="15FEE755">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102"/>
              <w:jc w:val="center"/>
              <w:textAlignment w:val="auto"/>
              <w:rPr>
                <w:rFonts w:cs="Times New Roman"/>
                <w:color w:val="auto"/>
                <w:szCs w:val="21"/>
                <w:highlight w:val="none"/>
              </w:rPr>
            </w:pPr>
            <w:r>
              <w:rPr>
                <w:rFonts w:cs="Times New Roman"/>
                <w:color w:val="auto"/>
                <w:spacing w:val="-1"/>
                <w:szCs w:val="21"/>
                <w:highlight w:val="none"/>
              </w:rPr>
              <w:t>17.3.</w:t>
            </w:r>
            <w:r>
              <w:rPr>
                <w:rFonts w:hint="eastAsia" w:cs="Times New Roman"/>
                <w:color w:val="auto"/>
                <w:spacing w:val="-1"/>
                <w:szCs w:val="21"/>
                <w:highlight w:val="none"/>
                <w:lang w:val="en-US" w:eastAsia="zh-CN"/>
              </w:rPr>
              <w:t>3</w:t>
            </w:r>
            <w:r>
              <w:rPr>
                <w:rFonts w:hint="eastAsia"/>
                <w:color w:val="auto"/>
                <w:spacing w:val="-1"/>
                <w:szCs w:val="21"/>
                <w:highlight w:val="none"/>
              </w:rPr>
              <w:t>（</w:t>
            </w:r>
            <w:r>
              <w:rPr>
                <w:rFonts w:cs="Times New Roman"/>
                <w:color w:val="auto"/>
                <w:spacing w:val="-1"/>
                <w:szCs w:val="21"/>
                <w:highlight w:val="none"/>
              </w:rPr>
              <w:t>2</w:t>
            </w:r>
            <w:r>
              <w:rPr>
                <w:rFonts w:hint="eastAsia"/>
                <w:color w:val="auto"/>
                <w:spacing w:val="-1"/>
                <w:szCs w:val="21"/>
                <w:highlight w:val="none"/>
              </w:rPr>
              <w:t>）</w:t>
            </w:r>
          </w:p>
        </w:tc>
        <w:tc>
          <w:tcPr>
            <w:tcW w:w="2215" w:type="dxa"/>
            <w:vAlign w:val="center"/>
          </w:tcPr>
          <w:p w14:paraId="00659623">
            <w:pPr>
              <w:pStyle w:val="256"/>
              <w:keepNext w:val="0"/>
              <w:keepLines w:val="0"/>
              <w:pageBreakBefore w:val="0"/>
              <w:widowControl w:val="0"/>
              <w:tabs>
                <w:tab w:val="left" w:pos="628"/>
              </w:tabs>
              <w:kinsoku w:val="0"/>
              <w:wordWrap/>
              <w:overflowPunct w:val="0"/>
              <w:topLinePunct w:val="0"/>
              <w:autoSpaceDE/>
              <w:autoSpaceDN/>
              <w:bidi w:val="0"/>
              <w:adjustRightInd w:val="0"/>
              <w:snapToGrid w:val="0"/>
              <w:spacing w:line="380" w:lineRule="exact"/>
              <w:ind w:left="0"/>
              <w:textAlignment w:val="auto"/>
              <w:rPr>
                <w:rFonts w:cs="Times New Roman"/>
                <w:color w:val="auto"/>
                <w:szCs w:val="21"/>
                <w:highlight w:val="none"/>
              </w:rPr>
            </w:pPr>
            <w:r>
              <w:rPr>
                <w:rFonts w:cs="Times New Roman"/>
                <w:color w:val="auto"/>
                <w:szCs w:val="21"/>
                <w:highlight w:val="none"/>
                <w:u w:val="single"/>
              </w:rPr>
              <w:tab/>
            </w:r>
            <w:r>
              <w:rPr>
                <w:rFonts w:cs="Times New Roman"/>
                <w:color w:val="auto"/>
                <w:spacing w:val="-1"/>
                <w:szCs w:val="21"/>
                <w:highlight w:val="none"/>
              </w:rPr>
              <w:t>‰/</w:t>
            </w:r>
            <w:r>
              <w:rPr>
                <w:rFonts w:hint="eastAsia"/>
                <w:color w:val="auto"/>
                <w:spacing w:val="-1"/>
                <w:szCs w:val="21"/>
                <w:highlight w:val="none"/>
              </w:rPr>
              <w:t>天</w:t>
            </w:r>
          </w:p>
        </w:tc>
        <w:tc>
          <w:tcPr>
            <w:tcW w:w="646" w:type="dxa"/>
          </w:tcPr>
          <w:p w14:paraId="5996E112">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4CB2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1659AB0B">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2"/>
              <w:jc w:val="center"/>
              <w:textAlignment w:val="auto"/>
              <w:rPr>
                <w:rFonts w:cs="Times New Roman"/>
                <w:color w:val="auto"/>
                <w:szCs w:val="21"/>
                <w:highlight w:val="none"/>
              </w:rPr>
            </w:pPr>
            <w:r>
              <w:rPr>
                <w:rFonts w:cs="Times New Roman"/>
                <w:color w:val="auto"/>
                <w:spacing w:val="-4"/>
                <w:szCs w:val="21"/>
                <w:highlight w:val="none"/>
              </w:rPr>
              <w:t>11</w:t>
            </w:r>
          </w:p>
        </w:tc>
        <w:tc>
          <w:tcPr>
            <w:tcW w:w="2700" w:type="dxa"/>
            <w:vAlign w:val="center"/>
          </w:tcPr>
          <w:p w14:paraId="64800509">
            <w:pPr>
              <w:keepNext w:val="0"/>
              <w:keepLines w:val="0"/>
              <w:pageBreakBefore w:val="0"/>
              <w:widowControl w:val="0"/>
              <w:wordWrap/>
              <w:topLinePunct w:val="0"/>
              <w:autoSpaceDE/>
              <w:autoSpaceDN/>
              <w:bidi w:val="0"/>
              <w:adjustRightInd w:val="0"/>
              <w:snapToGrid w:val="0"/>
              <w:spacing w:line="380" w:lineRule="exact"/>
              <w:jc w:val="center"/>
              <w:textAlignment w:val="auto"/>
              <w:rPr>
                <w:color w:val="auto"/>
                <w:szCs w:val="21"/>
                <w:highlight w:val="none"/>
              </w:rPr>
            </w:pPr>
            <w:r>
              <w:rPr>
                <w:rFonts w:hint="eastAsia"/>
                <w:color w:val="auto"/>
                <w:szCs w:val="21"/>
                <w:highlight w:val="none"/>
              </w:rPr>
              <w:t>质量保证金金额</w:t>
            </w:r>
          </w:p>
        </w:tc>
        <w:tc>
          <w:tcPr>
            <w:tcW w:w="2527" w:type="dxa"/>
            <w:gridSpan w:val="2"/>
            <w:vAlign w:val="center"/>
          </w:tcPr>
          <w:p w14:paraId="06301393">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0"/>
              <w:jc w:val="center"/>
              <w:textAlignment w:val="auto"/>
              <w:rPr>
                <w:rFonts w:cs="Times New Roman"/>
                <w:color w:val="auto"/>
                <w:szCs w:val="21"/>
                <w:highlight w:val="none"/>
              </w:rPr>
            </w:pPr>
            <w:r>
              <w:rPr>
                <w:rFonts w:cs="Times New Roman"/>
                <w:color w:val="auto"/>
                <w:szCs w:val="21"/>
                <w:highlight w:val="none"/>
              </w:rPr>
              <w:t>17.4.1</w:t>
            </w:r>
          </w:p>
        </w:tc>
        <w:tc>
          <w:tcPr>
            <w:tcW w:w="2215" w:type="dxa"/>
            <w:vAlign w:val="center"/>
          </w:tcPr>
          <w:p w14:paraId="6BF8278A">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0" w:right="97"/>
              <w:textAlignment w:val="auto"/>
              <w:rPr>
                <w:rFonts w:cs="Times New Roman"/>
                <w:color w:val="auto"/>
                <w:szCs w:val="21"/>
                <w:highlight w:val="none"/>
              </w:rPr>
            </w:pPr>
            <w:r>
              <w:rPr>
                <w:rFonts w:cs="Times New Roman"/>
                <w:color w:val="auto"/>
                <w:szCs w:val="21"/>
                <w:highlight w:val="none"/>
                <w:u w:val="single"/>
              </w:rPr>
              <w:tab/>
            </w:r>
            <w:r>
              <w:rPr>
                <w:rFonts w:hint="eastAsia" w:cs="Times New Roman"/>
                <w:color w:val="auto"/>
                <w:szCs w:val="21"/>
                <w:highlight w:val="none"/>
                <w:u w:val="single"/>
                <w:lang w:val="en-US" w:eastAsia="zh-CN"/>
              </w:rPr>
              <w:t xml:space="preserve"> </w:t>
            </w:r>
            <w:r>
              <w:rPr>
                <w:rFonts w:cs="Times New Roman"/>
                <w:color w:val="auto"/>
                <w:szCs w:val="21"/>
                <w:highlight w:val="none"/>
                <w:u w:val="single"/>
              </w:rPr>
              <w:t xml:space="preserve"> </w:t>
            </w:r>
            <w:r>
              <w:rPr>
                <w:rFonts w:cs="Times New Roman"/>
                <w:color w:val="auto"/>
                <w:spacing w:val="-4"/>
                <w:szCs w:val="21"/>
                <w:highlight w:val="none"/>
              </w:rPr>
              <w:t>%</w:t>
            </w:r>
            <w:r>
              <w:rPr>
                <w:rFonts w:hint="eastAsia"/>
                <w:color w:val="auto"/>
                <w:szCs w:val="21"/>
                <w:highlight w:val="none"/>
              </w:rPr>
              <w:t>合</w:t>
            </w:r>
            <w:r>
              <w:rPr>
                <w:rFonts w:hint="eastAsia"/>
                <w:color w:val="auto"/>
                <w:spacing w:val="-3"/>
                <w:szCs w:val="21"/>
                <w:highlight w:val="none"/>
              </w:rPr>
              <w:t>同</w:t>
            </w:r>
            <w:r>
              <w:rPr>
                <w:rFonts w:hint="eastAsia"/>
                <w:color w:val="auto"/>
                <w:szCs w:val="21"/>
                <w:highlight w:val="none"/>
              </w:rPr>
              <w:t>价</w:t>
            </w:r>
            <w:r>
              <w:rPr>
                <w:rFonts w:hint="eastAsia"/>
                <w:color w:val="auto"/>
                <w:spacing w:val="-3"/>
                <w:szCs w:val="21"/>
                <w:highlight w:val="none"/>
              </w:rPr>
              <w:t>格</w:t>
            </w:r>
          </w:p>
        </w:tc>
        <w:tc>
          <w:tcPr>
            <w:tcW w:w="646" w:type="dxa"/>
          </w:tcPr>
          <w:p w14:paraId="08599F47">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r w14:paraId="734E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vAlign w:val="center"/>
          </w:tcPr>
          <w:p w14:paraId="71974D0E">
            <w:pPr>
              <w:pStyle w:val="256"/>
              <w:keepNext w:val="0"/>
              <w:keepLines w:val="0"/>
              <w:pageBreakBefore w:val="0"/>
              <w:widowControl w:val="0"/>
              <w:kinsoku w:val="0"/>
              <w:wordWrap/>
              <w:overflowPunct w:val="0"/>
              <w:topLinePunct w:val="0"/>
              <w:autoSpaceDE/>
              <w:autoSpaceDN/>
              <w:bidi w:val="0"/>
              <w:adjustRightInd w:val="0"/>
              <w:snapToGrid w:val="0"/>
              <w:spacing w:line="380" w:lineRule="exact"/>
              <w:jc w:val="center"/>
              <w:textAlignment w:val="auto"/>
              <w:rPr>
                <w:rFonts w:cs="Times New Roman"/>
                <w:color w:val="auto"/>
                <w:szCs w:val="21"/>
                <w:highlight w:val="none"/>
              </w:rPr>
            </w:pPr>
            <w:r>
              <w:rPr>
                <w:rFonts w:cs="Times New Roman"/>
                <w:color w:val="auto"/>
                <w:szCs w:val="21"/>
                <w:highlight w:val="none"/>
              </w:rPr>
              <w:t>12</w:t>
            </w:r>
          </w:p>
        </w:tc>
        <w:tc>
          <w:tcPr>
            <w:tcW w:w="2700" w:type="dxa"/>
            <w:vAlign w:val="center"/>
          </w:tcPr>
          <w:p w14:paraId="5111421E">
            <w:pPr>
              <w:keepNext w:val="0"/>
              <w:keepLines w:val="0"/>
              <w:pageBreakBefore w:val="0"/>
              <w:widowControl w:val="0"/>
              <w:wordWrap/>
              <w:topLinePunct w:val="0"/>
              <w:autoSpaceDE/>
              <w:autoSpaceDN/>
              <w:bidi w:val="0"/>
              <w:adjustRightInd w:val="0"/>
              <w:snapToGrid w:val="0"/>
              <w:spacing w:line="380" w:lineRule="exact"/>
              <w:jc w:val="center"/>
              <w:textAlignment w:val="auto"/>
              <w:rPr>
                <w:color w:val="auto"/>
                <w:szCs w:val="21"/>
                <w:highlight w:val="none"/>
              </w:rPr>
            </w:pPr>
            <w:r>
              <w:rPr>
                <w:rFonts w:hint="eastAsia"/>
                <w:color w:val="auto"/>
                <w:szCs w:val="21"/>
                <w:highlight w:val="none"/>
              </w:rPr>
              <w:t>保修期</w:t>
            </w:r>
          </w:p>
        </w:tc>
        <w:tc>
          <w:tcPr>
            <w:tcW w:w="2527" w:type="dxa"/>
            <w:gridSpan w:val="2"/>
            <w:vAlign w:val="center"/>
          </w:tcPr>
          <w:p w14:paraId="0B132C73">
            <w:pPr>
              <w:pStyle w:val="256"/>
              <w:keepNext w:val="0"/>
              <w:keepLines w:val="0"/>
              <w:pageBreakBefore w:val="0"/>
              <w:widowControl w:val="0"/>
              <w:kinsoku w:val="0"/>
              <w:wordWrap/>
              <w:overflowPunct w:val="0"/>
              <w:topLinePunct w:val="0"/>
              <w:autoSpaceDE/>
              <w:autoSpaceDN/>
              <w:bidi w:val="0"/>
              <w:adjustRightInd w:val="0"/>
              <w:snapToGrid w:val="0"/>
              <w:spacing w:line="380" w:lineRule="exact"/>
              <w:ind w:left="140"/>
              <w:jc w:val="center"/>
              <w:textAlignment w:val="auto"/>
              <w:rPr>
                <w:rFonts w:cs="Times New Roman"/>
                <w:color w:val="auto"/>
                <w:szCs w:val="21"/>
                <w:highlight w:val="none"/>
              </w:rPr>
            </w:pPr>
            <w:r>
              <w:rPr>
                <w:rFonts w:cs="Times New Roman"/>
                <w:color w:val="auto"/>
                <w:spacing w:val="-1"/>
                <w:szCs w:val="21"/>
                <w:highlight w:val="none"/>
              </w:rPr>
              <w:t>19.7</w:t>
            </w:r>
            <w:r>
              <w:rPr>
                <w:rFonts w:hint="eastAsia"/>
                <w:color w:val="auto"/>
                <w:spacing w:val="-1"/>
                <w:szCs w:val="21"/>
                <w:highlight w:val="none"/>
              </w:rPr>
              <w:t>（</w:t>
            </w:r>
            <w:r>
              <w:rPr>
                <w:rFonts w:cs="Times New Roman"/>
                <w:color w:val="auto"/>
                <w:spacing w:val="-1"/>
                <w:szCs w:val="21"/>
                <w:highlight w:val="none"/>
              </w:rPr>
              <w:t>1</w:t>
            </w:r>
            <w:r>
              <w:rPr>
                <w:rFonts w:hint="eastAsia"/>
                <w:color w:val="auto"/>
                <w:spacing w:val="-1"/>
                <w:szCs w:val="21"/>
                <w:highlight w:val="none"/>
              </w:rPr>
              <w:t>）</w:t>
            </w:r>
          </w:p>
        </w:tc>
        <w:tc>
          <w:tcPr>
            <w:tcW w:w="2215" w:type="dxa"/>
            <w:vAlign w:val="center"/>
          </w:tcPr>
          <w:p w14:paraId="2601B03E">
            <w:pPr>
              <w:pStyle w:val="256"/>
              <w:keepNext w:val="0"/>
              <w:keepLines w:val="0"/>
              <w:pageBreakBefore w:val="0"/>
              <w:widowControl w:val="0"/>
              <w:tabs>
                <w:tab w:val="left" w:pos="2728"/>
              </w:tabs>
              <w:kinsoku w:val="0"/>
              <w:wordWrap/>
              <w:overflowPunct w:val="0"/>
              <w:topLinePunct w:val="0"/>
              <w:autoSpaceDE/>
              <w:autoSpaceDN/>
              <w:bidi w:val="0"/>
              <w:adjustRightInd w:val="0"/>
              <w:snapToGrid w:val="0"/>
              <w:spacing w:line="380" w:lineRule="exact"/>
              <w:textAlignment w:val="auto"/>
              <w:rPr>
                <w:rFonts w:cs="Times New Roman"/>
                <w:color w:val="auto"/>
                <w:szCs w:val="21"/>
                <w:highlight w:val="none"/>
              </w:rPr>
            </w:pPr>
            <w:r>
              <w:rPr>
                <w:rFonts w:cs="Times New Roman"/>
                <w:color w:val="auto"/>
                <w:spacing w:val="-2"/>
                <w:szCs w:val="21"/>
                <w:highlight w:val="none"/>
                <w:u w:val="single"/>
              </w:rPr>
              <w:t xml:space="preserve">                 </w:t>
            </w:r>
          </w:p>
        </w:tc>
        <w:tc>
          <w:tcPr>
            <w:tcW w:w="646" w:type="dxa"/>
          </w:tcPr>
          <w:p w14:paraId="5839B4AC">
            <w:pPr>
              <w:keepNext w:val="0"/>
              <w:keepLines w:val="0"/>
              <w:pageBreakBefore w:val="0"/>
              <w:widowControl w:val="0"/>
              <w:wordWrap/>
              <w:topLinePunct w:val="0"/>
              <w:autoSpaceDE/>
              <w:autoSpaceDN/>
              <w:bidi w:val="0"/>
              <w:adjustRightInd w:val="0"/>
              <w:snapToGrid w:val="0"/>
              <w:spacing w:line="380" w:lineRule="exact"/>
              <w:textAlignment w:val="auto"/>
              <w:rPr>
                <w:rFonts w:ascii="宋体" w:hAnsi="宋体"/>
                <w:color w:val="auto"/>
                <w:szCs w:val="21"/>
                <w:highlight w:val="none"/>
              </w:rPr>
            </w:pPr>
          </w:p>
        </w:tc>
      </w:tr>
    </w:tbl>
    <w:p w14:paraId="17F75424">
      <w:pPr>
        <w:pStyle w:val="265"/>
        <w:kinsoku w:val="0"/>
        <w:overflowPunct w:val="0"/>
        <w:ind w:left="18"/>
        <w:outlineLvl w:val="1"/>
        <w:rPr>
          <w:rFonts w:ascii="黑体" w:hAnsi="黑体" w:eastAsia="黑体"/>
          <w:b w:val="0"/>
          <w:color w:val="auto"/>
          <w:highlight w:val="none"/>
          <w:lang w:eastAsia="zh-CN"/>
        </w:rPr>
      </w:pPr>
      <w:r>
        <w:rPr>
          <w:color w:val="auto"/>
          <w:highlight w:val="none"/>
          <w:lang w:eastAsia="zh-CN"/>
        </w:rPr>
        <w:br w:type="page"/>
      </w:r>
      <w:r>
        <w:rPr>
          <w:rFonts w:hint="eastAsia" w:ascii="黑体" w:hAnsi="黑体" w:eastAsia="黑体"/>
          <w:b w:val="0"/>
          <w:color w:val="auto"/>
          <w:highlight w:val="none"/>
          <w:lang w:eastAsia="zh-CN"/>
        </w:rPr>
        <w:t>二、授权委托书或法定代表人身份证明</w:t>
      </w:r>
    </w:p>
    <w:p w14:paraId="007B06A5">
      <w:pPr>
        <w:pStyle w:val="22"/>
        <w:kinsoku w:val="0"/>
        <w:overflowPunct w:val="0"/>
        <w:spacing w:before="11"/>
        <w:rPr>
          <w:rFonts w:cs="黑体"/>
          <w:color w:val="auto"/>
          <w:sz w:val="28"/>
          <w:szCs w:val="28"/>
          <w:highlight w:val="none"/>
        </w:rPr>
      </w:pPr>
    </w:p>
    <w:p w14:paraId="01D25730">
      <w:pPr>
        <w:pStyle w:val="22"/>
        <w:kinsoku w:val="0"/>
        <w:overflowPunct w:val="0"/>
        <w:spacing w:before="0"/>
        <w:ind w:right="3165" w:firstLine="3614" w:firstLineChars="1300"/>
        <w:jc w:val="center"/>
        <w:outlineLvl w:val="2"/>
        <w:rPr>
          <w:rFonts w:cs="黑体"/>
          <w:b/>
          <w:bCs/>
          <w:color w:val="auto"/>
          <w:highlight w:val="none"/>
        </w:rPr>
      </w:pPr>
      <w:bookmarkStart w:id="907" w:name="bookmark293"/>
      <w:bookmarkEnd w:id="907"/>
      <w:r>
        <w:rPr>
          <w:rFonts w:hint="eastAsia" w:ascii="黑体" w:hAnsi="黑体" w:eastAsia="黑体" w:cs="黑体"/>
          <w:color w:val="auto"/>
          <w:spacing w:val="-1"/>
          <w:sz w:val="28"/>
          <w:szCs w:val="28"/>
          <w:highlight w:val="none"/>
        </w:rPr>
        <w:t>授权委托书</w:t>
      </w:r>
    </w:p>
    <w:p w14:paraId="02259156">
      <w:pPr>
        <w:pStyle w:val="22"/>
        <w:kinsoku w:val="0"/>
        <w:overflowPunct w:val="0"/>
        <w:spacing w:before="9"/>
        <w:rPr>
          <w:rFonts w:cs="黑体"/>
          <w:b/>
          <w:bCs/>
          <w:color w:val="auto"/>
          <w:highlight w:val="none"/>
        </w:rPr>
      </w:pPr>
    </w:p>
    <w:p w14:paraId="3D93B3BD">
      <w:pPr>
        <w:spacing w:line="360" w:lineRule="auto"/>
        <w:ind w:firstLine="480" w:firstLineChars="200"/>
        <w:rPr>
          <w:rFonts w:hint="eastAsia" w:ascii="宋体" w:hAnsi="宋体" w:cs="宋体"/>
          <w:color w:val="auto"/>
          <w:sz w:val="24"/>
          <w:highlight w:val="none"/>
        </w:rPr>
      </w:pPr>
    </w:p>
    <w:p w14:paraId="1849C2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（姓名</w:t>
      </w:r>
      <w:r>
        <w:rPr>
          <w:rFonts w:ascii="宋体" w:hAnsi="宋体" w:cs="宋体"/>
          <w:color w:val="auto"/>
          <w:sz w:val="24"/>
          <w:highlight w:val="none"/>
        </w:rPr>
        <w:t>）</w:t>
      </w:r>
      <w:r>
        <w:rPr>
          <w:rFonts w:hint="eastAsia" w:ascii="宋体" w:hAnsi="宋体" w:cs="宋体"/>
          <w:color w:val="auto"/>
          <w:sz w:val="24"/>
          <w:highlight w:val="none"/>
        </w:rPr>
        <w:t>系</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（投标人名称）的法定代表人，现委托（姓名）为我方代理人。代理人根据授权，以我方名义签署、澄清确认、递交、撤回、修改</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（招标项目名称）招标第</w:t>
      </w:r>
      <w:r>
        <w:rPr>
          <w:rFonts w:ascii="宋体" w:hAnsi="宋体" w:cs="宋体"/>
          <w:color w:val="auto"/>
          <w:sz w:val="24"/>
          <w:highlight w:val="none"/>
          <w:u w:val="single"/>
        </w:rPr>
        <w:t xml:space="preserve">    </w:t>
      </w:r>
      <w:r>
        <w:rPr>
          <w:rFonts w:hint="eastAsia" w:ascii="宋体" w:hAnsi="宋体" w:cs="宋体"/>
          <w:color w:val="auto"/>
          <w:sz w:val="24"/>
          <w:highlight w:val="none"/>
        </w:rPr>
        <w:t>标段投标文件、签订合同和处理有关事宜，其法律后果由我方承担。</w:t>
      </w:r>
    </w:p>
    <w:p w14:paraId="35A2F15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委托期限：自本委托书签署之日起至投标有效期期满。</w:t>
      </w:r>
      <w:r>
        <w:rPr>
          <w:rFonts w:ascii="宋体" w:hAnsi="宋体" w:cs="宋体"/>
          <w:color w:val="auto"/>
          <w:sz w:val="24"/>
          <w:highlight w:val="none"/>
        </w:rPr>
        <w:t xml:space="preserve"> </w:t>
      </w:r>
    </w:p>
    <w:p w14:paraId="7BEF6CA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代理人无转委托权。</w:t>
      </w:r>
    </w:p>
    <w:p w14:paraId="3E60C051">
      <w:pPr>
        <w:spacing w:line="360" w:lineRule="auto"/>
        <w:ind w:firstLine="480" w:firstLineChars="200"/>
        <w:jc w:val="left"/>
        <w:rPr>
          <w:rFonts w:hint="eastAsia" w:ascii="宋体" w:hAnsi="宋体" w:cs="宋体"/>
          <w:color w:val="auto"/>
          <w:sz w:val="24"/>
          <w:highlight w:val="none"/>
        </w:rPr>
      </w:pPr>
    </w:p>
    <w:p w14:paraId="4C9CE95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附：法定代表人身份证、委托代理人身份证原件原色扫描件。</w:t>
      </w:r>
    </w:p>
    <w:p w14:paraId="5C9E36A5">
      <w:pPr>
        <w:spacing w:line="360" w:lineRule="auto"/>
        <w:jc w:val="left"/>
        <w:rPr>
          <w:rFonts w:ascii="宋体" w:hAnsi="宋体"/>
          <w:color w:val="auto"/>
          <w:sz w:val="24"/>
          <w:highlight w:val="none"/>
        </w:rPr>
      </w:pPr>
    </w:p>
    <w:p w14:paraId="26674488">
      <w:pPr>
        <w:spacing w:line="360" w:lineRule="auto"/>
        <w:ind w:firstLine="2760" w:firstLineChars="1150"/>
        <w:jc w:val="left"/>
        <w:rPr>
          <w:rFonts w:ascii="宋体" w:hAnsi="宋体"/>
          <w:color w:val="auto"/>
          <w:sz w:val="24"/>
          <w:highlight w:val="none"/>
        </w:rPr>
      </w:pPr>
      <w:r>
        <w:rPr>
          <w:rFonts w:hint="eastAsia" w:ascii="宋体" w:hAnsi="宋体"/>
          <w:color w:val="auto"/>
          <w:sz w:val="24"/>
          <w:highlight w:val="none"/>
        </w:rPr>
        <w:t>投</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w:t>
      </w:r>
      <w:r>
        <w:rPr>
          <w:rFonts w:ascii="宋体" w:hAnsi="宋体"/>
          <w:color w:val="auto"/>
          <w:sz w:val="24"/>
          <w:highlight w:val="none"/>
          <w:u w:val="single"/>
        </w:rPr>
        <w:t xml:space="preserve">    （全称）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（盖单位电子印章）</w:t>
      </w:r>
    </w:p>
    <w:p w14:paraId="1A855040">
      <w:pPr>
        <w:spacing w:line="360" w:lineRule="auto"/>
        <w:ind w:left="2520" w:leftChars="1200" w:firstLine="240" w:firstLineChars="100"/>
        <w:jc w:val="left"/>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u w:val="single"/>
        </w:rPr>
        <w:t xml:space="preserve">     </w:t>
      </w:r>
      <w:r>
        <w:rPr>
          <w:rFonts w:ascii="宋体" w:hAnsi="宋体"/>
          <w:color w:val="auto"/>
          <w:sz w:val="24"/>
          <w:highlight w:val="none"/>
        </w:rPr>
        <w:t>（</w:t>
      </w:r>
      <w:r>
        <w:rPr>
          <w:rFonts w:hint="eastAsia"/>
          <w:color w:val="auto"/>
          <w:sz w:val="24"/>
          <w:highlight w:val="none"/>
        </w:rPr>
        <w:t>个人电子签名章或个人电子印章</w:t>
      </w:r>
      <w:r>
        <w:rPr>
          <w:rFonts w:ascii="宋体" w:hAnsi="宋体"/>
          <w:color w:val="auto"/>
          <w:sz w:val="24"/>
          <w:highlight w:val="none"/>
        </w:rPr>
        <w:t xml:space="preserve">）     </w:t>
      </w:r>
    </w:p>
    <w:p w14:paraId="66BA7F01">
      <w:pPr>
        <w:spacing w:line="360" w:lineRule="auto"/>
        <w:ind w:left="2520" w:leftChars="1200" w:firstLine="240" w:firstLineChars="100"/>
        <w:jc w:val="left"/>
        <w:rPr>
          <w:rFonts w:ascii="宋体" w:hAnsi="宋体"/>
          <w:color w:val="auto"/>
          <w:sz w:val="24"/>
          <w:highlight w:val="none"/>
        </w:rPr>
      </w:pPr>
      <w:r>
        <w:rPr>
          <w:rFonts w:hint="eastAsia" w:ascii="宋体" w:hAnsi="宋体"/>
          <w:color w:val="auto"/>
          <w:sz w:val="24"/>
          <w:highlight w:val="none"/>
        </w:rPr>
        <w:t>身份证号码：</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14:paraId="71360CD7">
      <w:pPr>
        <w:spacing w:line="360" w:lineRule="auto"/>
        <w:ind w:left="2520" w:leftChars="1200" w:firstLine="240" w:firstLineChars="100"/>
        <w:jc w:val="left"/>
        <w:rPr>
          <w:rFonts w:ascii="宋体" w:hAnsi="宋体"/>
          <w:color w:val="auto"/>
          <w:sz w:val="24"/>
          <w:highlight w:val="none"/>
        </w:rPr>
      </w:pPr>
      <w:r>
        <w:rPr>
          <w:rFonts w:hint="eastAsia" w:ascii="宋体" w:hAnsi="宋体"/>
          <w:color w:val="auto"/>
          <w:sz w:val="24"/>
          <w:highlight w:val="none"/>
        </w:rPr>
        <w:t>委托代理人：</w:t>
      </w:r>
      <w:r>
        <w:rPr>
          <w:rFonts w:ascii="宋体" w:hAnsi="宋体"/>
          <w:color w:val="auto"/>
          <w:sz w:val="24"/>
          <w:highlight w:val="none"/>
          <w:u w:val="single"/>
        </w:rPr>
        <w:t xml:space="preserve">      </w:t>
      </w:r>
      <w:r>
        <w:rPr>
          <w:rFonts w:ascii="宋体" w:hAnsi="宋体"/>
          <w:color w:val="auto"/>
          <w:sz w:val="24"/>
          <w:highlight w:val="none"/>
        </w:rPr>
        <w:t>（</w:t>
      </w:r>
      <w:r>
        <w:rPr>
          <w:rFonts w:hint="eastAsia"/>
          <w:color w:val="auto"/>
          <w:sz w:val="24"/>
          <w:highlight w:val="none"/>
        </w:rPr>
        <w:t>个人电子签名章或个人电子印章</w:t>
      </w:r>
      <w:r>
        <w:rPr>
          <w:rFonts w:ascii="宋体" w:hAnsi="宋体"/>
          <w:color w:val="auto"/>
          <w:sz w:val="24"/>
          <w:highlight w:val="none"/>
        </w:rPr>
        <w:t>）</w:t>
      </w:r>
    </w:p>
    <w:p w14:paraId="6947B926">
      <w:pPr>
        <w:spacing w:line="360" w:lineRule="auto"/>
        <w:ind w:firstLine="2760" w:firstLineChars="1150"/>
        <w:jc w:val="left"/>
        <w:rPr>
          <w:rFonts w:ascii="宋体" w:hAnsi="宋体"/>
          <w:color w:val="auto"/>
          <w:sz w:val="24"/>
          <w:highlight w:val="none"/>
          <w:u w:val="single"/>
        </w:rPr>
      </w:pPr>
      <w:r>
        <w:rPr>
          <w:rFonts w:hint="eastAsia" w:ascii="宋体" w:hAnsi="宋体"/>
          <w:color w:val="auto"/>
          <w:sz w:val="24"/>
          <w:highlight w:val="none"/>
        </w:rPr>
        <w:t>身份证号码：</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p>
    <w:p w14:paraId="24355041">
      <w:pPr>
        <w:pStyle w:val="22"/>
        <w:tabs>
          <w:tab w:val="left" w:pos="5602"/>
          <w:tab w:val="left" w:pos="6922"/>
          <w:tab w:val="left" w:pos="8058"/>
        </w:tabs>
        <w:kinsoku w:val="0"/>
        <w:overflowPunct w:val="0"/>
        <w:spacing w:before="0" w:line="360" w:lineRule="auto"/>
        <w:ind w:firstLine="5752" w:firstLineChars="2397"/>
        <w:rPr>
          <w:color w:val="auto"/>
          <w:highlight w:val="none"/>
          <w:u w:val="single"/>
        </w:rPr>
      </w:pPr>
    </w:p>
    <w:p w14:paraId="7D2B449E">
      <w:pPr>
        <w:pStyle w:val="22"/>
        <w:tabs>
          <w:tab w:val="left" w:pos="5602"/>
          <w:tab w:val="left" w:pos="6922"/>
          <w:tab w:val="left" w:pos="8058"/>
        </w:tabs>
        <w:kinsoku w:val="0"/>
        <w:overflowPunct w:val="0"/>
        <w:spacing w:before="0" w:line="360" w:lineRule="auto"/>
        <w:ind w:firstLine="5752" w:firstLineChars="2397"/>
        <w:rPr>
          <w:color w:val="auto"/>
          <w:highlight w:val="none"/>
        </w:rPr>
      </w:pPr>
      <w:r>
        <w:rPr>
          <w:color w:val="auto"/>
          <w:highlight w:val="none"/>
          <w:u w:val="single"/>
        </w:rPr>
        <w:t xml:space="preserve"> </w:t>
      </w:r>
      <w:r>
        <w:rPr>
          <w:color w:val="auto"/>
          <w:highlight w:val="none"/>
          <w:u w:val="single"/>
        </w:rPr>
        <w:tab/>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ab/>
      </w:r>
      <w:r>
        <w:rPr>
          <w:rFonts w:hint="eastAsia"/>
          <w:color w:val="auto"/>
          <w:highlight w:val="none"/>
          <w:u w:val="single"/>
          <w:lang w:val="en-US" w:eastAsia="zh-CN"/>
        </w:rPr>
        <w:t xml:space="preserve">  </w:t>
      </w:r>
      <w:r>
        <w:rPr>
          <w:rFonts w:hint="eastAsia"/>
          <w:color w:val="auto"/>
          <w:highlight w:val="none"/>
        </w:rPr>
        <w:t>日</w:t>
      </w:r>
    </w:p>
    <w:p w14:paraId="79B9E83E">
      <w:pPr>
        <w:pStyle w:val="22"/>
        <w:kinsoku w:val="0"/>
        <w:overflowPunct w:val="0"/>
        <w:spacing w:before="12"/>
        <w:rPr>
          <w:color w:val="auto"/>
          <w:sz w:val="33"/>
          <w:szCs w:val="33"/>
          <w:highlight w:val="none"/>
        </w:rPr>
      </w:pPr>
    </w:p>
    <w:p w14:paraId="390B11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6BCF8D4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1.如果投标文件由委托代理人签署，则投标人须提交授权委托书，授权委托书须满足下列要求：</w:t>
      </w:r>
    </w:p>
    <w:p w14:paraId="5E6A5A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1）投标人须在授权委托书上加盖投标人单位电子印章；</w:t>
      </w:r>
    </w:p>
    <w:p w14:paraId="6CE285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2）法定代表人和委托代理人必须在授权书上加盖个人电子签名章或个人电子印章；</w:t>
      </w:r>
    </w:p>
    <w:p w14:paraId="097FB63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3）委托代理人只能是一个人，且不能再授予他人，否则其授权无效</w:t>
      </w:r>
      <w:r>
        <w:rPr>
          <w:rFonts w:hint="eastAsia" w:ascii="宋体" w:hAnsi="宋体" w:cs="宋体"/>
          <w:color w:val="auto"/>
          <w:szCs w:val="21"/>
          <w:highlight w:val="none"/>
          <w:lang w:eastAsia="zh-CN"/>
        </w:rPr>
        <w:t>。</w:t>
      </w:r>
    </w:p>
    <w:p w14:paraId="16F08DB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2.如果由投标人的委托代理人签署投标文件，则</w:t>
      </w:r>
      <w:r>
        <w:rPr>
          <w:rFonts w:hint="eastAsia" w:ascii="宋体" w:hAnsi="宋体" w:cs="宋体"/>
          <w:color w:val="auto"/>
          <w:szCs w:val="21"/>
          <w:highlight w:val="none"/>
          <w:lang w:val="en-US" w:eastAsia="zh-CN"/>
        </w:rPr>
        <w:t>无须</w:t>
      </w:r>
      <w:r>
        <w:rPr>
          <w:rFonts w:ascii="宋体" w:hAnsi="宋体" w:cs="宋体"/>
          <w:color w:val="auto"/>
          <w:szCs w:val="21"/>
          <w:highlight w:val="none"/>
        </w:rPr>
        <w:t>提供法定代表人身份证明。</w:t>
      </w:r>
    </w:p>
    <w:p w14:paraId="54C908A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szCs w:val="21"/>
          <w:highlight w:val="none"/>
        </w:rPr>
        <w:t>以联合体形式投标的，本授权委托书由联合体牵头人提供，且由联合体牵头人的法定代表人或其委托代理人按上述规定加盖个人电子签名章或个人电子印章并加盖联合体牵头人单位电子印章。</w:t>
      </w:r>
    </w:p>
    <w:p w14:paraId="05EA3047">
      <w:pPr>
        <w:spacing w:line="360" w:lineRule="auto"/>
        <w:ind w:firstLine="0" w:firstLineChars="0"/>
        <w:jc w:val="center"/>
        <w:outlineLvl w:val="2"/>
        <w:rPr>
          <w:rFonts w:ascii="黑体" w:hAnsi="黑体" w:eastAsia="黑体" w:cs="黑体"/>
          <w:color w:val="auto"/>
          <w:spacing w:val="-1"/>
          <w:sz w:val="28"/>
          <w:szCs w:val="28"/>
          <w:highlight w:val="none"/>
        </w:rPr>
      </w:pPr>
      <w:bookmarkStart w:id="908" w:name="bookmark294"/>
      <w:bookmarkEnd w:id="908"/>
      <w:r>
        <w:rPr>
          <w:rFonts w:ascii="宋体" w:hAnsi="宋体" w:cs="宋体"/>
          <w:color w:val="auto"/>
          <w:szCs w:val="21"/>
          <w:highlight w:val="none"/>
        </w:rPr>
        <w:br w:type="page"/>
      </w:r>
      <w:r>
        <w:rPr>
          <w:rFonts w:hint="eastAsia" w:ascii="黑体" w:hAnsi="黑体" w:eastAsia="黑体" w:cs="黑体"/>
          <w:color w:val="auto"/>
          <w:spacing w:val="-1"/>
          <w:sz w:val="28"/>
          <w:szCs w:val="28"/>
          <w:highlight w:val="none"/>
        </w:rPr>
        <w:t>法定代表人身份证明</w:t>
      </w:r>
    </w:p>
    <w:p w14:paraId="711EA1B7">
      <w:pPr>
        <w:pStyle w:val="22"/>
        <w:kinsoku w:val="0"/>
        <w:overflowPunct w:val="0"/>
        <w:spacing w:line="360" w:lineRule="auto"/>
        <w:rPr>
          <w:rFonts w:cs="黑体"/>
          <w:b/>
          <w:color w:val="auto"/>
          <w:highlight w:val="none"/>
        </w:rPr>
      </w:pPr>
    </w:p>
    <w:p w14:paraId="6DC1C285">
      <w:pPr>
        <w:pStyle w:val="22"/>
        <w:kinsoku w:val="0"/>
        <w:overflowPunct w:val="0"/>
        <w:spacing w:before="9" w:line="360" w:lineRule="auto"/>
        <w:rPr>
          <w:rFonts w:cs="黑体"/>
          <w:color w:val="auto"/>
          <w:highlight w:val="none"/>
        </w:rPr>
      </w:pPr>
    </w:p>
    <w:p w14:paraId="07E478C3">
      <w:pPr>
        <w:pStyle w:val="22"/>
        <w:tabs>
          <w:tab w:val="left" w:pos="3959"/>
          <w:tab w:val="left" w:pos="5040"/>
          <w:tab w:val="left" w:pos="5400"/>
          <w:tab w:val="left" w:pos="7145"/>
          <w:tab w:val="left" w:pos="8880"/>
        </w:tabs>
        <w:kinsoku w:val="0"/>
        <w:overflowPunct w:val="0"/>
        <w:spacing w:line="360" w:lineRule="auto"/>
        <w:ind w:left="184" w:right="203"/>
        <w:rPr>
          <w:color w:val="auto"/>
          <w:spacing w:val="1"/>
          <w:highlight w:val="none"/>
        </w:rPr>
      </w:pPr>
      <w:r>
        <w:rPr>
          <w:rFonts w:hint="eastAsia"/>
          <w:color w:val="auto"/>
          <w:spacing w:val="-1"/>
          <w:highlight w:val="none"/>
        </w:rPr>
        <w:t>投标人名称：</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 xml:space="preserve"> </w:t>
      </w:r>
      <w:r>
        <w:rPr>
          <w:color w:val="auto"/>
          <w:spacing w:val="1"/>
          <w:highlight w:val="none"/>
        </w:rPr>
        <w:t xml:space="preserve">                           </w:t>
      </w:r>
    </w:p>
    <w:p w14:paraId="429407CE">
      <w:pPr>
        <w:pStyle w:val="22"/>
        <w:tabs>
          <w:tab w:val="left" w:pos="4319"/>
          <w:tab w:val="left" w:pos="5639"/>
          <w:tab w:val="left" w:pos="7379"/>
          <w:tab w:val="left" w:pos="8521"/>
        </w:tabs>
        <w:kinsoku w:val="0"/>
        <w:overflowPunct w:val="0"/>
        <w:spacing w:line="360" w:lineRule="auto"/>
        <w:ind w:left="184" w:right="203"/>
        <w:rPr>
          <w:color w:val="auto"/>
          <w:highlight w:val="none"/>
          <w:u w:val="single"/>
        </w:rPr>
      </w:pPr>
      <w:r>
        <w:rPr>
          <w:rFonts w:hint="eastAsia"/>
          <w:color w:val="auto"/>
          <w:spacing w:val="-1"/>
          <w:highlight w:val="none"/>
        </w:rPr>
        <w:t>姓名：</w:t>
      </w:r>
      <w:r>
        <w:rPr>
          <w:color w:val="auto"/>
          <w:highlight w:val="none"/>
        </w:rPr>
        <w:t xml:space="preserve">  </w:t>
      </w:r>
      <w:r>
        <w:rPr>
          <w:color w:val="auto"/>
          <w:spacing w:val="119"/>
          <w:highlight w:val="none"/>
          <w:u w:val="single"/>
        </w:rPr>
        <w:t xml:space="preserve"> </w:t>
      </w:r>
      <w:r>
        <w:rPr>
          <w:rFonts w:hint="eastAsia" w:cs="宋体"/>
          <w:color w:val="auto"/>
          <w:highlight w:val="none"/>
          <w:u w:val="single"/>
        </w:rPr>
        <w:t>（法定代表人签字）</w:t>
      </w:r>
      <w:r>
        <w:rPr>
          <w:color w:val="auto"/>
          <w:spacing w:val="119"/>
          <w:highlight w:val="none"/>
          <w:u w:val="single"/>
        </w:rPr>
        <w:t xml:space="preserve"> </w:t>
      </w:r>
      <w:r>
        <w:rPr>
          <w:rFonts w:hint="eastAsia"/>
          <w:color w:val="auto"/>
          <w:highlight w:val="none"/>
        </w:rPr>
        <w:t>性别：</w:t>
      </w:r>
      <w:r>
        <w:rPr>
          <w:color w:val="auto"/>
          <w:highlight w:val="none"/>
          <w:u w:val="single"/>
        </w:rPr>
        <w:tab/>
      </w:r>
      <w:r>
        <w:rPr>
          <w:rFonts w:hint="eastAsia"/>
          <w:color w:val="auto"/>
          <w:highlight w:val="none"/>
        </w:rPr>
        <w:t>年龄：</w:t>
      </w:r>
      <w:r>
        <w:rPr>
          <w:color w:val="auto"/>
          <w:highlight w:val="none"/>
          <w:u w:val="single"/>
        </w:rPr>
        <w:tab/>
      </w:r>
      <w:r>
        <w:rPr>
          <w:rFonts w:hint="eastAsia"/>
          <w:color w:val="auto"/>
          <w:highlight w:val="none"/>
        </w:rPr>
        <w:t>职务：</w:t>
      </w:r>
      <w:r>
        <w:rPr>
          <w:color w:val="auto"/>
          <w:highlight w:val="none"/>
          <w:u w:val="single"/>
        </w:rPr>
        <w:t xml:space="preserve"> </w:t>
      </w:r>
      <w:r>
        <w:rPr>
          <w:color w:val="auto"/>
          <w:highlight w:val="none"/>
          <w:u w:val="single"/>
        </w:rPr>
        <w:tab/>
      </w:r>
    </w:p>
    <w:p w14:paraId="0FFA7C2E">
      <w:pPr>
        <w:pStyle w:val="22"/>
        <w:tabs>
          <w:tab w:val="left" w:pos="4319"/>
          <w:tab w:val="left" w:pos="5639"/>
          <w:tab w:val="left" w:pos="7379"/>
          <w:tab w:val="left" w:pos="8521"/>
        </w:tabs>
        <w:kinsoku w:val="0"/>
        <w:overflowPunct w:val="0"/>
        <w:spacing w:line="360" w:lineRule="auto"/>
        <w:ind w:left="184" w:right="203"/>
        <w:rPr>
          <w:color w:val="auto"/>
          <w:highlight w:val="none"/>
        </w:rPr>
      </w:pPr>
      <w:r>
        <w:rPr>
          <w:rFonts w:hint="eastAsia"/>
          <w:color w:val="auto"/>
          <w:highlight w:val="none"/>
        </w:rPr>
        <w:t>系</w:t>
      </w:r>
      <w:r>
        <w:rPr>
          <w:color w:val="auto"/>
          <w:highlight w:val="none"/>
          <w:u w:val="single"/>
        </w:rPr>
        <w:tab/>
      </w:r>
      <w:r>
        <w:rPr>
          <w:color w:val="auto"/>
          <w:highlight w:val="none"/>
          <w:u w:val="single"/>
        </w:rPr>
        <w:t xml:space="preserve"> </w:t>
      </w:r>
      <w:r>
        <w:rPr>
          <w:rFonts w:hint="eastAsia"/>
          <w:color w:val="auto"/>
          <w:highlight w:val="none"/>
        </w:rPr>
        <w:t>（投标人名称）的法定代表人。</w:t>
      </w:r>
    </w:p>
    <w:p w14:paraId="42D67C7A">
      <w:pPr>
        <w:pStyle w:val="22"/>
        <w:kinsoku w:val="0"/>
        <w:overflowPunct w:val="0"/>
        <w:spacing w:before="29" w:line="360" w:lineRule="auto"/>
        <w:ind w:left="664"/>
        <w:rPr>
          <w:color w:val="auto"/>
          <w:highlight w:val="none"/>
        </w:rPr>
      </w:pPr>
      <w:r>
        <w:rPr>
          <w:rFonts w:hint="eastAsia"/>
          <w:color w:val="auto"/>
          <w:highlight w:val="none"/>
        </w:rPr>
        <w:t>特此证明。</w:t>
      </w:r>
    </w:p>
    <w:p w14:paraId="33C4CE5E">
      <w:pPr>
        <w:pStyle w:val="22"/>
        <w:kinsoku w:val="0"/>
        <w:overflowPunct w:val="0"/>
        <w:spacing w:before="13" w:line="360" w:lineRule="auto"/>
        <w:rPr>
          <w:color w:val="auto"/>
          <w:sz w:val="21"/>
          <w:szCs w:val="21"/>
          <w:highlight w:val="none"/>
        </w:rPr>
      </w:pPr>
    </w:p>
    <w:p w14:paraId="73DDB7EE">
      <w:pPr>
        <w:pStyle w:val="22"/>
        <w:kinsoku w:val="0"/>
        <w:overflowPunct w:val="0"/>
        <w:spacing w:line="360" w:lineRule="auto"/>
        <w:ind w:left="184"/>
        <w:rPr>
          <w:color w:val="auto"/>
          <w:highlight w:val="none"/>
        </w:rPr>
      </w:pPr>
      <w:r>
        <w:rPr>
          <w:rFonts w:hint="eastAsia"/>
          <w:color w:val="auto"/>
          <w:highlight w:val="none"/>
        </w:rPr>
        <w:t>附：法定代表人身份证原件原色扫描件。</w:t>
      </w:r>
    </w:p>
    <w:p w14:paraId="478586B8">
      <w:pPr>
        <w:pStyle w:val="22"/>
        <w:kinsoku w:val="0"/>
        <w:overflowPunct w:val="0"/>
        <w:rPr>
          <w:color w:val="auto"/>
          <w:sz w:val="20"/>
          <w:szCs w:val="20"/>
          <w:highlight w:val="none"/>
        </w:rPr>
      </w:pPr>
    </w:p>
    <w:p w14:paraId="3243305D">
      <w:pPr>
        <w:pStyle w:val="22"/>
        <w:kinsoku w:val="0"/>
        <w:overflowPunct w:val="0"/>
        <w:rPr>
          <w:color w:val="auto"/>
          <w:sz w:val="20"/>
          <w:szCs w:val="20"/>
          <w:highlight w:val="none"/>
        </w:rPr>
      </w:pPr>
    </w:p>
    <w:p w14:paraId="094F4FC2">
      <w:pPr>
        <w:pStyle w:val="22"/>
        <w:kinsoku w:val="0"/>
        <w:overflowPunct w:val="0"/>
        <w:rPr>
          <w:color w:val="auto"/>
          <w:sz w:val="20"/>
          <w:szCs w:val="20"/>
          <w:highlight w:val="none"/>
        </w:rPr>
      </w:pPr>
    </w:p>
    <w:p w14:paraId="54AF2E69">
      <w:pPr>
        <w:pStyle w:val="22"/>
        <w:kinsoku w:val="0"/>
        <w:overflowPunct w:val="0"/>
        <w:spacing w:before="3"/>
        <w:rPr>
          <w:color w:val="auto"/>
          <w:sz w:val="17"/>
          <w:szCs w:val="17"/>
          <w:highlight w:val="none"/>
        </w:rPr>
      </w:pPr>
    </w:p>
    <w:p w14:paraId="38D2E915">
      <w:pPr>
        <w:pStyle w:val="22"/>
        <w:tabs>
          <w:tab w:val="left" w:pos="6305"/>
        </w:tabs>
        <w:kinsoku w:val="0"/>
        <w:overflowPunct w:val="0"/>
        <w:ind w:left="3305"/>
        <w:rPr>
          <w:color w:val="auto"/>
          <w:highlight w:val="none"/>
        </w:rPr>
      </w:pPr>
      <w:r>
        <w:rPr>
          <w:rFonts w:hint="eastAsia"/>
          <w:color w:val="auto"/>
          <w:highlight w:val="none"/>
        </w:rPr>
        <w:t>投标人：</w:t>
      </w:r>
      <w:r>
        <w:rPr>
          <w:rFonts w:hint="eastAsia"/>
          <w:color w:val="auto"/>
          <w:highlight w:val="none"/>
          <w:u w:val="single"/>
          <w:lang w:val="en-US" w:eastAsia="zh-CN"/>
        </w:rPr>
        <w:t xml:space="preserve">     </w:t>
      </w:r>
      <w:r>
        <w:rPr>
          <w:rFonts w:hint="eastAsia"/>
          <w:color w:val="auto"/>
          <w:highlight w:val="none"/>
          <w:u w:val="single"/>
        </w:rPr>
        <w:t>（全称）</w:t>
      </w:r>
      <w:r>
        <w:rPr>
          <w:color w:val="auto"/>
          <w:highlight w:val="none"/>
          <w:u w:val="single"/>
        </w:rPr>
        <w:tab/>
      </w:r>
      <w:r>
        <w:rPr>
          <w:rFonts w:hint="eastAsia"/>
          <w:color w:val="auto"/>
          <w:highlight w:val="none"/>
        </w:rPr>
        <w:t>（盖单位电子印章）</w:t>
      </w:r>
    </w:p>
    <w:p w14:paraId="1E238899">
      <w:pPr>
        <w:pStyle w:val="22"/>
        <w:tabs>
          <w:tab w:val="left" w:pos="5585"/>
          <w:tab w:val="left" w:pos="6545"/>
          <w:tab w:val="left" w:pos="7200"/>
        </w:tabs>
        <w:kinsoku w:val="0"/>
        <w:overflowPunct w:val="0"/>
        <w:spacing w:before="125"/>
        <w:ind w:left="604" w:firstLine="4696" w:firstLineChars="1957"/>
        <w:rPr>
          <w:color w:val="auto"/>
          <w:highlight w:val="none"/>
          <w:u w:val="single"/>
        </w:rPr>
      </w:pPr>
    </w:p>
    <w:p w14:paraId="50B5D394">
      <w:pPr>
        <w:pStyle w:val="22"/>
        <w:tabs>
          <w:tab w:val="left" w:pos="5585"/>
          <w:tab w:val="left" w:pos="6545"/>
          <w:tab w:val="left" w:pos="7200"/>
        </w:tabs>
        <w:kinsoku w:val="0"/>
        <w:overflowPunct w:val="0"/>
        <w:spacing w:before="125"/>
        <w:ind w:left="604" w:firstLine="4696" w:firstLineChars="1957"/>
        <w:rPr>
          <w:color w:val="auto"/>
          <w:highlight w:val="none"/>
        </w:rPr>
      </w:pPr>
      <w:r>
        <w:rPr>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年</w:t>
      </w:r>
      <w:r>
        <w:rPr>
          <w:rFonts w:hint="eastAsia"/>
          <w:color w:val="auto"/>
          <w:highlight w:val="none"/>
          <w:u w:val="single"/>
          <w:lang w:val="en-US" w:eastAsia="zh-CN"/>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p>
    <w:p w14:paraId="59BB9966">
      <w:pPr>
        <w:pStyle w:val="22"/>
        <w:kinsoku w:val="0"/>
        <w:overflowPunct w:val="0"/>
        <w:rPr>
          <w:color w:val="auto"/>
          <w:highlight w:val="none"/>
        </w:rPr>
      </w:pPr>
    </w:p>
    <w:p w14:paraId="295E8999">
      <w:pPr>
        <w:pStyle w:val="22"/>
        <w:kinsoku w:val="0"/>
        <w:overflowPunct w:val="0"/>
        <w:rPr>
          <w:color w:val="auto"/>
          <w:highlight w:val="none"/>
        </w:rPr>
      </w:pPr>
    </w:p>
    <w:p w14:paraId="56B53D3B">
      <w:pPr>
        <w:pStyle w:val="22"/>
        <w:kinsoku w:val="0"/>
        <w:overflowPunct w:val="0"/>
        <w:rPr>
          <w:color w:val="auto"/>
          <w:highlight w:val="none"/>
        </w:rPr>
      </w:pPr>
    </w:p>
    <w:p w14:paraId="3F1E894E">
      <w:pPr>
        <w:pStyle w:val="22"/>
        <w:kinsoku w:val="0"/>
        <w:overflowPunct w:val="0"/>
        <w:rPr>
          <w:color w:val="auto"/>
          <w:highlight w:val="none"/>
        </w:rPr>
      </w:pPr>
    </w:p>
    <w:p w14:paraId="0EBB98D2">
      <w:pPr>
        <w:pStyle w:val="22"/>
        <w:kinsoku w:val="0"/>
        <w:overflowPunct w:val="0"/>
        <w:spacing w:before="10"/>
        <w:rPr>
          <w:color w:val="auto"/>
          <w:sz w:val="25"/>
          <w:szCs w:val="25"/>
          <w:highlight w:val="none"/>
        </w:rPr>
      </w:pPr>
    </w:p>
    <w:p w14:paraId="0662BA9F">
      <w:pPr>
        <w:pStyle w:val="29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50B2A81B">
      <w:pPr>
        <w:pStyle w:val="299"/>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1.如果投标文件由法定代表人签署，则投标人须提交法定代表人身份证明，法定代表人身份证明须满足下列要求：</w:t>
      </w:r>
    </w:p>
    <w:p w14:paraId="66D42A6F">
      <w:pPr>
        <w:pStyle w:val="29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（1）法定代表人签字指加盖法定代表人个人电子签名章或个人电子印章。</w:t>
      </w:r>
    </w:p>
    <w:p w14:paraId="577E158B">
      <w:pPr>
        <w:pStyle w:val="299"/>
        <w:spacing w:line="360" w:lineRule="auto"/>
        <w:ind w:firstLine="420" w:firstLineChars="200"/>
        <w:rPr>
          <w:rFonts w:ascii="宋体" w:hAnsi="宋体" w:cs="宋体"/>
          <w:color w:val="auto"/>
          <w:szCs w:val="21"/>
          <w:highlight w:val="none"/>
        </w:rPr>
      </w:pPr>
      <w:r>
        <w:rPr>
          <w:rFonts w:hint="eastAsia"/>
          <w:color w:val="auto"/>
          <w:highlight w:val="none"/>
        </w:rPr>
        <w:t>（2）投标人须在法定代表人身份证明上加盖投标人单位电子印章。</w:t>
      </w:r>
    </w:p>
    <w:p w14:paraId="12B2EA9D">
      <w:pPr>
        <w:pStyle w:val="299"/>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2.如果由投标人的法定代表人亲自签署投标文件，则</w:t>
      </w:r>
      <w:r>
        <w:rPr>
          <w:rFonts w:hint="eastAsia" w:ascii="宋体" w:hAnsi="宋体" w:cs="宋体"/>
          <w:color w:val="auto"/>
          <w:szCs w:val="21"/>
          <w:highlight w:val="none"/>
          <w:lang w:val="en-US" w:eastAsia="zh-CN"/>
        </w:rPr>
        <w:t>无须</w:t>
      </w:r>
      <w:r>
        <w:rPr>
          <w:rFonts w:ascii="宋体" w:hAnsi="宋体" w:cs="宋体"/>
          <w:color w:val="auto"/>
          <w:szCs w:val="21"/>
          <w:highlight w:val="none"/>
        </w:rPr>
        <w:t>提交授权委托书。</w:t>
      </w:r>
    </w:p>
    <w:p w14:paraId="3E6D77EA">
      <w:pPr>
        <w:pStyle w:val="22"/>
        <w:kinsoku w:val="0"/>
        <w:overflowPunct w:val="0"/>
        <w:spacing w:line="360" w:lineRule="auto"/>
        <w:ind w:firstLine="420" w:firstLineChars="200"/>
        <w:rPr>
          <w:color w:val="auto"/>
          <w:spacing w:val="-3"/>
          <w:sz w:val="21"/>
          <w:szCs w:val="21"/>
          <w:highlight w:val="none"/>
        </w:rPr>
      </w:pPr>
      <w:r>
        <w:rPr>
          <w:rFonts w:cs="宋体"/>
          <w:color w:val="auto"/>
          <w:sz w:val="21"/>
          <w:szCs w:val="21"/>
          <w:highlight w:val="none"/>
        </w:rPr>
        <w:t>3.</w:t>
      </w:r>
      <w:r>
        <w:rPr>
          <w:rFonts w:hint="default" w:ascii="宋体" w:hAnsi="宋体" w:cs="宋体"/>
          <w:color w:val="auto"/>
          <w:sz w:val="21"/>
          <w:szCs w:val="21"/>
          <w:highlight w:val="none"/>
        </w:rPr>
        <w:t>允许联合体投标时，</w:t>
      </w:r>
      <w:r>
        <w:rPr>
          <w:rFonts w:hint="eastAsia" w:cs="宋体"/>
          <w:color w:val="auto"/>
          <w:sz w:val="21"/>
          <w:szCs w:val="21"/>
          <w:highlight w:val="none"/>
          <w:lang w:val="en-US" w:eastAsia="zh-CN"/>
        </w:rPr>
        <w:t>若</w:t>
      </w:r>
      <w:r>
        <w:rPr>
          <w:rFonts w:cs="宋体"/>
          <w:color w:val="auto"/>
          <w:sz w:val="21"/>
          <w:szCs w:val="21"/>
          <w:highlight w:val="none"/>
        </w:rPr>
        <w:t>以联合体形式投标的，法定代表人身份证明由联合体牵头人提供，且由联合体牵头人的法定代表人加盖其个人电子签名章或个人电子印章并加盖联合体牵头人单位电子印章。</w:t>
      </w:r>
    </w:p>
    <w:p w14:paraId="0474BBE3">
      <w:pPr>
        <w:pStyle w:val="22"/>
        <w:kinsoku w:val="0"/>
        <w:overflowPunct w:val="0"/>
        <w:ind w:left="604"/>
        <w:rPr>
          <w:color w:val="auto"/>
          <w:spacing w:val="-3"/>
          <w:sz w:val="21"/>
          <w:szCs w:val="21"/>
          <w:highlight w:val="none"/>
        </w:rPr>
        <w:sectPr>
          <w:headerReference r:id="rId25" w:type="even"/>
          <w:footerReference r:id="rId26" w:type="even"/>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pPr>
    </w:p>
    <w:p w14:paraId="31A62718">
      <w:pPr>
        <w:pStyle w:val="22"/>
        <w:kinsoku w:val="0"/>
        <w:overflowPunct w:val="0"/>
        <w:spacing w:before="14"/>
        <w:jc w:val="center"/>
        <w:outlineLvl w:val="1"/>
        <w:rPr>
          <w:rFonts w:hint="eastAsia" w:ascii="黑体" w:hAnsi="黑体" w:eastAsia="黑体"/>
          <w:color w:val="auto"/>
          <w:sz w:val="30"/>
          <w:szCs w:val="30"/>
          <w:highlight w:val="none"/>
          <w:lang w:eastAsia="zh-CN"/>
        </w:rPr>
      </w:pPr>
      <w:r>
        <w:rPr>
          <w:color w:val="auto"/>
          <w:sz w:val="15"/>
          <w:szCs w:val="15"/>
          <w:highlight w:val="none"/>
        </w:rPr>
        <w:br w:type="page"/>
      </w:r>
      <w:r>
        <w:rPr>
          <w:rStyle w:val="346"/>
          <w:rFonts w:hint="default"/>
          <w:b w:val="0"/>
          <w:bCs w:val="0"/>
          <w:color w:val="auto"/>
          <w:highlight w:val="none"/>
        </w:rPr>
        <w:t>三、</w:t>
      </w:r>
      <w:r>
        <w:rPr>
          <w:rStyle w:val="346"/>
          <w:rFonts w:hint="eastAsia"/>
          <w:b w:val="0"/>
          <w:bCs w:val="0"/>
          <w:color w:val="auto"/>
          <w:highlight w:val="none"/>
        </w:rPr>
        <w:t>联合体协议书</w:t>
      </w:r>
      <w:r>
        <w:rPr>
          <w:rStyle w:val="346"/>
          <w:rFonts w:hint="default"/>
          <w:b w:val="0"/>
          <w:bCs w:val="0"/>
          <w:color w:val="auto"/>
          <w:highlight w:val="none"/>
          <w:lang w:eastAsia="en-US"/>
        </w:rPr>
        <w:t>（如有）</w:t>
      </w:r>
    </w:p>
    <w:p w14:paraId="15FBAB8D">
      <w:pPr>
        <w:pStyle w:val="299"/>
        <w:spacing w:line="360" w:lineRule="auto"/>
        <w:rPr>
          <w:color w:val="auto"/>
          <w:highlight w:val="none"/>
        </w:rPr>
      </w:pPr>
    </w:p>
    <w:p w14:paraId="67CFB028">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所有成员单位名称</w:t>
      </w:r>
      <w:r>
        <w:rPr>
          <w:rFonts w:ascii="宋体" w:hAnsi="宋体"/>
          <w:color w:val="auto"/>
          <w:sz w:val="24"/>
          <w:highlight w:val="none"/>
        </w:rPr>
        <w:t>）</w:t>
      </w:r>
      <w:r>
        <w:rPr>
          <w:rFonts w:hint="eastAsia" w:ascii="宋体" w:hAnsi="宋体"/>
          <w:color w:val="auto"/>
          <w:sz w:val="24"/>
          <w:highlight w:val="none"/>
        </w:rPr>
        <w:t>自愿组成联合体，共同参加</w:t>
      </w:r>
      <w:r>
        <w:rPr>
          <w:rFonts w:ascii="宋体" w:hAnsi="宋体"/>
          <w:color w:val="auto"/>
          <w:sz w:val="24"/>
          <w:highlight w:val="none"/>
          <w:u w:val="single"/>
        </w:rPr>
        <w:t xml:space="preserve"> </w:t>
      </w:r>
      <w:r>
        <w:rPr>
          <w:color w:val="auto"/>
          <w:spacing w:val="-1"/>
          <w:sz w:val="24"/>
          <w:highlight w:val="none"/>
          <w:u w:val="single"/>
        </w:rPr>
        <w:tab/>
      </w:r>
      <w:r>
        <w:rPr>
          <w:color w:val="auto"/>
          <w:spacing w:val="-1"/>
          <w:sz w:val="24"/>
          <w:highlight w:val="none"/>
          <w:u w:val="single"/>
        </w:rPr>
        <w:tab/>
      </w:r>
      <w:r>
        <w:rPr>
          <w:rFonts w:hint="eastAsia"/>
          <w:color w:val="auto"/>
          <w:sz w:val="24"/>
          <w:highlight w:val="none"/>
        </w:rPr>
        <w:t>（招标项目名称）招标</w:t>
      </w:r>
      <w:r>
        <w:rPr>
          <w:rFonts w:hint="eastAsia" w:ascii="宋体" w:hAnsi="宋体"/>
          <w:color w:val="auto"/>
          <w:sz w:val="24"/>
          <w:highlight w:val="none"/>
        </w:rPr>
        <w:t>第</w:t>
      </w:r>
      <w:r>
        <w:rPr>
          <w:color w:val="auto"/>
          <w:sz w:val="24"/>
          <w:highlight w:val="none"/>
          <w:u w:val="single"/>
        </w:rPr>
        <w:tab/>
      </w:r>
      <w:r>
        <w:rPr>
          <w:color w:val="auto"/>
          <w:sz w:val="24"/>
          <w:highlight w:val="none"/>
          <w:u w:val="single"/>
        </w:rPr>
        <w:t xml:space="preserve">   </w:t>
      </w:r>
      <w:r>
        <w:rPr>
          <w:rFonts w:hint="eastAsia"/>
          <w:color w:val="auto"/>
          <w:sz w:val="24"/>
          <w:highlight w:val="none"/>
        </w:rPr>
        <w:t>标段</w:t>
      </w:r>
      <w:r>
        <w:rPr>
          <w:rFonts w:hint="eastAsia" w:ascii="宋体" w:hAnsi="宋体"/>
          <w:color w:val="auto"/>
          <w:sz w:val="24"/>
          <w:highlight w:val="none"/>
        </w:rPr>
        <w:t>投标。现就联合体投标事宜订立如下协议。</w:t>
      </w:r>
    </w:p>
    <w:p w14:paraId="3FC445BD">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某成员单位名称</w:t>
      </w:r>
      <w:r>
        <w:rPr>
          <w:rFonts w:ascii="宋体" w:hAnsi="宋体"/>
          <w:color w:val="auto"/>
          <w:sz w:val="24"/>
          <w:highlight w:val="none"/>
        </w:rPr>
        <w:t>）</w:t>
      </w:r>
      <w:r>
        <w:rPr>
          <w:rFonts w:hint="eastAsia" w:ascii="宋体" w:hAnsi="宋体"/>
          <w:color w:val="auto"/>
          <w:sz w:val="24"/>
          <w:highlight w:val="none"/>
        </w:rPr>
        <w:t>为牵头人。</w:t>
      </w:r>
    </w:p>
    <w:p w14:paraId="0AA32F33">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183A1263">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联合体牵头人在本项目中签署的一切文件和处理的一切事宜，联合体各成员均予以承认。联合体各成员将严格按照招标文件、投标文件</w:t>
      </w:r>
      <w:r>
        <w:rPr>
          <w:rFonts w:hint="eastAsia" w:ascii="宋体" w:hAnsi="宋体"/>
          <w:color w:val="auto"/>
          <w:sz w:val="24"/>
          <w:highlight w:val="none"/>
          <w:lang w:val="en-US" w:eastAsia="zh-CN"/>
        </w:rPr>
        <w:t>和</w:t>
      </w:r>
      <w:r>
        <w:rPr>
          <w:rFonts w:hint="eastAsia" w:ascii="宋体" w:hAnsi="宋体"/>
          <w:color w:val="auto"/>
          <w:sz w:val="24"/>
          <w:highlight w:val="none"/>
        </w:rPr>
        <w:t>合同的要求全面履行义务，并向招标人承担连带责任。</w:t>
      </w:r>
    </w:p>
    <w:p w14:paraId="6B7D8BE2">
      <w:pPr>
        <w:adjustRightInd w:val="0"/>
        <w:snapToGrid w:val="0"/>
        <w:spacing w:line="360" w:lineRule="auto"/>
        <w:ind w:firstLine="480" w:firstLineChars="200"/>
        <w:jc w:val="both"/>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w:t>
      </w:r>
      <w:r>
        <w:rPr>
          <w:rFonts w:hint="eastAsia" w:ascii="宋体" w:hAnsi="宋体"/>
          <w:color w:val="auto"/>
          <w:sz w:val="24"/>
          <w:highlight w:val="none"/>
          <w:u w:val="single"/>
        </w:rPr>
        <w:t>牵头人名称</w:t>
      </w:r>
      <w:r>
        <w:rPr>
          <w:rFonts w:ascii="宋体" w:hAnsi="宋体"/>
          <w:color w:val="auto"/>
          <w:sz w:val="24"/>
          <w:highlight w:val="none"/>
          <w:u w:val="single"/>
        </w:rPr>
        <w:t>）</w:t>
      </w:r>
      <w:r>
        <w:rPr>
          <w:rFonts w:hint="eastAsia" w:ascii="宋体" w:hAnsi="宋体"/>
          <w:color w:val="auto"/>
          <w:sz w:val="24"/>
          <w:highlight w:val="none"/>
        </w:rPr>
        <w:t>承担</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占总工程量的</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u w:val="single"/>
        </w:rPr>
        <w:t>（</w:t>
      </w:r>
      <w:r>
        <w:rPr>
          <w:rFonts w:hint="eastAsia" w:ascii="宋体" w:hAnsi="宋体"/>
          <w:color w:val="auto"/>
          <w:sz w:val="24"/>
          <w:highlight w:val="none"/>
          <w:u w:val="single"/>
        </w:rPr>
        <w:t>成员一名称</w:t>
      </w:r>
      <w:r>
        <w:rPr>
          <w:rFonts w:ascii="宋体" w:hAnsi="宋体"/>
          <w:color w:val="auto"/>
          <w:sz w:val="24"/>
          <w:highlight w:val="none"/>
          <w:u w:val="single"/>
        </w:rPr>
        <w:t>）</w:t>
      </w:r>
      <w:r>
        <w:rPr>
          <w:rFonts w:hint="eastAsia" w:ascii="宋体" w:hAnsi="宋体"/>
          <w:color w:val="auto"/>
          <w:sz w:val="24"/>
          <w:highlight w:val="none"/>
        </w:rPr>
        <w:t>承担</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，占总工程量的</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w:t>
      </w:r>
    </w:p>
    <w:p w14:paraId="03E8CFE9">
      <w:pPr>
        <w:adjustRightInd w:val="0"/>
        <w:snapToGrid w:val="0"/>
        <w:spacing w:line="360" w:lineRule="auto"/>
        <w:ind w:firstLine="480" w:firstLineChars="200"/>
        <w:jc w:val="both"/>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投标工作和联合体在中标后工程实施过程中的有关费用按各自承担的工作量分摊。</w:t>
      </w:r>
    </w:p>
    <w:p w14:paraId="29D01C8E">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本协议书自所有成员单位法定代表人签字并加盖单位章之日起生效，合同履行完毕后自动失效。</w:t>
      </w:r>
    </w:p>
    <w:p w14:paraId="27D62FD7">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hint="eastAsia" w:ascii="宋体" w:hAnsi="宋体"/>
          <w:color w:val="auto"/>
          <w:sz w:val="24"/>
          <w:highlight w:val="none"/>
        </w:rPr>
        <w:t>份，联合体成员和招标人各执一份。</w:t>
      </w:r>
    </w:p>
    <w:p w14:paraId="3DDDB60C">
      <w:pPr>
        <w:adjustRightInd w:val="0"/>
        <w:snapToGrid w:val="0"/>
        <w:spacing w:line="360" w:lineRule="auto"/>
        <w:ind w:firstLine="1680" w:firstLineChars="700"/>
        <w:jc w:val="left"/>
        <w:rPr>
          <w:rFonts w:ascii="宋体" w:hAnsi="宋体"/>
          <w:color w:val="auto"/>
          <w:sz w:val="24"/>
          <w:highlight w:val="none"/>
        </w:rPr>
      </w:pPr>
    </w:p>
    <w:p w14:paraId="20C74128">
      <w:pPr>
        <w:adjustRightInd w:val="0"/>
        <w:snapToGrid w:val="0"/>
        <w:spacing w:line="360" w:lineRule="auto"/>
        <w:ind w:firstLine="1680" w:firstLineChars="700"/>
        <w:jc w:val="left"/>
        <w:rPr>
          <w:rFonts w:ascii="宋体" w:hAnsi="宋体"/>
          <w:color w:val="auto"/>
          <w:sz w:val="24"/>
          <w:highlight w:val="none"/>
        </w:rPr>
      </w:pPr>
      <w:r>
        <w:rPr>
          <w:rFonts w:hint="eastAsia" w:ascii="宋体" w:hAnsi="宋体"/>
          <w:color w:val="auto"/>
          <w:sz w:val="24"/>
          <w:highlight w:val="none"/>
        </w:rPr>
        <w:t>联合体牵头人名称：</w:t>
      </w:r>
      <w:r>
        <w:rPr>
          <w:rFonts w:ascii="宋体" w:hAnsi="宋体"/>
          <w:color w:val="auto"/>
          <w:sz w:val="24"/>
          <w:highlight w:val="none"/>
          <w:u w:val="single"/>
        </w:rPr>
        <w:t xml:space="preserve">  （全称） </w:t>
      </w:r>
      <w:r>
        <w:rPr>
          <w:rFonts w:ascii="宋体" w:hAnsi="宋体"/>
          <w:color w:val="auto"/>
          <w:sz w:val="24"/>
          <w:highlight w:val="none"/>
        </w:rPr>
        <w:t>（盖单位电子印章</w:t>
      </w:r>
      <w:r>
        <w:rPr>
          <w:rFonts w:hint="eastAsia"/>
          <w:color w:val="auto"/>
          <w:sz w:val="24"/>
          <w:highlight w:val="none"/>
        </w:rPr>
        <w:t>／盖单位章</w:t>
      </w:r>
      <w:r>
        <w:rPr>
          <w:rFonts w:ascii="宋体" w:hAnsi="宋体"/>
          <w:color w:val="auto"/>
          <w:sz w:val="24"/>
          <w:highlight w:val="none"/>
        </w:rPr>
        <w:t>）</w:t>
      </w:r>
      <w:r>
        <w:rPr>
          <w:rStyle w:val="59"/>
          <w:rFonts w:ascii="宋体" w:hAnsi="宋体"/>
          <w:color w:val="auto"/>
          <w:sz w:val="24"/>
          <w:highlight w:val="none"/>
        </w:rPr>
        <w:footnoteReference w:id="281"/>
      </w:r>
      <w:r>
        <w:rPr>
          <w:rFonts w:ascii="宋体" w:hAnsi="宋体"/>
          <w:color w:val="auto"/>
          <w:sz w:val="24"/>
          <w:highlight w:val="none"/>
        </w:rPr>
        <w:t xml:space="preserve"> </w:t>
      </w:r>
    </w:p>
    <w:p w14:paraId="6C90D838">
      <w:pPr>
        <w:adjustRightInd w:val="0"/>
        <w:snapToGrid w:val="0"/>
        <w:spacing w:line="360" w:lineRule="auto"/>
        <w:ind w:firstLine="1680" w:firstLineChars="700"/>
        <w:jc w:val="left"/>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u w:val="single"/>
        </w:rPr>
        <w:t xml:space="preserve">       </w:t>
      </w:r>
      <w:r>
        <w:rPr>
          <w:rFonts w:hint="eastAsia" w:ascii="宋体" w:hAnsi="宋体"/>
          <w:color w:val="auto"/>
          <w:sz w:val="24"/>
          <w:highlight w:val="none"/>
        </w:rPr>
        <w:t>（</w:t>
      </w:r>
      <w:r>
        <w:rPr>
          <w:rFonts w:hint="eastAsia"/>
          <w:color w:val="auto"/>
          <w:sz w:val="24"/>
          <w:highlight w:val="none"/>
        </w:rPr>
        <w:t>个人电子签名章或个人电子印章／签字</w:t>
      </w:r>
      <w:r>
        <w:rPr>
          <w:rFonts w:hint="eastAsia" w:ascii="宋体" w:hAnsi="宋体"/>
          <w:color w:val="auto"/>
          <w:sz w:val="24"/>
          <w:highlight w:val="none"/>
        </w:rPr>
        <w:t>）</w:t>
      </w:r>
      <w:r>
        <w:rPr>
          <w:rStyle w:val="59"/>
          <w:rFonts w:ascii="宋体" w:hAnsi="宋体"/>
          <w:color w:val="auto"/>
          <w:sz w:val="24"/>
          <w:highlight w:val="none"/>
        </w:rPr>
        <w:footnoteReference w:id="282"/>
      </w:r>
    </w:p>
    <w:p w14:paraId="04953534">
      <w:pPr>
        <w:adjustRightInd w:val="0"/>
        <w:snapToGrid w:val="0"/>
        <w:spacing w:line="360" w:lineRule="auto"/>
        <w:ind w:firstLine="1680" w:firstLineChars="700"/>
        <w:jc w:val="left"/>
        <w:rPr>
          <w:rFonts w:ascii="宋体" w:hAnsi="宋体"/>
          <w:color w:val="auto"/>
          <w:sz w:val="24"/>
          <w:highlight w:val="none"/>
        </w:rPr>
      </w:pPr>
      <w:r>
        <w:rPr>
          <w:rFonts w:hint="eastAsia" w:ascii="宋体" w:hAnsi="宋体"/>
          <w:color w:val="auto"/>
          <w:sz w:val="24"/>
          <w:highlight w:val="none"/>
        </w:rPr>
        <w:t>联合体成员名称：</w:t>
      </w:r>
      <w:r>
        <w:rPr>
          <w:rFonts w:ascii="宋体" w:hAnsi="宋体"/>
          <w:color w:val="auto"/>
          <w:sz w:val="24"/>
          <w:highlight w:val="none"/>
          <w:u w:val="single"/>
        </w:rPr>
        <w:t xml:space="preserve">   （全称）  </w:t>
      </w:r>
      <w:r>
        <w:rPr>
          <w:rFonts w:ascii="宋体" w:hAnsi="宋体"/>
          <w:color w:val="auto"/>
          <w:sz w:val="24"/>
          <w:highlight w:val="none"/>
        </w:rPr>
        <w:t>（盖单位电子印章</w:t>
      </w:r>
      <w:r>
        <w:rPr>
          <w:rFonts w:hint="eastAsia"/>
          <w:color w:val="auto"/>
          <w:sz w:val="24"/>
          <w:highlight w:val="none"/>
        </w:rPr>
        <w:t>／盖单位章</w:t>
      </w:r>
      <w:r>
        <w:rPr>
          <w:rFonts w:ascii="宋体" w:hAnsi="宋体"/>
          <w:color w:val="auto"/>
          <w:sz w:val="24"/>
          <w:highlight w:val="none"/>
        </w:rPr>
        <w:t>）</w:t>
      </w:r>
      <w:r>
        <w:rPr>
          <w:rStyle w:val="59"/>
          <w:rFonts w:ascii="宋体" w:hAnsi="宋体"/>
          <w:color w:val="auto"/>
          <w:sz w:val="24"/>
          <w:highlight w:val="none"/>
        </w:rPr>
        <w:footnoteReference w:id="283"/>
      </w:r>
    </w:p>
    <w:p w14:paraId="0AD82A45">
      <w:pPr>
        <w:adjustRightInd w:val="0"/>
        <w:snapToGrid w:val="0"/>
        <w:spacing w:line="360" w:lineRule="auto"/>
        <w:ind w:firstLine="1680" w:firstLineChars="700"/>
        <w:jc w:val="left"/>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r>
        <w:rPr>
          <w:rFonts w:hint="eastAsia"/>
          <w:color w:val="auto"/>
          <w:sz w:val="24"/>
          <w:highlight w:val="none"/>
        </w:rPr>
        <w:t>个人电子签名章或个人电子印章／签字</w:t>
      </w:r>
      <w:r>
        <w:rPr>
          <w:rFonts w:hint="eastAsia" w:ascii="宋体" w:hAnsi="宋体"/>
          <w:color w:val="auto"/>
          <w:sz w:val="24"/>
          <w:highlight w:val="none"/>
        </w:rPr>
        <w:t>）</w:t>
      </w:r>
      <w:r>
        <w:rPr>
          <w:rStyle w:val="59"/>
          <w:rFonts w:ascii="宋体" w:hAnsi="宋体"/>
          <w:color w:val="auto"/>
          <w:sz w:val="24"/>
          <w:highlight w:val="none"/>
        </w:rPr>
        <w:footnoteReference w:id="284"/>
      </w:r>
    </w:p>
    <w:p w14:paraId="031B6183">
      <w:pPr>
        <w:adjustRightInd w:val="0"/>
        <w:snapToGrid w:val="0"/>
        <w:spacing w:line="360" w:lineRule="auto"/>
        <w:ind w:firstLine="2040" w:firstLineChars="850"/>
        <w:jc w:val="left"/>
        <w:rPr>
          <w:rFonts w:ascii="宋体" w:hAnsi="宋体" w:cs="宋体"/>
          <w:color w:val="auto"/>
          <w:sz w:val="24"/>
          <w:highlight w:val="none"/>
        </w:rPr>
      </w:pPr>
      <w:r>
        <w:rPr>
          <w:rFonts w:hint="eastAsia" w:ascii="宋体" w:hAnsi="宋体" w:cs="宋体"/>
          <w:color w:val="auto"/>
          <w:sz w:val="24"/>
          <w:highlight w:val="none"/>
        </w:rPr>
        <w:t>……</w:t>
      </w:r>
    </w:p>
    <w:p w14:paraId="3CBBF567">
      <w:pPr>
        <w:adjustRightInd w:val="0"/>
        <w:snapToGrid w:val="0"/>
        <w:spacing w:line="360" w:lineRule="auto"/>
        <w:ind w:firstLine="4320" w:firstLineChars="1800"/>
        <w:jc w:val="left"/>
        <w:rPr>
          <w:rFonts w:ascii="宋体" w:hAnsi="宋体" w:cs="宋体"/>
          <w:color w:val="auto"/>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13507DE8">
      <w:pPr>
        <w:pStyle w:val="299"/>
        <w:adjustRightInd w:val="0"/>
        <w:snapToGrid w:val="0"/>
        <w:spacing w:line="360" w:lineRule="auto"/>
        <w:rPr>
          <w:color w:val="auto"/>
          <w:sz w:val="15"/>
          <w:szCs w:val="15"/>
          <w:highlight w:val="none"/>
        </w:rPr>
      </w:pPr>
    </w:p>
    <w:p w14:paraId="5FF4B19B">
      <w:pPr>
        <w:pStyle w:val="299"/>
        <w:adjustRightInd w:val="0"/>
        <w:snapToGrid w:val="0"/>
        <w:spacing w:line="360" w:lineRule="auto"/>
        <w:rPr>
          <w:color w:val="auto"/>
          <w:sz w:val="15"/>
          <w:szCs w:val="15"/>
          <w:highlight w:val="none"/>
        </w:rPr>
      </w:pPr>
    </w:p>
    <w:p w14:paraId="58FEE782">
      <w:pPr>
        <w:pStyle w:val="299"/>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1DB9BC81">
      <w:pPr>
        <w:pStyle w:val="299"/>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ascii="宋体" w:hAnsi="宋体" w:cs="宋体"/>
          <w:color w:val="auto"/>
          <w:highlight w:val="none"/>
        </w:rPr>
        <w:t>若联合体协议书采用线下签署方式，投标人应按上述格式填写完成并签字盖章后再</w:t>
      </w:r>
      <w:r>
        <w:rPr>
          <w:rFonts w:hint="eastAsia" w:ascii="宋体" w:hAnsi="宋体" w:cs="宋体"/>
          <w:color w:val="auto"/>
          <w:highlight w:val="none"/>
        </w:rPr>
        <w:t>附</w:t>
      </w:r>
      <w:r>
        <w:rPr>
          <w:rFonts w:ascii="宋体" w:hAnsi="宋体" w:cs="宋体"/>
          <w:color w:val="auto"/>
          <w:highlight w:val="none"/>
        </w:rPr>
        <w:t>原件原色扫描件。</w:t>
      </w:r>
    </w:p>
    <w:p w14:paraId="7708790A">
      <w:pPr>
        <w:pStyle w:val="299"/>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若联合体协议书采用线上电子签署方式，投标人应按上述格式填写并完成电子签章。</w:t>
      </w:r>
    </w:p>
    <w:p w14:paraId="57ACA2B4">
      <w:pPr>
        <w:pStyle w:val="22"/>
        <w:kinsoku w:val="0"/>
        <w:overflowPunct w:val="0"/>
        <w:spacing w:before="14" w:line="360" w:lineRule="auto"/>
        <w:ind w:left="693" w:firstLine="2849"/>
        <w:outlineLvl w:val="1"/>
        <w:rPr>
          <w:rStyle w:val="346"/>
          <w:rFonts w:ascii="宋体" w:hAnsi="宋体"/>
          <w:b w:val="0"/>
          <w:color w:val="auto"/>
          <w:highlight w:val="none"/>
        </w:rPr>
      </w:pPr>
      <w:r>
        <w:rPr>
          <w:color w:val="auto"/>
          <w:sz w:val="15"/>
          <w:szCs w:val="15"/>
          <w:highlight w:val="none"/>
        </w:rPr>
        <w:br w:type="page"/>
      </w:r>
      <w:r>
        <w:rPr>
          <w:rStyle w:val="346"/>
          <w:rFonts w:hint="default" w:ascii="宋体" w:hAnsi="宋体"/>
          <w:b w:val="0"/>
          <w:bCs/>
          <w:color w:val="auto"/>
          <w:highlight w:val="none"/>
        </w:rPr>
        <w:t>四</w:t>
      </w:r>
      <w:r>
        <w:rPr>
          <w:rStyle w:val="346"/>
          <w:rFonts w:hint="default" w:ascii="宋体" w:hAnsi="宋体"/>
          <w:b w:val="0"/>
          <w:color w:val="auto"/>
          <w:highlight w:val="none"/>
        </w:rPr>
        <w:t>、投标保证金</w:t>
      </w:r>
    </w:p>
    <w:p w14:paraId="6511F8B4">
      <w:pPr>
        <w:pStyle w:val="22"/>
        <w:spacing w:line="360" w:lineRule="auto"/>
        <w:ind w:right="17" w:firstLine="482" w:firstLineChars="200"/>
        <w:rPr>
          <w:rFonts w:hint="eastAsia"/>
          <w:b/>
          <w:color w:val="auto"/>
          <w:highlight w:val="none"/>
        </w:rPr>
      </w:pPr>
    </w:p>
    <w:p w14:paraId="0C2CE48B">
      <w:pPr>
        <w:pStyle w:val="22"/>
        <w:spacing w:line="360" w:lineRule="auto"/>
        <w:ind w:right="17" w:firstLine="241" w:firstLineChars="100"/>
        <w:rPr>
          <w:color w:val="auto"/>
          <w:highlight w:val="none"/>
        </w:rPr>
      </w:pPr>
      <w:r>
        <w:rPr>
          <w:rFonts w:hint="eastAsia"/>
          <w:b/>
          <w:color w:val="auto"/>
          <w:highlight w:val="none"/>
        </w:rPr>
        <w:t>□</w:t>
      </w:r>
      <w:r>
        <w:rPr>
          <w:color w:val="auto"/>
          <w:highlight w:val="none"/>
        </w:rPr>
        <w:t>采用现金或支票，投标人应在此</w:t>
      </w:r>
      <w:r>
        <w:rPr>
          <w:rFonts w:hint="eastAsia"/>
          <w:color w:val="auto"/>
          <w:highlight w:val="none"/>
        </w:rPr>
        <w:t>附</w:t>
      </w:r>
      <w:r>
        <w:rPr>
          <w:color w:val="auto"/>
          <w:highlight w:val="none"/>
        </w:rPr>
        <w:t>汇款凭证的原件原色扫描件。</w:t>
      </w:r>
    </w:p>
    <w:p w14:paraId="7CE3D985">
      <w:pPr>
        <w:pStyle w:val="22"/>
        <w:spacing w:line="360" w:lineRule="auto"/>
        <w:ind w:left="721" w:leftChars="114" w:right="17" w:hanging="482" w:hangingChars="200"/>
        <w:jc w:val="left"/>
        <w:rPr>
          <w:rFonts w:hint="eastAsia" w:ascii="宋体" w:hAnsi="宋体" w:cs="宋体"/>
          <w:color w:val="auto"/>
          <w:sz w:val="24"/>
          <w:highlight w:val="none"/>
          <w:lang w:val="en-US" w:eastAsia="zh-CN"/>
        </w:rPr>
      </w:pPr>
      <w:r>
        <w:rPr>
          <w:rFonts w:hint="eastAsia"/>
          <w:b/>
          <w:color w:val="auto"/>
          <w:sz w:val="24"/>
          <w:highlight w:val="none"/>
        </w:rPr>
        <w:t>□</w:t>
      </w:r>
      <w:r>
        <w:rPr>
          <w:rFonts w:hint="eastAsia" w:cs="宋体"/>
          <w:color w:val="auto"/>
          <w:sz w:val="24"/>
          <w:highlight w:val="none"/>
        </w:rPr>
        <w:t>采用银行保函，</w:t>
      </w:r>
      <w:r>
        <w:rPr>
          <w:rFonts w:hint="eastAsia" w:ascii="宋体" w:hAnsi="宋体" w:cs="宋体"/>
          <w:color w:val="auto"/>
          <w:sz w:val="24"/>
          <w:highlight w:val="none"/>
        </w:rPr>
        <w:t>银行保函按如下格式填写完成后，</w:t>
      </w:r>
      <w:r>
        <w:rPr>
          <w:rFonts w:hint="eastAsia" w:ascii="宋体" w:hAnsi="宋体" w:cs="宋体"/>
          <w:color w:val="auto"/>
          <w:sz w:val="24"/>
          <w:highlight w:val="none"/>
          <w:lang w:val="en-US" w:eastAsia="zh-CN"/>
        </w:rPr>
        <w:t>在此</w:t>
      </w:r>
      <w:r>
        <w:rPr>
          <w:rFonts w:hint="eastAsia" w:ascii="宋体" w:hAnsi="宋体" w:cs="宋体"/>
          <w:color w:val="auto"/>
          <w:sz w:val="24"/>
          <w:highlight w:val="none"/>
        </w:rPr>
        <w:t>附原件原色扫描件。</w:t>
      </w:r>
      <w:r>
        <w:rPr>
          <w:rFonts w:hint="eastAsia" w:ascii="宋体" w:hAnsi="宋体" w:cs="宋体"/>
          <w:color w:val="auto"/>
          <w:sz w:val="24"/>
          <w:highlight w:val="none"/>
          <w:lang w:val="en-US" w:eastAsia="zh-CN"/>
        </w:rPr>
        <w:t>原件</w:t>
      </w:r>
    </w:p>
    <w:p w14:paraId="1EB6BDA1">
      <w:pPr>
        <w:pStyle w:val="22"/>
        <w:spacing w:line="360" w:lineRule="auto"/>
        <w:ind w:left="719" w:leftChars="228" w:right="17" w:hanging="240" w:hangingChars="100"/>
        <w:jc w:val="left"/>
        <w:rPr>
          <w:rFonts w:ascii="宋体" w:hAnsi="宋体"/>
          <w:color w:val="auto"/>
          <w:sz w:val="24"/>
          <w:highlight w:val="none"/>
        </w:rPr>
      </w:pPr>
      <w:r>
        <w:rPr>
          <w:rFonts w:hint="eastAsia" w:ascii="宋体" w:hAnsi="宋体" w:cs="宋体"/>
          <w:color w:val="auto"/>
          <w:sz w:val="24"/>
          <w:highlight w:val="none"/>
          <w:lang w:val="en-US" w:eastAsia="zh-CN"/>
        </w:rPr>
        <w:t>按照</w:t>
      </w:r>
      <w:r>
        <w:rPr>
          <w:rFonts w:hint="eastAsia" w:cs="宋体" w:asciiTheme="minorEastAsia" w:hAnsiTheme="minorEastAsia" w:eastAsiaTheme="minorEastAsia"/>
          <w:color w:val="auto"/>
          <w:sz w:val="24"/>
          <w:highlight w:val="none"/>
        </w:rPr>
        <w:t>第二章“投标人须知”前附表第3</w:t>
      </w:r>
      <w:r>
        <w:rPr>
          <w:rFonts w:cs="宋体" w:asciiTheme="minorEastAsia" w:hAnsiTheme="minorEastAsia" w:eastAsiaTheme="minorEastAsia"/>
          <w:color w:val="auto"/>
          <w:sz w:val="24"/>
          <w:highlight w:val="none"/>
        </w:rPr>
        <w:t>.4.1</w:t>
      </w:r>
      <w:r>
        <w:rPr>
          <w:rFonts w:hint="eastAsia" w:cs="宋体" w:asciiTheme="minorEastAsia" w:hAnsiTheme="minorEastAsia" w:eastAsiaTheme="minorEastAsia"/>
          <w:color w:val="auto"/>
          <w:sz w:val="24"/>
          <w:highlight w:val="none"/>
        </w:rPr>
        <w:t>项约定</w:t>
      </w:r>
      <w:r>
        <w:rPr>
          <w:rFonts w:hint="eastAsia" w:cs="宋体" w:asciiTheme="minorEastAsia" w:hAnsiTheme="minorEastAsia" w:eastAsiaTheme="minorEastAsia"/>
          <w:color w:val="auto"/>
          <w:sz w:val="24"/>
          <w:highlight w:val="none"/>
          <w:lang w:val="en-US" w:eastAsia="zh-CN"/>
        </w:rPr>
        <w:t>递交。</w:t>
      </w:r>
    </w:p>
    <w:p w14:paraId="01A95EB4">
      <w:pPr>
        <w:spacing w:line="360" w:lineRule="auto"/>
        <w:ind w:left="239" w:leftChars="114" w:firstLine="0" w:firstLineChars="0"/>
        <w:rPr>
          <w:rFonts w:cs="宋体" w:asciiTheme="minorEastAsia" w:hAnsiTheme="minorEastAsia" w:eastAsiaTheme="minorEastAsia"/>
          <w:color w:val="auto"/>
          <w:sz w:val="24"/>
          <w:highlight w:val="none"/>
        </w:rPr>
      </w:pPr>
      <w:bookmarkStart w:id="909" w:name="_Hlk94097723"/>
      <w:bookmarkStart w:id="910" w:name="_Hlk94028891"/>
      <w:r>
        <w:rPr>
          <w:rFonts w:hint="eastAsia"/>
          <w:b/>
          <w:color w:val="auto"/>
          <w:sz w:val="24"/>
          <w:highlight w:val="none"/>
        </w:rPr>
        <w:sym w:font="Wingdings 2" w:char="00A3"/>
      </w:r>
      <w:r>
        <w:rPr>
          <w:rFonts w:hint="eastAsia" w:cs="宋体" w:asciiTheme="minorEastAsia" w:hAnsiTheme="minorEastAsia" w:eastAsiaTheme="minorEastAsia"/>
          <w:color w:val="auto"/>
          <w:sz w:val="24"/>
          <w:highlight w:val="none"/>
        </w:rPr>
        <w:t>采用第二章“投标人须知”前附表第</w:t>
      </w:r>
      <w:r>
        <w:rPr>
          <w:rFonts w:cs="宋体" w:asciiTheme="minorEastAsia" w:hAnsiTheme="minorEastAsia" w:eastAsiaTheme="minorEastAsia"/>
          <w:color w:val="auto"/>
          <w:sz w:val="24"/>
          <w:highlight w:val="none"/>
        </w:rPr>
        <w:t>3.4.1</w:t>
      </w:r>
      <w:r>
        <w:rPr>
          <w:rFonts w:hint="eastAsia" w:cs="宋体" w:asciiTheme="minorEastAsia" w:hAnsiTheme="minorEastAsia" w:eastAsiaTheme="minorEastAsia"/>
          <w:color w:val="auto"/>
          <w:sz w:val="24"/>
          <w:highlight w:val="none"/>
        </w:rPr>
        <w:t>项约定的其他形式的，按照第</w:t>
      </w:r>
      <w:r>
        <w:rPr>
          <w:rFonts w:cs="宋体" w:asciiTheme="minorEastAsia" w:hAnsiTheme="minorEastAsia" w:eastAsiaTheme="minorEastAsia"/>
          <w:color w:val="auto"/>
          <w:sz w:val="24"/>
          <w:highlight w:val="none"/>
        </w:rPr>
        <w:t>3.4.1</w:t>
      </w:r>
    </w:p>
    <w:p w14:paraId="7D572F6F">
      <w:pPr>
        <w:spacing w:line="360" w:lineRule="auto"/>
        <w:ind w:left="239" w:leftChars="114" w:firstLine="0" w:firstLineChars="0"/>
        <w:rPr>
          <w:rFonts w:ascii="宋体" w:hAnsi="宋体"/>
          <w:color w:val="auto"/>
          <w:sz w:val="24"/>
          <w:highlight w:val="none"/>
          <w:u w:val="single"/>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项约定处理</w:t>
      </w:r>
      <w:bookmarkEnd w:id="909"/>
      <w:r>
        <w:rPr>
          <w:rFonts w:hint="eastAsia" w:cs="宋体" w:asciiTheme="minorEastAsia" w:hAnsiTheme="minorEastAsia" w:eastAsiaTheme="minorEastAsia"/>
          <w:color w:val="auto"/>
          <w:sz w:val="24"/>
          <w:highlight w:val="none"/>
        </w:rPr>
        <w:t>。</w:t>
      </w:r>
      <w:bookmarkEnd w:id="910"/>
    </w:p>
    <w:p w14:paraId="33B22C5C">
      <w:pPr>
        <w:spacing w:line="360" w:lineRule="auto"/>
        <w:ind w:firstLine="480" w:firstLineChars="200"/>
        <w:jc w:val="left"/>
        <w:rPr>
          <w:rFonts w:ascii="宋体" w:hAnsi="宋体"/>
          <w:color w:val="auto"/>
          <w:sz w:val="24"/>
          <w:highlight w:val="none"/>
          <w:u w:val="single"/>
        </w:rPr>
      </w:pPr>
    </w:p>
    <w:p w14:paraId="484686AA">
      <w:pPr>
        <w:spacing w:line="360" w:lineRule="auto"/>
        <w:jc w:val="left"/>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w:t>
      </w:r>
      <w:r>
        <w:rPr>
          <w:rFonts w:hint="eastAsia" w:ascii="宋体" w:hAnsi="宋体"/>
          <w:color w:val="auto"/>
          <w:sz w:val="24"/>
          <w:highlight w:val="none"/>
        </w:rPr>
        <w:t>招标人名称</w:t>
      </w:r>
      <w:r>
        <w:rPr>
          <w:rFonts w:ascii="宋体" w:hAnsi="宋体"/>
          <w:color w:val="auto"/>
          <w:sz w:val="24"/>
          <w:highlight w:val="none"/>
        </w:rPr>
        <w:t>）</w:t>
      </w:r>
      <w:r>
        <w:rPr>
          <w:rFonts w:hint="eastAsia" w:ascii="宋体" w:hAnsi="宋体"/>
          <w:color w:val="auto"/>
          <w:sz w:val="24"/>
          <w:highlight w:val="none"/>
        </w:rPr>
        <w:t>：</w:t>
      </w:r>
    </w:p>
    <w:p w14:paraId="65B7EAE4">
      <w:pPr>
        <w:spacing w:line="360" w:lineRule="auto"/>
        <w:ind w:firstLine="480" w:firstLineChars="200"/>
        <w:rPr>
          <w:rFonts w:hint="eastAsia" w:ascii="宋体" w:hAnsi="宋体"/>
          <w:color w:val="auto"/>
          <w:sz w:val="24"/>
          <w:highlight w:val="none"/>
        </w:rPr>
      </w:pPr>
    </w:p>
    <w:p w14:paraId="3020D708">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鉴于</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投标人名称</w:t>
      </w:r>
      <w:r>
        <w:rPr>
          <w:rFonts w:ascii="宋体" w:hAnsi="宋体"/>
          <w:color w:val="auto"/>
          <w:sz w:val="24"/>
          <w:highlight w:val="none"/>
        </w:rPr>
        <w:t>）（</w:t>
      </w:r>
      <w:r>
        <w:rPr>
          <w:rFonts w:hint="eastAsia" w:ascii="宋体" w:hAnsi="宋体"/>
          <w:color w:val="auto"/>
          <w:sz w:val="24"/>
          <w:highlight w:val="none"/>
        </w:rPr>
        <w:t>以下称</w:t>
      </w:r>
      <w:r>
        <w:rPr>
          <w:rFonts w:ascii="宋体" w:hAnsi="宋体"/>
          <w:color w:val="auto"/>
          <w:sz w:val="24"/>
          <w:highlight w:val="none"/>
        </w:rPr>
        <w:t>“</w:t>
      </w:r>
      <w:r>
        <w:rPr>
          <w:rFonts w:hint="eastAsia" w:ascii="宋体" w:hAnsi="宋体"/>
          <w:color w:val="auto"/>
          <w:sz w:val="24"/>
          <w:highlight w:val="none"/>
        </w:rPr>
        <w:t>投标人</w:t>
      </w:r>
      <w:r>
        <w:rPr>
          <w:rFonts w:ascii="宋体" w:hAnsi="宋体"/>
          <w:color w:val="auto"/>
          <w:sz w:val="24"/>
          <w:highlight w:val="none"/>
        </w:rPr>
        <w:t>”）</w:t>
      </w:r>
      <w:r>
        <w:rPr>
          <w:rFonts w:hint="eastAsia" w:ascii="宋体" w:hAnsi="宋体"/>
          <w:color w:val="auto"/>
          <w:sz w:val="24"/>
          <w:highlight w:val="none"/>
        </w:rPr>
        <w:t>于</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日参加</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招标项目名称</w:t>
      </w:r>
      <w:r>
        <w:rPr>
          <w:rFonts w:ascii="宋体" w:hAnsi="宋体"/>
          <w:color w:val="auto"/>
          <w:sz w:val="24"/>
          <w:highlight w:val="none"/>
        </w:rPr>
        <w:t>）</w:t>
      </w:r>
      <w:r>
        <w:rPr>
          <w:rFonts w:hint="eastAsia"/>
          <w:color w:val="auto"/>
          <w:sz w:val="24"/>
          <w:highlight w:val="none"/>
        </w:rPr>
        <w:t>招标第</w:t>
      </w:r>
      <w:r>
        <w:rPr>
          <w:rFonts w:ascii="宋体" w:hAnsi="宋体"/>
          <w:color w:val="auto"/>
          <w:sz w:val="24"/>
          <w:highlight w:val="none"/>
          <w:u w:val="single"/>
        </w:rPr>
        <w:t xml:space="preserve">     </w:t>
      </w:r>
      <w:r>
        <w:rPr>
          <w:rFonts w:hint="eastAsia" w:ascii="宋体" w:hAnsi="宋体"/>
          <w:color w:val="auto"/>
          <w:sz w:val="24"/>
          <w:highlight w:val="none"/>
        </w:rPr>
        <w:t>标段的投标，</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担保人名称，以下简称</w:t>
      </w:r>
      <w:r>
        <w:rPr>
          <w:rFonts w:ascii="宋体" w:hAnsi="宋体"/>
          <w:color w:val="auto"/>
          <w:sz w:val="24"/>
          <w:highlight w:val="none"/>
        </w:rPr>
        <w:t>“</w:t>
      </w:r>
      <w:r>
        <w:rPr>
          <w:rFonts w:hint="eastAsia" w:ascii="宋体" w:hAnsi="宋体"/>
          <w:color w:val="auto"/>
          <w:sz w:val="24"/>
          <w:highlight w:val="none"/>
        </w:rPr>
        <w:t>我方</w:t>
      </w:r>
      <w:r>
        <w:rPr>
          <w:rFonts w:ascii="宋体" w:hAnsi="宋体"/>
          <w:color w:val="auto"/>
          <w:sz w:val="24"/>
          <w:highlight w:val="none"/>
        </w:rPr>
        <w:t>”）</w:t>
      </w:r>
      <w:r>
        <w:rPr>
          <w:rFonts w:hint="eastAsia" w:ascii="宋体" w:hAnsi="宋体"/>
          <w:color w:val="auto"/>
          <w:sz w:val="24"/>
          <w:highlight w:val="none"/>
        </w:rPr>
        <w:t>无条件地、不可撤销地保证：投标人在规定的投标有效期内撤销投标文件的，中标后无正当理由不与招标人订立合同，在签订合同时向招标人提出附加条件，不按招标文件规定提交履约保证金，或发生第二章“投标人须知”前附表第</w:t>
      </w:r>
      <w:r>
        <w:rPr>
          <w:rFonts w:ascii="宋体" w:hAnsi="宋体"/>
          <w:color w:val="auto"/>
          <w:sz w:val="24"/>
          <w:highlight w:val="none"/>
        </w:rPr>
        <w:t>3.4.4项明确规定不予退还投标保证金的其他情形，我方承担保证责任。收到你方书面通知后，</w:t>
      </w:r>
      <w:r>
        <w:rPr>
          <w:rFonts w:hint="eastAsia" w:ascii="宋体" w:hAnsi="宋体"/>
          <w:color w:val="auto"/>
          <w:sz w:val="24"/>
          <w:highlight w:val="none"/>
          <w:lang w:val="en-US" w:eastAsia="zh-CN"/>
        </w:rPr>
        <w:t>我方</w:t>
      </w:r>
      <w:r>
        <w:rPr>
          <w:rFonts w:ascii="宋体" w:hAnsi="宋体"/>
          <w:color w:val="auto"/>
          <w:sz w:val="24"/>
          <w:highlight w:val="none"/>
        </w:rPr>
        <w:t>在</w:t>
      </w:r>
      <w:r>
        <w:rPr>
          <w:rFonts w:ascii="宋体" w:hAnsi="宋体"/>
          <w:color w:val="auto"/>
          <w:sz w:val="24"/>
          <w:highlight w:val="none"/>
          <w:u w:val="single"/>
        </w:rPr>
        <w:t xml:space="preserve"> 7 </w:t>
      </w:r>
      <w:r>
        <w:rPr>
          <w:rFonts w:hint="eastAsia" w:ascii="宋体" w:hAnsi="宋体"/>
          <w:color w:val="auto"/>
          <w:sz w:val="24"/>
          <w:highlight w:val="none"/>
        </w:rPr>
        <w:t>个工作日内无条件</w:t>
      </w:r>
      <w:r>
        <w:rPr>
          <w:rFonts w:hint="eastAsia" w:ascii="宋体" w:hAnsi="宋体"/>
          <w:color w:val="auto"/>
          <w:sz w:val="24"/>
          <w:highlight w:val="none"/>
          <w:lang w:val="en-US" w:eastAsia="zh-CN"/>
        </w:rPr>
        <w:t>向你方</w:t>
      </w:r>
      <w:r>
        <w:rPr>
          <w:rFonts w:hint="eastAsia" w:ascii="宋体" w:hAnsi="宋体"/>
          <w:color w:val="auto"/>
          <w:sz w:val="24"/>
          <w:highlight w:val="none"/>
        </w:rPr>
        <w:t>支付人民币</w:t>
      </w:r>
      <w:r>
        <w:rPr>
          <w:rFonts w:ascii="宋体" w:hAnsi="宋体"/>
          <w:color w:val="auto"/>
          <w:sz w:val="24"/>
          <w:highlight w:val="none"/>
        </w:rPr>
        <w:t>（</w:t>
      </w:r>
      <w:r>
        <w:rPr>
          <w:rFonts w:hint="eastAsia" w:ascii="宋体" w:hAnsi="宋体"/>
          <w:color w:val="auto"/>
          <w:sz w:val="24"/>
          <w:highlight w:val="none"/>
        </w:rPr>
        <w:t>大写</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p>
    <w:p w14:paraId="2AABD0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本保函在投标有效期或经延长的投标有效期内保持有效。要求我方承担保证责任的通知应在上述期限内送达我方。你方延长投标有效期的决定，应通知我方。</w:t>
      </w:r>
    </w:p>
    <w:p w14:paraId="0BC8C865">
      <w:pPr>
        <w:spacing w:line="360" w:lineRule="auto"/>
        <w:ind w:firstLine="1320" w:firstLineChars="550"/>
        <w:jc w:val="left"/>
        <w:rPr>
          <w:rFonts w:hint="eastAsia" w:ascii="宋体" w:hAnsi="宋体"/>
          <w:color w:val="auto"/>
          <w:sz w:val="24"/>
          <w:highlight w:val="none"/>
        </w:rPr>
      </w:pPr>
    </w:p>
    <w:p w14:paraId="382D8EF1">
      <w:pPr>
        <w:spacing w:line="360" w:lineRule="auto"/>
        <w:ind w:firstLine="1320" w:firstLineChars="550"/>
        <w:jc w:val="left"/>
        <w:rPr>
          <w:rFonts w:ascii="宋体" w:hAnsi="宋体"/>
          <w:color w:val="auto"/>
          <w:sz w:val="24"/>
          <w:highlight w:val="none"/>
          <w:u w:val="single"/>
        </w:rPr>
      </w:pPr>
      <w:r>
        <w:rPr>
          <w:rFonts w:hint="eastAsia" w:ascii="宋体" w:hAnsi="宋体"/>
          <w:color w:val="auto"/>
          <w:sz w:val="24"/>
          <w:highlight w:val="none"/>
        </w:rPr>
        <w:t>担保人名称：</w:t>
      </w:r>
      <w:r>
        <w:rPr>
          <w:rFonts w:ascii="宋体" w:hAnsi="宋体"/>
          <w:color w:val="auto"/>
          <w:sz w:val="24"/>
          <w:highlight w:val="none"/>
          <w:u w:val="single"/>
        </w:rPr>
        <w:t xml:space="preserve">      （全称）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（盖单位章</w:t>
      </w:r>
      <w:r>
        <w:rPr>
          <w:rFonts w:hint="eastAsia" w:ascii="宋体" w:hAnsi="宋体"/>
          <w:color w:val="auto"/>
          <w:sz w:val="24"/>
          <w:highlight w:val="none"/>
        </w:rPr>
        <w:t>或业务专用章</w:t>
      </w:r>
      <w:r>
        <w:rPr>
          <w:rFonts w:ascii="宋体" w:hAnsi="宋体"/>
          <w:color w:val="auto"/>
          <w:sz w:val="24"/>
          <w:highlight w:val="none"/>
        </w:rPr>
        <w:t>）</w:t>
      </w:r>
      <w:r>
        <w:rPr>
          <w:rStyle w:val="59"/>
          <w:rFonts w:ascii="宋体" w:hAnsi="宋体" w:cs="宋体"/>
          <w:color w:val="auto"/>
          <w:sz w:val="24"/>
          <w:highlight w:val="none"/>
        </w:rPr>
        <w:footnoteReference w:id="285"/>
      </w:r>
    </w:p>
    <w:p w14:paraId="2556DE17">
      <w:pPr>
        <w:spacing w:line="360" w:lineRule="auto"/>
        <w:ind w:firstLine="1320" w:firstLineChars="550"/>
        <w:jc w:val="left"/>
        <w:rPr>
          <w:rFonts w:hint="eastAsia" w:ascii="宋体" w:hAnsi="宋体"/>
          <w:color w:val="auto"/>
          <w:sz w:val="24"/>
          <w:highlight w:val="none"/>
        </w:rPr>
      </w:pPr>
      <w:r>
        <w:rPr>
          <w:rFonts w:hint="eastAsia" w:ascii="宋体" w:hAnsi="宋体"/>
          <w:color w:val="auto"/>
          <w:sz w:val="24"/>
          <w:highlight w:val="none"/>
        </w:rPr>
        <w:t>法定代表人</w:t>
      </w:r>
    </w:p>
    <w:p w14:paraId="5152CD91">
      <w:pPr>
        <w:spacing w:line="360" w:lineRule="auto"/>
        <w:ind w:firstLine="1320" w:firstLineChars="550"/>
        <w:jc w:val="left"/>
        <w:rPr>
          <w:rFonts w:ascii="宋体" w:hAnsi="宋体"/>
          <w:color w:val="auto"/>
          <w:sz w:val="24"/>
          <w:highlight w:val="none"/>
          <w:u w:val="single"/>
        </w:rPr>
      </w:pPr>
      <w:r>
        <w:rPr>
          <w:rFonts w:hint="eastAsia" w:ascii="宋体" w:hAnsi="宋体"/>
          <w:color w:val="auto"/>
          <w:sz w:val="24"/>
          <w:highlight w:val="none"/>
        </w:rPr>
        <w:t>或单位负责人（或其委托代理人）：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或签名章）</w:t>
      </w:r>
      <w:r>
        <w:rPr>
          <w:rStyle w:val="59"/>
          <w:rFonts w:ascii="宋体" w:hAnsi="宋体" w:cs="宋体"/>
          <w:color w:val="auto"/>
          <w:sz w:val="24"/>
          <w:highlight w:val="none"/>
        </w:rPr>
        <w:footnoteReference w:id="286"/>
      </w:r>
    </w:p>
    <w:p w14:paraId="23197B8A">
      <w:pPr>
        <w:spacing w:line="360" w:lineRule="auto"/>
        <w:ind w:right="480" w:firstLine="1320" w:firstLineChars="550"/>
        <w:rPr>
          <w:rFonts w:ascii="宋体" w:hAnsi="宋体"/>
          <w:color w:val="auto"/>
          <w:sz w:val="24"/>
          <w:highlight w:val="none"/>
          <w:u w:val="single"/>
        </w:rPr>
      </w:pPr>
      <w:r>
        <w:rPr>
          <w:rFonts w:hint="eastAsia" w:ascii="宋体" w:hAnsi="宋体"/>
          <w:color w:val="auto"/>
          <w:sz w:val="24"/>
          <w:highlight w:val="none"/>
        </w:rPr>
        <w:t>地</w:t>
      </w:r>
      <w:r>
        <w:rPr>
          <w:rFonts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址：</w:t>
      </w:r>
      <w:r>
        <w:rPr>
          <w:rFonts w:ascii="宋体" w:hAnsi="宋体"/>
          <w:color w:val="auto"/>
          <w:sz w:val="24"/>
          <w:highlight w:val="none"/>
          <w:u w:val="single"/>
        </w:rPr>
        <w:tab/>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u w:val="single"/>
        </w:rPr>
        <w:tab/>
      </w:r>
    </w:p>
    <w:p w14:paraId="3C8D6221">
      <w:pPr>
        <w:spacing w:line="360" w:lineRule="auto"/>
        <w:ind w:right="480" w:firstLine="1320" w:firstLineChars="550"/>
        <w:rPr>
          <w:rFonts w:ascii="宋体" w:hAnsi="宋体"/>
          <w:color w:val="auto"/>
          <w:sz w:val="24"/>
          <w:highlight w:val="none"/>
          <w:u w:val="single"/>
        </w:rPr>
      </w:pPr>
      <w:r>
        <w:rPr>
          <w:rFonts w:hint="eastAsia" w:ascii="宋体" w:hAnsi="宋体"/>
          <w:color w:val="auto"/>
          <w:sz w:val="24"/>
          <w:highlight w:val="none"/>
        </w:rPr>
        <w:t>邮政编码：</w:t>
      </w:r>
      <w:r>
        <w:rPr>
          <w:rFonts w:ascii="宋体" w:hAnsi="宋体"/>
          <w:color w:val="auto"/>
          <w:sz w:val="24"/>
          <w:highlight w:val="none"/>
          <w:u w:val="single"/>
        </w:rPr>
        <w:tab/>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u w:val="single"/>
        </w:rPr>
        <w:tab/>
      </w:r>
    </w:p>
    <w:p w14:paraId="514A2725">
      <w:pPr>
        <w:spacing w:line="360" w:lineRule="auto"/>
        <w:ind w:right="480" w:firstLine="1320" w:firstLineChars="550"/>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u w:val="single"/>
        </w:rPr>
        <w:tab/>
      </w:r>
    </w:p>
    <w:p w14:paraId="0F032EB0">
      <w:pPr>
        <w:spacing w:line="360" w:lineRule="auto"/>
        <w:ind w:right="480" w:firstLine="1320" w:firstLineChars="550"/>
        <w:rPr>
          <w:rFonts w:ascii="宋体" w:hAnsi="宋体"/>
          <w:color w:val="auto"/>
          <w:sz w:val="24"/>
          <w:highlight w:val="none"/>
          <w:u w:val="single"/>
        </w:rPr>
      </w:pPr>
      <w:r>
        <w:rPr>
          <w:rFonts w:hint="eastAsia" w:ascii="宋体" w:hAnsi="宋体"/>
          <w:color w:val="auto"/>
          <w:sz w:val="24"/>
          <w:highlight w:val="none"/>
        </w:rPr>
        <w:t>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真：</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p>
    <w:p w14:paraId="329E10C0">
      <w:pPr>
        <w:spacing w:line="360" w:lineRule="auto"/>
        <w:ind w:left="1470" w:leftChars="700" w:right="480" w:firstLine="4440" w:firstLineChars="185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37E0A1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04421F5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银行保函应采用招标文件提供的格式，若采用银行自有格式，其提交的银行保函内容不得对担保金额、担保范围、担保期限、担保内容作出降低担保效力的实质性修改。投标保证金有效期应当不低于投标有效期。招标人如果按第二章“投标人须知”第</w:t>
      </w:r>
      <w:r>
        <w:rPr>
          <w:rFonts w:ascii="宋体" w:hAnsi="宋体" w:cs="宋体"/>
          <w:color w:val="auto"/>
          <w:szCs w:val="21"/>
          <w:highlight w:val="none"/>
        </w:rPr>
        <w:t>3.3.3项的规定延长了投标有效期，则投标保证金的有效期也相应延长。</w:t>
      </w:r>
    </w:p>
    <w:p w14:paraId="1847A0BA">
      <w:pPr>
        <w:spacing w:line="360" w:lineRule="auto"/>
        <w:ind w:firstLine="420" w:firstLineChars="200"/>
        <w:rPr>
          <w:rFonts w:ascii="黑体" w:hAnsi="黑体" w:eastAsia="黑体" w:cs="黑体"/>
          <w:b/>
          <w:color w:val="auto"/>
          <w:spacing w:val="-1"/>
          <w:sz w:val="32"/>
          <w:szCs w:val="32"/>
          <w:highlight w:val="none"/>
        </w:rPr>
      </w:pPr>
      <w:r>
        <w:rPr>
          <w:rFonts w:ascii="宋体" w:hAnsi="宋体" w:cs="宋体"/>
          <w:color w:val="auto"/>
          <w:szCs w:val="21"/>
          <w:highlight w:val="none"/>
        </w:rPr>
        <w:t>2.</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若以</w:t>
      </w:r>
      <w:r>
        <w:rPr>
          <w:rFonts w:ascii="宋体" w:hAnsi="宋体" w:cs="宋体"/>
          <w:color w:val="auto"/>
          <w:szCs w:val="21"/>
          <w:highlight w:val="none"/>
        </w:rPr>
        <w:t>联合体形式投标的，投标保证金应由联合体牵头人提交。</w:t>
      </w:r>
      <w:r>
        <w:rPr>
          <w:rFonts w:ascii="黑体" w:hAnsi="黑体" w:eastAsia="黑体" w:cs="黑体"/>
          <w:b/>
          <w:color w:val="auto"/>
          <w:spacing w:val="-1"/>
          <w:sz w:val="32"/>
          <w:szCs w:val="32"/>
          <w:highlight w:val="none"/>
        </w:rPr>
        <w:br w:type="page"/>
      </w:r>
    </w:p>
    <w:p w14:paraId="248B8B14">
      <w:pPr>
        <w:pStyle w:val="22"/>
        <w:kinsoku w:val="0"/>
        <w:overflowPunct w:val="0"/>
        <w:spacing w:before="14"/>
        <w:ind w:left="2279" w:right="2078"/>
        <w:jc w:val="center"/>
        <w:outlineLvl w:val="1"/>
        <w:rPr>
          <w:rFonts w:ascii="黑体" w:hAnsi="黑体" w:eastAsia="黑体" w:cs="黑体"/>
          <w:color w:val="auto"/>
          <w:spacing w:val="-1"/>
          <w:sz w:val="30"/>
          <w:szCs w:val="30"/>
          <w:highlight w:val="none"/>
        </w:rPr>
      </w:pPr>
      <w:r>
        <w:rPr>
          <w:rStyle w:val="346"/>
          <w:rFonts w:hint="default" w:ascii="宋体" w:hAnsi="宋体"/>
          <w:b w:val="0"/>
          <w:bCs w:val="0"/>
          <w:color w:val="auto"/>
          <w:highlight w:val="none"/>
        </w:rPr>
        <w:t>五、施工组织设计</w:t>
      </w:r>
      <w:r>
        <w:rPr>
          <w:rStyle w:val="346"/>
          <w:rFonts w:hint="default"/>
          <w:b w:val="0"/>
          <w:bCs w:val="0"/>
          <w:color w:val="auto"/>
          <w:highlight w:val="none"/>
          <w:vertAlign w:val="superscript"/>
        </w:rPr>
        <w:footnoteReference w:id="287"/>
      </w:r>
    </w:p>
    <w:p w14:paraId="3A4D6A41">
      <w:pPr>
        <w:pStyle w:val="22"/>
        <w:kinsoku w:val="0"/>
        <w:overflowPunct w:val="0"/>
        <w:rPr>
          <w:color w:val="auto"/>
          <w:sz w:val="30"/>
          <w:szCs w:val="30"/>
          <w:highlight w:val="none"/>
        </w:rPr>
      </w:pPr>
    </w:p>
    <w:p w14:paraId="00435063">
      <w:pPr>
        <w:pStyle w:val="22"/>
        <w:kinsoku w:val="0"/>
        <w:overflowPunct w:val="0"/>
        <w:spacing w:before="8"/>
        <w:rPr>
          <w:color w:val="auto"/>
          <w:sz w:val="21"/>
          <w:szCs w:val="21"/>
          <w:highlight w:val="none"/>
        </w:rPr>
      </w:pPr>
    </w:p>
    <w:p w14:paraId="431F9CB5">
      <w:pPr>
        <w:pStyle w:val="22"/>
        <w:kinsoku w:val="0"/>
        <w:overflowPunct w:val="0"/>
        <w:spacing w:line="360" w:lineRule="auto"/>
        <w:ind w:left="624"/>
        <w:rPr>
          <w:color w:val="auto"/>
          <w:highlight w:val="none"/>
        </w:rPr>
      </w:pPr>
      <w:r>
        <w:rPr>
          <w:rFonts w:hint="eastAsia"/>
          <w:color w:val="auto"/>
          <w:highlight w:val="none"/>
        </w:rPr>
        <w:t>投标人应按以下要点编制施工组织设计（文字宜精炼、内容具有针对性）：</w:t>
      </w:r>
    </w:p>
    <w:p w14:paraId="2E4B0642">
      <w:pPr>
        <w:pStyle w:val="22"/>
        <w:kinsoku w:val="0"/>
        <w:overflowPunct w:val="0"/>
        <w:spacing w:before="125" w:line="360" w:lineRule="auto"/>
        <w:ind w:left="624"/>
        <w:rPr>
          <w:color w:val="auto"/>
          <w:highlight w:val="none"/>
        </w:rPr>
      </w:pPr>
      <w:r>
        <w:rPr>
          <w:color w:val="auto"/>
          <w:highlight w:val="none"/>
        </w:rPr>
        <w:t xml:space="preserve">1. </w:t>
      </w:r>
      <w:r>
        <w:rPr>
          <w:rFonts w:hint="eastAsia"/>
          <w:color w:val="auto"/>
          <w:highlight w:val="none"/>
        </w:rPr>
        <w:t>总体施工组织布置及</w:t>
      </w:r>
      <w:r>
        <w:rPr>
          <w:rFonts w:hint="eastAsia"/>
          <w:color w:val="auto"/>
          <w:highlight w:val="none"/>
          <w:lang w:val="en-US" w:eastAsia="zh-CN"/>
        </w:rPr>
        <w:t>计划</w:t>
      </w:r>
    </w:p>
    <w:p w14:paraId="3A73EC9A">
      <w:pPr>
        <w:pStyle w:val="22"/>
        <w:kinsoku w:val="0"/>
        <w:overflowPunct w:val="0"/>
        <w:spacing w:before="107" w:line="360" w:lineRule="auto"/>
        <w:ind w:left="624"/>
        <w:rPr>
          <w:color w:val="auto"/>
          <w:highlight w:val="none"/>
        </w:rPr>
      </w:pPr>
      <w:r>
        <w:rPr>
          <w:color w:val="auto"/>
          <w:highlight w:val="none"/>
        </w:rPr>
        <w:t xml:space="preserve">2. </w:t>
      </w:r>
      <w:r>
        <w:rPr>
          <w:rFonts w:hint="eastAsia"/>
          <w:color w:val="auto"/>
          <w:highlight w:val="none"/>
        </w:rPr>
        <w:t>重点、关键和难点工程的施工方案</w:t>
      </w:r>
      <w:r>
        <w:rPr>
          <w:color w:val="auto"/>
          <w:highlight w:val="none"/>
        </w:rPr>
        <w:t xml:space="preserve"> </w:t>
      </w:r>
    </w:p>
    <w:p w14:paraId="756975A3">
      <w:pPr>
        <w:pStyle w:val="22"/>
        <w:kinsoku w:val="0"/>
        <w:overflowPunct w:val="0"/>
        <w:spacing w:before="110" w:line="360" w:lineRule="auto"/>
        <w:ind w:left="624"/>
        <w:rPr>
          <w:color w:val="auto"/>
          <w:highlight w:val="none"/>
        </w:rPr>
      </w:pPr>
      <w:r>
        <w:rPr>
          <w:color w:val="auto"/>
          <w:highlight w:val="none"/>
        </w:rPr>
        <w:t xml:space="preserve">3. </w:t>
      </w:r>
      <w:r>
        <w:rPr>
          <w:rFonts w:hint="eastAsia"/>
          <w:color w:val="auto"/>
          <w:highlight w:val="none"/>
        </w:rPr>
        <w:t>工期</w:t>
      </w:r>
      <w:r>
        <w:rPr>
          <w:rFonts w:hint="eastAsia"/>
          <w:color w:val="auto"/>
          <w:highlight w:val="none"/>
          <w:lang w:val="en-US" w:eastAsia="zh-CN"/>
        </w:rPr>
        <w:t>保证体系及</w:t>
      </w:r>
      <w:r>
        <w:rPr>
          <w:rFonts w:hint="eastAsia"/>
          <w:color w:val="auto"/>
          <w:highlight w:val="none"/>
        </w:rPr>
        <w:t>保证措施</w:t>
      </w:r>
    </w:p>
    <w:p w14:paraId="2929EE4B">
      <w:pPr>
        <w:pStyle w:val="22"/>
        <w:kinsoku w:val="0"/>
        <w:overflowPunct w:val="0"/>
        <w:spacing w:before="107" w:line="360" w:lineRule="auto"/>
        <w:ind w:left="624"/>
        <w:rPr>
          <w:color w:val="auto"/>
          <w:highlight w:val="none"/>
        </w:rPr>
      </w:pPr>
      <w:r>
        <w:rPr>
          <w:color w:val="auto"/>
          <w:highlight w:val="none"/>
        </w:rPr>
        <w:t xml:space="preserve">4. </w:t>
      </w:r>
      <w:r>
        <w:rPr>
          <w:rFonts w:hint="eastAsia"/>
          <w:color w:val="auto"/>
          <w:highlight w:val="none"/>
        </w:rPr>
        <w:t>工程质量</w:t>
      </w:r>
      <w:r>
        <w:rPr>
          <w:rFonts w:hint="eastAsia"/>
          <w:color w:val="auto"/>
          <w:highlight w:val="none"/>
          <w:lang w:val="en-US" w:eastAsia="zh-CN"/>
        </w:rPr>
        <w:t>管理体系及</w:t>
      </w:r>
      <w:r>
        <w:rPr>
          <w:rFonts w:hint="eastAsia"/>
          <w:color w:val="auto"/>
          <w:highlight w:val="none"/>
        </w:rPr>
        <w:t>保证措施</w:t>
      </w:r>
    </w:p>
    <w:p w14:paraId="5558F7CC">
      <w:pPr>
        <w:pStyle w:val="22"/>
        <w:kinsoku w:val="0"/>
        <w:overflowPunct w:val="0"/>
        <w:spacing w:before="107" w:line="360" w:lineRule="auto"/>
        <w:ind w:left="624"/>
        <w:rPr>
          <w:color w:val="auto"/>
          <w:highlight w:val="none"/>
        </w:rPr>
      </w:pPr>
      <w:r>
        <w:rPr>
          <w:color w:val="auto"/>
          <w:highlight w:val="none"/>
        </w:rPr>
        <w:t xml:space="preserve">5. </w:t>
      </w:r>
      <w:r>
        <w:rPr>
          <w:rFonts w:hint="eastAsia"/>
          <w:color w:val="auto"/>
          <w:highlight w:val="none"/>
        </w:rPr>
        <w:t>安全</w:t>
      </w:r>
      <w:r>
        <w:rPr>
          <w:rFonts w:hint="eastAsia"/>
          <w:color w:val="auto"/>
          <w:highlight w:val="none"/>
          <w:lang w:val="en-US" w:eastAsia="zh-CN"/>
        </w:rPr>
        <w:t>生产管理体系及</w:t>
      </w:r>
      <w:r>
        <w:rPr>
          <w:rFonts w:hint="eastAsia"/>
          <w:color w:val="auto"/>
          <w:highlight w:val="none"/>
        </w:rPr>
        <w:t>保证措施</w:t>
      </w:r>
    </w:p>
    <w:p w14:paraId="2BA39D11">
      <w:pPr>
        <w:pStyle w:val="22"/>
        <w:kinsoku w:val="0"/>
        <w:overflowPunct w:val="0"/>
        <w:spacing w:before="109" w:line="360" w:lineRule="auto"/>
        <w:ind w:left="624"/>
        <w:rPr>
          <w:color w:val="auto"/>
          <w:highlight w:val="none"/>
        </w:rPr>
      </w:pPr>
      <w:r>
        <w:rPr>
          <w:color w:val="auto"/>
          <w:highlight w:val="none"/>
        </w:rPr>
        <w:t>6. 环境保护、水土保持</w:t>
      </w:r>
      <w:bookmarkStart w:id="911" w:name="_Hlk53672474"/>
      <w:r>
        <w:rPr>
          <w:rFonts w:hint="eastAsia"/>
          <w:color w:val="auto"/>
          <w:highlight w:val="none"/>
          <w:lang w:val="en-US" w:eastAsia="zh-CN"/>
        </w:rPr>
        <w:t>保证体系及</w:t>
      </w:r>
      <w:r>
        <w:rPr>
          <w:rFonts w:hint="eastAsia"/>
          <w:color w:val="auto"/>
          <w:highlight w:val="none"/>
        </w:rPr>
        <w:t>保证措施</w:t>
      </w:r>
      <w:bookmarkEnd w:id="911"/>
    </w:p>
    <w:p w14:paraId="67E628C5">
      <w:pPr>
        <w:pStyle w:val="22"/>
        <w:kinsoku w:val="0"/>
        <w:overflowPunct w:val="0"/>
        <w:spacing w:before="109" w:line="360" w:lineRule="auto"/>
        <w:ind w:left="624"/>
        <w:rPr>
          <w:color w:val="auto"/>
          <w:highlight w:val="none"/>
        </w:rPr>
      </w:pPr>
      <w:r>
        <w:rPr>
          <w:color w:val="auto"/>
          <w:highlight w:val="none"/>
        </w:rPr>
        <w:t xml:space="preserve">7. </w:t>
      </w:r>
      <w:r>
        <w:rPr>
          <w:rFonts w:hint="eastAsia"/>
          <w:color w:val="auto"/>
          <w:highlight w:val="none"/>
        </w:rPr>
        <w:t>文明施工、文物保护</w:t>
      </w:r>
      <w:r>
        <w:rPr>
          <w:rFonts w:hint="eastAsia"/>
          <w:color w:val="auto"/>
          <w:highlight w:val="none"/>
          <w:lang w:val="en-US" w:eastAsia="zh-CN"/>
        </w:rPr>
        <w:t>保证体系及</w:t>
      </w:r>
      <w:r>
        <w:rPr>
          <w:rFonts w:hint="eastAsia"/>
          <w:color w:val="auto"/>
          <w:highlight w:val="none"/>
        </w:rPr>
        <w:t>保证措施</w:t>
      </w:r>
    </w:p>
    <w:p w14:paraId="36D80ADA">
      <w:pPr>
        <w:pStyle w:val="22"/>
        <w:kinsoku w:val="0"/>
        <w:overflowPunct w:val="0"/>
        <w:spacing w:before="109" w:line="360" w:lineRule="auto"/>
        <w:ind w:left="624"/>
        <w:rPr>
          <w:color w:val="auto"/>
          <w:highlight w:val="none"/>
        </w:rPr>
      </w:pPr>
      <w:r>
        <w:rPr>
          <w:color w:val="auto"/>
          <w:highlight w:val="none"/>
        </w:rPr>
        <w:t xml:space="preserve">8. </w:t>
      </w:r>
      <w:r>
        <w:rPr>
          <w:rFonts w:hint="eastAsia"/>
          <w:color w:val="auto"/>
          <w:highlight w:val="none"/>
        </w:rPr>
        <w:t>标准化、品质工程保证</w:t>
      </w:r>
      <w:r>
        <w:rPr>
          <w:rFonts w:hint="eastAsia"/>
          <w:color w:val="auto"/>
          <w:highlight w:val="none"/>
          <w:lang w:val="en-US" w:eastAsia="zh-CN"/>
        </w:rPr>
        <w:t>体系及保证</w:t>
      </w:r>
      <w:r>
        <w:rPr>
          <w:rFonts w:hint="eastAsia"/>
          <w:color w:val="auto"/>
          <w:highlight w:val="none"/>
        </w:rPr>
        <w:t>措施</w:t>
      </w:r>
    </w:p>
    <w:p w14:paraId="2F404685">
      <w:pPr>
        <w:pStyle w:val="22"/>
        <w:kinsoku w:val="0"/>
        <w:overflowPunct w:val="0"/>
        <w:spacing w:before="109" w:line="360" w:lineRule="auto"/>
        <w:ind w:left="624"/>
        <w:rPr>
          <w:rFonts w:hint="eastAsia"/>
          <w:color w:val="auto"/>
          <w:highlight w:val="none"/>
        </w:rPr>
      </w:pPr>
      <w:r>
        <w:rPr>
          <w:color w:val="auto"/>
          <w:highlight w:val="none"/>
        </w:rPr>
        <w:t xml:space="preserve">9. </w:t>
      </w:r>
      <w:r>
        <w:rPr>
          <w:rFonts w:hint="eastAsia"/>
          <w:color w:val="auto"/>
          <w:highlight w:val="none"/>
        </w:rPr>
        <w:t>项目风险预测与防范，事故应急预案</w:t>
      </w:r>
    </w:p>
    <w:p w14:paraId="5F789F87">
      <w:pPr>
        <w:pStyle w:val="22"/>
        <w:numPr>
          <w:ilvl w:val="-1"/>
          <w:numId w:val="0"/>
        </w:numPr>
        <w:kinsoku w:val="0"/>
        <w:overflowPunct w:val="0"/>
        <w:spacing w:before="109" w:line="360" w:lineRule="auto"/>
        <w:ind w:left="0" w:firstLine="0" w:firstLineChars="0"/>
        <w:rPr>
          <w:rFonts w:hint="eastAsia"/>
          <w:color w:val="auto"/>
          <w:highlight w:val="none"/>
        </w:rPr>
      </w:pPr>
      <w:r>
        <w:rPr>
          <w:rFonts w:hint="eastAsia"/>
          <w:color w:val="auto"/>
          <w:highlight w:val="none"/>
          <w:lang w:val="en-US" w:eastAsia="zh-CN"/>
        </w:rPr>
        <w:t xml:space="preserve">     </w:t>
      </w:r>
      <w:r>
        <w:rPr>
          <w:color w:val="auto"/>
          <w:highlight w:val="none"/>
        </w:rPr>
        <w:t>10.</w:t>
      </w:r>
      <w:r>
        <w:rPr>
          <w:rFonts w:hint="eastAsia"/>
          <w:color w:val="auto"/>
          <w:highlight w:val="none"/>
          <w:lang w:val="en-US" w:eastAsia="zh-CN"/>
        </w:rPr>
        <w:t xml:space="preserve"> </w:t>
      </w:r>
      <w:r>
        <w:rPr>
          <w:rFonts w:hint="eastAsia"/>
          <w:color w:val="auto"/>
          <w:highlight w:val="none"/>
        </w:rPr>
        <w:t>其他应说明的事项</w:t>
      </w:r>
    </w:p>
    <w:p w14:paraId="6A526A66">
      <w:pPr>
        <w:pStyle w:val="22"/>
        <w:numPr>
          <w:ilvl w:val="0"/>
          <w:numId w:val="0"/>
        </w:numPr>
        <w:kinsoku w:val="0"/>
        <w:overflowPunct w:val="0"/>
        <w:spacing w:before="109" w:line="360" w:lineRule="auto"/>
        <w:ind w:left="624"/>
        <w:rPr>
          <w:rFonts w:hint="eastAsia"/>
          <w:color w:val="auto"/>
          <w:highlight w:val="none"/>
        </w:rPr>
      </w:pPr>
    </w:p>
    <w:p w14:paraId="0AF83D15">
      <w:pPr>
        <w:pStyle w:val="22"/>
        <w:numPr>
          <w:ilvl w:val="0"/>
          <w:numId w:val="0"/>
        </w:numPr>
        <w:kinsoku w:val="0"/>
        <w:overflowPunct w:val="0"/>
        <w:spacing w:before="109" w:line="360" w:lineRule="auto"/>
        <w:ind w:left="624"/>
        <w:rPr>
          <w:rFonts w:hint="eastAsia"/>
          <w:color w:val="auto"/>
          <w:highlight w:val="none"/>
        </w:rPr>
      </w:pPr>
    </w:p>
    <w:p w14:paraId="50904D15">
      <w:pPr>
        <w:pStyle w:val="22"/>
        <w:kinsoku w:val="0"/>
        <w:overflowPunct w:val="0"/>
        <w:spacing w:before="5"/>
        <w:rPr>
          <w:color w:val="auto"/>
          <w:sz w:val="16"/>
          <w:szCs w:val="16"/>
          <w:highlight w:val="none"/>
        </w:rPr>
      </w:pPr>
    </w:p>
    <w:p w14:paraId="08D938DB">
      <w:pPr>
        <w:pStyle w:val="22"/>
        <w:tabs>
          <w:tab w:val="left" w:pos="2044"/>
        </w:tabs>
        <w:kinsoku w:val="0"/>
        <w:overflowPunct w:val="0"/>
        <w:spacing w:before="27"/>
        <w:ind w:left="1084"/>
        <w:rPr>
          <w:color w:val="auto"/>
          <w:highlight w:val="none"/>
        </w:rPr>
      </w:pPr>
      <w:bookmarkStart w:id="912" w:name="bookmark298"/>
      <w:bookmarkEnd w:id="912"/>
    </w:p>
    <w:p w14:paraId="0882A7F4">
      <w:pPr>
        <w:pStyle w:val="22"/>
        <w:tabs>
          <w:tab w:val="left" w:pos="2044"/>
        </w:tabs>
        <w:kinsoku w:val="0"/>
        <w:overflowPunct w:val="0"/>
        <w:spacing w:before="27"/>
        <w:ind w:left="1084"/>
        <w:rPr>
          <w:color w:val="auto"/>
          <w:highlight w:val="none"/>
        </w:rPr>
      </w:pPr>
    </w:p>
    <w:p w14:paraId="3AE66850">
      <w:pPr>
        <w:pStyle w:val="22"/>
        <w:tabs>
          <w:tab w:val="left" w:pos="2044"/>
        </w:tabs>
        <w:kinsoku w:val="0"/>
        <w:overflowPunct w:val="0"/>
        <w:spacing w:before="27"/>
        <w:ind w:left="1084"/>
        <w:rPr>
          <w:color w:val="auto"/>
          <w:highlight w:val="none"/>
        </w:rPr>
      </w:pPr>
    </w:p>
    <w:p w14:paraId="2088EE51">
      <w:pPr>
        <w:pStyle w:val="22"/>
        <w:tabs>
          <w:tab w:val="left" w:pos="2044"/>
        </w:tabs>
        <w:kinsoku w:val="0"/>
        <w:overflowPunct w:val="0"/>
        <w:spacing w:before="27"/>
        <w:ind w:left="1084"/>
        <w:rPr>
          <w:color w:val="auto"/>
          <w:highlight w:val="none"/>
        </w:rPr>
      </w:pPr>
    </w:p>
    <w:p w14:paraId="45676E22">
      <w:pPr>
        <w:pStyle w:val="22"/>
        <w:tabs>
          <w:tab w:val="left" w:pos="2044"/>
        </w:tabs>
        <w:kinsoku w:val="0"/>
        <w:overflowPunct w:val="0"/>
        <w:spacing w:before="27"/>
        <w:ind w:left="1084"/>
        <w:rPr>
          <w:color w:val="auto"/>
          <w:highlight w:val="none"/>
        </w:rPr>
      </w:pPr>
    </w:p>
    <w:p w14:paraId="01103DF5">
      <w:pPr>
        <w:pStyle w:val="22"/>
        <w:tabs>
          <w:tab w:val="left" w:pos="2044"/>
        </w:tabs>
        <w:kinsoku w:val="0"/>
        <w:overflowPunct w:val="0"/>
        <w:spacing w:before="27"/>
        <w:ind w:left="1084"/>
        <w:rPr>
          <w:color w:val="auto"/>
          <w:highlight w:val="none"/>
        </w:rPr>
      </w:pPr>
    </w:p>
    <w:p w14:paraId="4B14D1BB">
      <w:pPr>
        <w:pStyle w:val="22"/>
        <w:tabs>
          <w:tab w:val="left" w:pos="2044"/>
        </w:tabs>
        <w:kinsoku w:val="0"/>
        <w:overflowPunct w:val="0"/>
        <w:spacing w:before="27"/>
        <w:ind w:left="1084"/>
        <w:rPr>
          <w:color w:val="auto"/>
          <w:highlight w:val="none"/>
        </w:rPr>
      </w:pPr>
    </w:p>
    <w:p w14:paraId="275E5D99">
      <w:pPr>
        <w:pStyle w:val="22"/>
        <w:tabs>
          <w:tab w:val="left" w:pos="2044"/>
        </w:tabs>
        <w:kinsoku w:val="0"/>
        <w:overflowPunct w:val="0"/>
        <w:spacing w:before="27"/>
        <w:ind w:left="1084"/>
        <w:rPr>
          <w:color w:val="auto"/>
          <w:highlight w:val="none"/>
        </w:rPr>
      </w:pPr>
    </w:p>
    <w:p w14:paraId="4A7B6D71">
      <w:pPr>
        <w:pStyle w:val="22"/>
        <w:tabs>
          <w:tab w:val="left" w:pos="2044"/>
        </w:tabs>
        <w:kinsoku w:val="0"/>
        <w:overflowPunct w:val="0"/>
        <w:spacing w:before="27"/>
        <w:ind w:left="1084"/>
        <w:rPr>
          <w:color w:val="auto"/>
          <w:highlight w:val="none"/>
        </w:rPr>
      </w:pPr>
    </w:p>
    <w:p w14:paraId="7B630797">
      <w:pPr>
        <w:pStyle w:val="22"/>
        <w:kinsoku w:val="0"/>
        <w:overflowPunct w:val="0"/>
        <w:spacing w:before="14"/>
        <w:ind w:left="224"/>
        <w:jc w:val="center"/>
        <w:outlineLvl w:val="1"/>
        <w:rPr>
          <w:rFonts w:ascii="黑体" w:hAnsi="黑体" w:eastAsia="黑体" w:cs="黑体"/>
          <w:color w:val="auto"/>
          <w:spacing w:val="-1"/>
          <w:sz w:val="30"/>
          <w:szCs w:val="30"/>
          <w:highlight w:val="none"/>
        </w:rPr>
      </w:pPr>
      <w:bookmarkStart w:id="913" w:name="bookmark302"/>
      <w:bookmarkEnd w:id="913"/>
      <w:bookmarkStart w:id="914" w:name="bookmark301"/>
      <w:bookmarkEnd w:id="914"/>
      <w:bookmarkStart w:id="915" w:name="bookmark300"/>
      <w:bookmarkEnd w:id="915"/>
      <w:bookmarkStart w:id="916" w:name="bookmark303"/>
      <w:bookmarkEnd w:id="916"/>
      <w:bookmarkStart w:id="917" w:name="bookmark304"/>
      <w:bookmarkEnd w:id="917"/>
      <w:r>
        <w:rPr>
          <w:rFonts w:cs="黑体"/>
          <w:color w:val="auto"/>
          <w:spacing w:val="-1"/>
          <w:sz w:val="28"/>
          <w:szCs w:val="28"/>
          <w:highlight w:val="none"/>
        </w:rPr>
        <w:br w:type="page"/>
      </w:r>
      <w:r>
        <w:rPr>
          <w:rStyle w:val="346"/>
          <w:rFonts w:hint="default" w:ascii="宋体" w:hAnsi="宋体"/>
          <w:b w:val="0"/>
          <w:bCs w:val="0"/>
          <w:color w:val="auto"/>
          <w:highlight w:val="none"/>
        </w:rPr>
        <w:t>六、项目管理机构</w:t>
      </w:r>
    </w:p>
    <w:p w14:paraId="5567BC9B">
      <w:pPr>
        <w:pStyle w:val="22"/>
        <w:kinsoku w:val="0"/>
        <w:overflowPunct w:val="0"/>
        <w:spacing w:before="11"/>
        <w:rPr>
          <w:rFonts w:cs="黑体"/>
          <w:color w:val="auto"/>
          <w:sz w:val="19"/>
          <w:szCs w:val="19"/>
          <w:highlight w:val="none"/>
        </w:rPr>
      </w:pPr>
    </w:p>
    <w:p w14:paraId="5E13CA26">
      <w:pPr>
        <w:pStyle w:val="22"/>
        <w:kinsoku w:val="0"/>
        <w:overflowPunct w:val="0"/>
        <w:spacing w:line="200" w:lineRule="atLeast"/>
        <w:ind w:left="129"/>
        <w:rPr>
          <w:rFonts w:cs="黑体"/>
          <w:color w:val="auto"/>
          <w:sz w:val="20"/>
          <w:szCs w:val="20"/>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8"/>
      </w:tblGrid>
      <w:tr w14:paraId="77B9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3" w:hRule="atLeast"/>
        </w:trPr>
        <w:tc>
          <w:tcPr>
            <w:tcW w:w="9380" w:type="dxa"/>
          </w:tcPr>
          <w:p w14:paraId="6F912BEE">
            <w:pPr>
              <w:pStyle w:val="22"/>
              <w:kinsoku w:val="0"/>
              <w:overflowPunct w:val="0"/>
              <w:spacing w:line="360" w:lineRule="auto"/>
              <w:rPr>
                <w:rFonts w:cs="黑体"/>
                <w:color w:val="auto"/>
                <w:sz w:val="21"/>
                <w:szCs w:val="21"/>
                <w:highlight w:val="none"/>
              </w:rPr>
            </w:pPr>
          </w:p>
          <w:p w14:paraId="505FC1A1">
            <w:pPr>
              <w:pStyle w:val="22"/>
              <w:kinsoku w:val="0"/>
              <w:overflowPunct w:val="0"/>
              <w:spacing w:line="360" w:lineRule="auto"/>
              <w:rPr>
                <w:rFonts w:cs="黑体"/>
                <w:color w:val="auto"/>
                <w:sz w:val="21"/>
                <w:szCs w:val="21"/>
                <w:highlight w:val="none"/>
              </w:rPr>
            </w:pPr>
            <w:r>
              <w:rPr>
                <w:rFonts w:hint="eastAsia" w:cs="黑体"/>
                <w:color w:val="auto"/>
                <w:sz w:val="21"/>
                <w:szCs w:val="21"/>
                <w:highlight w:val="none"/>
              </w:rPr>
              <w:t>拟为承包本标段工程设立的组织机构：</w:t>
            </w:r>
          </w:p>
        </w:tc>
      </w:tr>
      <w:tr w14:paraId="51EE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8" w:hRule="atLeast"/>
        </w:trPr>
        <w:tc>
          <w:tcPr>
            <w:tcW w:w="9380" w:type="dxa"/>
          </w:tcPr>
          <w:p w14:paraId="762BBE4F">
            <w:pPr>
              <w:pStyle w:val="22"/>
              <w:kinsoku w:val="0"/>
              <w:overflowPunct w:val="0"/>
              <w:spacing w:line="200" w:lineRule="atLeast"/>
              <w:rPr>
                <w:rFonts w:cs="黑体"/>
                <w:color w:val="auto"/>
                <w:sz w:val="21"/>
                <w:szCs w:val="21"/>
                <w:highlight w:val="none"/>
              </w:rPr>
            </w:pPr>
          </w:p>
          <w:p w14:paraId="67064DFE">
            <w:pPr>
              <w:pStyle w:val="22"/>
              <w:kinsoku w:val="0"/>
              <w:overflowPunct w:val="0"/>
              <w:spacing w:line="200" w:lineRule="atLeast"/>
              <w:rPr>
                <w:rFonts w:cs="黑体"/>
                <w:color w:val="auto"/>
                <w:sz w:val="21"/>
                <w:szCs w:val="21"/>
                <w:highlight w:val="none"/>
              </w:rPr>
            </w:pPr>
            <w:r>
              <w:rPr>
                <w:rFonts w:hint="eastAsia" w:cs="黑体"/>
                <w:color w:val="auto"/>
                <w:sz w:val="21"/>
                <w:szCs w:val="21"/>
                <w:highlight w:val="none"/>
              </w:rPr>
              <w:t>说明：</w:t>
            </w:r>
          </w:p>
        </w:tc>
      </w:tr>
    </w:tbl>
    <w:p w14:paraId="7E74B907">
      <w:pPr>
        <w:pStyle w:val="22"/>
        <w:kinsoku w:val="0"/>
        <w:overflowPunct w:val="0"/>
        <w:spacing w:line="200" w:lineRule="atLeast"/>
        <w:ind w:left="129"/>
        <w:rPr>
          <w:rFonts w:cs="黑体"/>
          <w:color w:val="auto"/>
          <w:sz w:val="20"/>
          <w:szCs w:val="20"/>
          <w:highlight w:val="none"/>
        </w:rPr>
        <w:sectPr>
          <w:headerReference r:id="rId27" w:type="default"/>
          <w:headerReference r:id="rId28" w:type="even"/>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pPr>
    </w:p>
    <w:p w14:paraId="430CEFB5">
      <w:pPr>
        <w:pStyle w:val="22"/>
        <w:kinsoku w:val="0"/>
        <w:overflowPunct w:val="0"/>
        <w:spacing w:before="14"/>
        <w:jc w:val="center"/>
        <w:outlineLvl w:val="1"/>
        <w:rPr>
          <w:rFonts w:ascii="黑体" w:hAnsi="黑体" w:eastAsia="黑体" w:cs="黑体"/>
          <w:color w:val="auto"/>
          <w:spacing w:val="-1"/>
          <w:sz w:val="30"/>
          <w:szCs w:val="30"/>
          <w:highlight w:val="none"/>
        </w:rPr>
      </w:pPr>
      <w:bookmarkStart w:id="918" w:name="bookmark308"/>
      <w:bookmarkEnd w:id="918"/>
      <w:r>
        <w:rPr>
          <w:rFonts w:cs="黑体"/>
          <w:color w:val="auto"/>
          <w:spacing w:val="-1"/>
          <w:sz w:val="28"/>
          <w:szCs w:val="28"/>
          <w:highlight w:val="none"/>
        </w:rPr>
        <w:br w:type="page"/>
      </w:r>
      <w:r>
        <w:rPr>
          <w:rStyle w:val="346"/>
          <w:rFonts w:hint="default" w:ascii="宋体" w:hAnsi="宋体"/>
          <w:b w:val="0"/>
          <w:bCs w:val="0"/>
          <w:color w:val="auto"/>
          <w:highlight w:val="none"/>
        </w:rPr>
        <w:t>七、拟分包项目情况表（如有）</w:t>
      </w:r>
    </w:p>
    <w:p w14:paraId="06FB9C55">
      <w:pPr>
        <w:pStyle w:val="22"/>
        <w:kinsoku w:val="0"/>
        <w:overflowPunct w:val="0"/>
        <w:rPr>
          <w:rFonts w:cs="黑体"/>
          <w:color w:val="auto"/>
          <w:sz w:val="20"/>
          <w:szCs w:val="20"/>
          <w:highlight w:val="none"/>
        </w:rPr>
      </w:pPr>
    </w:p>
    <w:p w14:paraId="081BD7FA">
      <w:pPr>
        <w:pStyle w:val="22"/>
        <w:kinsoku w:val="0"/>
        <w:overflowPunct w:val="0"/>
        <w:spacing w:before="12"/>
        <w:rPr>
          <w:rFonts w:cs="黑体"/>
          <w:color w:val="auto"/>
          <w:sz w:val="16"/>
          <w:szCs w:val="16"/>
          <w:highlight w:val="none"/>
        </w:rPr>
      </w:pPr>
    </w:p>
    <w:tbl>
      <w:tblPr>
        <w:tblStyle w:val="4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1"/>
        <w:gridCol w:w="2061"/>
        <w:gridCol w:w="1889"/>
        <w:gridCol w:w="2269"/>
      </w:tblGrid>
      <w:tr w14:paraId="0581C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2441" w:type="dxa"/>
          </w:tcPr>
          <w:p w14:paraId="4F86EB34">
            <w:pPr>
              <w:pStyle w:val="256"/>
              <w:kinsoku w:val="0"/>
              <w:overflowPunct w:val="0"/>
              <w:spacing w:before="106"/>
              <w:ind w:left="147"/>
              <w:rPr>
                <w:color w:val="auto"/>
                <w:szCs w:val="21"/>
                <w:highlight w:val="none"/>
              </w:rPr>
            </w:pPr>
            <w:r>
              <w:rPr>
                <w:rFonts w:hint="eastAsia"/>
                <w:color w:val="auto"/>
                <w:spacing w:val="-2"/>
                <w:szCs w:val="21"/>
                <w:highlight w:val="none"/>
              </w:rPr>
              <w:t>拟分包的工程项目</w:t>
            </w:r>
          </w:p>
        </w:tc>
        <w:tc>
          <w:tcPr>
            <w:tcW w:w="2061" w:type="dxa"/>
          </w:tcPr>
          <w:p w14:paraId="4B3BB194">
            <w:pPr>
              <w:pStyle w:val="256"/>
              <w:kinsoku w:val="0"/>
              <w:overflowPunct w:val="0"/>
              <w:spacing w:before="106"/>
              <w:jc w:val="center"/>
              <w:rPr>
                <w:color w:val="auto"/>
                <w:szCs w:val="21"/>
                <w:highlight w:val="none"/>
              </w:rPr>
            </w:pPr>
            <w:r>
              <w:rPr>
                <w:rFonts w:hint="eastAsia"/>
                <w:color w:val="auto"/>
                <w:spacing w:val="-2"/>
                <w:szCs w:val="21"/>
                <w:highlight w:val="none"/>
              </w:rPr>
              <w:t>主要工程内容</w:t>
            </w:r>
          </w:p>
        </w:tc>
        <w:tc>
          <w:tcPr>
            <w:tcW w:w="1889" w:type="dxa"/>
          </w:tcPr>
          <w:p w14:paraId="11B93802">
            <w:pPr>
              <w:pStyle w:val="256"/>
              <w:kinsoku w:val="0"/>
              <w:overflowPunct w:val="0"/>
              <w:spacing w:before="106"/>
              <w:ind w:left="102"/>
              <w:rPr>
                <w:color w:val="auto"/>
                <w:szCs w:val="21"/>
                <w:highlight w:val="none"/>
              </w:rPr>
            </w:pPr>
            <w:r>
              <w:rPr>
                <w:rFonts w:hint="eastAsia"/>
                <w:color w:val="auto"/>
                <w:spacing w:val="-2"/>
                <w:szCs w:val="21"/>
                <w:highlight w:val="none"/>
              </w:rPr>
              <w:t>预计造价（万元）</w:t>
            </w:r>
          </w:p>
        </w:tc>
        <w:tc>
          <w:tcPr>
            <w:tcW w:w="2269" w:type="dxa"/>
          </w:tcPr>
          <w:p w14:paraId="69560128">
            <w:pPr>
              <w:pStyle w:val="256"/>
              <w:kinsoku w:val="0"/>
              <w:overflowPunct w:val="0"/>
              <w:spacing w:before="106"/>
              <w:jc w:val="center"/>
              <w:rPr>
                <w:color w:val="auto"/>
                <w:szCs w:val="21"/>
                <w:highlight w:val="none"/>
              </w:rPr>
            </w:pPr>
            <w:r>
              <w:rPr>
                <w:rFonts w:hint="eastAsia"/>
                <w:color w:val="auto"/>
                <w:szCs w:val="21"/>
                <w:highlight w:val="none"/>
              </w:rPr>
              <w:t>备</w:t>
            </w:r>
            <w:r>
              <w:rPr>
                <w:color w:val="auto"/>
                <w:szCs w:val="21"/>
                <w:highlight w:val="none"/>
              </w:rPr>
              <w:t xml:space="preserve"> </w:t>
            </w:r>
            <w:r>
              <w:rPr>
                <w:rFonts w:hint="eastAsia"/>
                <w:color w:val="auto"/>
                <w:szCs w:val="21"/>
                <w:highlight w:val="none"/>
              </w:rPr>
              <w:t>注</w:t>
            </w:r>
          </w:p>
        </w:tc>
      </w:tr>
      <w:tr w14:paraId="65260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2441" w:type="dxa"/>
          </w:tcPr>
          <w:p w14:paraId="53B19DB6">
            <w:pPr>
              <w:rPr>
                <w:rFonts w:ascii="宋体" w:hAnsi="宋体"/>
                <w:color w:val="auto"/>
                <w:szCs w:val="21"/>
                <w:highlight w:val="none"/>
              </w:rPr>
            </w:pPr>
          </w:p>
        </w:tc>
        <w:tc>
          <w:tcPr>
            <w:tcW w:w="2061" w:type="dxa"/>
          </w:tcPr>
          <w:p w14:paraId="7049720C">
            <w:pPr>
              <w:rPr>
                <w:rFonts w:ascii="宋体" w:hAnsi="宋体"/>
                <w:color w:val="auto"/>
                <w:szCs w:val="21"/>
                <w:highlight w:val="none"/>
              </w:rPr>
            </w:pPr>
          </w:p>
        </w:tc>
        <w:tc>
          <w:tcPr>
            <w:tcW w:w="1889" w:type="dxa"/>
          </w:tcPr>
          <w:p w14:paraId="2B3AB97C">
            <w:pPr>
              <w:rPr>
                <w:rFonts w:ascii="宋体" w:hAnsi="宋体"/>
                <w:color w:val="auto"/>
                <w:szCs w:val="21"/>
                <w:highlight w:val="none"/>
              </w:rPr>
            </w:pPr>
          </w:p>
        </w:tc>
        <w:tc>
          <w:tcPr>
            <w:tcW w:w="2269" w:type="dxa"/>
            <w:vMerge w:val="restart"/>
            <w:vAlign w:val="center"/>
          </w:tcPr>
          <w:p w14:paraId="4EE79BE1">
            <w:pPr>
              <w:pStyle w:val="256"/>
              <w:kinsoku w:val="0"/>
              <w:overflowPunct w:val="0"/>
              <w:spacing w:line="360" w:lineRule="auto"/>
              <w:ind w:left="102" w:right="96"/>
              <w:rPr>
                <w:color w:val="auto"/>
                <w:szCs w:val="21"/>
                <w:highlight w:val="none"/>
              </w:rPr>
            </w:pPr>
            <w:r>
              <w:rPr>
                <w:rFonts w:hint="eastAsia"/>
                <w:color w:val="auto"/>
                <w:spacing w:val="3"/>
                <w:szCs w:val="21"/>
                <w:highlight w:val="none"/>
              </w:rPr>
              <w:t>注：若无分包计划，则投</w:t>
            </w:r>
            <w:r>
              <w:rPr>
                <w:color w:val="auto"/>
                <w:spacing w:val="26"/>
                <w:szCs w:val="21"/>
                <w:highlight w:val="none"/>
              </w:rPr>
              <w:t xml:space="preserve"> </w:t>
            </w:r>
            <w:r>
              <w:rPr>
                <w:rFonts w:hint="eastAsia"/>
                <w:color w:val="auto"/>
                <w:spacing w:val="-2"/>
                <w:szCs w:val="21"/>
                <w:highlight w:val="none"/>
              </w:rPr>
              <w:t>标人应在本表填写</w:t>
            </w:r>
            <w:r>
              <w:rPr>
                <w:color w:val="auto"/>
                <w:spacing w:val="-2"/>
                <w:szCs w:val="21"/>
                <w:highlight w:val="none"/>
              </w:rPr>
              <w:t>“</w:t>
            </w:r>
            <w:r>
              <w:rPr>
                <w:rFonts w:hint="eastAsia"/>
                <w:color w:val="auto"/>
                <w:spacing w:val="-2"/>
                <w:szCs w:val="21"/>
                <w:highlight w:val="none"/>
              </w:rPr>
              <w:t>无</w:t>
            </w:r>
            <w:r>
              <w:rPr>
                <w:color w:val="auto"/>
                <w:spacing w:val="-2"/>
                <w:szCs w:val="21"/>
                <w:highlight w:val="none"/>
              </w:rPr>
              <w:t>”</w:t>
            </w:r>
          </w:p>
        </w:tc>
      </w:tr>
      <w:tr w14:paraId="50151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441" w:type="dxa"/>
          </w:tcPr>
          <w:p w14:paraId="47DABFBF">
            <w:pPr>
              <w:rPr>
                <w:rFonts w:ascii="宋体" w:hAnsi="宋体"/>
                <w:color w:val="auto"/>
                <w:szCs w:val="21"/>
                <w:highlight w:val="none"/>
              </w:rPr>
            </w:pPr>
          </w:p>
        </w:tc>
        <w:tc>
          <w:tcPr>
            <w:tcW w:w="2061" w:type="dxa"/>
          </w:tcPr>
          <w:p w14:paraId="253EE2C1">
            <w:pPr>
              <w:rPr>
                <w:rFonts w:ascii="宋体" w:hAnsi="宋体"/>
                <w:color w:val="auto"/>
                <w:szCs w:val="21"/>
                <w:highlight w:val="none"/>
              </w:rPr>
            </w:pPr>
          </w:p>
        </w:tc>
        <w:tc>
          <w:tcPr>
            <w:tcW w:w="1889" w:type="dxa"/>
          </w:tcPr>
          <w:p w14:paraId="2EAF7FFF">
            <w:pPr>
              <w:rPr>
                <w:rFonts w:ascii="宋体" w:hAnsi="宋体"/>
                <w:color w:val="auto"/>
                <w:szCs w:val="21"/>
                <w:highlight w:val="none"/>
              </w:rPr>
            </w:pPr>
          </w:p>
        </w:tc>
        <w:tc>
          <w:tcPr>
            <w:tcW w:w="2269" w:type="dxa"/>
            <w:vMerge w:val="continue"/>
          </w:tcPr>
          <w:p w14:paraId="09CA1185">
            <w:pPr>
              <w:rPr>
                <w:rFonts w:ascii="宋体" w:hAnsi="宋体"/>
                <w:color w:val="auto"/>
                <w:szCs w:val="21"/>
                <w:highlight w:val="none"/>
              </w:rPr>
            </w:pPr>
          </w:p>
        </w:tc>
      </w:tr>
      <w:tr w14:paraId="4FAD6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698B7A43">
            <w:pPr>
              <w:rPr>
                <w:rFonts w:ascii="宋体" w:hAnsi="宋体"/>
                <w:color w:val="auto"/>
                <w:szCs w:val="21"/>
                <w:highlight w:val="none"/>
              </w:rPr>
            </w:pPr>
          </w:p>
        </w:tc>
        <w:tc>
          <w:tcPr>
            <w:tcW w:w="2061" w:type="dxa"/>
          </w:tcPr>
          <w:p w14:paraId="53AEA66C">
            <w:pPr>
              <w:rPr>
                <w:rFonts w:ascii="宋体" w:hAnsi="宋体"/>
                <w:color w:val="auto"/>
                <w:szCs w:val="21"/>
                <w:highlight w:val="none"/>
              </w:rPr>
            </w:pPr>
          </w:p>
        </w:tc>
        <w:tc>
          <w:tcPr>
            <w:tcW w:w="1889" w:type="dxa"/>
          </w:tcPr>
          <w:p w14:paraId="3407E89E">
            <w:pPr>
              <w:rPr>
                <w:rFonts w:ascii="宋体" w:hAnsi="宋体"/>
                <w:color w:val="auto"/>
                <w:szCs w:val="21"/>
                <w:highlight w:val="none"/>
              </w:rPr>
            </w:pPr>
          </w:p>
        </w:tc>
        <w:tc>
          <w:tcPr>
            <w:tcW w:w="2269" w:type="dxa"/>
            <w:vMerge w:val="continue"/>
          </w:tcPr>
          <w:p w14:paraId="3B557E0A">
            <w:pPr>
              <w:rPr>
                <w:rFonts w:ascii="宋体" w:hAnsi="宋体"/>
                <w:color w:val="auto"/>
                <w:szCs w:val="21"/>
                <w:highlight w:val="none"/>
              </w:rPr>
            </w:pPr>
          </w:p>
        </w:tc>
      </w:tr>
      <w:tr w14:paraId="6EAB6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2441" w:type="dxa"/>
          </w:tcPr>
          <w:p w14:paraId="55AE8243">
            <w:pPr>
              <w:rPr>
                <w:rFonts w:ascii="宋体" w:hAnsi="宋体"/>
                <w:color w:val="auto"/>
                <w:szCs w:val="21"/>
                <w:highlight w:val="none"/>
              </w:rPr>
            </w:pPr>
          </w:p>
        </w:tc>
        <w:tc>
          <w:tcPr>
            <w:tcW w:w="2061" w:type="dxa"/>
          </w:tcPr>
          <w:p w14:paraId="220F0483">
            <w:pPr>
              <w:rPr>
                <w:rFonts w:ascii="宋体" w:hAnsi="宋体"/>
                <w:color w:val="auto"/>
                <w:szCs w:val="21"/>
                <w:highlight w:val="none"/>
              </w:rPr>
            </w:pPr>
          </w:p>
        </w:tc>
        <w:tc>
          <w:tcPr>
            <w:tcW w:w="1889" w:type="dxa"/>
          </w:tcPr>
          <w:p w14:paraId="644FB0C5">
            <w:pPr>
              <w:rPr>
                <w:rFonts w:ascii="宋体" w:hAnsi="宋体"/>
                <w:color w:val="auto"/>
                <w:szCs w:val="21"/>
                <w:highlight w:val="none"/>
              </w:rPr>
            </w:pPr>
          </w:p>
        </w:tc>
        <w:tc>
          <w:tcPr>
            <w:tcW w:w="2269" w:type="dxa"/>
            <w:vMerge w:val="continue"/>
          </w:tcPr>
          <w:p w14:paraId="11416286">
            <w:pPr>
              <w:rPr>
                <w:rFonts w:ascii="宋体" w:hAnsi="宋体"/>
                <w:color w:val="auto"/>
                <w:szCs w:val="21"/>
                <w:highlight w:val="none"/>
              </w:rPr>
            </w:pPr>
          </w:p>
        </w:tc>
      </w:tr>
      <w:tr w14:paraId="7FA8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exact"/>
        </w:trPr>
        <w:tc>
          <w:tcPr>
            <w:tcW w:w="2441" w:type="dxa"/>
          </w:tcPr>
          <w:p w14:paraId="273DE735">
            <w:pPr>
              <w:rPr>
                <w:rFonts w:ascii="宋体" w:hAnsi="宋体"/>
                <w:color w:val="auto"/>
                <w:szCs w:val="21"/>
                <w:highlight w:val="none"/>
              </w:rPr>
            </w:pPr>
          </w:p>
        </w:tc>
        <w:tc>
          <w:tcPr>
            <w:tcW w:w="2061" w:type="dxa"/>
          </w:tcPr>
          <w:p w14:paraId="4CD87BA1">
            <w:pPr>
              <w:rPr>
                <w:rFonts w:ascii="宋体" w:hAnsi="宋体"/>
                <w:color w:val="auto"/>
                <w:szCs w:val="21"/>
                <w:highlight w:val="none"/>
              </w:rPr>
            </w:pPr>
          </w:p>
        </w:tc>
        <w:tc>
          <w:tcPr>
            <w:tcW w:w="1889" w:type="dxa"/>
          </w:tcPr>
          <w:p w14:paraId="3C2AEF6F">
            <w:pPr>
              <w:rPr>
                <w:rFonts w:ascii="宋体" w:hAnsi="宋体"/>
                <w:color w:val="auto"/>
                <w:szCs w:val="21"/>
                <w:highlight w:val="none"/>
              </w:rPr>
            </w:pPr>
          </w:p>
        </w:tc>
        <w:tc>
          <w:tcPr>
            <w:tcW w:w="2269" w:type="dxa"/>
            <w:vMerge w:val="continue"/>
          </w:tcPr>
          <w:p w14:paraId="65E4DC96">
            <w:pPr>
              <w:rPr>
                <w:rFonts w:ascii="宋体" w:hAnsi="宋体"/>
                <w:color w:val="auto"/>
                <w:szCs w:val="21"/>
                <w:highlight w:val="none"/>
              </w:rPr>
            </w:pPr>
          </w:p>
        </w:tc>
      </w:tr>
      <w:tr w14:paraId="13104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66BE7968">
            <w:pPr>
              <w:rPr>
                <w:rFonts w:ascii="宋体" w:hAnsi="宋体"/>
                <w:color w:val="auto"/>
                <w:szCs w:val="21"/>
                <w:highlight w:val="none"/>
              </w:rPr>
            </w:pPr>
          </w:p>
        </w:tc>
        <w:tc>
          <w:tcPr>
            <w:tcW w:w="2061" w:type="dxa"/>
          </w:tcPr>
          <w:p w14:paraId="016B679D">
            <w:pPr>
              <w:rPr>
                <w:rFonts w:ascii="宋体" w:hAnsi="宋体"/>
                <w:color w:val="auto"/>
                <w:szCs w:val="21"/>
                <w:highlight w:val="none"/>
              </w:rPr>
            </w:pPr>
          </w:p>
        </w:tc>
        <w:tc>
          <w:tcPr>
            <w:tcW w:w="1889" w:type="dxa"/>
          </w:tcPr>
          <w:p w14:paraId="4754B579">
            <w:pPr>
              <w:rPr>
                <w:rFonts w:ascii="宋体" w:hAnsi="宋体"/>
                <w:color w:val="auto"/>
                <w:szCs w:val="21"/>
                <w:highlight w:val="none"/>
              </w:rPr>
            </w:pPr>
          </w:p>
        </w:tc>
        <w:tc>
          <w:tcPr>
            <w:tcW w:w="2269" w:type="dxa"/>
            <w:vMerge w:val="continue"/>
          </w:tcPr>
          <w:p w14:paraId="615F4924">
            <w:pPr>
              <w:rPr>
                <w:rFonts w:ascii="宋体" w:hAnsi="宋体"/>
                <w:color w:val="auto"/>
                <w:szCs w:val="21"/>
                <w:highlight w:val="none"/>
              </w:rPr>
            </w:pPr>
          </w:p>
        </w:tc>
      </w:tr>
      <w:tr w14:paraId="74A7B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3765743D">
            <w:pPr>
              <w:rPr>
                <w:rFonts w:ascii="宋体" w:hAnsi="宋体"/>
                <w:color w:val="auto"/>
                <w:szCs w:val="21"/>
                <w:highlight w:val="none"/>
              </w:rPr>
            </w:pPr>
          </w:p>
        </w:tc>
        <w:tc>
          <w:tcPr>
            <w:tcW w:w="2061" w:type="dxa"/>
          </w:tcPr>
          <w:p w14:paraId="16D73470">
            <w:pPr>
              <w:rPr>
                <w:rFonts w:ascii="宋体" w:hAnsi="宋体"/>
                <w:color w:val="auto"/>
                <w:szCs w:val="21"/>
                <w:highlight w:val="none"/>
              </w:rPr>
            </w:pPr>
          </w:p>
        </w:tc>
        <w:tc>
          <w:tcPr>
            <w:tcW w:w="1889" w:type="dxa"/>
          </w:tcPr>
          <w:p w14:paraId="000F27DC">
            <w:pPr>
              <w:rPr>
                <w:rFonts w:ascii="宋体" w:hAnsi="宋体"/>
                <w:color w:val="auto"/>
                <w:szCs w:val="21"/>
                <w:highlight w:val="none"/>
              </w:rPr>
            </w:pPr>
          </w:p>
        </w:tc>
        <w:tc>
          <w:tcPr>
            <w:tcW w:w="2269" w:type="dxa"/>
            <w:vMerge w:val="continue"/>
          </w:tcPr>
          <w:p w14:paraId="44DE6DE9">
            <w:pPr>
              <w:rPr>
                <w:rFonts w:ascii="宋体" w:hAnsi="宋体"/>
                <w:color w:val="auto"/>
                <w:szCs w:val="21"/>
                <w:highlight w:val="none"/>
              </w:rPr>
            </w:pPr>
          </w:p>
        </w:tc>
      </w:tr>
      <w:tr w14:paraId="1364E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14:paraId="350662F8">
            <w:pPr>
              <w:rPr>
                <w:rFonts w:ascii="宋体" w:hAnsi="宋体"/>
                <w:color w:val="auto"/>
                <w:szCs w:val="21"/>
                <w:highlight w:val="none"/>
              </w:rPr>
            </w:pPr>
          </w:p>
        </w:tc>
        <w:tc>
          <w:tcPr>
            <w:tcW w:w="2061" w:type="dxa"/>
          </w:tcPr>
          <w:p w14:paraId="73014145">
            <w:pPr>
              <w:rPr>
                <w:rFonts w:ascii="宋体" w:hAnsi="宋体"/>
                <w:color w:val="auto"/>
                <w:szCs w:val="21"/>
                <w:highlight w:val="none"/>
              </w:rPr>
            </w:pPr>
          </w:p>
        </w:tc>
        <w:tc>
          <w:tcPr>
            <w:tcW w:w="1889" w:type="dxa"/>
          </w:tcPr>
          <w:p w14:paraId="209B2C00">
            <w:pPr>
              <w:rPr>
                <w:rFonts w:ascii="宋体" w:hAnsi="宋体"/>
                <w:color w:val="auto"/>
                <w:szCs w:val="21"/>
                <w:highlight w:val="none"/>
              </w:rPr>
            </w:pPr>
          </w:p>
        </w:tc>
        <w:tc>
          <w:tcPr>
            <w:tcW w:w="2269" w:type="dxa"/>
            <w:vMerge w:val="continue"/>
          </w:tcPr>
          <w:p w14:paraId="00441D4F">
            <w:pPr>
              <w:rPr>
                <w:rFonts w:ascii="宋体" w:hAnsi="宋体"/>
                <w:color w:val="auto"/>
                <w:szCs w:val="21"/>
                <w:highlight w:val="none"/>
              </w:rPr>
            </w:pPr>
          </w:p>
        </w:tc>
      </w:tr>
      <w:tr w14:paraId="4347B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4246DB1D">
            <w:pPr>
              <w:rPr>
                <w:rFonts w:ascii="宋体" w:hAnsi="宋体"/>
                <w:color w:val="auto"/>
                <w:szCs w:val="21"/>
                <w:highlight w:val="none"/>
              </w:rPr>
            </w:pPr>
          </w:p>
        </w:tc>
        <w:tc>
          <w:tcPr>
            <w:tcW w:w="2061" w:type="dxa"/>
          </w:tcPr>
          <w:p w14:paraId="2942585B">
            <w:pPr>
              <w:rPr>
                <w:rFonts w:ascii="宋体" w:hAnsi="宋体"/>
                <w:color w:val="auto"/>
                <w:szCs w:val="21"/>
                <w:highlight w:val="none"/>
              </w:rPr>
            </w:pPr>
          </w:p>
        </w:tc>
        <w:tc>
          <w:tcPr>
            <w:tcW w:w="1889" w:type="dxa"/>
          </w:tcPr>
          <w:p w14:paraId="759D6D02">
            <w:pPr>
              <w:rPr>
                <w:rFonts w:ascii="宋体" w:hAnsi="宋体"/>
                <w:color w:val="auto"/>
                <w:szCs w:val="21"/>
                <w:highlight w:val="none"/>
              </w:rPr>
            </w:pPr>
          </w:p>
        </w:tc>
        <w:tc>
          <w:tcPr>
            <w:tcW w:w="2269" w:type="dxa"/>
            <w:vMerge w:val="continue"/>
          </w:tcPr>
          <w:p w14:paraId="7F49490F">
            <w:pPr>
              <w:rPr>
                <w:rFonts w:ascii="宋体" w:hAnsi="宋体"/>
                <w:color w:val="auto"/>
                <w:szCs w:val="21"/>
                <w:highlight w:val="none"/>
              </w:rPr>
            </w:pPr>
          </w:p>
        </w:tc>
      </w:tr>
      <w:tr w14:paraId="242B2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4ECE2DBC">
            <w:pPr>
              <w:rPr>
                <w:rFonts w:ascii="宋体" w:hAnsi="宋体"/>
                <w:color w:val="auto"/>
                <w:szCs w:val="21"/>
                <w:highlight w:val="none"/>
              </w:rPr>
            </w:pPr>
          </w:p>
        </w:tc>
        <w:tc>
          <w:tcPr>
            <w:tcW w:w="2061" w:type="dxa"/>
          </w:tcPr>
          <w:p w14:paraId="705630D8">
            <w:pPr>
              <w:rPr>
                <w:rFonts w:ascii="宋体" w:hAnsi="宋体"/>
                <w:color w:val="auto"/>
                <w:szCs w:val="21"/>
                <w:highlight w:val="none"/>
              </w:rPr>
            </w:pPr>
          </w:p>
        </w:tc>
        <w:tc>
          <w:tcPr>
            <w:tcW w:w="1889" w:type="dxa"/>
          </w:tcPr>
          <w:p w14:paraId="2B340895">
            <w:pPr>
              <w:rPr>
                <w:rFonts w:ascii="宋体" w:hAnsi="宋体"/>
                <w:color w:val="auto"/>
                <w:szCs w:val="21"/>
                <w:highlight w:val="none"/>
              </w:rPr>
            </w:pPr>
          </w:p>
        </w:tc>
        <w:tc>
          <w:tcPr>
            <w:tcW w:w="2269" w:type="dxa"/>
            <w:vMerge w:val="continue"/>
          </w:tcPr>
          <w:p w14:paraId="7FBC68FE">
            <w:pPr>
              <w:rPr>
                <w:rFonts w:ascii="宋体" w:hAnsi="宋体"/>
                <w:color w:val="auto"/>
                <w:szCs w:val="21"/>
                <w:highlight w:val="none"/>
              </w:rPr>
            </w:pPr>
          </w:p>
        </w:tc>
      </w:tr>
      <w:tr w14:paraId="7321D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14:paraId="42E28701">
            <w:pPr>
              <w:rPr>
                <w:rFonts w:ascii="宋体" w:hAnsi="宋体"/>
                <w:color w:val="auto"/>
                <w:szCs w:val="21"/>
                <w:highlight w:val="none"/>
              </w:rPr>
            </w:pPr>
          </w:p>
        </w:tc>
        <w:tc>
          <w:tcPr>
            <w:tcW w:w="2061" w:type="dxa"/>
          </w:tcPr>
          <w:p w14:paraId="694DE797">
            <w:pPr>
              <w:rPr>
                <w:rFonts w:ascii="宋体" w:hAnsi="宋体"/>
                <w:color w:val="auto"/>
                <w:szCs w:val="21"/>
                <w:highlight w:val="none"/>
              </w:rPr>
            </w:pPr>
          </w:p>
        </w:tc>
        <w:tc>
          <w:tcPr>
            <w:tcW w:w="1889" w:type="dxa"/>
          </w:tcPr>
          <w:p w14:paraId="41EBA2D4">
            <w:pPr>
              <w:rPr>
                <w:rFonts w:ascii="宋体" w:hAnsi="宋体"/>
                <w:color w:val="auto"/>
                <w:szCs w:val="21"/>
                <w:highlight w:val="none"/>
              </w:rPr>
            </w:pPr>
          </w:p>
        </w:tc>
        <w:tc>
          <w:tcPr>
            <w:tcW w:w="2269" w:type="dxa"/>
            <w:vMerge w:val="continue"/>
          </w:tcPr>
          <w:p w14:paraId="049277F2">
            <w:pPr>
              <w:rPr>
                <w:rFonts w:ascii="宋体" w:hAnsi="宋体"/>
                <w:color w:val="auto"/>
                <w:szCs w:val="21"/>
                <w:highlight w:val="none"/>
              </w:rPr>
            </w:pPr>
          </w:p>
        </w:tc>
      </w:tr>
      <w:tr w14:paraId="41B2A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54DB76FF">
            <w:pPr>
              <w:rPr>
                <w:rFonts w:ascii="宋体" w:hAnsi="宋体"/>
                <w:color w:val="auto"/>
                <w:szCs w:val="21"/>
                <w:highlight w:val="none"/>
              </w:rPr>
            </w:pPr>
          </w:p>
        </w:tc>
        <w:tc>
          <w:tcPr>
            <w:tcW w:w="2061" w:type="dxa"/>
          </w:tcPr>
          <w:p w14:paraId="33319AB3">
            <w:pPr>
              <w:rPr>
                <w:rFonts w:ascii="宋体" w:hAnsi="宋体"/>
                <w:color w:val="auto"/>
                <w:szCs w:val="21"/>
                <w:highlight w:val="none"/>
              </w:rPr>
            </w:pPr>
          </w:p>
        </w:tc>
        <w:tc>
          <w:tcPr>
            <w:tcW w:w="1889" w:type="dxa"/>
          </w:tcPr>
          <w:p w14:paraId="1EC4193D">
            <w:pPr>
              <w:rPr>
                <w:rFonts w:ascii="宋体" w:hAnsi="宋体"/>
                <w:color w:val="auto"/>
                <w:szCs w:val="21"/>
                <w:highlight w:val="none"/>
              </w:rPr>
            </w:pPr>
          </w:p>
        </w:tc>
        <w:tc>
          <w:tcPr>
            <w:tcW w:w="2269" w:type="dxa"/>
            <w:vMerge w:val="continue"/>
          </w:tcPr>
          <w:p w14:paraId="326A3423">
            <w:pPr>
              <w:rPr>
                <w:rFonts w:ascii="宋体" w:hAnsi="宋体"/>
                <w:color w:val="auto"/>
                <w:szCs w:val="21"/>
                <w:highlight w:val="none"/>
              </w:rPr>
            </w:pPr>
          </w:p>
        </w:tc>
      </w:tr>
      <w:tr w14:paraId="26EB7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219A326B">
            <w:pPr>
              <w:rPr>
                <w:rFonts w:ascii="宋体" w:hAnsi="宋体"/>
                <w:color w:val="auto"/>
                <w:szCs w:val="21"/>
                <w:highlight w:val="none"/>
              </w:rPr>
            </w:pPr>
          </w:p>
        </w:tc>
        <w:tc>
          <w:tcPr>
            <w:tcW w:w="2061" w:type="dxa"/>
          </w:tcPr>
          <w:p w14:paraId="7A9CE3F2">
            <w:pPr>
              <w:rPr>
                <w:rFonts w:ascii="宋体" w:hAnsi="宋体"/>
                <w:color w:val="auto"/>
                <w:szCs w:val="21"/>
                <w:highlight w:val="none"/>
              </w:rPr>
            </w:pPr>
          </w:p>
        </w:tc>
        <w:tc>
          <w:tcPr>
            <w:tcW w:w="1889" w:type="dxa"/>
          </w:tcPr>
          <w:p w14:paraId="32BA6124">
            <w:pPr>
              <w:rPr>
                <w:rFonts w:ascii="宋体" w:hAnsi="宋体"/>
                <w:color w:val="auto"/>
                <w:szCs w:val="21"/>
                <w:highlight w:val="none"/>
              </w:rPr>
            </w:pPr>
          </w:p>
        </w:tc>
        <w:tc>
          <w:tcPr>
            <w:tcW w:w="2269" w:type="dxa"/>
            <w:vMerge w:val="continue"/>
          </w:tcPr>
          <w:p w14:paraId="350B0CEC">
            <w:pPr>
              <w:rPr>
                <w:rFonts w:ascii="宋体" w:hAnsi="宋体"/>
                <w:color w:val="auto"/>
                <w:szCs w:val="21"/>
                <w:highlight w:val="none"/>
              </w:rPr>
            </w:pPr>
          </w:p>
        </w:tc>
      </w:tr>
      <w:tr w14:paraId="2E2D0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14:paraId="564761BD">
            <w:pPr>
              <w:rPr>
                <w:rFonts w:ascii="宋体" w:hAnsi="宋体"/>
                <w:color w:val="auto"/>
                <w:szCs w:val="21"/>
                <w:highlight w:val="none"/>
              </w:rPr>
            </w:pPr>
          </w:p>
        </w:tc>
        <w:tc>
          <w:tcPr>
            <w:tcW w:w="2061" w:type="dxa"/>
          </w:tcPr>
          <w:p w14:paraId="06E99F0A">
            <w:pPr>
              <w:rPr>
                <w:rFonts w:ascii="宋体" w:hAnsi="宋体"/>
                <w:color w:val="auto"/>
                <w:szCs w:val="21"/>
                <w:highlight w:val="none"/>
              </w:rPr>
            </w:pPr>
          </w:p>
        </w:tc>
        <w:tc>
          <w:tcPr>
            <w:tcW w:w="1889" w:type="dxa"/>
          </w:tcPr>
          <w:p w14:paraId="5B91C63B">
            <w:pPr>
              <w:rPr>
                <w:rFonts w:ascii="宋体" w:hAnsi="宋体"/>
                <w:color w:val="auto"/>
                <w:szCs w:val="21"/>
                <w:highlight w:val="none"/>
              </w:rPr>
            </w:pPr>
          </w:p>
        </w:tc>
        <w:tc>
          <w:tcPr>
            <w:tcW w:w="2269" w:type="dxa"/>
            <w:vMerge w:val="continue"/>
          </w:tcPr>
          <w:p w14:paraId="72F85EB1">
            <w:pPr>
              <w:rPr>
                <w:rFonts w:ascii="宋体" w:hAnsi="宋体"/>
                <w:color w:val="auto"/>
                <w:szCs w:val="21"/>
                <w:highlight w:val="none"/>
              </w:rPr>
            </w:pPr>
          </w:p>
        </w:tc>
      </w:tr>
      <w:tr w14:paraId="76E8B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09422BD4">
            <w:pPr>
              <w:rPr>
                <w:rFonts w:ascii="宋体" w:hAnsi="宋体"/>
                <w:color w:val="auto"/>
                <w:szCs w:val="21"/>
                <w:highlight w:val="none"/>
              </w:rPr>
            </w:pPr>
          </w:p>
        </w:tc>
        <w:tc>
          <w:tcPr>
            <w:tcW w:w="2061" w:type="dxa"/>
          </w:tcPr>
          <w:p w14:paraId="4D77C6A3">
            <w:pPr>
              <w:rPr>
                <w:rFonts w:ascii="宋体" w:hAnsi="宋体"/>
                <w:color w:val="auto"/>
                <w:szCs w:val="21"/>
                <w:highlight w:val="none"/>
              </w:rPr>
            </w:pPr>
          </w:p>
        </w:tc>
        <w:tc>
          <w:tcPr>
            <w:tcW w:w="1889" w:type="dxa"/>
          </w:tcPr>
          <w:p w14:paraId="00D58E70">
            <w:pPr>
              <w:rPr>
                <w:rFonts w:ascii="宋体" w:hAnsi="宋体"/>
                <w:color w:val="auto"/>
                <w:szCs w:val="21"/>
                <w:highlight w:val="none"/>
              </w:rPr>
            </w:pPr>
          </w:p>
        </w:tc>
        <w:tc>
          <w:tcPr>
            <w:tcW w:w="2269" w:type="dxa"/>
            <w:vMerge w:val="continue"/>
          </w:tcPr>
          <w:p w14:paraId="130949BF">
            <w:pPr>
              <w:rPr>
                <w:rFonts w:ascii="宋体" w:hAnsi="宋体"/>
                <w:color w:val="auto"/>
                <w:szCs w:val="21"/>
                <w:highlight w:val="none"/>
              </w:rPr>
            </w:pPr>
          </w:p>
        </w:tc>
      </w:tr>
      <w:tr w14:paraId="571E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77232214">
            <w:pPr>
              <w:rPr>
                <w:rFonts w:ascii="宋体" w:hAnsi="宋体"/>
                <w:color w:val="auto"/>
                <w:szCs w:val="21"/>
                <w:highlight w:val="none"/>
              </w:rPr>
            </w:pPr>
          </w:p>
        </w:tc>
        <w:tc>
          <w:tcPr>
            <w:tcW w:w="2061" w:type="dxa"/>
          </w:tcPr>
          <w:p w14:paraId="25BF5A24">
            <w:pPr>
              <w:rPr>
                <w:rFonts w:ascii="宋体" w:hAnsi="宋体"/>
                <w:color w:val="auto"/>
                <w:szCs w:val="21"/>
                <w:highlight w:val="none"/>
              </w:rPr>
            </w:pPr>
          </w:p>
        </w:tc>
        <w:tc>
          <w:tcPr>
            <w:tcW w:w="1889" w:type="dxa"/>
          </w:tcPr>
          <w:p w14:paraId="1F642062">
            <w:pPr>
              <w:rPr>
                <w:rFonts w:ascii="宋体" w:hAnsi="宋体"/>
                <w:color w:val="auto"/>
                <w:szCs w:val="21"/>
                <w:highlight w:val="none"/>
              </w:rPr>
            </w:pPr>
          </w:p>
        </w:tc>
        <w:tc>
          <w:tcPr>
            <w:tcW w:w="2269" w:type="dxa"/>
            <w:vMerge w:val="continue"/>
          </w:tcPr>
          <w:p w14:paraId="7CC8109D">
            <w:pPr>
              <w:rPr>
                <w:rFonts w:ascii="宋体" w:hAnsi="宋体"/>
                <w:color w:val="auto"/>
                <w:szCs w:val="21"/>
                <w:highlight w:val="none"/>
              </w:rPr>
            </w:pPr>
          </w:p>
        </w:tc>
      </w:tr>
      <w:tr w14:paraId="768AC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14:paraId="71E84B89">
            <w:pPr>
              <w:rPr>
                <w:rFonts w:ascii="宋体" w:hAnsi="宋体"/>
                <w:color w:val="auto"/>
                <w:szCs w:val="21"/>
                <w:highlight w:val="none"/>
              </w:rPr>
            </w:pPr>
          </w:p>
        </w:tc>
        <w:tc>
          <w:tcPr>
            <w:tcW w:w="2061" w:type="dxa"/>
          </w:tcPr>
          <w:p w14:paraId="5268C537">
            <w:pPr>
              <w:rPr>
                <w:rFonts w:ascii="宋体" w:hAnsi="宋体"/>
                <w:color w:val="auto"/>
                <w:szCs w:val="21"/>
                <w:highlight w:val="none"/>
              </w:rPr>
            </w:pPr>
          </w:p>
        </w:tc>
        <w:tc>
          <w:tcPr>
            <w:tcW w:w="1889" w:type="dxa"/>
          </w:tcPr>
          <w:p w14:paraId="773152E2">
            <w:pPr>
              <w:rPr>
                <w:rFonts w:ascii="宋体" w:hAnsi="宋体"/>
                <w:color w:val="auto"/>
                <w:szCs w:val="21"/>
                <w:highlight w:val="none"/>
              </w:rPr>
            </w:pPr>
          </w:p>
        </w:tc>
        <w:tc>
          <w:tcPr>
            <w:tcW w:w="2269" w:type="dxa"/>
            <w:vMerge w:val="continue"/>
          </w:tcPr>
          <w:p w14:paraId="0B16B917">
            <w:pPr>
              <w:rPr>
                <w:rFonts w:ascii="宋体" w:hAnsi="宋体"/>
                <w:color w:val="auto"/>
                <w:szCs w:val="21"/>
                <w:highlight w:val="none"/>
              </w:rPr>
            </w:pPr>
          </w:p>
        </w:tc>
      </w:tr>
      <w:tr w14:paraId="3FF52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6626244C">
            <w:pPr>
              <w:rPr>
                <w:rFonts w:ascii="宋体" w:hAnsi="宋体"/>
                <w:color w:val="auto"/>
                <w:szCs w:val="21"/>
                <w:highlight w:val="none"/>
              </w:rPr>
            </w:pPr>
          </w:p>
        </w:tc>
        <w:tc>
          <w:tcPr>
            <w:tcW w:w="2061" w:type="dxa"/>
          </w:tcPr>
          <w:p w14:paraId="70E4CBEA">
            <w:pPr>
              <w:rPr>
                <w:rFonts w:ascii="宋体" w:hAnsi="宋体"/>
                <w:color w:val="auto"/>
                <w:szCs w:val="21"/>
                <w:highlight w:val="none"/>
              </w:rPr>
            </w:pPr>
          </w:p>
        </w:tc>
        <w:tc>
          <w:tcPr>
            <w:tcW w:w="1889" w:type="dxa"/>
          </w:tcPr>
          <w:p w14:paraId="342F99E9">
            <w:pPr>
              <w:rPr>
                <w:rFonts w:ascii="宋体" w:hAnsi="宋体"/>
                <w:color w:val="auto"/>
                <w:szCs w:val="21"/>
                <w:highlight w:val="none"/>
              </w:rPr>
            </w:pPr>
          </w:p>
        </w:tc>
        <w:tc>
          <w:tcPr>
            <w:tcW w:w="2269" w:type="dxa"/>
            <w:vMerge w:val="continue"/>
          </w:tcPr>
          <w:p w14:paraId="789871F8">
            <w:pPr>
              <w:rPr>
                <w:rFonts w:ascii="宋体" w:hAnsi="宋体"/>
                <w:color w:val="auto"/>
                <w:szCs w:val="21"/>
                <w:highlight w:val="none"/>
              </w:rPr>
            </w:pPr>
          </w:p>
        </w:tc>
      </w:tr>
      <w:tr w14:paraId="681A2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297FC04C">
            <w:pPr>
              <w:rPr>
                <w:rFonts w:ascii="宋体" w:hAnsi="宋体"/>
                <w:color w:val="auto"/>
                <w:szCs w:val="21"/>
                <w:highlight w:val="none"/>
              </w:rPr>
            </w:pPr>
          </w:p>
        </w:tc>
        <w:tc>
          <w:tcPr>
            <w:tcW w:w="2061" w:type="dxa"/>
          </w:tcPr>
          <w:p w14:paraId="45E668B9">
            <w:pPr>
              <w:rPr>
                <w:rFonts w:ascii="宋体" w:hAnsi="宋体"/>
                <w:color w:val="auto"/>
                <w:szCs w:val="21"/>
                <w:highlight w:val="none"/>
              </w:rPr>
            </w:pPr>
          </w:p>
        </w:tc>
        <w:tc>
          <w:tcPr>
            <w:tcW w:w="1889" w:type="dxa"/>
          </w:tcPr>
          <w:p w14:paraId="17208FD0">
            <w:pPr>
              <w:rPr>
                <w:rFonts w:ascii="宋体" w:hAnsi="宋体"/>
                <w:color w:val="auto"/>
                <w:szCs w:val="21"/>
                <w:highlight w:val="none"/>
              </w:rPr>
            </w:pPr>
          </w:p>
        </w:tc>
        <w:tc>
          <w:tcPr>
            <w:tcW w:w="2269" w:type="dxa"/>
            <w:vMerge w:val="continue"/>
          </w:tcPr>
          <w:p w14:paraId="371698CC">
            <w:pPr>
              <w:rPr>
                <w:rFonts w:ascii="宋体" w:hAnsi="宋体"/>
                <w:color w:val="auto"/>
                <w:szCs w:val="21"/>
                <w:highlight w:val="none"/>
              </w:rPr>
            </w:pPr>
          </w:p>
        </w:tc>
      </w:tr>
      <w:tr w14:paraId="2F55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4502" w:type="dxa"/>
            <w:gridSpan w:val="2"/>
          </w:tcPr>
          <w:p w14:paraId="4B031B0E">
            <w:pPr>
              <w:pStyle w:val="256"/>
              <w:kinsoku w:val="0"/>
              <w:overflowPunct w:val="0"/>
              <w:spacing w:before="111"/>
              <w:ind w:left="850"/>
              <w:rPr>
                <w:color w:val="auto"/>
                <w:szCs w:val="21"/>
                <w:highlight w:val="none"/>
              </w:rPr>
            </w:pPr>
            <w:r>
              <w:rPr>
                <w:rFonts w:hint="eastAsia"/>
                <w:color w:val="auto"/>
                <w:spacing w:val="-2"/>
                <w:szCs w:val="21"/>
                <w:highlight w:val="none"/>
              </w:rPr>
              <w:t>拟分包工程造价合计（万元）</w:t>
            </w:r>
          </w:p>
        </w:tc>
        <w:tc>
          <w:tcPr>
            <w:tcW w:w="1889" w:type="dxa"/>
          </w:tcPr>
          <w:p w14:paraId="53834130">
            <w:pPr>
              <w:rPr>
                <w:rFonts w:ascii="宋体" w:hAnsi="宋体"/>
                <w:color w:val="auto"/>
                <w:szCs w:val="21"/>
                <w:highlight w:val="none"/>
              </w:rPr>
            </w:pPr>
          </w:p>
        </w:tc>
        <w:tc>
          <w:tcPr>
            <w:tcW w:w="2269" w:type="dxa"/>
            <w:vMerge w:val="continue"/>
          </w:tcPr>
          <w:p w14:paraId="33C0EDC6">
            <w:pPr>
              <w:rPr>
                <w:rFonts w:ascii="宋体" w:hAnsi="宋体"/>
                <w:color w:val="auto"/>
                <w:szCs w:val="21"/>
                <w:highlight w:val="none"/>
              </w:rPr>
            </w:pPr>
          </w:p>
        </w:tc>
      </w:tr>
    </w:tbl>
    <w:p w14:paraId="3BB61DA1">
      <w:pPr>
        <w:rPr>
          <w:rFonts w:ascii="宋体" w:hAnsi="宋体"/>
          <w:color w:val="auto"/>
          <w:highlight w:val="none"/>
        </w:rPr>
        <w:sectPr>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pPr>
    </w:p>
    <w:p w14:paraId="132F4D70">
      <w:pPr>
        <w:pStyle w:val="22"/>
        <w:kinsoku w:val="0"/>
        <w:overflowPunct w:val="0"/>
        <w:spacing w:before="12"/>
        <w:rPr>
          <w:rFonts w:cs="黑体"/>
          <w:color w:val="auto"/>
          <w:sz w:val="28"/>
          <w:szCs w:val="28"/>
          <w:highlight w:val="none"/>
        </w:rPr>
      </w:pPr>
    </w:p>
    <w:p w14:paraId="6E44E4E2">
      <w:pPr>
        <w:pStyle w:val="22"/>
        <w:kinsoku w:val="0"/>
        <w:overflowPunct w:val="0"/>
        <w:spacing w:before="14" w:line="360" w:lineRule="auto"/>
        <w:ind w:left="1615" w:right="1631"/>
        <w:jc w:val="center"/>
        <w:outlineLvl w:val="1"/>
        <w:rPr>
          <w:rFonts w:ascii="黑体" w:hAnsi="黑体" w:eastAsia="黑体" w:cs="黑体"/>
          <w:color w:val="auto"/>
          <w:spacing w:val="-1"/>
          <w:sz w:val="30"/>
          <w:szCs w:val="30"/>
          <w:highlight w:val="none"/>
        </w:rPr>
      </w:pPr>
      <w:bookmarkStart w:id="919" w:name="bookmark310"/>
      <w:bookmarkEnd w:id="919"/>
      <w:bookmarkStart w:id="920" w:name="bookmark309"/>
      <w:bookmarkEnd w:id="920"/>
      <w:r>
        <w:rPr>
          <w:rFonts w:cs="黑体"/>
          <w:color w:val="auto"/>
          <w:spacing w:val="-1"/>
          <w:sz w:val="28"/>
          <w:szCs w:val="28"/>
          <w:highlight w:val="none"/>
        </w:rPr>
        <w:br w:type="page"/>
      </w:r>
      <w:r>
        <w:rPr>
          <w:rStyle w:val="346"/>
          <w:rFonts w:hint="default" w:ascii="宋体" w:hAnsi="宋体"/>
          <w:b w:val="0"/>
          <w:bCs w:val="0"/>
          <w:color w:val="auto"/>
          <w:highlight w:val="none"/>
        </w:rPr>
        <w:t>八、资格审查资料</w:t>
      </w:r>
    </w:p>
    <w:p w14:paraId="28C1E03A">
      <w:pPr>
        <w:pStyle w:val="6"/>
        <w:rPr>
          <w:rFonts w:ascii="黑体" w:hAnsi="黑体" w:eastAsia="黑体" w:cs="黑体"/>
          <w:color w:val="auto"/>
          <w:szCs w:val="28"/>
          <w:highlight w:val="none"/>
        </w:rPr>
      </w:pPr>
      <w:bookmarkStart w:id="921" w:name="bookmark311"/>
      <w:bookmarkEnd w:id="921"/>
      <w:r>
        <w:rPr>
          <w:rFonts w:hint="eastAsia"/>
          <w:b w:val="0"/>
          <w:bCs w:val="0"/>
          <w:color w:val="auto"/>
          <w:highlight w:val="none"/>
        </w:rPr>
        <w:t>（一）投标人基本情况表</w:t>
      </w:r>
    </w:p>
    <w:tbl>
      <w:tblPr>
        <w:tblStyle w:val="49"/>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9"/>
        <w:gridCol w:w="708"/>
        <w:gridCol w:w="1276"/>
        <w:gridCol w:w="992"/>
        <w:gridCol w:w="1134"/>
        <w:gridCol w:w="865"/>
        <w:gridCol w:w="1314"/>
      </w:tblGrid>
      <w:tr w14:paraId="0BD1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14:paraId="357E28F8">
            <w:pPr>
              <w:pStyle w:val="256"/>
              <w:spacing w:line="380" w:lineRule="exact"/>
              <w:jc w:val="center"/>
              <w:rPr>
                <w:color w:val="auto"/>
                <w:szCs w:val="21"/>
                <w:highlight w:val="none"/>
              </w:rPr>
            </w:pPr>
            <w:r>
              <w:rPr>
                <w:rFonts w:hint="eastAsia"/>
                <w:color w:val="auto"/>
                <w:szCs w:val="21"/>
                <w:highlight w:val="none"/>
              </w:rPr>
              <w:t>投标人名称</w:t>
            </w:r>
          </w:p>
        </w:tc>
        <w:tc>
          <w:tcPr>
            <w:tcW w:w="6289" w:type="dxa"/>
            <w:gridSpan w:val="6"/>
            <w:vAlign w:val="center"/>
          </w:tcPr>
          <w:p w14:paraId="09735399">
            <w:pPr>
              <w:spacing w:line="380" w:lineRule="exact"/>
              <w:rPr>
                <w:rFonts w:ascii="宋体" w:hAnsi="宋体"/>
                <w:color w:val="auto"/>
                <w:szCs w:val="21"/>
                <w:highlight w:val="none"/>
              </w:rPr>
            </w:pPr>
          </w:p>
        </w:tc>
      </w:tr>
      <w:tr w14:paraId="1F951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89" w:type="dxa"/>
            <w:vAlign w:val="center"/>
          </w:tcPr>
          <w:p w14:paraId="45493072">
            <w:pPr>
              <w:pStyle w:val="256"/>
              <w:spacing w:line="380" w:lineRule="exact"/>
              <w:jc w:val="center"/>
              <w:rPr>
                <w:color w:val="auto"/>
                <w:szCs w:val="21"/>
                <w:highlight w:val="none"/>
              </w:rPr>
            </w:pPr>
            <w:r>
              <w:rPr>
                <w:rFonts w:hint="eastAsia"/>
                <w:color w:val="auto"/>
                <w:szCs w:val="21"/>
                <w:highlight w:val="none"/>
              </w:rPr>
              <w:t>单位统一社会信用代码</w:t>
            </w:r>
          </w:p>
        </w:tc>
        <w:tc>
          <w:tcPr>
            <w:tcW w:w="6289" w:type="dxa"/>
            <w:gridSpan w:val="6"/>
            <w:vAlign w:val="center"/>
          </w:tcPr>
          <w:p w14:paraId="0606E627">
            <w:pPr>
              <w:spacing w:line="380" w:lineRule="exact"/>
              <w:rPr>
                <w:rFonts w:ascii="宋体" w:hAnsi="宋体"/>
                <w:color w:val="auto"/>
                <w:szCs w:val="21"/>
                <w:highlight w:val="none"/>
              </w:rPr>
            </w:pPr>
          </w:p>
        </w:tc>
      </w:tr>
      <w:tr w14:paraId="7F430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14:paraId="02314169">
            <w:pPr>
              <w:pStyle w:val="256"/>
              <w:spacing w:line="380" w:lineRule="exact"/>
              <w:jc w:val="center"/>
              <w:rPr>
                <w:color w:val="auto"/>
                <w:szCs w:val="21"/>
                <w:highlight w:val="none"/>
              </w:rPr>
            </w:pPr>
            <w:r>
              <w:rPr>
                <w:rFonts w:hint="eastAsia"/>
                <w:color w:val="auto"/>
                <w:szCs w:val="21"/>
                <w:highlight w:val="none"/>
              </w:rPr>
              <w:t>法定代表人</w:t>
            </w:r>
          </w:p>
        </w:tc>
        <w:tc>
          <w:tcPr>
            <w:tcW w:w="708" w:type="dxa"/>
            <w:vAlign w:val="center"/>
          </w:tcPr>
          <w:p w14:paraId="472A8FE9">
            <w:pPr>
              <w:pStyle w:val="256"/>
              <w:spacing w:line="380" w:lineRule="exact"/>
              <w:jc w:val="center"/>
              <w:rPr>
                <w:color w:val="auto"/>
                <w:szCs w:val="21"/>
                <w:highlight w:val="none"/>
              </w:rPr>
            </w:pPr>
            <w:r>
              <w:rPr>
                <w:rFonts w:hint="eastAsia"/>
                <w:color w:val="auto"/>
                <w:szCs w:val="21"/>
                <w:highlight w:val="none"/>
              </w:rPr>
              <w:t>姓名</w:t>
            </w:r>
          </w:p>
        </w:tc>
        <w:tc>
          <w:tcPr>
            <w:tcW w:w="1276" w:type="dxa"/>
            <w:vAlign w:val="center"/>
          </w:tcPr>
          <w:p w14:paraId="36DECAFD">
            <w:pPr>
              <w:spacing w:line="380" w:lineRule="exact"/>
              <w:rPr>
                <w:rFonts w:ascii="宋体" w:hAnsi="宋体"/>
                <w:color w:val="auto"/>
                <w:szCs w:val="21"/>
                <w:highlight w:val="none"/>
              </w:rPr>
            </w:pPr>
          </w:p>
        </w:tc>
        <w:tc>
          <w:tcPr>
            <w:tcW w:w="992" w:type="dxa"/>
            <w:vAlign w:val="center"/>
          </w:tcPr>
          <w:p w14:paraId="5B5BAC57">
            <w:pPr>
              <w:pStyle w:val="256"/>
              <w:spacing w:line="380" w:lineRule="exact"/>
              <w:ind w:left="115"/>
              <w:jc w:val="center"/>
              <w:rPr>
                <w:color w:val="auto"/>
                <w:szCs w:val="21"/>
                <w:highlight w:val="none"/>
              </w:rPr>
            </w:pPr>
            <w:r>
              <w:rPr>
                <w:rFonts w:hint="eastAsia"/>
                <w:color w:val="auto"/>
                <w:szCs w:val="21"/>
                <w:highlight w:val="none"/>
              </w:rPr>
              <w:t>技术职称</w:t>
            </w:r>
          </w:p>
        </w:tc>
        <w:tc>
          <w:tcPr>
            <w:tcW w:w="1134" w:type="dxa"/>
            <w:vAlign w:val="center"/>
          </w:tcPr>
          <w:p w14:paraId="618FC4BA">
            <w:pPr>
              <w:spacing w:line="380" w:lineRule="exact"/>
              <w:rPr>
                <w:rFonts w:ascii="宋体" w:hAnsi="宋体"/>
                <w:color w:val="auto"/>
                <w:szCs w:val="21"/>
                <w:highlight w:val="none"/>
              </w:rPr>
            </w:pPr>
          </w:p>
        </w:tc>
        <w:tc>
          <w:tcPr>
            <w:tcW w:w="865" w:type="dxa"/>
            <w:vAlign w:val="center"/>
          </w:tcPr>
          <w:p w14:paraId="4391371A">
            <w:pPr>
              <w:pStyle w:val="256"/>
              <w:spacing w:line="380" w:lineRule="exact"/>
              <w:jc w:val="center"/>
              <w:rPr>
                <w:color w:val="auto"/>
                <w:szCs w:val="21"/>
                <w:highlight w:val="none"/>
              </w:rPr>
            </w:pPr>
            <w:r>
              <w:rPr>
                <w:rFonts w:hint="eastAsia"/>
                <w:color w:val="auto"/>
                <w:szCs w:val="21"/>
                <w:highlight w:val="none"/>
              </w:rPr>
              <w:t>电话</w:t>
            </w:r>
          </w:p>
        </w:tc>
        <w:tc>
          <w:tcPr>
            <w:tcW w:w="1314" w:type="dxa"/>
            <w:vAlign w:val="center"/>
          </w:tcPr>
          <w:p w14:paraId="38A50BDA">
            <w:pPr>
              <w:spacing w:line="380" w:lineRule="exact"/>
              <w:rPr>
                <w:rFonts w:ascii="宋体" w:hAnsi="宋体"/>
                <w:color w:val="auto"/>
                <w:szCs w:val="21"/>
                <w:highlight w:val="none"/>
              </w:rPr>
            </w:pPr>
          </w:p>
        </w:tc>
      </w:tr>
      <w:tr w14:paraId="7FDEA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tcBorders>
              <w:right w:val="single" w:color="auto" w:sz="4" w:space="0"/>
            </w:tcBorders>
            <w:vAlign w:val="center"/>
          </w:tcPr>
          <w:p w14:paraId="2D4C8FFE">
            <w:pPr>
              <w:pStyle w:val="256"/>
              <w:spacing w:line="380" w:lineRule="exact"/>
              <w:jc w:val="center"/>
              <w:rPr>
                <w:color w:val="auto"/>
                <w:szCs w:val="21"/>
                <w:highlight w:val="none"/>
              </w:rPr>
            </w:pPr>
            <w:r>
              <w:rPr>
                <w:rFonts w:hint="eastAsia"/>
                <w:color w:val="auto"/>
                <w:szCs w:val="21"/>
                <w:highlight w:val="none"/>
              </w:rPr>
              <w:t>技术负责人</w:t>
            </w:r>
          </w:p>
        </w:tc>
        <w:tc>
          <w:tcPr>
            <w:tcW w:w="708" w:type="dxa"/>
            <w:tcBorders>
              <w:left w:val="single" w:color="auto" w:sz="4" w:space="0"/>
            </w:tcBorders>
            <w:vAlign w:val="center"/>
          </w:tcPr>
          <w:p w14:paraId="5C154D40">
            <w:pPr>
              <w:pStyle w:val="256"/>
              <w:spacing w:line="380" w:lineRule="exact"/>
              <w:jc w:val="center"/>
              <w:rPr>
                <w:color w:val="auto"/>
                <w:szCs w:val="21"/>
                <w:highlight w:val="none"/>
              </w:rPr>
            </w:pPr>
            <w:r>
              <w:rPr>
                <w:rFonts w:hint="eastAsia"/>
                <w:color w:val="auto"/>
                <w:szCs w:val="21"/>
                <w:highlight w:val="none"/>
              </w:rPr>
              <w:t>姓名</w:t>
            </w:r>
          </w:p>
        </w:tc>
        <w:tc>
          <w:tcPr>
            <w:tcW w:w="1276" w:type="dxa"/>
            <w:vAlign w:val="center"/>
          </w:tcPr>
          <w:p w14:paraId="7FF2CB4A">
            <w:pPr>
              <w:spacing w:line="380" w:lineRule="exact"/>
              <w:rPr>
                <w:rFonts w:ascii="宋体" w:hAnsi="宋体"/>
                <w:color w:val="auto"/>
                <w:szCs w:val="21"/>
                <w:highlight w:val="none"/>
              </w:rPr>
            </w:pPr>
          </w:p>
        </w:tc>
        <w:tc>
          <w:tcPr>
            <w:tcW w:w="992" w:type="dxa"/>
            <w:vAlign w:val="center"/>
          </w:tcPr>
          <w:p w14:paraId="4ED43344">
            <w:pPr>
              <w:pStyle w:val="256"/>
              <w:spacing w:line="380" w:lineRule="exact"/>
              <w:ind w:left="115"/>
              <w:jc w:val="center"/>
              <w:rPr>
                <w:color w:val="auto"/>
                <w:szCs w:val="21"/>
                <w:highlight w:val="none"/>
              </w:rPr>
            </w:pPr>
            <w:r>
              <w:rPr>
                <w:rFonts w:hint="eastAsia"/>
                <w:color w:val="auto"/>
                <w:szCs w:val="21"/>
                <w:highlight w:val="none"/>
              </w:rPr>
              <w:t>技术职称</w:t>
            </w:r>
          </w:p>
        </w:tc>
        <w:tc>
          <w:tcPr>
            <w:tcW w:w="1134" w:type="dxa"/>
            <w:vAlign w:val="center"/>
          </w:tcPr>
          <w:p w14:paraId="2D6DF6DC">
            <w:pPr>
              <w:spacing w:line="380" w:lineRule="exact"/>
              <w:rPr>
                <w:rFonts w:ascii="宋体" w:hAnsi="宋体"/>
                <w:color w:val="auto"/>
                <w:szCs w:val="21"/>
                <w:highlight w:val="none"/>
              </w:rPr>
            </w:pPr>
          </w:p>
        </w:tc>
        <w:tc>
          <w:tcPr>
            <w:tcW w:w="865" w:type="dxa"/>
            <w:vAlign w:val="center"/>
          </w:tcPr>
          <w:p w14:paraId="7D140072">
            <w:pPr>
              <w:pStyle w:val="256"/>
              <w:spacing w:line="380" w:lineRule="exact"/>
              <w:jc w:val="center"/>
              <w:rPr>
                <w:color w:val="auto"/>
                <w:szCs w:val="21"/>
                <w:highlight w:val="none"/>
              </w:rPr>
            </w:pPr>
            <w:r>
              <w:rPr>
                <w:rFonts w:hint="eastAsia"/>
                <w:color w:val="auto"/>
                <w:szCs w:val="21"/>
                <w:highlight w:val="none"/>
              </w:rPr>
              <w:t>电话</w:t>
            </w:r>
          </w:p>
        </w:tc>
        <w:tc>
          <w:tcPr>
            <w:tcW w:w="1314" w:type="dxa"/>
            <w:vAlign w:val="center"/>
          </w:tcPr>
          <w:p w14:paraId="70FE3DCA">
            <w:pPr>
              <w:spacing w:line="380" w:lineRule="exact"/>
              <w:rPr>
                <w:rFonts w:ascii="宋体" w:hAnsi="宋体"/>
                <w:color w:val="auto"/>
                <w:szCs w:val="21"/>
                <w:highlight w:val="none"/>
              </w:rPr>
            </w:pPr>
          </w:p>
        </w:tc>
      </w:tr>
      <w:tr w14:paraId="3B7A9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tcBorders>
              <w:right w:val="single" w:color="auto" w:sz="4" w:space="0"/>
            </w:tcBorders>
            <w:vAlign w:val="center"/>
          </w:tcPr>
          <w:p w14:paraId="46A78672">
            <w:pPr>
              <w:pStyle w:val="256"/>
              <w:spacing w:line="380" w:lineRule="exact"/>
              <w:jc w:val="center"/>
              <w:rPr>
                <w:color w:val="auto"/>
                <w:szCs w:val="21"/>
                <w:highlight w:val="none"/>
              </w:rPr>
            </w:pPr>
            <w:r>
              <w:rPr>
                <w:rFonts w:hint="eastAsia"/>
                <w:color w:val="auto"/>
                <w:szCs w:val="21"/>
                <w:highlight w:val="none"/>
              </w:rPr>
              <w:t>经营范围</w:t>
            </w:r>
          </w:p>
        </w:tc>
        <w:tc>
          <w:tcPr>
            <w:tcW w:w="6289" w:type="dxa"/>
            <w:gridSpan w:val="6"/>
            <w:tcBorders>
              <w:left w:val="single" w:color="auto" w:sz="4" w:space="0"/>
            </w:tcBorders>
            <w:vAlign w:val="center"/>
          </w:tcPr>
          <w:p w14:paraId="034EB1B8">
            <w:pPr>
              <w:spacing w:line="380" w:lineRule="exact"/>
              <w:rPr>
                <w:rFonts w:ascii="宋体" w:hAnsi="宋体"/>
                <w:color w:val="auto"/>
                <w:szCs w:val="21"/>
                <w:highlight w:val="none"/>
              </w:rPr>
            </w:pPr>
          </w:p>
        </w:tc>
      </w:tr>
      <w:tr w14:paraId="06209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tcBorders>
              <w:right w:val="single" w:color="auto" w:sz="4" w:space="0"/>
            </w:tcBorders>
            <w:vAlign w:val="center"/>
          </w:tcPr>
          <w:p w14:paraId="62F715F3">
            <w:pPr>
              <w:pStyle w:val="256"/>
              <w:spacing w:line="380" w:lineRule="exact"/>
              <w:jc w:val="center"/>
              <w:rPr>
                <w:color w:val="auto"/>
                <w:szCs w:val="21"/>
                <w:highlight w:val="none"/>
              </w:rPr>
            </w:pPr>
            <w:r>
              <w:rPr>
                <w:rFonts w:hint="eastAsia"/>
                <w:color w:val="auto"/>
                <w:szCs w:val="21"/>
                <w:highlight w:val="none"/>
              </w:rPr>
              <w:t>营业执照</w:t>
            </w:r>
          </w:p>
        </w:tc>
        <w:tc>
          <w:tcPr>
            <w:tcW w:w="6289" w:type="dxa"/>
            <w:gridSpan w:val="6"/>
            <w:tcBorders>
              <w:left w:val="single" w:color="auto" w:sz="4" w:space="0"/>
            </w:tcBorders>
            <w:vAlign w:val="center"/>
          </w:tcPr>
          <w:p w14:paraId="7F4F5571">
            <w:pPr>
              <w:spacing w:line="380" w:lineRule="exact"/>
              <w:ind w:firstLine="105" w:firstLineChars="5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1.1</w:t>
            </w:r>
          </w:p>
        </w:tc>
      </w:tr>
      <w:tr w14:paraId="23300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tcBorders>
              <w:right w:val="single" w:color="auto" w:sz="4" w:space="0"/>
            </w:tcBorders>
            <w:vAlign w:val="center"/>
          </w:tcPr>
          <w:p w14:paraId="1D9EB551">
            <w:pPr>
              <w:spacing w:line="380" w:lineRule="exact"/>
              <w:jc w:val="center"/>
              <w:rPr>
                <w:rFonts w:ascii="宋体" w:hAnsi="宋体"/>
                <w:color w:val="auto"/>
                <w:szCs w:val="21"/>
                <w:highlight w:val="none"/>
              </w:rPr>
            </w:pPr>
            <w:r>
              <w:rPr>
                <w:rFonts w:hint="eastAsia"/>
                <w:b/>
                <w:color w:val="auto"/>
                <w:szCs w:val="21"/>
                <w:highlight w:val="none"/>
              </w:rPr>
              <w:t>□</w:t>
            </w:r>
            <w:r>
              <w:rPr>
                <w:color w:val="auto"/>
                <w:szCs w:val="21"/>
                <w:highlight w:val="none"/>
              </w:rPr>
              <w:t xml:space="preserve"> </w:t>
            </w:r>
            <w:r>
              <w:rPr>
                <w:rFonts w:hint="eastAsia" w:ascii="宋体" w:hAnsi="宋体" w:cs="宋体"/>
                <w:color w:val="auto"/>
                <w:szCs w:val="21"/>
                <w:highlight w:val="none"/>
              </w:rPr>
              <w:t>企业施工资质证书</w:t>
            </w:r>
            <w:r>
              <w:rPr>
                <w:rStyle w:val="59"/>
                <w:rFonts w:hint="eastAsia" w:cs="宋体" w:asciiTheme="minorEastAsia" w:hAnsiTheme="minorEastAsia" w:eastAsiaTheme="minorEastAsia"/>
                <w:color w:val="auto"/>
                <w:szCs w:val="21"/>
                <w:highlight w:val="none"/>
              </w:rPr>
              <w:footnoteReference w:id="288"/>
            </w:r>
          </w:p>
        </w:tc>
        <w:tc>
          <w:tcPr>
            <w:tcW w:w="6289" w:type="dxa"/>
            <w:gridSpan w:val="6"/>
            <w:tcBorders>
              <w:left w:val="single" w:color="auto" w:sz="4" w:space="0"/>
            </w:tcBorders>
            <w:vAlign w:val="center"/>
          </w:tcPr>
          <w:p w14:paraId="2344E937">
            <w:pPr>
              <w:spacing w:line="380" w:lineRule="exact"/>
              <w:ind w:firstLine="105" w:firstLineChars="50"/>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1.2</w:t>
            </w:r>
          </w:p>
        </w:tc>
      </w:tr>
      <w:tr w14:paraId="77B02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tcBorders>
              <w:right w:val="single" w:color="auto" w:sz="4" w:space="0"/>
            </w:tcBorders>
            <w:vAlign w:val="center"/>
          </w:tcPr>
          <w:p w14:paraId="451CE1CF">
            <w:pPr>
              <w:pStyle w:val="256"/>
              <w:spacing w:line="380" w:lineRule="exact"/>
              <w:jc w:val="center"/>
              <w:rPr>
                <w:color w:val="auto"/>
                <w:szCs w:val="21"/>
                <w:highlight w:val="none"/>
              </w:rPr>
            </w:pPr>
            <w:r>
              <w:rPr>
                <w:rFonts w:hint="eastAsia"/>
                <w:b/>
                <w:color w:val="auto"/>
                <w:szCs w:val="21"/>
                <w:highlight w:val="none"/>
              </w:rPr>
              <w:t>□</w:t>
            </w:r>
            <w:r>
              <w:rPr>
                <w:color w:val="auto"/>
                <w:szCs w:val="21"/>
                <w:highlight w:val="none"/>
              </w:rPr>
              <w:t xml:space="preserve"> </w:t>
            </w:r>
            <w:r>
              <w:rPr>
                <w:rFonts w:hint="eastAsia"/>
                <w:color w:val="auto"/>
                <w:szCs w:val="21"/>
                <w:highlight w:val="none"/>
              </w:rPr>
              <w:t>安全生产许可证</w:t>
            </w:r>
          </w:p>
        </w:tc>
        <w:tc>
          <w:tcPr>
            <w:tcW w:w="6289" w:type="dxa"/>
            <w:gridSpan w:val="6"/>
            <w:tcBorders>
              <w:left w:val="single" w:color="auto" w:sz="4" w:space="0"/>
              <w:bottom w:val="single" w:color="auto" w:sz="4" w:space="0"/>
            </w:tcBorders>
            <w:vAlign w:val="center"/>
          </w:tcPr>
          <w:p w14:paraId="530BE369">
            <w:pPr>
              <w:spacing w:line="380" w:lineRule="exact"/>
              <w:ind w:firstLine="105" w:firstLineChars="50"/>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1.3</w:t>
            </w:r>
          </w:p>
        </w:tc>
      </w:tr>
      <w:tr w14:paraId="384AB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14:paraId="70EE6FE3">
            <w:pPr>
              <w:pStyle w:val="256"/>
              <w:spacing w:line="380" w:lineRule="exact"/>
              <w:jc w:val="center"/>
              <w:rPr>
                <w:color w:val="auto"/>
                <w:szCs w:val="21"/>
                <w:highlight w:val="none"/>
              </w:rPr>
            </w:pPr>
            <w:r>
              <w:rPr>
                <w:rFonts w:hint="eastAsia"/>
                <w:color w:val="auto"/>
                <w:szCs w:val="21"/>
                <w:highlight w:val="none"/>
              </w:rPr>
              <w:t>开户许可证</w:t>
            </w:r>
            <w:r>
              <w:rPr>
                <w:rFonts w:hint="eastAsia"/>
                <w:color w:val="auto"/>
                <w:szCs w:val="21"/>
                <w:highlight w:val="none"/>
                <w:lang w:eastAsia="zh-CN"/>
              </w:rPr>
              <w:t>（</w:t>
            </w:r>
            <w:r>
              <w:rPr>
                <w:rFonts w:hint="eastAsia"/>
                <w:color w:val="auto"/>
                <w:szCs w:val="21"/>
                <w:highlight w:val="none"/>
              </w:rPr>
              <w:t>基本账户</w:t>
            </w:r>
            <w:r>
              <w:rPr>
                <w:rFonts w:hint="eastAsia"/>
                <w:color w:val="auto"/>
                <w:szCs w:val="21"/>
                <w:highlight w:val="none"/>
                <w:lang w:val="en-US" w:eastAsia="zh-CN"/>
              </w:rPr>
              <w:t>或基本存款账户</w:t>
            </w:r>
            <w:r>
              <w:rPr>
                <w:rFonts w:hint="eastAsia"/>
                <w:color w:val="auto"/>
                <w:szCs w:val="21"/>
                <w:highlight w:val="none"/>
                <w:lang w:eastAsia="zh-CN"/>
              </w:rPr>
              <w:t>）</w:t>
            </w:r>
            <w:r>
              <w:rPr>
                <w:rFonts w:hint="eastAsia"/>
                <w:color w:val="auto"/>
                <w:szCs w:val="21"/>
                <w:highlight w:val="none"/>
              </w:rPr>
              <w:t>或基本存款账户信息表</w:t>
            </w:r>
          </w:p>
        </w:tc>
        <w:tc>
          <w:tcPr>
            <w:tcW w:w="6289" w:type="dxa"/>
            <w:gridSpan w:val="6"/>
            <w:tcBorders>
              <w:top w:val="single" w:color="auto" w:sz="4" w:space="0"/>
              <w:bottom w:val="single" w:color="auto" w:sz="4" w:space="0"/>
            </w:tcBorders>
            <w:vAlign w:val="center"/>
          </w:tcPr>
          <w:p w14:paraId="781438F5">
            <w:pPr>
              <w:spacing w:line="380" w:lineRule="exact"/>
              <w:ind w:firstLine="105" w:firstLineChars="5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1.4</w:t>
            </w:r>
          </w:p>
        </w:tc>
      </w:tr>
      <w:tr w14:paraId="775C1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14:paraId="51ED5E5A">
            <w:pPr>
              <w:pStyle w:val="256"/>
              <w:spacing w:line="380" w:lineRule="exact"/>
              <w:ind w:left="109" w:right="89"/>
              <w:jc w:val="center"/>
              <w:rPr>
                <w:color w:val="auto"/>
                <w:szCs w:val="21"/>
                <w:highlight w:val="none"/>
              </w:rPr>
            </w:pPr>
            <w:r>
              <w:rPr>
                <w:rFonts w:hint="eastAsia"/>
                <w:color w:val="auto"/>
                <w:szCs w:val="21"/>
                <w:highlight w:val="none"/>
              </w:rPr>
              <w:t>投标人关联企业情况</w:t>
            </w:r>
          </w:p>
        </w:tc>
        <w:tc>
          <w:tcPr>
            <w:tcW w:w="6289" w:type="dxa"/>
            <w:gridSpan w:val="6"/>
            <w:vAlign w:val="center"/>
          </w:tcPr>
          <w:p w14:paraId="2A75A2E7">
            <w:pPr>
              <w:pStyle w:val="256"/>
              <w:spacing w:line="380" w:lineRule="exact"/>
              <w:ind w:left="105" w:leftChars="50" w:right="105" w:rightChars="50"/>
              <w:jc w:val="left"/>
              <w:rPr>
                <w:color w:val="auto"/>
                <w:szCs w:val="21"/>
                <w:highlight w:val="none"/>
              </w:rPr>
            </w:pPr>
            <w:r>
              <w:rPr>
                <w:rFonts w:hint="eastAsia"/>
                <w:color w:val="auto"/>
                <w:szCs w:val="21"/>
                <w:highlight w:val="none"/>
              </w:rPr>
              <w:t>附件</w:t>
            </w:r>
            <w:r>
              <w:rPr>
                <w:color w:val="auto"/>
                <w:szCs w:val="21"/>
                <w:highlight w:val="none"/>
              </w:rPr>
              <w:t>1.5</w:t>
            </w:r>
          </w:p>
        </w:tc>
      </w:tr>
      <w:tr w14:paraId="09517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14:paraId="3C7EC827">
            <w:pPr>
              <w:pStyle w:val="256"/>
              <w:wordWrap w:val="0"/>
              <w:spacing w:line="380" w:lineRule="exact"/>
              <w:ind w:left="108" w:right="91"/>
              <w:jc w:val="center"/>
              <w:rPr>
                <w:color w:val="auto"/>
                <w:szCs w:val="21"/>
                <w:highlight w:val="none"/>
              </w:rPr>
            </w:pPr>
            <w:r>
              <w:rPr>
                <w:rFonts w:hint="eastAsia"/>
                <w:b/>
                <w:color w:val="auto"/>
                <w:szCs w:val="21"/>
                <w:highlight w:val="none"/>
              </w:rPr>
              <w:t>□</w:t>
            </w:r>
            <w:r>
              <w:rPr>
                <w:color w:val="auto"/>
                <w:szCs w:val="21"/>
                <w:highlight w:val="none"/>
              </w:rPr>
              <w:t xml:space="preserve"> </w:t>
            </w:r>
            <w:r>
              <w:rPr>
                <w:rFonts w:hint="eastAsia"/>
                <w:color w:val="auto"/>
                <w:szCs w:val="21"/>
                <w:highlight w:val="none"/>
              </w:rPr>
              <w:t>交通运输部“</w:t>
            </w:r>
            <w:r>
              <w:rPr>
                <w:rFonts w:hint="eastAsia" w:ascii="宋体" w:hAnsi="宋体" w:cs="宋体"/>
                <w:color w:val="auto"/>
                <w:kern w:val="2"/>
                <w:szCs w:val="21"/>
                <w:highlight w:val="none"/>
                <w:lang w:eastAsia="zh-CN"/>
              </w:rPr>
              <w:t>全国公路建设市场监督管理系统</w:t>
            </w:r>
            <w:r>
              <w:rPr>
                <w:rFonts w:hint="eastAsia" w:cs="宋体"/>
                <w:color w:val="auto"/>
                <w:kern w:val="2"/>
                <w:szCs w:val="21"/>
                <w:highlight w:val="none"/>
                <w:lang w:eastAsia="zh-CN"/>
              </w:rPr>
              <w:t>”</w:t>
            </w:r>
            <w:r>
              <w:rPr>
                <w:rFonts w:hint="eastAsia"/>
                <w:color w:val="auto"/>
                <w:szCs w:val="21"/>
                <w:highlight w:val="none"/>
              </w:rPr>
              <w:t>中的“公路工程施工企业资质名录”网页截图</w:t>
            </w:r>
          </w:p>
        </w:tc>
        <w:tc>
          <w:tcPr>
            <w:tcW w:w="6289" w:type="dxa"/>
            <w:gridSpan w:val="6"/>
            <w:vAlign w:val="center"/>
          </w:tcPr>
          <w:p w14:paraId="050E567F">
            <w:pPr>
              <w:pStyle w:val="256"/>
              <w:spacing w:line="380" w:lineRule="exact"/>
              <w:ind w:left="105" w:leftChars="50" w:right="105" w:rightChars="50"/>
              <w:jc w:val="left"/>
              <w:rPr>
                <w:color w:val="auto"/>
                <w:szCs w:val="21"/>
                <w:highlight w:val="none"/>
              </w:rPr>
            </w:pPr>
            <w:r>
              <w:rPr>
                <w:rFonts w:hint="eastAsia"/>
                <w:color w:val="auto"/>
                <w:szCs w:val="21"/>
                <w:highlight w:val="none"/>
              </w:rPr>
              <w:t>附件</w:t>
            </w:r>
            <w:r>
              <w:rPr>
                <w:color w:val="auto"/>
                <w:szCs w:val="21"/>
                <w:highlight w:val="none"/>
              </w:rPr>
              <w:t>1.6</w:t>
            </w:r>
          </w:p>
        </w:tc>
      </w:tr>
      <w:tr w14:paraId="2487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14:paraId="46A5F96B">
            <w:pPr>
              <w:pStyle w:val="256"/>
              <w:numPr>
                <w:ilvl w:val="-1"/>
                <w:numId w:val="0"/>
              </w:numPr>
              <w:spacing w:line="380" w:lineRule="exact"/>
              <w:ind w:left="0" w:right="89" w:firstLine="0"/>
              <w:jc w:val="both"/>
              <w:rPr>
                <w:color w:val="auto"/>
                <w:szCs w:val="21"/>
                <w:highlight w:val="none"/>
              </w:rPr>
            </w:pPr>
            <w:r>
              <w:rPr>
                <w:rFonts w:hint="eastAsia" w:ascii="宋体" w:hAnsi="宋体" w:eastAsia="宋体" w:cs="宋体"/>
                <w:b/>
                <w:bCs/>
                <w:color w:val="auto"/>
                <w:szCs w:val="21"/>
                <w:highlight w:val="none"/>
              </w:rPr>
              <w:t>□</w:t>
            </w:r>
            <w:r>
              <w:rPr>
                <w:rFonts w:hint="eastAsia" w:eastAsia="宋体"/>
                <w:color w:val="auto"/>
                <w:szCs w:val="21"/>
                <w:highlight w:val="none"/>
                <w:lang w:val="en-US" w:eastAsia="zh-CN"/>
              </w:rPr>
              <w:t xml:space="preserve"> </w:t>
            </w:r>
            <w:r>
              <w:rPr>
                <w:rFonts w:hint="eastAsia"/>
                <w:color w:val="auto"/>
                <w:szCs w:val="21"/>
                <w:highlight w:val="none"/>
              </w:rPr>
              <w:t>投标人工地试验室母体试验检测机构的资质证书、资质认定证书</w:t>
            </w:r>
          </w:p>
        </w:tc>
        <w:tc>
          <w:tcPr>
            <w:tcW w:w="6289" w:type="dxa"/>
            <w:gridSpan w:val="6"/>
            <w:vAlign w:val="center"/>
          </w:tcPr>
          <w:p w14:paraId="5805E547">
            <w:pPr>
              <w:pStyle w:val="256"/>
              <w:spacing w:line="380" w:lineRule="exact"/>
              <w:ind w:left="105" w:leftChars="50" w:right="105" w:rightChars="50"/>
              <w:jc w:val="left"/>
              <w:rPr>
                <w:color w:val="auto"/>
                <w:szCs w:val="21"/>
                <w:highlight w:val="none"/>
              </w:rPr>
            </w:pPr>
            <w:r>
              <w:rPr>
                <w:rFonts w:hint="eastAsia"/>
                <w:color w:val="auto"/>
                <w:szCs w:val="21"/>
                <w:highlight w:val="none"/>
              </w:rPr>
              <w:t>附件</w:t>
            </w:r>
            <w:r>
              <w:rPr>
                <w:color w:val="auto"/>
                <w:szCs w:val="21"/>
                <w:highlight w:val="none"/>
              </w:rPr>
              <w:t>1.7</w:t>
            </w:r>
          </w:p>
        </w:tc>
      </w:tr>
      <w:tr w14:paraId="61E71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89" w:type="dxa"/>
            <w:vAlign w:val="center"/>
          </w:tcPr>
          <w:p w14:paraId="3316A933">
            <w:pPr>
              <w:pStyle w:val="256"/>
              <w:spacing w:line="380" w:lineRule="exact"/>
              <w:ind w:left="719" w:right="719"/>
              <w:jc w:val="center"/>
              <w:rPr>
                <w:color w:val="auto"/>
                <w:szCs w:val="21"/>
                <w:highlight w:val="none"/>
              </w:rPr>
            </w:pPr>
            <w:r>
              <w:rPr>
                <w:rFonts w:hint="eastAsia"/>
                <w:color w:val="auto"/>
                <w:szCs w:val="21"/>
                <w:highlight w:val="none"/>
              </w:rPr>
              <w:t>备注</w:t>
            </w:r>
          </w:p>
        </w:tc>
        <w:tc>
          <w:tcPr>
            <w:tcW w:w="6289" w:type="dxa"/>
            <w:gridSpan w:val="6"/>
            <w:vAlign w:val="center"/>
          </w:tcPr>
          <w:p w14:paraId="7566844B">
            <w:pPr>
              <w:spacing w:line="380" w:lineRule="exact"/>
              <w:rPr>
                <w:rFonts w:ascii="宋体" w:hAnsi="宋体"/>
                <w:color w:val="auto"/>
                <w:szCs w:val="21"/>
                <w:highlight w:val="none"/>
              </w:rPr>
            </w:pPr>
          </w:p>
        </w:tc>
      </w:tr>
    </w:tbl>
    <w:p w14:paraId="6B862ED4">
      <w:pPr>
        <w:pStyle w:val="299"/>
        <w:adjustRightInd w:val="0"/>
        <w:snapToGrid w:val="0"/>
        <w:spacing w:line="360" w:lineRule="exact"/>
        <w:ind w:left="630" w:hanging="630" w:hangingChars="300"/>
        <w:jc w:val="both"/>
        <w:rPr>
          <w:color w:val="auto"/>
          <w:highlight w:val="none"/>
        </w:rPr>
      </w:pPr>
      <w:r>
        <w:rPr>
          <w:rFonts w:hint="eastAsia"/>
          <w:color w:val="auto"/>
          <w:highlight w:val="none"/>
        </w:rPr>
        <w:t>注：</w:t>
      </w:r>
      <w:r>
        <w:rPr>
          <w:rFonts w:hint="eastAsia"/>
          <w:color w:val="auto"/>
          <w:highlight w:val="none"/>
          <w:lang w:val="en-US" w:eastAsia="zh-CN"/>
        </w:rPr>
        <w:t>1</w:t>
      </w:r>
      <w:r>
        <w:rPr>
          <w:rFonts w:ascii="宋体" w:hAnsi="宋体" w:cs="宋体"/>
          <w:color w:val="auto"/>
          <w:highlight w:val="none"/>
        </w:rPr>
        <w:t>.</w:t>
      </w:r>
      <w:r>
        <w:rPr>
          <w:color w:val="auto"/>
          <w:highlight w:val="none"/>
        </w:rPr>
        <w:t>投标人</w:t>
      </w:r>
      <w:r>
        <w:rPr>
          <w:rFonts w:hint="eastAsia"/>
          <w:color w:val="auto"/>
          <w:highlight w:val="none"/>
          <w:lang w:val="en-US" w:eastAsia="zh-CN"/>
        </w:rPr>
        <w:t>应</w:t>
      </w:r>
      <w:r>
        <w:rPr>
          <w:rFonts w:hint="eastAsia"/>
          <w:color w:val="auto"/>
          <w:highlight w:val="none"/>
        </w:rPr>
        <w:t>在</w:t>
      </w:r>
      <w:r>
        <w:rPr>
          <w:rFonts w:hint="eastAsia"/>
          <w:color w:val="auto"/>
          <w:highlight w:val="none"/>
          <w:lang w:val="en-US" w:eastAsia="zh-CN"/>
        </w:rPr>
        <w:t>本</w:t>
      </w:r>
      <w:r>
        <w:rPr>
          <w:rFonts w:hint="eastAsia"/>
          <w:color w:val="auto"/>
          <w:highlight w:val="none"/>
        </w:rPr>
        <w:t>表后按附件顺序</w:t>
      </w:r>
      <w:r>
        <w:rPr>
          <w:rFonts w:hint="eastAsia"/>
          <w:color w:val="auto"/>
          <w:highlight w:val="none"/>
          <w:lang w:val="en-US" w:eastAsia="zh-CN"/>
        </w:rPr>
        <w:t>提供</w:t>
      </w:r>
      <w:r>
        <w:rPr>
          <w:rFonts w:hint="eastAsia"/>
          <w:color w:val="auto"/>
          <w:highlight w:val="none"/>
        </w:rPr>
        <w:t>企业法人营业执照（附件</w:t>
      </w:r>
      <w:r>
        <w:rPr>
          <w:color w:val="auto"/>
          <w:highlight w:val="none"/>
        </w:rPr>
        <w:t>1.1</w:t>
      </w:r>
      <w:r>
        <w:rPr>
          <w:rFonts w:hint="eastAsia"/>
          <w:color w:val="auto"/>
          <w:highlight w:val="none"/>
        </w:rPr>
        <w:t>）、</w:t>
      </w:r>
      <w:r>
        <w:rPr>
          <w:rFonts w:hint="eastAsia"/>
          <w:b/>
          <w:color w:val="auto"/>
          <w:szCs w:val="21"/>
          <w:highlight w:val="none"/>
        </w:rPr>
        <w:t>□</w:t>
      </w:r>
      <w:r>
        <w:rPr>
          <w:rFonts w:hint="eastAsia"/>
          <w:color w:val="auto"/>
          <w:highlight w:val="none"/>
        </w:rPr>
        <w:t>施工资质证书（附件</w:t>
      </w:r>
      <w:r>
        <w:rPr>
          <w:color w:val="auto"/>
          <w:highlight w:val="none"/>
        </w:rPr>
        <w:t>1.2</w:t>
      </w:r>
      <w:r>
        <w:rPr>
          <w:rFonts w:hint="eastAsia"/>
          <w:color w:val="auto"/>
          <w:highlight w:val="none"/>
        </w:rPr>
        <w:t>）、</w:t>
      </w:r>
      <w:r>
        <w:rPr>
          <w:rFonts w:hint="eastAsia"/>
          <w:b/>
          <w:color w:val="auto"/>
          <w:szCs w:val="21"/>
          <w:highlight w:val="none"/>
        </w:rPr>
        <w:t>□</w:t>
      </w:r>
      <w:r>
        <w:rPr>
          <w:rFonts w:hint="eastAsia"/>
          <w:color w:val="auto"/>
          <w:highlight w:val="none"/>
        </w:rPr>
        <w:t>安全生产许可证（附件</w:t>
      </w:r>
      <w:r>
        <w:rPr>
          <w:color w:val="auto"/>
          <w:highlight w:val="none"/>
        </w:rPr>
        <w:t>1.3</w:t>
      </w:r>
      <w:r>
        <w:rPr>
          <w:rFonts w:hint="eastAsia"/>
          <w:color w:val="auto"/>
          <w:highlight w:val="none"/>
        </w:rPr>
        <w:t>）、开户许可证</w:t>
      </w:r>
      <w:r>
        <w:rPr>
          <w:rFonts w:hint="eastAsia"/>
          <w:color w:val="auto"/>
          <w:highlight w:val="none"/>
          <w:lang w:eastAsia="zh-CN"/>
        </w:rPr>
        <w:t>（</w:t>
      </w:r>
      <w:r>
        <w:rPr>
          <w:rFonts w:hint="eastAsia"/>
          <w:color w:val="auto"/>
          <w:highlight w:val="none"/>
        </w:rPr>
        <w:t>基本账户</w:t>
      </w:r>
      <w:r>
        <w:rPr>
          <w:rFonts w:hint="eastAsia"/>
          <w:color w:val="auto"/>
          <w:highlight w:val="none"/>
          <w:lang w:val="en-US" w:eastAsia="zh-CN"/>
        </w:rPr>
        <w:t>或基本存款账户</w:t>
      </w:r>
      <w:r>
        <w:rPr>
          <w:rFonts w:hint="eastAsia"/>
          <w:color w:val="auto"/>
          <w:highlight w:val="none"/>
          <w:lang w:eastAsia="zh-CN"/>
        </w:rPr>
        <w:t>）</w:t>
      </w:r>
      <w:r>
        <w:rPr>
          <w:rFonts w:hint="eastAsia"/>
          <w:color w:val="auto"/>
          <w:highlight w:val="none"/>
        </w:rPr>
        <w:t>或基本存款账户开户信息表（附件</w:t>
      </w:r>
      <w:r>
        <w:rPr>
          <w:color w:val="auto"/>
          <w:highlight w:val="none"/>
        </w:rPr>
        <w:t>1.4</w:t>
      </w:r>
      <w:r>
        <w:rPr>
          <w:rFonts w:hint="eastAsia"/>
          <w:color w:val="auto"/>
          <w:highlight w:val="none"/>
        </w:rPr>
        <w:t>）、投标人在国家企业信用信息公示系统中基础信息</w:t>
      </w:r>
      <w:r>
        <w:rPr>
          <w:rFonts w:hint="eastAsia" w:cs="宋体" w:asciiTheme="minorEastAsia" w:hAnsiTheme="minorEastAsia" w:eastAsiaTheme="minorEastAsia"/>
          <w:color w:val="auto"/>
          <w:szCs w:val="21"/>
          <w:highlight w:val="none"/>
          <w:lang w:val="en-US" w:eastAsia="zh-CN"/>
        </w:rPr>
        <w:t>（体现股东及出资详细信息）</w:t>
      </w:r>
      <w:r>
        <w:rPr>
          <w:rFonts w:hint="eastAsia"/>
          <w:color w:val="auto"/>
          <w:highlight w:val="none"/>
        </w:rPr>
        <w:t>的网页截图或</w:t>
      </w:r>
      <w:r>
        <w:rPr>
          <w:rFonts w:hint="eastAsia" w:cs="宋体" w:asciiTheme="minorEastAsia" w:hAnsiTheme="minorEastAsia" w:eastAsiaTheme="minorEastAsia"/>
          <w:color w:val="auto"/>
          <w:szCs w:val="21"/>
          <w:highlight w:val="none"/>
          <w:lang w:val="en-US" w:eastAsia="zh-CN"/>
        </w:rPr>
        <w:t>经登记机关备案的公司章程（体现股东及出资详细信息）</w:t>
      </w:r>
      <w:r>
        <w:rPr>
          <w:rFonts w:hint="eastAsia"/>
          <w:color w:val="auto"/>
          <w:highlight w:val="none"/>
        </w:rPr>
        <w:t>（附件</w:t>
      </w:r>
      <w:r>
        <w:rPr>
          <w:color w:val="auto"/>
          <w:highlight w:val="none"/>
        </w:rPr>
        <w:t>1.5</w:t>
      </w:r>
      <w:r>
        <w:rPr>
          <w:rFonts w:hint="eastAsia"/>
          <w:color w:val="auto"/>
          <w:highlight w:val="none"/>
        </w:rPr>
        <w:t>）、</w:t>
      </w:r>
      <w:r>
        <w:rPr>
          <w:rFonts w:hint="eastAsia"/>
          <w:b/>
          <w:color w:val="auto"/>
          <w:szCs w:val="21"/>
          <w:highlight w:val="none"/>
        </w:rPr>
        <w:t>□</w:t>
      </w:r>
      <w:r>
        <w:rPr>
          <w:rFonts w:hint="eastAsia"/>
          <w:color w:val="auto"/>
          <w:szCs w:val="21"/>
          <w:highlight w:val="none"/>
        </w:rPr>
        <w:t>交通运输部“</w:t>
      </w:r>
      <w:r>
        <w:rPr>
          <w:rFonts w:hint="eastAsia" w:ascii="宋体" w:hAnsi="宋体" w:cs="宋体"/>
          <w:color w:val="auto"/>
          <w:szCs w:val="21"/>
          <w:highlight w:val="none"/>
        </w:rPr>
        <w:t>全国公路建设市场监督管理系统</w:t>
      </w:r>
      <w:r>
        <w:rPr>
          <w:rFonts w:hint="eastAsia"/>
          <w:color w:val="auto"/>
          <w:szCs w:val="21"/>
          <w:highlight w:val="none"/>
        </w:rPr>
        <w:t>”中的“公路工程施工企业资质名录”网页截图</w:t>
      </w:r>
      <w:bookmarkStart w:id="922" w:name="_Hlk94097789"/>
      <w:r>
        <w:rPr>
          <w:rFonts w:ascii="宋体" w:hAnsi="宋体" w:cs="宋体"/>
          <w:color w:val="auto"/>
          <w:szCs w:val="21"/>
          <w:highlight w:val="none"/>
          <w:vertAlign w:val="superscript"/>
        </w:rPr>
        <w:footnoteReference w:id="289"/>
      </w:r>
      <w:bookmarkEnd w:id="922"/>
      <w:r>
        <w:rPr>
          <w:rFonts w:hint="eastAsia"/>
          <w:color w:val="auto"/>
          <w:highlight w:val="none"/>
        </w:rPr>
        <w:t>（附件</w:t>
      </w:r>
      <w:r>
        <w:rPr>
          <w:color w:val="auto"/>
          <w:highlight w:val="none"/>
        </w:rPr>
        <w:t>1.6</w:t>
      </w:r>
      <w:r>
        <w:rPr>
          <w:rFonts w:hint="eastAsia"/>
          <w:color w:val="auto"/>
          <w:highlight w:val="none"/>
        </w:rPr>
        <w:t>）、</w:t>
      </w:r>
      <w:r>
        <w:rPr>
          <w:rFonts w:hint="eastAsia"/>
          <w:b/>
          <w:color w:val="auto"/>
          <w:szCs w:val="21"/>
          <w:highlight w:val="none"/>
        </w:rPr>
        <w:t>□</w:t>
      </w:r>
      <w:r>
        <w:rPr>
          <w:rFonts w:hint="eastAsia"/>
          <w:color w:val="auto"/>
          <w:szCs w:val="21"/>
          <w:highlight w:val="none"/>
        </w:rPr>
        <w:t>投标人工地试验室母体试验检测机构的资质证书、资质认定证书（附件</w:t>
      </w:r>
      <w:r>
        <w:rPr>
          <w:color w:val="auto"/>
          <w:szCs w:val="21"/>
          <w:highlight w:val="none"/>
        </w:rPr>
        <w:t>1.7</w:t>
      </w:r>
      <w:r>
        <w:rPr>
          <w:rFonts w:hint="eastAsia"/>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除网页截图外的证明材料附件为</w:t>
      </w:r>
      <w:r>
        <w:rPr>
          <w:rFonts w:hint="eastAsia" w:ascii="宋体" w:hAnsi="宋体" w:eastAsia="宋体" w:cs="宋体"/>
          <w:color w:val="auto"/>
          <w:spacing w:val="0"/>
          <w:sz w:val="21"/>
          <w:highlight w:val="none"/>
        </w:rPr>
        <w:t>原件原色扫描件</w:t>
      </w:r>
      <w:r>
        <w:rPr>
          <w:rFonts w:hint="eastAsia"/>
          <w:color w:val="auto"/>
          <w:highlight w:val="none"/>
        </w:rPr>
        <w:t>。</w:t>
      </w:r>
    </w:p>
    <w:p w14:paraId="63CCDF6F">
      <w:pPr>
        <w:pStyle w:val="299"/>
        <w:adjustRightInd w:val="0"/>
        <w:snapToGrid w:val="0"/>
        <w:spacing w:line="360" w:lineRule="exact"/>
        <w:ind w:left="714" w:leftChars="190" w:hanging="315" w:hangingChars="150"/>
        <w:jc w:val="both"/>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highlight w:val="none"/>
        </w:rPr>
        <w:t>以联合体形式投标的，联合体各成员应</w:t>
      </w:r>
      <w:r>
        <w:rPr>
          <w:rFonts w:hint="eastAsia" w:ascii="宋体" w:hAnsi="宋体" w:cs="宋体"/>
          <w:color w:val="auto"/>
          <w:highlight w:val="none"/>
          <w:lang w:val="en-US" w:eastAsia="zh-CN"/>
        </w:rPr>
        <w:t>分别填写本表</w:t>
      </w:r>
      <w:r>
        <w:rPr>
          <w:rFonts w:ascii="宋体" w:hAnsi="宋体" w:cs="宋体"/>
          <w:color w:val="auto"/>
          <w:highlight w:val="none"/>
        </w:rPr>
        <w:t>，且均应提供</w:t>
      </w:r>
    </w:p>
    <w:p w14:paraId="69EE49F4">
      <w:pPr>
        <w:pStyle w:val="299"/>
        <w:adjustRightInd w:val="0"/>
        <w:snapToGrid w:val="0"/>
        <w:spacing w:line="360" w:lineRule="exact"/>
        <w:ind w:left="714" w:leftChars="190" w:hanging="315" w:hangingChars="150"/>
        <w:jc w:val="both"/>
        <w:rPr>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资格审查条件要求的上述相应资料。</w:t>
      </w:r>
    </w:p>
    <w:p w14:paraId="2FD3615F">
      <w:pPr>
        <w:pStyle w:val="22"/>
        <w:kinsoku w:val="0"/>
        <w:overflowPunct w:val="0"/>
        <w:spacing w:before="189"/>
        <w:jc w:val="center"/>
        <w:rPr>
          <w:rFonts w:cs="黑体"/>
          <w:color w:val="auto"/>
          <w:highlight w:val="none"/>
        </w:rPr>
      </w:pPr>
      <w:bookmarkStart w:id="923" w:name="bookmark312"/>
      <w:bookmarkEnd w:id="923"/>
      <w:r>
        <w:rPr>
          <w:rFonts w:cs="黑体"/>
          <w:color w:val="auto"/>
          <w:highlight w:val="none"/>
        </w:rPr>
        <w:br w:type="page"/>
      </w:r>
    </w:p>
    <w:p w14:paraId="573DE1DC">
      <w:pPr>
        <w:pStyle w:val="6"/>
        <w:rPr>
          <w:rFonts w:hint="eastAsia" w:ascii="Times New Roman" w:hAnsi="Times New Roman" w:eastAsia="黑体" w:cs="Times New Roman"/>
          <w:b w:val="0"/>
          <w:bCs w:val="0"/>
          <w:color w:val="auto"/>
          <w:sz w:val="28"/>
          <w:szCs w:val="32"/>
          <w:highlight w:val="none"/>
        </w:rPr>
      </w:pPr>
      <w:r>
        <w:rPr>
          <w:rFonts w:hint="eastAsia" w:ascii="Times New Roman" w:hAnsi="Times New Roman" w:eastAsia="黑体" w:cs="Times New Roman"/>
          <w:b w:val="0"/>
          <w:bCs w:val="0"/>
          <w:color w:val="auto"/>
          <w:sz w:val="28"/>
          <w:szCs w:val="32"/>
          <w:highlight w:val="none"/>
        </w:rPr>
        <w:t>（二）投标人企业组织机构框图</w:t>
      </w:r>
    </w:p>
    <w:p w14:paraId="06ABEF85">
      <w:pPr>
        <w:pStyle w:val="22"/>
        <w:kinsoku w:val="0"/>
        <w:overflowPunct w:val="0"/>
        <w:spacing w:before="10"/>
        <w:rPr>
          <w:rFonts w:cs="黑体"/>
          <w:color w:val="auto"/>
          <w:sz w:val="23"/>
          <w:szCs w:val="23"/>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8"/>
      </w:tblGrid>
      <w:tr w14:paraId="2E66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8838" w:type="dxa"/>
          </w:tcPr>
          <w:p w14:paraId="33FD6428">
            <w:pPr>
              <w:pStyle w:val="22"/>
              <w:kinsoku w:val="0"/>
              <w:overflowPunct w:val="0"/>
              <w:spacing w:line="200" w:lineRule="atLeast"/>
              <w:rPr>
                <w:rFonts w:cs="黑体"/>
                <w:color w:val="auto"/>
                <w:sz w:val="21"/>
                <w:szCs w:val="21"/>
                <w:highlight w:val="none"/>
              </w:rPr>
            </w:pPr>
          </w:p>
          <w:p w14:paraId="5CD3C01D">
            <w:pPr>
              <w:pStyle w:val="22"/>
              <w:kinsoku w:val="0"/>
              <w:overflowPunct w:val="0"/>
              <w:spacing w:line="200" w:lineRule="atLeast"/>
              <w:rPr>
                <w:rFonts w:cs="黑体"/>
                <w:color w:val="auto"/>
                <w:sz w:val="21"/>
                <w:szCs w:val="21"/>
                <w:highlight w:val="none"/>
              </w:rPr>
            </w:pPr>
            <w:r>
              <w:rPr>
                <w:rFonts w:hint="eastAsia" w:cs="黑体"/>
                <w:color w:val="auto"/>
                <w:sz w:val="21"/>
                <w:szCs w:val="21"/>
                <w:highlight w:val="none"/>
              </w:rPr>
              <w:t>投标人企业组织机构（</w:t>
            </w:r>
            <w:r>
              <w:rPr>
                <w:color w:val="auto"/>
                <w:sz w:val="21"/>
                <w:szCs w:val="21"/>
                <w:highlight w:val="none"/>
              </w:rPr>
              <w:t>以框图方式表示</w:t>
            </w:r>
            <w:r>
              <w:rPr>
                <w:rFonts w:hint="eastAsia" w:cs="黑体"/>
                <w:color w:val="auto"/>
                <w:sz w:val="21"/>
                <w:szCs w:val="21"/>
                <w:highlight w:val="none"/>
              </w:rPr>
              <w:t>）：</w:t>
            </w:r>
          </w:p>
        </w:tc>
      </w:tr>
      <w:tr w14:paraId="4B7F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8838" w:type="dxa"/>
          </w:tcPr>
          <w:p w14:paraId="78BAD598">
            <w:pPr>
              <w:pStyle w:val="22"/>
              <w:kinsoku w:val="0"/>
              <w:overflowPunct w:val="0"/>
              <w:spacing w:line="200" w:lineRule="atLeast"/>
              <w:rPr>
                <w:rFonts w:cs="黑体"/>
                <w:color w:val="auto"/>
                <w:sz w:val="21"/>
                <w:szCs w:val="21"/>
                <w:highlight w:val="none"/>
              </w:rPr>
            </w:pPr>
          </w:p>
          <w:p w14:paraId="08ED073A">
            <w:pPr>
              <w:pStyle w:val="22"/>
              <w:kinsoku w:val="0"/>
              <w:overflowPunct w:val="0"/>
              <w:spacing w:line="200" w:lineRule="atLeast"/>
              <w:rPr>
                <w:rFonts w:cs="黑体"/>
                <w:color w:val="auto"/>
                <w:sz w:val="21"/>
                <w:szCs w:val="21"/>
                <w:highlight w:val="none"/>
              </w:rPr>
            </w:pPr>
            <w:r>
              <w:rPr>
                <w:rFonts w:hint="eastAsia" w:cs="黑体"/>
                <w:color w:val="auto"/>
                <w:sz w:val="21"/>
                <w:szCs w:val="21"/>
                <w:highlight w:val="none"/>
              </w:rPr>
              <w:t>说明：</w:t>
            </w:r>
          </w:p>
        </w:tc>
      </w:tr>
    </w:tbl>
    <w:p w14:paraId="2ECEAD76">
      <w:pPr>
        <w:pStyle w:val="299"/>
        <w:adjustRightInd w:val="0"/>
        <w:snapToGrid w:val="0"/>
        <w:spacing w:line="360" w:lineRule="exact"/>
        <w:ind w:left="0" w:leftChars="0" w:firstLine="0" w:firstLineChars="0"/>
        <w:jc w:val="both"/>
        <w:rPr>
          <w:rFonts w:hint="eastAsia" w:ascii="宋体" w:hAnsi="宋体" w:cs="宋体"/>
          <w:b w:val="0"/>
          <w:color w:val="auto"/>
          <w:sz w:val="21"/>
          <w:szCs w:val="21"/>
          <w:highlight w:val="none"/>
          <w:lang w:val="en-US" w:eastAsia="zh-CN"/>
        </w:rPr>
      </w:pPr>
      <w:bookmarkStart w:id="924" w:name="bookmark313"/>
      <w:bookmarkEnd w:id="924"/>
      <w:r>
        <w:rPr>
          <w:rFonts w:hint="eastAsia" w:ascii="宋体" w:hAnsi="宋体" w:cs="宋体"/>
          <w:b w:val="0"/>
          <w:color w:val="auto"/>
          <w:sz w:val="21"/>
          <w:szCs w:val="21"/>
          <w:highlight w:val="none"/>
          <w:lang w:val="en-US" w:eastAsia="zh-CN"/>
        </w:rPr>
        <w:t>注：1.投标人应填写本表。</w:t>
      </w:r>
    </w:p>
    <w:p w14:paraId="317362C2">
      <w:pPr>
        <w:spacing w:line="360" w:lineRule="exact"/>
        <w:ind w:firstLine="420" w:firstLineChars="200"/>
        <w:jc w:val="left"/>
        <w:rPr>
          <w:b/>
          <w:color w:val="auto"/>
          <w:sz w:val="28"/>
          <w:szCs w:val="28"/>
          <w:highlight w:val="none"/>
        </w:rPr>
      </w:pPr>
      <w:r>
        <w:rPr>
          <w:rFonts w:hint="eastAsia" w:ascii="宋体" w:hAnsi="宋体" w:cs="宋体"/>
          <w:b w:val="0"/>
          <w:color w:val="auto"/>
          <w:sz w:val="21"/>
          <w:szCs w:val="21"/>
          <w:highlight w:val="none"/>
          <w:lang w:val="en-US" w:eastAsia="zh-CN"/>
        </w:rPr>
        <w:t>2.</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hint="eastAsia" w:ascii="宋体" w:hAnsi="宋体" w:cs="宋体"/>
          <w:color w:val="auto"/>
          <w:szCs w:val="21"/>
          <w:highlight w:val="none"/>
        </w:rPr>
        <w:t>以联合体形式投标的，联合体各成员应</w:t>
      </w:r>
      <w:r>
        <w:rPr>
          <w:rFonts w:hint="eastAsia" w:ascii="宋体" w:hAnsi="宋体" w:cs="宋体"/>
          <w:color w:val="auto"/>
          <w:szCs w:val="21"/>
          <w:highlight w:val="none"/>
          <w:lang w:val="en-US" w:eastAsia="zh-CN"/>
        </w:rPr>
        <w:t>分别填写本表</w:t>
      </w:r>
      <w:r>
        <w:rPr>
          <w:rFonts w:hint="eastAsia" w:ascii="宋体" w:hAnsi="宋体" w:cs="宋体"/>
          <w:color w:val="auto"/>
          <w:highlight w:val="none"/>
        </w:rPr>
        <w:t>。</w:t>
      </w:r>
      <w:r>
        <w:rPr>
          <w:b/>
          <w:color w:val="auto"/>
          <w:sz w:val="28"/>
          <w:szCs w:val="28"/>
          <w:highlight w:val="none"/>
        </w:rPr>
        <w:br w:type="page"/>
      </w:r>
    </w:p>
    <w:p w14:paraId="5B11CFC7">
      <w:pPr>
        <w:pStyle w:val="6"/>
        <w:rPr>
          <w:rFonts w:hint="eastAsia" w:ascii="黑体" w:hAnsi="黑体" w:cs="黑体"/>
          <w:b w:val="0"/>
          <w:bCs w:val="0"/>
          <w:color w:val="auto"/>
          <w:highlight w:val="none"/>
        </w:rPr>
      </w:pPr>
      <w:r>
        <w:rPr>
          <w:rFonts w:hint="eastAsia" w:ascii="黑体" w:hAnsi="黑体" w:eastAsia="黑体" w:cs="黑体"/>
          <w:b w:val="0"/>
          <w:bCs w:val="0"/>
          <w:color w:val="auto"/>
          <w:sz w:val="28"/>
          <w:szCs w:val="32"/>
          <w:highlight w:val="none"/>
        </w:rPr>
        <w:t>（三）近年财务状况</w:t>
      </w:r>
      <w:r>
        <w:rPr>
          <w:rFonts w:hint="eastAsia" w:ascii="黑体" w:hAnsi="黑体" w:eastAsia="黑体" w:cs="黑体"/>
          <w:b w:val="0"/>
          <w:bCs w:val="0"/>
          <w:color w:val="auto"/>
          <w:sz w:val="28"/>
          <w:szCs w:val="32"/>
          <w:highlight w:val="none"/>
          <w:lang w:val="en-US" w:eastAsia="zh-CN"/>
        </w:rPr>
        <w:t>表</w:t>
      </w:r>
      <w:r>
        <w:rPr>
          <w:rFonts w:hint="eastAsia" w:ascii="黑体" w:hAnsi="黑体" w:cs="黑体"/>
          <w:b w:val="0"/>
          <w:bCs w:val="0"/>
          <w:color w:val="auto"/>
          <w:highlight w:val="none"/>
        </w:rPr>
        <w:t xml:space="preserve"> </w:t>
      </w:r>
    </w:p>
    <w:tbl>
      <w:tblPr>
        <w:tblStyle w:val="49"/>
        <w:tblW w:w="8758" w:type="dxa"/>
        <w:tblInd w:w="119" w:type="dxa"/>
        <w:tblLayout w:type="fixed"/>
        <w:tblCellMar>
          <w:top w:w="0" w:type="dxa"/>
          <w:left w:w="0" w:type="dxa"/>
          <w:bottom w:w="0" w:type="dxa"/>
          <w:right w:w="0" w:type="dxa"/>
        </w:tblCellMar>
      </w:tblPr>
      <w:tblGrid>
        <w:gridCol w:w="3859"/>
        <w:gridCol w:w="852"/>
        <w:gridCol w:w="4047"/>
      </w:tblGrid>
      <w:tr w14:paraId="55BFB110">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42700372">
            <w:pPr>
              <w:pStyle w:val="256"/>
              <w:kinsoku w:val="0"/>
              <w:overflowPunct w:val="0"/>
              <w:spacing w:before="126"/>
              <w:ind w:left="126"/>
              <w:jc w:val="center"/>
              <w:rPr>
                <w:color w:val="auto"/>
                <w:highlight w:val="none"/>
              </w:rPr>
            </w:pPr>
            <w:r>
              <w:rPr>
                <w:rFonts w:hint="eastAsia"/>
                <w:color w:val="auto"/>
                <w:spacing w:val="-1"/>
                <w:szCs w:val="21"/>
                <w:highlight w:val="none"/>
              </w:rPr>
              <w:t>项目或指标</w:t>
            </w:r>
          </w:p>
        </w:tc>
        <w:tc>
          <w:tcPr>
            <w:tcW w:w="852" w:type="dxa"/>
            <w:tcBorders>
              <w:top w:val="single" w:color="000000" w:sz="6" w:space="0"/>
              <w:left w:val="single" w:color="000000" w:sz="6" w:space="0"/>
              <w:bottom w:val="single" w:color="000000" w:sz="6" w:space="0"/>
              <w:right w:val="single" w:color="000000" w:sz="6" w:space="0"/>
            </w:tcBorders>
          </w:tcPr>
          <w:p w14:paraId="7039B9D4">
            <w:pPr>
              <w:pStyle w:val="256"/>
              <w:kinsoku w:val="0"/>
              <w:overflowPunct w:val="0"/>
              <w:spacing w:before="126"/>
              <w:ind w:left="238"/>
              <w:rPr>
                <w:color w:val="auto"/>
                <w:highlight w:val="none"/>
              </w:rPr>
            </w:pPr>
            <w:r>
              <w:rPr>
                <w:rFonts w:hint="eastAsia"/>
                <w:color w:val="auto"/>
                <w:szCs w:val="21"/>
                <w:highlight w:val="none"/>
              </w:rPr>
              <w:t>单位</w:t>
            </w:r>
          </w:p>
        </w:tc>
        <w:tc>
          <w:tcPr>
            <w:tcW w:w="4047" w:type="dxa"/>
            <w:tcBorders>
              <w:top w:val="single" w:color="000000" w:sz="6" w:space="0"/>
              <w:left w:val="single" w:color="000000" w:sz="6" w:space="0"/>
              <w:bottom w:val="single" w:color="000000" w:sz="6" w:space="0"/>
              <w:right w:val="single" w:color="000000" w:sz="6" w:space="0"/>
            </w:tcBorders>
          </w:tcPr>
          <w:p w14:paraId="39FAD9DA">
            <w:pPr>
              <w:pStyle w:val="256"/>
              <w:tabs>
                <w:tab w:val="left" w:pos="870"/>
              </w:tabs>
              <w:kinsoku w:val="0"/>
              <w:overflowPunct w:val="0"/>
              <w:spacing w:before="126"/>
              <w:ind w:left="239" w:firstLine="1050" w:firstLineChars="500"/>
              <w:rPr>
                <w:color w:val="auto"/>
                <w:highlight w:val="none"/>
              </w:rPr>
            </w:pP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rFonts w:hint="eastAsia"/>
                <w:color w:val="auto"/>
                <w:szCs w:val="21"/>
                <w:highlight w:val="none"/>
              </w:rPr>
              <w:t>年</w:t>
            </w:r>
          </w:p>
        </w:tc>
      </w:tr>
      <w:tr w14:paraId="4F0E641A">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14:paraId="5C1FE013">
            <w:pPr>
              <w:pStyle w:val="256"/>
              <w:kinsoku w:val="0"/>
              <w:overflowPunct w:val="0"/>
              <w:spacing w:before="124"/>
              <w:ind w:left="147"/>
              <w:rPr>
                <w:color w:val="auto"/>
                <w:highlight w:val="none"/>
              </w:rPr>
            </w:pPr>
            <w:r>
              <w:rPr>
                <w:rFonts w:hint="eastAsia"/>
                <w:color w:val="auto"/>
                <w:szCs w:val="21"/>
                <w:highlight w:val="none"/>
              </w:rPr>
              <w:t>一、</w:t>
            </w:r>
            <w:r>
              <w:rPr>
                <w:color w:val="auto"/>
                <w:spacing w:val="-2"/>
                <w:szCs w:val="21"/>
                <w:highlight w:val="none"/>
              </w:rPr>
              <w:t xml:space="preserve"> </w:t>
            </w:r>
            <w:r>
              <w:rPr>
                <w:rFonts w:hint="eastAsia"/>
                <w:color w:val="auto"/>
                <w:spacing w:val="-1"/>
                <w:szCs w:val="21"/>
                <w:highlight w:val="none"/>
              </w:rPr>
              <w:t>注册资本</w:t>
            </w:r>
          </w:p>
        </w:tc>
        <w:tc>
          <w:tcPr>
            <w:tcW w:w="852" w:type="dxa"/>
            <w:tcBorders>
              <w:top w:val="single" w:color="000000" w:sz="6" w:space="0"/>
              <w:left w:val="single" w:color="000000" w:sz="6" w:space="0"/>
              <w:bottom w:val="single" w:color="000000" w:sz="6" w:space="0"/>
              <w:right w:val="single" w:color="000000" w:sz="6" w:space="0"/>
            </w:tcBorders>
          </w:tcPr>
          <w:p w14:paraId="3A9CF297">
            <w:pPr>
              <w:pStyle w:val="256"/>
              <w:kinsoku w:val="0"/>
              <w:overflowPunct w:val="0"/>
              <w:spacing w:before="124"/>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44403C74">
            <w:pPr>
              <w:rPr>
                <w:rFonts w:ascii="宋体" w:hAnsi="宋体"/>
                <w:color w:val="auto"/>
                <w:highlight w:val="none"/>
              </w:rPr>
            </w:pPr>
          </w:p>
        </w:tc>
      </w:tr>
      <w:tr w14:paraId="6C1C6DAA">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5E806D06">
            <w:pPr>
              <w:pStyle w:val="256"/>
              <w:kinsoku w:val="0"/>
              <w:overflowPunct w:val="0"/>
              <w:spacing w:before="124"/>
              <w:ind w:left="147"/>
              <w:rPr>
                <w:color w:val="auto"/>
                <w:highlight w:val="none"/>
              </w:rPr>
            </w:pPr>
            <w:r>
              <w:rPr>
                <w:rFonts w:hint="eastAsia"/>
                <w:color w:val="auto"/>
                <w:szCs w:val="21"/>
                <w:highlight w:val="none"/>
              </w:rPr>
              <w:t>二、</w:t>
            </w:r>
            <w:r>
              <w:rPr>
                <w:color w:val="auto"/>
                <w:spacing w:val="-2"/>
                <w:szCs w:val="21"/>
                <w:highlight w:val="none"/>
              </w:rPr>
              <w:t xml:space="preserve"> </w:t>
            </w:r>
            <w:r>
              <w:rPr>
                <w:rFonts w:hint="eastAsia"/>
                <w:color w:val="auto"/>
                <w:spacing w:val="-1"/>
                <w:szCs w:val="21"/>
                <w:highlight w:val="none"/>
              </w:rPr>
              <w:t>净资产</w:t>
            </w:r>
          </w:p>
        </w:tc>
        <w:tc>
          <w:tcPr>
            <w:tcW w:w="852" w:type="dxa"/>
            <w:tcBorders>
              <w:top w:val="single" w:color="000000" w:sz="6" w:space="0"/>
              <w:left w:val="single" w:color="000000" w:sz="6" w:space="0"/>
              <w:bottom w:val="single" w:color="000000" w:sz="6" w:space="0"/>
              <w:right w:val="single" w:color="000000" w:sz="6" w:space="0"/>
            </w:tcBorders>
          </w:tcPr>
          <w:p w14:paraId="5E895DB3">
            <w:pPr>
              <w:pStyle w:val="256"/>
              <w:kinsoku w:val="0"/>
              <w:overflowPunct w:val="0"/>
              <w:spacing w:before="124"/>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4F342FA1">
            <w:pPr>
              <w:rPr>
                <w:rFonts w:ascii="宋体" w:hAnsi="宋体"/>
                <w:color w:val="auto"/>
                <w:highlight w:val="none"/>
              </w:rPr>
            </w:pPr>
          </w:p>
        </w:tc>
      </w:tr>
      <w:tr w14:paraId="06BD3F55">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46DE8621">
            <w:pPr>
              <w:pStyle w:val="256"/>
              <w:kinsoku w:val="0"/>
              <w:overflowPunct w:val="0"/>
              <w:spacing w:before="124"/>
              <w:ind w:left="147"/>
              <w:rPr>
                <w:color w:val="auto"/>
                <w:highlight w:val="none"/>
              </w:rPr>
            </w:pPr>
            <w:r>
              <w:rPr>
                <w:rFonts w:hint="eastAsia"/>
                <w:color w:val="auto"/>
                <w:szCs w:val="21"/>
                <w:highlight w:val="none"/>
              </w:rPr>
              <w:t>三、</w:t>
            </w:r>
            <w:r>
              <w:rPr>
                <w:color w:val="auto"/>
                <w:spacing w:val="-2"/>
                <w:szCs w:val="21"/>
                <w:highlight w:val="none"/>
              </w:rPr>
              <w:t xml:space="preserve"> </w:t>
            </w:r>
            <w:r>
              <w:rPr>
                <w:rFonts w:hint="eastAsia"/>
                <w:color w:val="auto"/>
                <w:spacing w:val="-1"/>
                <w:szCs w:val="21"/>
                <w:highlight w:val="none"/>
              </w:rPr>
              <w:t>总资产</w:t>
            </w:r>
          </w:p>
        </w:tc>
        <w:tc>
          <w:tcPr>
            <w:tcW w:w="852" w:type="dxa"/>
            <w:tcBorders>
              <w:top w:val="single" w:color="000000" w:sz="6" w:space="0"/>
              <w:left w:val="single" w:color="000000" w:sz="6" w:space="0"/>
              <w:bottom w:val="single" w:color="000000" w:sz="6" w:space="0"/>
              <w:right w:val="single" w:color="000000" w:sz="6" w:space="0"/>
            </w:tcBorders>
          </w:tcPr>
          <w:p w14:paraId="6E52FD67">
            <w:pPr>
              <w:pStyle w:val="256"/>
              <w:kinsoku w:val="0"/>
              <w:overflowPunct w:val="0"/>
              <w:spacing w:before="124"/>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0A309249">
            <w:pPr>
              <w:rPr>
                <w:rFonts w:ascii="宋体" w:hAnsi="宋体"/>
                <w:color w:val="auto"/>
                <w:highlight w:val="none"/>
              </w:rPr>
            </w:pPr>
          </w:p>
        </w:tc>
      </w:tr>
      <w:tr w14:paraId="7246C9B3">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14:paraId="227900A4">
            <w:pPr>
              <w:pStyle w:val="256"/>
              <w:kinsoku w:val="0"/>
              <w:overflowPunct w:val="0"/>
              <w:spacing w:before="124"/>
              <w:ind w:left="147"/>
              <w:rPr>
                <w:color w:val="auto"/>
                <w:highlight w:val="none"/>
              </w:rPr>
            </w:pPr>
            <w:r>
              <w:rPr>
                <w:rFonts w:hint="eastAsia"/>
                <w:color w:val="auto"/>
                <w:szCs w:val="21"/>
                <w:highlight w:val="none"/>
              </w:rPr>
              <w:t>四、</w:t>
            </w:r>
            <w:r>
              <w:rPr>
                <w:color w:val="auto"/>
                <w:spacing w:val="-2"/>
                <w:szCs w:val="21"/>
                <w:highlight w:val="none"/>
              </w:rPr>
              <w:t xml:space="preserve"> </w:t>
            </w:r>
            <w:r>
              <w:rPr>
                <w:rFonts w:hint="eastAsia"/>
                <w:color w:val="auto"/>
                <w:spacing w:val="-1"/>
                <w:szCs w:val="21"/>
                <w:highlight w:val="none"/>
              </w:rPr>
              <w:t>固定资产</w:t>
            </w:r>
          </w:p>
        </w:tc>
        <w:tc>
          <w:tcPr>
            <w:tcW w:w="852" w:type="dxa"/>
            <w:tcBorders>
              <w:top w:val="single" w:color="000000" w:sz="6" w:space="0"/>
              <w:left w:val="single" w:color="000000" w:sz="6" w:space="0"/>
              <w:bottom w:val="single" w:color="000000" w:sz="6" w:space="0"/>
              <w:right w:val="single" w:color="000000" w:sz="6" w:space="0"/>
            </w:tcBorders>
          </w:tcPr>
          <w:p w14:paraId="74C228F5">
            <w:pPr>
              <w:pStyle w:val="256"/>
              <w:kinsoku w:val="0"/>
              <w:overflowPunct w:val="0"/>
              <w:spacing w:before="124"/>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434E5011">
            <w:pPr>
              <w:rPr>
                <w:rFonts w:ascii="宋体" w:hAnsi="宋体"/>
                <w:color w:val="auto"/>
                <w:highlight w:val="none"/>
              </w:rPr>
            </w:pPr>
          </w:p>
        </w:tc>
      </w:tr>
      <w:tr w14:paraId="05973BC2">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5047AD5C">
            <w:pPr>
              <w:pStyle w:val="256"/>
              <w:kinsoku w:val="0"/>
              <w:overflowPunct w:val="0"/>
              <w:spacing w:before="126"/>
              <w:ind w:left="147"/>
              <w:rPr>
                <w:color w:val="auto"/>
                <w:highlight w:val="none"/>
              </w:rPr>
            </w:pPr>
            <w:r>
              <w:rPr>
                <w:rFonts w:hint="eastAsia"/>
                <w:color w:val="auto"/>
                <w:szCs w:val="21"/>
                <w:highlight w:val="none"/>
              </w:rPr>
              <w:t>五、</w:t>
            </w:r>
            <w:r>
              <w:rPr>
                <w:color w:val="auto"/>
                <w:spacing w:val="-2"/>
                <w:szCs w:val="21"/>
                <w:highlight w:val="none"/>
              </w:rPr>
              <w:t xml:space="preserve"> </w:t>
            </w:r>
            <w:r>
              <w:rPr>
                <w:rFonts w:hint="eastAsia"/>
                <w:color w:val="auto"/>
                <w:spacing w:val="-1"/>
                <w:szCs w:val="21"/>
                <w:highlight w:val="none"/>
              </w:rPr>
              <w:t>流动资产</w:t>
            </w:r>
          </w:p>
        </w:tc>
        <w:tc>
          <w:tcPr>
            <w:tcW w:w="852" w:type="dxa"/>
            <w:tcBorders>
              <w:top w:val="single" w:color="000000" w:sz="6" w:space="0"/>
              <w:left w:val="single" w:color="000000" w:sz="6" w:space="0"/>
              <w:bottom w:val="single" w:color="000000" w:sz="6" w:space="0"/>
              <w:right w:val="single" w:color="000000" w:sz="6" w:space="0"/>
            </w:tcBorders>
          </w:tcPr>
          <w:p w14:paraId="70BA666E">
            <w:pPr>
              <w:pStyle w:val="256"/>
              <w:kinsoku w:val="0"/>
              <w:overflowPunct w:val="0"/>
              <w:spacing w:before="126"/>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1C45A83D">
            <w:pPr>
              <w:rPr>
                <w:rFonts w:ascii="宋体" w:hAnsi="宋体"/>
                <w:color w:val="auto"/>
                <w:highlight w:val="none"/>
              </w:rPr>
            </w:pPr>
          </w:p>
        </w:tc>
      </w:tr>
      <w:tr w14:paraId="155AA5FC">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2E835AAF">
            <w:pPr>
              <w:pStyle w:val="256"/>
              <w:kinsoku w:val="0"/>
              <w:overflowPunct w:val="0"/>
              <w:spacing w:before="124"/>
              <w:ind w:left="147"/>
              <w:rPr>
                <w:color w:val="auto"/>
                <w:highlight w:val="none"/>
              </w:rPr>
            </w:pPr>
            <w:r>
              <w:rPr>
                <w:rFonts w:hint="eastAsia"/>
                <w:color w:val="auto"/>
                <w:szCs w:val="21"/>
                <w:highlight w:val="none"/>
              </w:rPr>
              <w:t>六、</w:t>
            </w:r>
            <w:r>
              <w:rPr>
                <w:color w:val="auto"/>
                <w:spacing w:val="-2"/>
                <w:szCs w:val="21"/>
                <w:highlight w:val="none"/>
              </w:rPr>
              <w:t xml:space="preserve"> </w:t>
            </w:r>
            <w:r>
              <w:rPr>
                <w:rFonts w:hint="eastAsia"/>
                <w:color w:val="auto"/>
                <w:spacing w:val="-1"/>
                <w:szCs w:val="21"/>
                <w:highlight w:val="none"/>
              </w:rPr>
              <w:t>流动负债</w:t>
            </w:r>
          </w:p>
        </w:tc>
        <w:tc>
          <w:tcPr>
            <w:tcW w:w="852" w:type="dxa"/>
            <w:tcBorders>
              <w:top w:val="single" w:color="000000" w:sz="6" w:space="0"/>
              <w:left w:val="single" w:color="000000" w:sz="6" w:space="0"/>
              <w:bottom w:val="single" w:color="000000" w:sz="6" w:space="0"/>
              <w:right w:val="single" w:color="000000" w:sz="6" w:space="0"/>
            </w:tcBorders>
          </w:tcPr>
          <w:p w14:paraId="3F4A46D9">
            <w:pPr>
              <w:pStyle w:val="256"/>
              <w:kinsoku w:val="0"/>
              <w:overflowPunct w:val="0"/>
              <w:spacing w:before="124"/>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40224CFA">
            <w:pPr>
              <w:rPr>
                <w:rFonts w:ascii="宋体" w:hAnsi="宋体"/>
                <w:color w:val="auto"/>
                <w:highlight w:val="none"/>
              </w:rPr>
            </w:pPr>
          </w:p>
        </w:tc>
      </w:tr>
      <w:tr w14:paraId="5458D131">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14:paraId="37E9C9DE">
            <w:pPr>
              <w:pStyle w:val="256"/>
              <w:kinsoku w:val="0"/>
              <w:overflowPunct w:val="0"/>
              <w:spacing w:before="124"/>
              <w:ind w:left="147"/>
              <w:rPr>
                <w:color w:val="auto"/>
                <w:highlight w:val="none"/>
              </w:rPr>
            </w:pPr>
            <w:r>
              <w:rPr>
                <w:rFonts w:hint="eastAsia"/>
                <w:color w:val="auto"/>
                <w:szCs w:val="21"/>
                <w:highlight w:val="none"/>
              </w:rPr>
              <w:t>七、</w:t>
            </w:r>
            <w:r>
              <w:rPr>
                <w:color w:val="auto"/>
                <w:spacing w:val="-2"/>
                <w:szCs w:val="21"/>
                <w:highlight w:val="none"/>
              </w:rPr>
              <w:t xml:space="preserve"> </w:t>
            </w:r>
            <w:r>
              <w:rPr>
                <w:rFonts w:hint="eastAsia"/>
                <w:color w:val="auto"/>
                <w:spacing w:val="-1"/>
                <w:szCs w:val="21"/>
                <w:highlight w:val="none"/>
              </w:rPr>
              <w:t>负债合计</w:t>
            </w:r>
          </w:p>
        </w:tc>
        <w:tc>
          <w:tcPr>
            <w:tcW w:w="852" w:type="dxa"/>
            <w:tcBorders>
              <w:top w:val="single" w:color="000000" w:sz="6" w:space="0"/>
              <w:left w:val="single" w:color="000000" w:sz="6" w:space="0"/>
              <w:bottom w:val="single" w:color="000000" w:sz="6" w:space="0"/>
              <w:right w:val="single" w:color="000000" w:sz="6" w:space="0"/>
            </w:tcBorders>
          </w:tcPr>
          <w:p w14:paraId="3D542540">
            <w:pPr>
              <w:pStyle w:val="256"/>
              <w:kinsoku w:val="0"/>
              <w:overflowPunct w:val="0"/>
              <w:spacing w:before="124"/>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520423EC">
            <w:pPr>
              <w:rPr>
                <w:rFonts w:ascii="宋体" w:hAnsi="宋体"/>
                <w:color w:val="auto"/>
                <w:highlight w:val="none"/>
              </w:rPr>
            </w:pPr>
          </w:p>
        </w:tc>
      </w:tr>
      <w:tr w14:paraId="39015D74">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2A5C34B8">
            <w:pPr>
              <w:pStyle w:val="256"/>
              <w:kinsoku w:val="0"/>
              <w:overflowPunct w:val="0"/>
              <w:spacing w:before="124"/>
              <w:ind w:left="147"/>
              <w:rPr>
                <w:color w:val="auto"/>
                <w:highlight w:val="none"/>
              </w:rPr>
            </w:pPr>
            <w:r>
              <w:rPr>
                <w:rFonts w:hint="eastAsia"/>
                <w:color w:val="auto"/>
                <w:szCs w:val="21"/>
                <w:highlight w:val="none"/>
              </w:rPr>
              <w:t>八、</w:t>
            </w:r>
            <w:r>
              <w:rPr>
                <w:color w:val="auto"/>
                <w:spacing w:val="-2"/>
                <w:szCs w:val="21"/>
                <w:highlight w:val="none"/>
              </w:rPr>
              <w:t xml:space="preserve"> </w:t>
            </w:r>
            <w:r>
              <w:rPr>
                <w:rFonts w:hint="eastAsia"/>
                <w:color w:val="auto"/>
                <w:spacing w:val="-1"/>
                <w:szCs w:val="21"/>
                <w:highlight w:val="none"/>
              </w:rPr>
              <w:t>营业收入</w:t>
            </w:r>
          </w:p>
        </w:tc>
        <w:tc>
          <w:tcPr>
            <w:tcW w:w="852" w:type="dxa"/>
            <w:tcBorders>
              <w:top w:val="single" w:color="000000" w:sz="6" w:space="0"/>
              <w:left w:val="single" w:color="000000" w:sz="6" w:space="0"/>
              <w:bottom w:val="single" w:color="000000" w:sz="6" w:space="0"/>
              <w:right w:val="single" w:color="000000" w:sz="6" w:space="0"/>
            </w:tcBorders>
          </w:tcPr>
          <w:p w14:paraId="2C813FA2">
            <w:pPr>
              <w:pStyle w:val="256"/>
              <w:kinsoku w:val="0"/>
              <w:overflowPunct w:val="0"/>
              <w:spacing w:before="124"/>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5E355B52">
            <w:pPr>
              <w:rPr>
                <w:rFonts w:ascii="宋体" w:hAnsi="宋体"/>
                <w:color w:val="auto"/>
                <w:highlight w:val="none"/>
              </w:rPr>
            </w:pPr>
          </w:p>
        </w:tc>
      </w:tr>
      <w:tr w14:paraId="63DF8884">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63491620">
            <w:pPr>
              <w:pStyle w:val="256"/>
              <w:kinsoku w:val="0"/>
              <w:overflowPunct w:val="0"/>
              <w:spacing w:before="124"/>
              <w:ind w:left="147"/>
              <w:rPr>
                <w:color w:val="auto"/>
                <w:highlight w:val="none"/>
              </w:rPr>
            </w:pPr>
            <w:r>
              <w:rPr>
                <w:rFonts w:hint="eastAsia"/>
                <w:color w:val="auto"/>
                <w:szCs w:val="21"/>
                <w:highlight w:val="none"/>
              </w:rPr>
              <w:t>九、</w:t>
            </w:r>
            <w:r>
              <w:rPr>
                <w:color w:val="auto"/>
                <w:spacing w:val="-2"/>
                <w:szCs w:val="21"/>
                <w:highlight w:val="none"/>
              </w:rPr>
              <w:t xml:space="preserve"> </w:t>
            </w:r>
            <w:r>
              <w:rPr>
                <w:rFonts w:hint="eastAsia"/>
                <w:color w:val="auto"/>
                <w:spacing w:val="-1"/>
                <w:szCs w:val="21"/>
                <w:highlight w:val="none"/>
              </w:rPr>
              <w:t>净利润</w:t>
            </w:r>
          </w:p>
        </w:tc>
        <w:tc>
          <w:tcPr>
            <w:tcW w:w="852" w:type="dxa"/>
            <w:tcBorders>
              <w:top w:val="single" w:color="000000" w:sz="6" w:space="0"/>
              <w:left w:val="single" w:color="000000" w:sz="6" w:space="0"/>
              <w:bottom w:val="single" w:color="000000" w:sz="6" w:space="0"/>
              <w:right w:val="single" w:color="000000" w:sz="6" w:space="0"/>
            </w:tcBorders>
          </w:tcPr>
          <w:p w14:paraId="56DC05B6">
            <w:pPr>
              <w:pStyle w:val="256"/>
              <w:kinsoku w:val="0"/>
              <w:overflowPunct w:val="0"/>
              <w:spacing w:before="124"/>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11EB4E5A">
            <w:pPr>
              <w:rPr>
                <w:rFonts w:ascii="宋体" w:hAnsi="宋体"/>
                <w:color w:val="auto"/>
                <w:highlight w:val="none"/>
              </w:rPr>
            </w:pPr>
          </w:p>
        </w:tc>
      </w:tr>
      <w:tr w14:paraId="6D10E338">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14:paraId="220B65F5">
            <w:pPr>
              <w:pStyle w:val="256"/>
              <w:kinsoku w:val="0"/>
              <w:overflowPunct w:val="0"/>
              <w:spacing w:before="126"/>
              <w:ind w:left="147"/>
              <w:rPr>
                <w:color w:val="auto"/>
                <w:highlight w:val="none"/>
              </w:rPr>
            </w:pPr>
            <w:r>
              <w:rPr>
                <w:rFonts w:hint="eastAsia"/>
                <w:color w:val="auto"/>
                <w:szCs w:val="21"/>
                <w:highlight w:val="none"/>
              </w:rPr>
              <w:t>十、</w:t>
            </w:r>
            <w:r>
              <w:rPr>
                <w:color w:val="auto"/>
                <w:spacing w:val="-2"/>
                <w:szCs w:val="21"/>
                <w:highlight w:val="none"/>
              </w:rPr>
              <w:t xml:space="preserve"> </w:t>
            </w:r>
            <w:r>
              <w:rPr>
                <w:rFonts w:hint="eastAsia"/>
                <w:color w:val="auto"/>
                <w:spacing w:val="-1"/>
                <w:szCs w:val="21"/>
                <w:highlight w:val="none"/>
              </w:rPr>
              <w:t>现金流量净额</w:t>
            </w:r>
          </w:p>
        </w:tc>
        <w:tc>
          <w:tcPr>
            <w:tcW w:w="852" w:type="dxa"/>
            <w:tcBorders>
              <w:top w:val="single" w:color="000000" w:sz="6" w:space="0"/>
              <w:left w:val="single" w:color="000000" w:sz="6" w:space="0"/>
              <w:bottom w:val="single" w:color="000000" w:sz="6" w:space="0"/>
              <w:right w:val="single" w:color="000000" w:sz="6" w:space="0"/>
            </w:tcBorders>
          </w:tcPr>
          <w:p w14:paraId="52BDC625">
            <w:pPr>
              <w:pStyle w:val="256"/>
              <w:kinsoku w:val="0"/>
              <w:overflowPunct w:val="0"/>
              <w:spacing w:before="126"/>
              <w:ind w:left="238"/>
              <w:rPr>
                <w:color w:val="auto"/>
                <w:highlight w:val="none"/>
              </w:rPr>
            </w:pPr>
            <w:r>
              <w:rPr>
                <w:rFonts w:hint="eastAsia"/>
                <w:color w:val="auto"/>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14:paraId="380720C3">
            <w:pPr>
              <w:rPr>
                <w:rFonts w:ascii="宋体" w:hAnsi="宋体"/>
                <w:color w:val="auto"/>
                <w:highlight w:val="none"/>
              </w:rPr>
            </w:pPr>
          </w:p>
        </w:tc>
      </w:tr>
      <w:tr w14:paraId="0C5B53C8">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3699554B">
            <w:pPr>
              <w:pStyle w:val="256"/>
              <w:kinsoku w:val="0"/>
              <w:overflowPunct w:val="0"/>
              <w:spacing w:before="124"/>
              <w:ind w:left="147"/>
              <w:rPr>
                <w:color w:val="auto"/>
                <w:highlight w:val="none"/>
              </w:rPr>
            </w:pPr>
            <w:r>
              <w:rPr>
                <w:rFonts w:hint="eastAsia"/>
                <w:color w:val="auto"/>
                <w:szCs w:val="21"/>
                <w:highlight w:val="none"/>
              </w:rPr>
              <w:t>十一、</w:t>
            </w:r>
            <w:r>
              <w:rPr>
                <w:color w:val="auto"/>
                <w:spacing w:val="-2"/>
                <w:szCs w:val="21"/>
                <w:highlight w:val="none"/>
              </w:rPr>
              <w:t xml:space="preserve"> </w:t>
            </w:r>
            <w:r>
              <w:rPr>
                <w:rFonts w:hint="eastAsia"/>
                <w:color w:val="auto"/>
                <w:spacing w:val="-2"/>
                <w:szCs w:val="21"/>
                <w:highlight w:val="none"/>
              </w:rPr>
              <w:t>主要财务指标</w:t>
            </w:r>
          </w:p>
        </w:tc>
        <w:tc>
          <w:tcPr>
            <w:tcW w:w="852" w:type="dxa"/>
            <w:tcBorders>
              <w:top w:val="single" w:color="000000" w:sz="6" w:space="0"/>
              <w:left w:val="single" w:color="000000" w:sz="6" w:space="0"/>
              <w:bottom w:val="single" w:color="000000" w:sz="6" w:space="0"/>
              <w:right w:val="single" w:color="000000" w:sz="6" w:space="0"/>
            </w:tcBorders>
          </w:tcPr>
          <w:p w14:paraId="6413DBD7">
            <w:pPr>
              <w:rPr>
                <w:rFonts w:ascii="宋体" w:hAnsi="宋体"/>
                <w:color w:val="auto"/>
                <w:highlight w:val="none"/>
              </w:rPr>
            </w:pPr>
          </w:p>
        </w:tc>
        <w:tc>
          <w:tcPr>
            <w:tcW w:w="4047" w:type="dxa"/>
            <w:tcBorders>
              <w:top w:val="single" w:color="000000" w:sz="6" w:space="0"/>
              <w:left w:val="single" w:color="000000" w:sz="6" w:space="0"/>
              <w:bottom w:val="single" w:color="000000" w:sz="6" w:space="0"/>
              <w:right w:val="single" w:color="000000" w:sz="6" w:space="0"/>
            </w:tcBorders>
          </w:tcPr>
          <w:p w14:paraId="7F4C2AB6">
            <w:pPr>
              <w:rPr>
                <w:rFonts w:ascii="宋体" w:hAnsi="宋体"/>
                <w:color w:val="auto"/>
                <w:highlight w:val="none"/>
              </w:rPr>
            </w:pPr>
          </w:p>
        </w:tc>
      </w:tr>
      <w:tr w14:paraId="45D0BE23">
        <w:tblPrEx>
          <w:tblCellMar>
            <w:top w:w="0" w:type="dxa"/>
            <w:left w:w="0" w:type="dxa"/>
            <w:bottom w:w="0" w:type="dxa"/>
            <w:right w:w="0" w:type="dxa"/>
          </w:tblCellMar>
        </w:tblPrEx>
        <w:trPr>
          <w:trHeight w:val="621" w:hRule="atLeast"/>
        </w:trPr>
        <w:tc>
          <w:tcPr>
            <w:tcW w:w="3859" w:type="dxa"/>
            <w:tcBorders>
              <w:top w:val="single" w:color="000000" w:sz="6" w:space="0"/>
              <w:left w:val="single" w:color="000000" w:sz="6" w:space="0"/>
              <w:bottom w:val="single" w:color="000000" w:sz="6" w:space="0"/>
              <w:right w:val="single" w:color="000000" w:sz="6" w:space="0"/>
            </w:tcBorders>
          </w:tcPr>
          <w:p w14:paraId="351B9C45">
            <w:pPr>
              <w:pStyle w:val="256"/>
              <w:kinsoku w:val="0"/>
              <w:overflowPunct w:val="0"/>
              <w:spacing w:before="126"/>
              <w:rPr>
                <w:color w:val="auto"/>
                <w:highlight w:val="none"/>
              </w:rPr>
            </w:pPr>
            <w:r>
              <w:rPr>
                <w:color w:val="auto"/>
                <w:szCs w:val="21"/>
                <w:highlight w:val="none"/>
              </w:rPr>
              <w:t xml:space="preserve"> 1.</w:t>
            </w:r>
            <w:r>
              <w:rPr>
                <w:rFonts w:hint="eastAsia"/>
                <w:color w:val="auto"/>
                <w:spacing w:val="-2"/>
                <w:szCs w:val="21"/>
                <w:highlight w:val="none"/>
              </w:rPr>
              <w:t>净资产收益率</w:t>
            </w:r>
          </w:p>
        </w:tc>
        <w:tc>
          <w:tcPr>
            <w:tcW w:w="852" w:type="dxa"/>
            <w:tcBorders>
              <w:top w:val="single" w:color="000000" w:sz="6" w:space="0"/>
              <w:left w:val="single" w:color="000000" w:sz="6" w:space="0"/>
              <w:bottom w:val="single" w:color="000000" w:sz="6" w:space="0"/>
              <w:right w:val="single" w:color="000000" w:sz="6" w:space="0"/>
            </w:tcBorders>
          </w:tcPr>
          <w:p w14:paraId="5FB40677">
            <w:pPr>
              <w:pStyle w:val="256"/>
              <w:kinsoku w:val="0"/>
              <w:overflowPunct w:val="0"/>
              <w:spacing w:before="173"/>
              <w:ind w:left="14"/>
              <w:jc w:val="center"/>
              <w:rPr>
                <w:color w:val="auto"/>
                <w:highlight w:val="none"/>
              </w:rPr>
            </w:pPr>
            <w:r>
              <w:rPr>
                <w:color w:val="auto"/>
                <w:szCs w:val="21"/>
                <w:highlight w:val="none"/>
              </w:rPr>
              <w:t>%</w:t>
            </w:r>
          </w:p>
        </w:tc>
        <w:tc>
          <w:tcPr>
            <w:tcW w:w="4047" w:type="dxa"/>
            <w:tcBorders>
              <w:top w:val="single" w:color="000000" w:sz="6" w:space="0"/>
              <w:left w:val="single" w:color="000000" w:sz="6" w:space="0"/>
              <w:bottom w:val="single" w:color="000000" w:sz="6" w:space="0"/>
              <w:right w:val="single" w:color="000000" w:sz="6" w:space="0"/>
            </w:tcBorders>
          </w:tcPr>
          <w:p w14:paraId="04C21031">
            <w:pPr>
              <w:rPr>
                <w:rFonts w:ascii="宋体" w:hAnsi="宋体"/>
                <w:color w:val="auto"/>
                <w:highlight w:val="none"/>
              </w:rPr>
            </w:pPr>
          </w:p>
        </w:tc>
      </w:tr>
      <w:tr w14:paraId="7587D448">
        <w:tblPrEx>
          <w:tblCellMar>
            <w:top w:w="0" w:type="dxa"/>
            <w:left w:w="0" w:type="dxa"/>
            <w:bottom w:w="0" w:type="dxa"/>
            <w:right w:w="0" w:type="dxa"/>
          </w:tblCellMar>
        </w:tblPrEx>
        <w:trPr>
          <w:trHeight w:val="638" w:hRule="atLeast"/>
        </w:trPr>
        <w:tc>
          <w:tcPr>
            <w:tcW w:w="3859" w:type="dxa"/>
            <w:tcBorders>
              <w:top w:val="single" w:color="000000" w:sz="6" w:space="0"/>
              <w:left w:val="single" w:color="000000" w:sz="6" w:space="0"/>
              <w:bottom w:val="single" w:color="000000" w:sz="6" w:space="0"/>
              <w:right w:val="single" w:color="000000" w:sz="6" w:space="0"/>
            </w:tcBorders>
          </w:tcPr>
          <w:p w14:paraId="6EEB88EE">
            <w:pPr>
              <w:pStyle w:val="256"/>
              <w:kinsoku w:val="0"/>
              <w:overflowPunct w:val="0"/>
              <w:spacing w:before="126"/>
              <w:rPr>
                <w:color w:val="auto"/>
                <w:szCs w:val="21"/>
                <w:highlight w:val="none"/>
              </w:rPr>
            </w:pPr>
            <w:r>
              <w:rPr>
                <w:rFonts w:hint="eastAsia"/>
                <w:color w:val="auto"/>
                <w:szCs w:val="21"/>
                <w:highlight w:val="none"/>
              </w:rPr>
              <w:t>十二、财务状况附件</w:t>
            </w:r>
          </w:p>
        </w:tc>
        <w:tc>
          <w:tcPr>
            <w:tcW w:w="852" w:type="dxa"/>
            <w:tcBorders>
              <w:top w:val="single" w:color="000000" w:sz="6" w:space="0"/>
              <w:left w:val="single" w:color="000000" w:sz="6" w:space="0"/>
              <w:bottom w:val="single" w:color="000000" w:sz="6" w:space="0"/>
              <w:right w:val="single" w:color="000000" w:sz="6" w:space="0"/>
            </w:tcBorders>
          </w:tcPr>
          <w:p w14:paraId="770FDC85">
            <w:pPr>
              <w:pStyle w:val="256"/>
              <w:kinsoku w:val="0"/>
              <w:overflowPunct w:val="0"/>
              <w:spacing w:before="173"/>
              <w:ind w:left="14"/>
              <w:jc w:val="center"/>
              <w:rPr>
                <w:color w:val="auto"/>
                <w:szCs w:val="21"/>
                <w:highlight w:val="none"/>
              </w:rPr>
            </w:pPr>
          </w:p>
        </w:tc>
        <w:tc>
          <w:tcPr>
            <w:tcW w:w="4047" w:type="dxa"/>
            <w:tcBorders>
              <w:top w:val="single" w:color="000000" w:sz="6" w:space="0"/>
              <w:left w:val="single" w:color="000000" w:sz="6" w:space="0"/>
              <w:bottom w:val="single" w:color="000000" w:sz="6" w:space="0"/>
              <w:right w:val="single" w:color="000000" w:sz="6" w:space="0"/>
            </w:tcBorders>
            <w:vAlign w:val="center"/>
          </w:tcPr>
          <w:p w14:paraId="2C5F9FA2">
            <w:pPr>
              <w:jc w:val="center"/>
              <w:rPr>
                <w:rFonts w:ascii="宋体" w:hAnsi="宋体"/>
                <w:color w:val="auto"/>
                <w:highlight w:val="none"/>
              </w:rPr>
            </w:pPr>
            <w:r>
              <w:rPr>
                <w:rFonts w:hint="eastAsia" w:ascii="宋体" w:hAnsi="宋体"/>
                <w:color w:val="auto"/>
                <w:highlight w:val="none"/>
              </w:rPr>
              <w:t>附件</w:t>
            </w:r>
            <w:r>
              <w:rPr>
                <w:rFonts w:ascii="宋体" w:hAnsi="宋体"/>
                <w:color w:val="auto"/>
                <w:highlight w:val="none"/>
              </w:rPr>
              <w:t>3</w:t>
            </w:r>
          </w:p>
        </w:tc>
      </w:tr>
    </w:tbl>
    <w:p w14:paraId="38B992D3">
      <w:pPr>
        <w:pStyle w:val="22"/>
        <w:kinsoku w:val="0"/>
        <w:overflowPunct w:val="0"/>
        <w:spacing w:line="360" w:lineRule="auto"/>
        <w:jc w:val="left"/>
        <w:rPr>
          <w:color w:val="auto"/>
          <w:sz w:val="21"/>
          <w:szCs w:val="21"/>
          <w:highlight w:val="none"/>
        </w:rPr>
      </w:pPr>
      <w:r>
        <w:rPr>
          <w:rFonts w:hint="eastAsia"/>
          <w:color w:val="auto"/>
          <w:sz w:val="21"/>
          <w:szCs w:val="21"/>
          <w:highlight w:val="none"/>
        </w:rPr>
        <w:t>注：</w:t>
      </w:r>
      <w:r>
        <w:rPr>
          <w:color w:val="auto"/>
          <w:sz w:val="21"/>
          <w:szCs w:val="21"/>
          <w:highlight w:val="none"/>
        </w:rPr>
        <w:t>1.投标人</w:t>
      </w:r>
      <w:r>
        <w:rPr>
          <w:rFonts w:hint="eastAsia"/>
          <w:color w:val="auto"/>
          <w:sz w:val="21"/>
          <w:szCs w:val="21"/>
          <w:highlight w:val="none"/>
          <w:lang w:val="en-US" w:eastAsia="zh-CN"/>
        </w:rPr>
        <w:t>应</w:t>
      </w:r>
      <w:r>
        <w:rPr>
          <w:color w:val="auto"/>
          <w:sz w:val="21"/>
          <w:szCs w:val="21"/>
          <w:highlight w:val="none"/>
        </w:rPr>
        <w:t>在</w:t>
      </w:r>
      <w:r>
        <w:rPr>
          <w:rFonts w:hint="eastAsia"/>
          <w:color w:val="auto"/>
          <w:sz w:val="21"/>
          <w:szCs w:val="21"/>
          <w:highlight w:val="none"/>
          <w:lang w:val="en-US" w:eastAsia="zh-CN"/>
        </w:rPr>
        <w:t>本</w:t>
      </w:r>
      <w:r>
        <w:rPr>
          <w:color w:val="auto"/>
          <w:sz w:val="21"/>
          <w:szCs w:val="21"/>
          <w:highlight w:val="none"/>
        </w:rPr>
        <w:t>表后按照要求的内容</w:t>
      </w:r>
      <w:r>
        <w:rPr>
          <w:rFonts w:hint="eastAsia"/>
          <w:color w:val="auto"/>
          <w:sz w:val="21"/>
          <w:szCs w:val="21"/>
          <w:highlight w:val="none"/>
          <w:lang w:val="en-US" w:eastAsia="zh-CN"/>
        </w:rPr>
        <w:t>提供</w:t>
      </w:r>
      <w:r>
        <w:rPr>
          <w:color w:val="auto"/>
          <w:sz w:val="21"/>
          <w:szCs w:val="21"/>
          <w:highlight w:val="none"/>
        </w:rPr>
        <w:t>对应年度的相关财务状况证明材料附件3系列</w:t>
      </w:r>
      <w:r>
        <w:rPr>
          <w:rStyle w:val="59"/>
          <w:color w:val="auto"/>
          <w:sz w:val="21"/>
          <w:szCs w:val="21"/>
          <w:highlight w:val="none"/>
        </w:rPr>
        <w:footnoteReference w:id="290"/>
      </w:r>
      <w:r>
        <w:rPr>
          <w:color w:val="auto"/>
          <w:sz w:val="21"/>
          <w:szCs w:val="21"/>
          <w:highlight w:val="none"/>
        </w:rPr>
        <w:t>：</w:t>
      </w:r>
    </w:p>
    <w:p w14:paraId="3457BDE7">
      <w:pPr>
        <w:pStyle w:val="22"/>
        <w:kinsoku w:val="0"/>
        <w:overflowPunct w:val="0"/>
        <w:spacing w:line="360" w:lineRule="auto"/>
        <w:ind w:left="630" w:leftChars="300" w:firstLine="0" w:firstLineChars="0"/>
        <w:jc w:val="left"/>
        <w:rPr>
          <w:color w:val="auto"/>
          <w:sz w:val="21"/>
          <w:szCs w:val="21"/>
          <w:highlight w:val="none"/>
        </w:rPr>
      </w:pPr>
      <w:r>
        <w:rPr>
          <w:rFonts w:cs="宋体"/>
          <w:b/>
          <w:bCs/>
          <w:color w:val="auto"/>
          <w:sz w:val="21"/>
          <w:szCs w:val="21"/>
          <w:highlight w:val="none"/>
        </w:rPr>
        <w:sym w:font="Wingdings 2" w:char="00A3"/>
      </w:r>
      <w:r>
        <w:rPr>
          <w:color w:val="auto"/>
          <w:sz w:val="21"/>
          <w:szCs w:val="21"/>
          <w:highlight w:val="none"/>
          <w:u w:val="single"/>
        </w:rPr>
        <w:t xml:space="preserve">     </w:t>
      </w:r>
      <w:r>
        <w:rPr>
          <w:rFonts w:hint="eastAsia"/>
          <w:color w:val="auto"/>
          <w:sz w:val="21"/>
          <w:szCs w:val="21"/>
          <w:highlight w:val="none"/>
        </w:rPr>
        <w:t>年度会计师事务所出具的财务审计报告</w:t>
      </w:r>
      <w:r>
        <w:rPr>
          <w:rFonts w:hint="eastAsia" w:ascii="宋体" w:hAnsi="宋体" w:eastAsia="宋体" w:cs="宋体"/>
          <w:color w:val="auto"/>
          <w:sz w:val="21"/>
          <w:szCs w:val="21"/>
          <w:highlight w:val="none"/>
        </w:rPr>
        <w:t>［</w:t>
      </w:r>
      <w:r>
        <w:rPr>
          <w:rFonts w:hint="eastAsia"/>
          <w:color w:val="auto"/>
          <w:sz w:val="21"/>
          <w:szCs w:val="21"/>
          <w:highlight w:val="none"/>
        </w:rPr>
        <w:t>包括资产负债表、现金流量表、利润表和财务情况说明书（或附注）的原件原色扫描件</w:t>
      </w:r>
      <w:bookmarkStart w:id="925" w:name="_Hlk94097847"/>
      <w:r>
        <w:rPr>
          <w:rFonts w:hint="eastAsia"/>
          <w:color w:val="auto"/>
          <w:sz w:val="21"/>
          <w:szCs w:val="21"/>
          <w:highlight w:val="none"/>
        </w:rPr>
        <w:t>，</w:t>
      </w:r>
      <w:r>
        <w:rPr>
          <w:color w:val="auto"/>
          <w:sz w:val="21"/>
          <w:szCs w:val="21"/>
          <w:highlight w:val="none"/>
        </w:rPr>
        <w:t>无须额外提供会计师事务所签署审计报告的注册会计师身份证明、主任会计师身份证明、合伙人身份证明以及主任会计师授权等相关资料</w:t>
      </w:r>
      <w:bookmarkEnd w:id="925"/>
      <w:r>
        <w:rPr>
          <w:rFonts w:hint="eastAsia" w:ascii="宋体" w:hAnsi="宋体" w:eastAsia="宋体" w:cs="宋体"/>
          <w:color w:val="auto"/>
          <w:sz w:val="21"/>
          <w:szCs w:val="21"/>
          <w:highlight w:val="none"/>
        </w:rPr>
        <w:t>］</w:t>
      </w:r>
      <w:r>
        <w:rPr>
          <w:rFonts w:hint="eastAsia"/>
          <w:color w:val="auto"/>
          <w:sz w:val="21"/>
          <w:szCs w:val="21"/>
          <w:highlight w:val="none"/>
        </w:rPr>
        <w:t>。本表所列数据必须与本表各附件中的数据相一致。</w:t>
      </w:r>
    </w:p>
    <w:p w14:paraId="2B28E8D7">
      <w:pPr>
        <w:pStyle w:val="22"/>
        <w:kinsoku w:val="0"/>
        <w:overflowPunct w:val="0"/>
        <w:spacing w:line="360" w:lineRule="auto"/>
        <w:ind w:firstLine="632" w:firstLineChars="300"/>
        <w:jc w:val="left"/>
        <w:rPr>
          <w:color w:val="auto"/>
          <w:sz w:val="21"/>
          <w:szCs w:val="21"/>
          <w:highlight w:val="none"/>
        </w:rPr>
      </w:pPr>
      <w:r>
        <w:rPr>
          <w:rFonts w:hint="eastAsia" w:cs="宋体"/>
          <w:b/>
          <w:bCs/>
          <w:color w:val="auto"/>
          <w:sz w:val="21"/>
          <w:szCs w:val="21"/>
          <w:highlight w:val="none"/>
        </w:rPr>
        <w:t>□</w:t>
      </w:r>
      <w:r>
        <w:rPr>
          <w:rFonts w:cs="宋体"/>
          <w:color w:val="auto"/>
          <w:sz w:val="21"/>
          <w:szCs w:val="21"/>
          <w:highlight w:val="none"/>
          <w:u w:val="single"/>
        </w:rPr>
        <w:t xml:space="preserve">     </w:t>
      </w:r>
      <w:r>
        <w:rPr>
          <w:rFonts w:cs="宋体"/>
          <w:color w:val="auto"/>
          <w:sz w:val="21"/>
          <w:szCs w:val="21"/>
          <w:highlight w:val="none"/>
        </w:rPr>
        <w:t>年度</w:t>
      </w:r>
      <w:r>
        <w:rPr>
          <w:rFonts w:hint="eastAsia" w:cs="黑体"/>
          <w:color w:val="auto"/>
          <w:sz w:val="21"/>
          <w:szCs w:val="21"/>
          <w:highlight w:val="none"/>
        </w:rPr>
        <w:t>财务状况承诺函（不</w:t>
      </w:r>
      <w:r>
        <w:rPr>
          <w:rFonts w:hint="eastAsia" w:cs="黑体"/>
          <w:color w:val="auto"/>
          <w:sz w:val="21"/>
          <w:szCs w:val="21"/>
          <w:highlight w:val="none"/>
          <w:lang w:val="en-US" w:eastAsia="zh-CN"/>
        </w:rPr>
        <w:t>要求同时</w:t>
      </w:r>
      <w:r>
        <w:rPr>
          <w:rFonts w:hint="eastAsia" w:cs="黑体"/>
          <w:color w:val="auto"/>
          <w:sz w:val="21"/>
          <w:szCs w:val="21"/>
          <w:highlight w:val="none"/>
        </w:rPr>
        <w:t>提供财务审计报告）</w:t>
      </w:r>
      <w:r>
        <w:rPr>
          <w:rFonts w:hint="eastAsia"/>
          <w:color w:val="auto"/>
          <w:sz w:val="21"/>
          <w:szCs w:val="21"/>
          <w:highlight w:val="none"/>
        </w:rPr>
        <w:t>。</w:t>
      </w:r>
    </w:p>
    <w:p w14:paraId="20F3138F">
      <w:pPr>
        <w:pStyle w:val="22"/>
        <w:numPr>
          <w:ilvl w:val="-1"/>
          <w:numId w:val="0"/>
        </w:numPr>
        <w:kinsoku w:val="0"/>
        <w:overflowPunct w:val="0"/>
        <w:spacing w:line="360" w:lineRule="auto"/>
        <w:ind w:left="630" w:leftChars="200" w:hanging="210" w:hangingChars="100"/>
        <w:jc w:val="left"/>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因投标人自身原因未</w:t>
      </w:r>
      <w:r>
        <w:rPr>
          <w:rFonts w:hint="eastAsia"/>
          <w:color w:val="auto"/>
          <w:sz w:val="21"/>
          <w:szCs w:val="21"/>
          <w:highlight w:val="none"/>
          <w:lang w:val="en-US" w:eastAsia="zh-CN"/>
        </w:rPr>
        <w:t>提供</w:t>
      </w:r>
      <w:r>
        <w:rPr>
          <w:rFonts w:hint="eastAsia"/>
          <w:color w:val="auto"/>
          <w:sz w:val="21"/>
          <w:szCs w:val="21"/>
          <w:highlight w:val="none"/>
        </w:rPr>
        <w:t>附件或</w:t>
      </w:r>
      <w:r>
        <w:rPr>
          <w:rFonts w:hint="eastAsia"/>
          <w:color w:val="auto"/>
          <w:sz w:val="21"/>
          <w:szCs w:val="21"/>
          <w:highlight w:val="none"/>
          <w:lang w:val="en-US" w:eastAsia="zh-CN"/>
        </w:rPr>
        <w:t>提供</w:t>
      </w:r>
      <w:r>
        <w:rPr>
          <w:rFonts w:hint="eastAsia"/>
          <w:color w:val="auto"/>
          <w:sz w:val="21"/>
          <w:szCs w:val="21"/>
          <w:highlight w:val="none"/>
        </w:rPr>
        <w:t>的附件不能与所证明的内容相匹配，造成财务或其他内容不予认可时，投标人自行承担相关责任。</w:t>
      </w:r>
    </w:p>
    <w:p w14:paraId="7B9417E5">
      <w:pPr>
        <w:pStyle w:val="299"/>
        <w:adjustRightInd w:val="0"/>
        <w:snapToGrid w:val="0"/>
        <w:spacing w:line="360" w:lineRule="auto"/>
        <w:ind w:left="609" w:leftChars="190" w:hanging="210" w:hangingChars="1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highlight w:val="none"/>
        </w:rPr>
        <w:t>以联合体形式投标的，联合体各成员</w:t>
      </w:r>
      <w:r>
        <w:rPr>
          <w:rFonts w:hint="eastAsia" w:ascii="宋体" w:hAnsi="宋体" w:cs="宋体"/>
          <w:color w:val="auto"/>
          <w:highlight w:val="none"/>
        </w:rPr>
        <w:t>均</w:t>
      </w:r>
      <w:r>
        <w:rPr>
          <w:rFonts w:ascii="宋体" w:hAnsi="宋体" w:cs="宋体"/>
          <w:color w:val="auto"/>
          <w:highlight w:val="none"/>
        </w:rPr>
        <w:t>应分</w:t>
      </w:r>
      <w:r>
        <w:rPr>
          <w:rFonts w:hint="eastAsia" w:ascii="宋体" w:hAnsi="宋体" w:cs="宋体"/>
          <w:color w:val="auto"/>
          <w:highlight w:val="none"/>
        </w:rPr>
        <w:t>别</w:t>
      </w:r>
      <w:r>
        <w:rPr>
          <w:rFonts w:ascii="宋体" w:hAnsi="宋体" w:cs="宋体"/>
          <w:color w:val="auto"/>
          <w:highlight w:val="none"/>
        </w:rPr>
        <w:t>填报</w:t>
      </w:r>
      <w:r>
        <w:rPr>
          <w:rFonts w:hint="eastAsia" w:ascii="宋体" w:hAnsi="宋体" w:cs="宋体"/>
          <w:color w:val="auto"/>
          <w:highlight w:val="none"/>
        </w:rPr>
        <w:t>本表并</w:t>
      </w:r>
      <w:r>
        <w:rPr>
          <w:rFonts w:ascii="宋体" w:hAnsi="宋体" w:cs="宋体"/>
          <w:color w:val="auto"/>
          <w:highlight w:val="none"/>
        </w:rPr>
        <w:t>提供</w:t>
      </w:r>
      <w:r>
        <w:rPr>
          <w:rFonts w:hint="eastAsia" w:ascii="宋体" w:hAnsi="宋体" w:cs="宋体"/>
          <w:color w:val="auto"/>
          <w:highlight w:val="none"/>
        </w:rPr>
        <w:t>上述相应</w:t>
      </w:r>
      <w:r>
        <w:rPr>
          <w:rFonts w:hint="eastAsia" w:ascii="宋体" w:hAnsi="宋体" w:cs="宋体"/>
          <w:color w:val="auto"/>
          <w:highlight w:val="none"/>
          <w:lang w:val="en-US" w:eastAsia="zh-CN"/>
        </w:rPr>
        <w:t>证明材料</w:t>
      </w:r>
      <w:r>
        <w:rPr>
          <w:rFonts w:hint="eastAsia" w:ascii="宋体" w:hAnsi="宋体" w:cs="宋体"/>
          <w:color w:val="auto"/>
          <w:highlight w:val="none"/>
        </w:rPr>
        <w:t>。</w:t>
      </w:r>
    </w:p>
    <w:p w14:paraId="2A3C844E">
      <w:pPr>
        <w:rPr>
          <w:rFonts w:hint="eastAsia" w:ascii="宋体" w:hAnsi="宋体" w:cs="宋体"/>
          <w:color w:val="auto"/>
          <w:highlight w:val="none"/>
        </w:rPr>
      </w:pPr>
      <w:r>
        <w:rPr>
          <w:rFonts w:hint="eastAsia" w:ascii="宋体" w:hAnsi="宋体" w:cs="宋体"/>
          <w:color w:val="auto"/>
          <w:highlight w:val="none"/>
        </w:rPr>
        <w:br w:type="page"/>
      </w:r>
    </w:p>
    <w:p w14:paraId="3EB18673">
      <w:pPr>
        <w:ind w:firstLine="1200" w:firstLineChars="500"/>
        <w:outlineLvl w:val="9"/>
        <w:rPr>
          <w:rFonts w:ascii="黑体" w:hAnsi="黑体" w:eastAsia="黑体"/>
          <w:color w:val="auto"/>
          <w:sz w:val="24"/>
          <w:szCs w:val="24"/>
          <w:highlight w:val="none"/>
        </w:rPr>
      </w:pPr>
      <w:bookmarkStart w:id="926" w:name="_Toc53685815"/>
      <w:r>
        <w:rPr>
          <w:rFonts w:hint="eastAsia" w:ascii="黑体" w:hAnsi="黑体" w:eastAsia="黑体"/>
          <w:bCs/>
          <w:color w:val="auto"/>
          <w:sz w:val="24"/>
          <w:szCs w:val="24"/>
          <w:highlight w:val="none"/>
        </w:rPr>
        <w:t>附件</w:t>
      </w:r>
      <w:r>
        <w:rPr>
          <w:rFonts w:ascii="黑体" w:hAnsi="黑体" w:eastAsia="黑体"/>
          <w:bCs/>
          <w:color w:val="auto"/>
          <w:sz w:val="24"/>
          <w:szCs w:val="24"/>
          <w:highlight w:val="none"/>
        </w:rPr>
        <w:t xml:space="preserve">3  </w:t>
      </w:r>
      <w:r>
        <w:rPr>
          <w:rFonts w:hint="eastAsia" w:ascii="黑体" w:hAnsi="黑体" w:eastAsia="黑体" w:cs="宋体"/>
          <w:b/>
          <w:bCs/>
          <w:color w:val="auto"/>
          <w:sz w:val="24"/>
          <w:szCs w:val="24"/>
          <w:highlight w:val="none"/>
        </w:rPr>
        <w:t>□</w:t>
      </w:r>
      <w:r>
        <w:rPr>
          <w:rFonts w:ascii="黑体" w:hAnsi="黑体" w:eastAsia="黑体"/>
          <w:bCs/>
          <w:color w:val="auto"/>
          <w:sz w:val="24"/>
          <w:szCs w:val="24"/>
          <w:highlight w:val="none"/>
        </w:rPr>
        <w:t xml:space="preserve"> </w:t>
      </w:r>
      <w:r>
        <w:rPr>
          <w:rFonts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u w:val="single"/>
          <w:lang w:val="en-US" w:eastAsia="zh-CN"/>
        </w:rPr>
        <w:t xml:space="preserve">    </w:t>
      </w:r>
      <w:r>
        <w:rPr>
          <w:rFonts w:ascii="黑体" w:hAnsi="黑体" w:eastAsia="黑体"/>
          <w:bCs/>
          <w:color w:val="auto"/>
          <w:sz w:val="24"/>
          <w:szCs w:val="24"/>
          <w:highlight w:val="none"/>
          <w:u w:val="single"/>
        </w:rPr>
        <w:t xml:space="preserve"> </w:t>
      </w:r>
      <w:r>
        <w:rPr>
          <w:rFonts w:hint="eastAsia" w:ascii="黑体" w:hAnsi="黑体" w:eastAsia="黑体"/>
          <w:bCs/>
          <w:color w:val="auto"/>
          <w:sz w:val="24"/>
          <w:szCs w:val="24"/>
          <w:highlight w:val="none"/>
        </w:rPr>
        <w:t>年度会计师事务所出具的财务审计报告</w:t>
      </w:r>
      <w:bookmarkEnd w:id="926"/>
    </w:p>
    <w:p w14:paraId="2D7FEC24">
      <w:pPr>
        <w:pStyle w:val="27"/>
        <w:spacing w:line="360" w:lineRule="auto"/>
        <w:ind w:firstLine="2168" w:firstLineChars="900"/>
        <w:jc w:val="both"/>
        <w:outlineLvl w:val="9"/>
        <w:rPr>
          <w:rFonts w:ascii="黑体" w:hAnsi="黑体" w:eastAsia="黑体"/>
          <w:color w:val="auto"/>
          <w:sz w:val="24"/>
          <w:szCs w:val="24"/>
          <w:highlight w:val="none"/>
        </w:rPr>
      </w:pPr>
      <w:bookmarkStart w:id="927" w:name="_Toc53685816"/>
      <w:r>
        <w:rPr>
          <w:rFonts w:hint="eastAsia" w:ascii="黑体" w:hAnsi="黑体" w:eastAsia="黑体" w:cs="宋体"/>
          <w:b/>
          <w:bCs/>
          <w:color w:val="auto"/>
          <w:sz w:val="24"/>
          <w:szCs w:val="24"/>
          <w:highlight w:val="none"/>
        </w:rPr>
        <w:t>□</w:t>
      </w:r>
      <w:r>
        <w:rPr>
          <w:rFonts w:ascii="黑体" w:hAnsi="黑体" w:eastAsia="黑体"/>
          <w:color w:val="auto"/>
          <w:sz w:val="24"/>
          <w:szCs w:val="24"/>
          <w:highlight w:val="none"/>
        </w:rPr>
        <w:t xml:space="preserve"> </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u w:val="single"/>
          <w:lang w:val="en-US" w:eastAsia="zh-CN"/>
        </w:rPr>
        <w:t xml:space="preserve">  </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年度财务状况承诺函</w:t>
      </w:r>
      <w:bookmarkEnd w:id="927"/>
    </w:p>
    <w:p w14:paraId="0966B50C">
      <w:pPr>
        <w:widowControl/>
        <w:spacing w:line="280" w:lineRule="atLeast"/>
        <w:ind w:left="5" w:leftChars="-28" w:hanging="64" w:hangingChars="27"/>
        <w:jc w:val="center"/>
        <w:rPr>
          <w:rFonts w:ascii="宋体" w:hAnsi="宋体" w:cs="宋体"/>
          <w:color w:val="auto"/>
          <w:kern w:val="0"/>
          <w:sz w:val="24"/>
          <w:highlight w:val="none"/>
        </w:rPr>
      </w:pPr>
    </w:p>
    <w:p w14:paraId="18510BC5">
      <w:pPr>
        <w:pStyle w:val="27"/>
        <w:spacing w:line="600" w:lineRule="auto"/>
        <w:rPr>
          <w:rFonts w:hAnsi="宋体"/>
          <w:color w:val="auto"/>
          <w:sz w:val="24"/>
          <w:szCs w:val="24"/>
          <w:highlight w:val="none"/>
        </w:rPr>
      </w:pPr>
      <w:r>
        <w:rPr>
          <w:rFonts w:hAnsi="宋体"/>
          <w:color w:val="auto"/>
          <w:sz w:val="24"/>
          <w:szCs w:val="24"/>
          <w:highlight w:val="none"/>
          <w:u w:val="single"/>
        </w:rPr>
        <w:t xml:space="preserve">        </w:t>
      </w:r>
      <w:r>
        <w:rPr>
          <w:rFonts w:hint="eastAsia" w:hAnsi="宋体"/>
          <w:color w:val="auto"/>
          <w:sz w:val="24"/>
          <w:szCs w:val="24"/>
          <w:highlight w:val="none"/>
          <w:u w:val="single"/>
        </w:rPr>
        <w:t>（招标人名称）</w:t>
      </w:r>
      <w:r>
        <w:rPr>
          <w:rFonts w:hAnsi="宋体"/>
          <w:color w:val="auto"/>
          <w:sz w:val="24"/>
          <w:szCs w:val="24"/>
          <w:highlight w:val="none"/>
          <w:u w:val="single"/>
        </w:rPr>
        <w:t xml:space="preserve">        </w:t>
      </w:r>
    </w:p>
    <w:p w14:paraId="718F851C">
      <w:p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我方在此承诺：</w:t>
      </w:r>
    </w:p>
    <w:p w14:paraId="22C54403">
      <w:pPr>
        <w:spacing w:line="360" w:lineRule="auto"/>
        <w:ind w:firstLine="420"/>
        <w:rPr>
          <w:color w:val="auto"/>
          <w:sz w:val="24"/>
          <w:highlight w:val="none"/>
        </w:rPr>
      </w:pPr>
      <w:r>
        <w:rPr>
          <w:rFonts w:ascii="宋体" w:hAnsi="宋体"/>
          <w:color w:val="auto"/>
          <w:sz w:val="24"/>
          <w:highlight w:val="none"/>
        </w:rPr>
        <w:t xml:space="preserve"> 我方的</w:t>
      </w:r>
      <w:r>
        <w:rPr>
          <w:rFonts w:ascii="宋体" w:hAnsi="宋体"/>
          <w:color w:val="auto"/>
          <w:sz w:val="24"/>
          <w:highlight w:val="none"/>
          <w:u w:val="single"/>
        </w:rPr>
        <w:t xml:space="preserve">     </w:t>
      </w:r>
      <w:r>
        <w:rPr>
          <w:rFonts w:hint="eastAsia" w:ascii="宋体" w:hAnsi="宋体"/>
          <w:color w:val="auto"/>
          <w:sz w:val="24"/>
          <w:highlight w:val="none"/>
        </w:rPr>
        <w:t>年度的财务状况已经</w:t>
      </w:r>
      <w:r>
        <w:rPr>
          <w:rFonts w:hint="eastAsia" w:hAnsi="宋体"/>
          <w:color w:val="auto"/>
          <w:sz w:val="24"/>
          <w:highlight w:val="none"/>
        </w:rPr>
        <w:t>会计师事务所</w:t>
      </w:r>
      <w:r>
        <w:rPr>
          <w:rFonts w:ascii="宋体" w:hAnsi="宋体"/>
          <w:color w:val="auto"/>
          <w:sz w:val="24"/>
          <w:highlight w:val="none"/>
        </w:rPr>
        <w:t>进行了审计并</w:t>
      </w:r>
      <w:r>
        <w:rPr>
          <w:rFonts w:hint="eastAsia" w:hAnsi="宋体"/>
          <w:color w:val="auto"/>
          <w:sz w:val="24"/>
          <w:highlight w:val="none"/>
        </w:rPr>
        <w:t>出具了审计报告，且财务状况表中的数据与审计报告一致</w:t>
      </w:r>
      <w:r>
        <w:rPr>
          <w:rFonts w:hint="eastAsia" w:hAnsi="宋体" w:cs="宋体"/>
          <w:color w:val="auto"/>
          <w:kern w:val="0"/>
          <w:sz w:val="24"/>
          <w:highlight w:val="none"/>
        </w:rPr>
        <w:t>。</w:t>
      </w:r>
    </w:p>
    <w:p w14:paraId="71013C51">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如一经查实上述内容</w:t>
      </w:r>
      <w:r>
        <w:rPr>
          <w:rFonts w:ascii="宋体" w:hAnsi="宋体" w:cs="仿宋"/>
          <w:color w:val="auto"/>
          <w:sz w:val="24"/>
          <w:highlight w:val="none"/>
        </w:rPr>
        <w:t>不实，</w:t>
      </w:r>
      <w:r>
        <w:rPr>
          <w:rFonts w:hint="eastAsia" w:ascii="宋体" w:hAnsi="宋体" w:cs="仿宋"/>
          <w:color w:val="auto"/>
          <w:sz w:val="24"/>
          <w:highlight w:val="none"/>
        </w:rPr>
        <w:t>将不通过资格审查；在中标候选人确定后发现的，招标人可取消我方中标候选人或中标资格。</w:t>
      </w:r>
    </w:p>
    <w:p w14:paraId="2CCA13B7">
      <w:pP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特此承诺。</w:t>
      </w:r>
    </w:p>
    <w:p w14:paraId="6B3B5CFF">
      <w:pPr>
        <w:spacing w:line="360" w:lineRule="auto"/>
        <w:jc w:val="left"/>
        <w:rPr>
          <w:rFonts w:ascii="宋体" w:hAnsi="宋体"/>
          <w:color w:val="auto"/>
          <w:sz w:val="24"/>
          <w:highlight w:val="none"/>
        </w:rPr>
      </w:pPr>
    </w:p>
    <w:p w14:paraId="4F092B80">
      <w:pPr>
        <w:pStyle w:val="27"/>
        <w:spacing w:line="360" w:lineRule="auto"/>
        <w:ind w:firstLine="1320" w:firstLineChars="550"/>
        <w:rPr>
          <w:rFonts w:hAnsi="宋体" w:cs="宋体"/>
          <w:color w:val="auto"/>
          <w:sz w:val="24"/>
          <w:szCs w:val="24"/>
          <w:highlight w:val="none"/>
        </w:rPr>
      </w:pPr>
    </w:p>
    <w:p w14:paraId="69019AE7">
      <w:pPr>
        <w:pStyle w:val="27"/>
        <w:spacing w:line="360" w:lineRule="auto"/>
        <w:ind w:firstLine="1080" w:firstLineChars="450"/>
        <w:rPr>
          <w:rFonts w:hAnsi="宋体" w:cs="宋体"/>
          <w:color w:val="auto"/>
          <w:sz w:val="24"/>
          <w:szCs w:val="24"/>
          <w:highlight w:val="none"/>
          <w:u w:val="single"/>
        </w:rPr>
      </w:pPr>
      <w:r>
        <w:rPr>
          <w:rFonts w:hint="eastAsia" w:hAnsi="宋体" w:cs="宋体"/>
          <w:color w:val="auto"/>
          <w:sz w:val="24"/>
          <w:szCs w:val="24"/>
          <w:highlight w:val="none"/>
        </w:rPr>
        <w:t>投标人：</w:t>
      </w:r>
      <w:r>
        <w:rPr>
          <w:rFonts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（盖单位电子印章）</w:t>
      </w:r>
      <w:r>
        <w:rPr>
          <w:rStyle w:val="59"/>
          <w:rFonts w:hAnsi="宋体" w:cs="宋体"/>
          <w:color w:val="auto"/>
          <w:sz w:val="24"/>
          <w:szCs w:val="24"/>
          <w:highlight w:val="none"/>
        </w:rPr>
        <w:footnoteReference w:id="291"/>
      </w:r>
    </w:p>
    <w:p w14:paraId="244FFCC2">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法定代表人</w:t>
      </w:r>
    </w:p>
    <w:p w14:paraId="2C24889C">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或其委托代理人：</w:t>
      </w:r>
      <w:r>
        <w:rPr>
          <w:rFonts w:hint="eastAsia" w:ascii="宋体" w:hAnsi="宋体" w:cs="宋体"/>
          <w:color w:val="auto"/>
          <w:sz w:val="24"/>
          <w:highlight w:val="none"/>
          <w:u w:val="single"/>
        </w:rPr>
        <w:t>（职务、姓名）</w:t>
      </w:r>
      <w:r>
        <w:rPr>
          <w:rFonts w:hint="eastAsia" w:ascii="宋体" w:hAnsi="宋体" w:cs="宋体"/>
          <w:color w:val="auto"/>
          <w:sz w:val="24"/>
          <w:highlight w:val="none"/>
        </w:rPr>
        <w:t>（个人电子签名章或个人电子印章）</w:t>
      </w:r>
      <w:r>
        <w:rPr>
          <w:rStyle w:val="59"/>
          <w:rFonts w:ascii="宋体" w:hAnsi="宋体" w:cs="宋体"/>
          <w:color w:val="auto"/>
          <w:sz w:val="24"/>
          <w:highlight w:val="none"/>
        </w:rPr>
        <w:footnoteReference w:id="292"/>
      </w:r>
    </w:p>
    <w:p w14:paraId="7D337345">
      <w:pPr>
        <w:spacing w:line="360" w:lineRule="auto"/>
        <w:ind w:firstLine="2880" w:firstLineChars="1200"/>
        <w:rPr>
          <w:color w:val="auto"/>
          <w:sz w:val="24"/>
          <w:highlight w:val="none"/>
        </w:rPr>
      </w:pPr>
      <w:r>
        <w:rPr>
          <w:rFonts w:hint="eastAsia" w:ascii="宋体" w:hAnsi="宋体"/>
          <w:color w:val="auto"/>
          <w:sz w:val="24"/>
          <w:highlight w:val="non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594489CE">
      <w:pPr>
        <w:pStyle w:val="22"/>
        <w:kinsoku w:val="0"/>
        <w:overflowPunct w:val="0"/>
        <w:jc w:val="left"/>
        <w:rPr>
          <w:color w:val="auto"/>
          <w:highlight w:val="none"/>
        </w:rPr>
      </w:pPr>
    </w:p>
    <w:p w14:paraId="0B70040A">
      <w:pPr>
        <w:pStyle w:val="22"/>
        <w:kinsoku w:val="0"/>
        <w:overflowPunct w:val="0"/>
        <w:spacing w:before="189"/>
        <w:ind w:left="2761"/>
        <w:rPr>
          <w:rFonts w:cs="黑体"/>
          <w:color w:val="auto"/>
          <w:highlight w:val="none"/>
        </w:rPr>
        <w:sectPr>
          <w:footerReference r:id="rId29" w:type="default"/>
          <w:footerReference r:id="rId30" w:type="even"/>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pPr>
    </w:p>
    <w:p w14:paraId="7F768C65">
      <w:pPr>
        <w:pStyle w:val="6"/>
        <w:rPr>
          <w:rFonts w:hint="eastAsia" w:ascii="黑体" w:hAnsi="黑体" w:eastAsia="黑体" w:cs="黑体"/>
          <w:b w:val="0"/>
          <w:bCs w:val="0"/>
          <w:color w:val="auto"/>
          <w:sz w:val="28"/>
          <w:szCs w:val="32"/>
          <w:highlight w:val="none"/>
        </w:rPr>
      </w:pPr>
      <w:bookmarkStart w:id="928" w:name="bookmark314"/>
      <w:bookmarkEnd w:id="928"/>
      <w:r>
        <w:rPr>
          <w:rFonts w:hint="eastAsia" w:ascii="黑体" w:hAnsi="黑体" w:eastAsia="黑体" w:cs="黑体"/>
          <w:b w:val="0"/>
          <w:bCs w:val="0"/>
          <w:color w:val="auto"/>
          <w:sz w:val="28"/>
          <w:szCs w:val="32"/>
          <w:highlight w:val="none"/>
        </w:rPr>
        <w:t>（四）近年完成的类似项目情况表</w:t>
      </w:r>
      <w:r>
        <w:rPr>
          <w:rFonts w:hint="eastAsia" w:ascii="黑体" w:hAnsi="黑体" w:eastAsia="黑体" w:cs="黑体"/>
          <w:b w:val="0"/>
          <w:bCs w:val="0"/>
          <w:color w:val="auto"/>
          <w:sz w:val="28"/>
          <w:szCs w:val="32"/>
          <w:highlight w:val="none"/>
          <w:vertAlign w:val="superscript"/>
        </w:rPr>
        <w:footnoteReference w:id="293"/>
      </w:r>
    </w:p>
    <w:p w14:paraId="011A24A6">
      <w:pPr>
        <w:spacing w:line="360" w:lineRule="auto"/>
        <w:jc w:val="center"/>
        <w:rPr>
          <w:rFonts w:ascii="黑体" w:hAnsi="黑体" w:eastAsia="黑体" w:cs="宋体"/>
          <w:color w:val="auto"/>
          <w:sz w:val="24"/>
          <w:highlight w:val="none"/>
        </w:rPr>
      </w:pP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b/>
          <w:color w:val="auto"/>
          <w:sz w:val="24"/>
          <w:highlight w:val="none"/>
        </w:rPr>
        <w:t>□</w:t>
      </w:r>
      <w:r>
        <w:rPr>
          <w:rFonts w:ascii="黑体" w:hAnsi="黑体" w:eastAsia="黑体" w:cs="宋体"/>
          <w:color w:val="auto"/>
          <w:sz w:val="24"/>
          <w:highlight w:val="none"/>
        </w:rPr>
        <w:t xml:space="preserve"> 近年完成的</w:t>
      </w:r>
      <w:r>
        <w:rPr>
          <w:rFonts w:hint="eastAsia" w:ascii="黑体" w:hAnsi="黑体" w:eastAsia="黑体" w:cs="宋体"/>
          <w:color w:val="auto"/>
          <w:sz w:val="24"/>
          <w:highlight w:val="none"/>
        </w:rPr>
        <w:t>公路路基土建工程施工情况</w:t>
      </w:r>
      <w:r>
        <w:rPr>
          <w:rFonts w:hint="eastAsia" w:ascii="黑体" w:hAnsi="黑体" w:eastAsia="黑体" w:cs="宋体"/>
          <w:color w:val="auto"/>
          <w:sz w:val="24"/>
          <w:highlight w:val="none"/>
          <w:lang w:val="en-US" w:eastAsia="zh-CN"/>
        </w:rPr>
        <w:t>表</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表</w:t>
      </w:r>
      <w:r>
        <w:rPr>
          <w:rFonts w:hint="eastAsia" w:ascii="黑体" w:hAnsi="黑体" w:eastAsia="黑体" w:cs="宋体"/>
          <w:color w:val="auto"/>
          <w:sz w:val="24"/>
          <w:highlight w:val="none"/>
          <w:lang w:val="en-US" w:eastAsia="zh-CN"/>
        </w:rPr>
        <w:t>4.</w:t>
      </w:r>
      <w:r>
        <w:rPr>
          <w:rFonts w:ascii="黑体" w:hAnsi="黑体" w:eastAsia="黑体" w:cs="宋体"/>
          <w:color w:val="auto"/>
          <w:sz w:val="24"/>
          <w:highlight w:val="none"/>
        </w:rPr>
        <w:t>1</w:t>
      </w:r>
    </w:p>
    <w:tbl>
      <w:tblPr>
        <w:tblStyle w:val="49"/>
        <w:tblW w:w="13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169"/>
        <w:gridCol w:w="1741"/>
        <w:gridCol w:w="713"/>
        <w:gridCol w:w="1142"/>
        <w:gridCol w:w="886"/>
        <w:gridCol w:w="938"/>
        <w:gridCol w:w="937"/>
        <w:gridCol w:w="1071"/>
        <w:gridCol w:w="937"/>
        <w:gridCol w:w="1013"/>
        <w:gridCol w:w="829"/>
        <w:gridCol w:w="959"/>
        <w:gridCol w:w="1034"/>
      </w:tblGrid>
      <w:tr w14:paraId="428B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21D8B14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序号</w:t>
            </w:r>
          </w:p>
        </w:tc>
        <w:tc>
          <w:tcPr>
            <w:tcW w:w="1169" w:type="dxa"/>
            <w:tcMar>
              <w:top w:w="0" w:type="dxa"/>
              <w:left w:w="108" w:type="dxa"/>
              <w:bottom w:w="0" w:type="dxa"/>
              <w:right w:w="108" w:type="dxa"/>
            </w:tcMar>
            <w:vAlign w:val="center"/>
          </w:tcPr>
          <w:p w14:paraId="6D6D164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项目业主</w:t>
            </w:r>
          </w:p>
        </w:tc>
        <w:tc>
          <w:tcPr>
            <w:tcW w:w="1741" w:type="dxa"/>
            <w:tcMar>
              <w:top w:w="0" w:type="dxa"/>
              <w:left w:w="108" w:type="dxa"/>
              <w:bottom w:w="0" w:type="dxa"/>
              <w:right w:w="108" w:type="dxa"/>
            </w:tcMar>
            <w:vAlign w:val="center"/>
          </w:tcPr>
          <w:p w14:paraId="2FB34E9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项目名称</w:t>
            </w:r>
          </w:p>
        </w:tc>
        <w:tc>
          <w:tcPr>
            <w:tcW w:w="713" w:type="dxa"/>
            <w:vAlign w:val="center"/>
          </w:tcPr>
          <w:p w14:paraId="46BAA9D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公路</w:t>
            </w:r>
          </w:p>
          <w:p w14:paraId="138D598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等级</w:t>
            </w:r>
          </w:p>
        </w:tc>
        <w:tc>
          <w:tcPr>
            <w:tcW w:w="1142" w:type="dxa"/>
            <w:tcMar>
              <w:top w:w="0" w:type="dxa"/>
              <w:left w:w="108" w:type="dxa"/>
              <w:bottom w:w="0" w:type="dxa"/>
              <w:right w:w="108" w:type="dxa"/>
            </w:tcMar>
            <w:vAlign w:val="center"/>
          </w:tcPr>
          <w:p w14:paraId="56BAAECF">
            <w:pPr>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项目</w:t>
            </w:r>
            <w:r>
              <w:rPr>
                <w:rFonts w:hint="eastAsia" w:cs="宋体" w:asciiTheme="minorEastAsia" w:hAnsiTheme="minorEastAsia" w:eastAsiaTheme="minorEastAsia"/>
                <w:color w:val="auto"/>
                <w:szCs w:val="21"/>
                <w:highlight w:val="none"/>
              </w:rPr>
              <w:t>建设形式</w:t>
            </w:r>
          </w:p>
        </w:tc>
        <w:tc>
          <w:tcPr>
            <w:tcW w:w="886" w:type="dxa"/>
            <w:tcMar>
              <w:top w:w="0" w:type="dxa"/>
              <w:left w:w="108" w:type="dxa"/>
              <w:bottom w:w="0" w:type="dxa"/>
              <w:right w:w="108" w:type="dxa"/>
            </w:tcMar>
            <w:vAlign w:val="center"/>
          </w:tcPr>
          <w:p w14:paraId="3FC1C81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标段号</w:t>
            </w:r>
          </w:p>
        </w:tc>
        <w:tc>
          <w:tcPr>
            <w:tcW w:w="938" w:type="dxa"/>
            <w:vAlign w:val="center"/>
          </w:tcPr>
          <w:p w14:paraId="194FB2A2">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w:t>
            </w:r>
          </w:p>
          <w:p w14:paraId="7D90643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长度（</w:t>
            </w:r>
            <w:r>
              <w:rPr>
                <w:rFonts w:cs="宋体" w:asciiTheme="minorEastAsia" w:hAnsiTheme="minorEastAsia" w:eastAsiaTheme="minorEastAsia"/>
                <w:color w:val="auto"/>
                <w:szCs w:val="21"/>
                <w:highlight w:val="none"/>
              </w:rPr>
              <w:t>km）</w:t>
            </w:r>
          </w:p>
        </w:tc>
        <w:tc>
          <w:tcPr>
            <w:tcW w:w="937" w:type="dxa"/>
            <w:vAlign w:val="center"/>
          </w:tcPr>
          <w:p w14:paraId="65F5807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开工日期</w:t>
            </w:r>
          </w:p>
        </w:tc>
        <w:tc>
          <w:tcPr>
            <w:tcW w:w="1071" w:type="dxa"/>
            <w:tcMar>
              <w:top w:w="0" w:type="dxa"/>
              <w:left w:w="108" w:type="dxa"/>
              <w:bottom w:w="0" w:type="dxa"/>
              <w:right w:w="108" w:type="dxa"/>
            </w:tcMar>
            <w:vAlign w:val="center"/>
          </w:tcPr>
          <w:p w14:paraId="17EBDF11">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完成（交工）日期</w:t>
            </w:r>
          </w:p>
        </w:tc>
        <w:tc>
          <w:tcPr>
            <w:tcW w:w="937" w:type="dxa"/>
            <w:vAlign w:val="center"/>
          </w:tcPr>
          <w:p w14:paraId="01D975A3">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建设规模</w:t>
            </w:r>
          </w:p>
        </w:tc>
        <w:tc>
          <w:tcPr>
            <w:tcW w:w="1013" w:type="dxa"/>
            <w:tcMar>
              <w:top w:w="0" w:type="dxa"/>
              <w:left w:w="108" w:type="dxa"/>
              <w:bottom w:w="0" w:type="dxa"/>
              <w:right w:w="108" w:type="dxa"/>
            </w:tcMar>
            <w:vAlign w:val="center"/>
          </w:tcPr>
          <w:p w14:paraId="02B2069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合同价格（元）</w:t>
            </w:r>
          </w:p>
        </w:tc>
        <w:tc>
          <w:tcPr>
            <w:tcW w:w="829" w:type="dxa"/>
            <w:vAlign w:val="center"/>
          </w:tcPr>
          <w:p w14:paraId="4CC3A3D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项目经理</w:t>
            </w:r>
          </w:p>
        </w:tc>
        <w:tc>
          <w:tcPr>
            <w:tcW w:w="959" w:type="dxa"/>
            <w:tcMar>
              <w:top w:w="0" w:type="dxa"/>
              <w:left w:w="108" w:type="dxa"/>
              <w:bottom w:w="0" w:type="dxa"/>
              <w:right w:w="108" w:type="dxa"/>
            </w:tcMar>
            <w:vAlign w:val="center"/>
          </w:tcPr>
          <w:p w14:paraId="708B8B2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项目总工</w:t>
            </w:r>
          </w:p>
        </w:tc>
        <w:tc>
          <w:tcPr>
            <w:tcW w:w="1034" w:type="dxa"/>
            <w:vAlign w:val="center"/>
          </w:tcPr>
          <w:p w14:paraId="7FD8096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业绩证明材料附件</w:t>
            </w:r>
          </w:p>
        </w:tc>
      </w:tr>
      <w:tr w14:paraId="01DA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1FCD921D">
            <w:pPr>
              <w:jc w:val="center"/>
              <w:rPr>
                <w:rFonts w:hint="default" w:cs="宋体" w:asciiTheme="minorEastAsia" w:hAnsiTheme="minorEastAsia" w:eastAsiaTheme="minorEastAsia"/>
                <w:color w:val="auto"/>
                <w:szCs w:val="21"/>
                <w:highlight w:val="none"/>
                <w:lang w:val="en-US" w:eastAsia="zh-CN"/>
              </w:rPr>
            </w:pPr>
          </w:p>
        </w:tc>
        <w:tc>
          <w:tcPr>
            <w:tcW w:w="1169" w:type="dxa"/>
            <w:tcMar>
              <w:top w:w="0" w:type="dxa"/>
              <w:left w:w="108" w:type="dxa"/>
              <w:bottom w:w="0" w:type="dxa"/>
              <w:right w:w="108" w:type="dxa"/>
            </w:tcMar>
            <w:vAlign w:val="center"/>
          </w:tcPr>
          <w:p w14:paraId="400E753E">
            <w:pPr>
              <w:jc w:val="center"/>
              <w:rPr>
                <w:rFonts w:cs="宋体" w:asciiTheme="minorEastAsia" w:hAnsiTheme="minorEastAsia" w:eastAsiaTheme="minorEastAsia"/>
                <w:color w:val="auto"/>
                <w:szCs w:val="21"/>
                <w:highlight w:val="none"/>
              </w:rPr>
            </w:pPr>
          </w:p>
        </w:tc>
        <w:tc>
          <w:tcPr>
            <w:tcW w:w="1741" w:type="dxa"/>
            <w:tcMar>
              <w:top w:w="0" w:type="dxa"/>
              <w:left w:w="108" w:type="dxa"/>
              <w:bottom w:w="0" w:type="dxa"/>
              <w:right w:w="108" w:type="dxa"/>
            </w:tcMar>
            <w:vAlign w:val="center"/>
          </w:tcPr>
          <w:p w14:paraId="2C8ADC59">
            <w:pPr>
              <w:jc w:val="center"/>
              <w:rPr>
                <w:rFonts w:cs="宋体" w:asciiTheme="minorEastAsia" w:hAnsiTheme="minorEastAsia" w:eastAsiaTheme="minorEastAsia"/>
                <w:color w:val="auto"/>
                <w:szCs w:val="21"/>
                <w:highlight w:val="none"/>
              </w:rPr>
            </w:pPr>
          </w:p>
        </w:tc>
        <w:tc>
          <w:tcPr>
            <w:tcW w:w="713" w:type="dxa"/>
          </w:tcPr>
          <w:p w14:paraId="0E5D7A1B">
            <w:pPr>
              <w:jc w:val="center"/>
              <w:rPr>
                <w:rFonts w:cs="宋体" w:asciiTheme="minorEastAsia" w:hAnsiTheme="minorEastAsia" w:eastAsiaTheme="minorEastAsia"/>
                <w:color w:val="auto"/>
                <w:szCs w:val="21"/>
                <w:highlight w:val="none"/>
              </w:rPr>
            </w:pPr>
          </w:p>
        </w:tc>
        <w:tc>
          <w:tcPr>
            <w:tcW w:w="1142" w:type="dxa"/>
            <w:tcMar>
              <w:top w:w="0" w:type="dxa"/>
              <w:left w:w="108" w:type="dxa"/>
              <w:bottom w:w="0" w:type="dxa"/>
              <w:right w:w="108" w:type="dxa"/>
            </w:tcMar>
            <w:vAlign w:val="center"/>
          </w:tcPr>
          <w:p w14:paraId="2D297DB6">
            <w:pPr>
              <w:widowControl/>
              <w:spacing w:line="280" w:lineRule="exact"/>
              <w:jc w:val="left"/>
              <w:rPr>
                <w:rFonts w:hint="eastAsia" w:ascii="宋体" w:hAnsi="宋体"/>
                <w:color w:val="auto"/>
                <w:szCs w:val="21"/>
                <w:highlight w:val="none"/>
              </w:rPr>
            </w:pPr>
            <w:r>
              <w:rPr>
                <w:rFonts w:hint="eastAsia" w:ascii="宋体" w:hAnsi="宋体"/>
                <w:color w:val="auto"/>
                <w:szCs w:val="21"/>
                <w:highlight w:val="none"/>
              </w:rPr>
              <w:t>□新建</w:t>
            </w:r>
          </w:p>
          <w:p w14:paraId="755849EC">
            <w:pPr>
              <w:spacing w:line="280" w:lineRule="exact"/>
              <w:jc w:val="left"/>
              <w:rPr>
                <w:rFonts w:eastAsia="宋体" w:cs="宋体" w:asciiTheme="minorEastAsia" w:hAnsiTheme="minorEastAsia"/>
                <w:color w:val="auto"/>
                <w:kern w:val="2"/>
                <w:sz w:val="21"/>
                <w:szCs w:val="21"/>
                <w:highlight w:val="none"/>
                <w:lang w:val="en-US" w:eastAsia="zh-CN" w:bidi="ar-SA"/>
              </w:rPr>
            </w:pPr>
            <w:r>
              <w:rPr>
                <w:rFonts w:hint="eastAsia" w:ascii="宋体" w:hAnsi="宋体"/>
                <w:color w:val="auto"/>
                <w:szCs w:val="21"/>
                <w:highlight w:val="none"/>
              </w:rPr>
              <w:t>□改扩建</w:t>
            </w:r>
          </w:p>
        </w:tc>
        <w:tc>
          <w:tcPr>
            <w:tcW w:w="886" w:type="dxa"/>
            <w:tcMar>
              <w:top w:w="0" w:type="dxa"/>
              <w:left w:w="108" w:type="dxa"/>
              <w:bottom w:w="0" w:type="dxa"/>
              <w:right w:w="108" w:type="dxa"/>
            </w:tcMar>
            <w:vAlign w:val="center"/>
          </w:tcPr>
          <w:p w14:paraId="055F7C98">
            <w:pPr>
              <w:jc w:val="center"/>
              <w:rPr>
                <w:rFonts w:cs="宋体" w:asciiTheme="minorEastAsia" w:hAnsiTheme="minorEastAsia" w:eastAsiaTheme="minorEastAsia"/>
                <w:color w:val="auto"/>
                <w:szCs w:val="21"/>
                <w:highlight w:val="none"/>
              </w:rPr>
            </w:pPr>
          </w:p>
        </w:tc>
        <w:tc>
          <w:tcPr>
            <w:tcW w:w="938" w:type="dxa"/>
            <w:vAlign w:val="center"/>
          </w:tcPr>
          <w:p w14:paraId="6BB602FD">
            <w:pPr>
              <w:jc w:val="center"/>
              <w:rPr>
                <w:rFonts w:cs="宋体" w:asciiTheme="minorEastAsia" w:hAnsiTheme="minorEastAsia" w:eastAsiaTheme="minorEastAsia"/>
                <w:color w:val="auto"/>
                <w:szCs w:val="21"/>
                <w:highlight w:val="none"/>
              </w:rPr>
            </w:pPr>
          </w:p>
        </w:tc>
        <w:tc>
          <w:tcPr>
            <w:tcW w:w="937" w:type="dxa"/>
            <w:vAlign w:val="center"/>
          </w:tcPr>
          <w:p w14:paraId="353E9241">
            <w:pPr>
              <w:jc w:val="center"/>
              <w:rPr>
                <w:rFonts w:cs="宋体" w:asciiTheme="minorEastAsia" w:hAnsiTheme="minorEastAsia" w:eastAsiaTheme="minorEastAsia"/>
                <w:color w:val="auto"/>
                <w:szCs w:val="21"/>
                <w:highlight w:val="none"/>
              </w:rPr>
            </w:pPr>
          </w:p>
        </w:tc>
        <w:tc>
          <w:tcPr>
            <w:tcW w:w="1071" w:type="dxa"/>
            <w:tcMar>
              <w:top w:w="0" w:type="dxa"/>
              <w:left w:w="108" w:type="dxa"/>
              <w:bottom w:w="0" w:type="dxa"/>
              <w:right w:w="108" w:type="dxa"/>
            </w:tcMar>
            <w:vAlign w:val="center"/>
          </w:tcPr>
          <w:p w14:paraId="25F1945C">
            <w:pPr>
              <w:jc w:val="center"/>
              <w:rPr>
                <w:rFonts w:cs="宋体" w:asciiTheme="minorEastAsia" w:hAnsiTheme="minorEastAsia" w:eastAsiaTheme="minorEastAsia"/>
                <w:color w:val="auto"/>
                <w:szCs w:val="21"/>
                <w:highlight w:val="none"/>
              </w:rPr>
            </w:pPr>
          </w:p>
        </w:tc>
        <w:tc>
          <w:tcPr>
            <w:tcW w:w="937" w:type="dxa"/>
            <w:vAlign w:val="center"/>
          </w:tcPr>
          <w:p w14:paraId="6A1AF81E">
            <w:pPr>
              <w:jc w:val="center"/>
              <w:rPr>
                <w:rFonts w:cs="宋体" w:asciiTheme="minorEastAsia" w:hAnsiTheme="minorEastAsia" w:eastAsiaTheme="minorEastAsia"/>
                <w:color w:val="auto"/>
                <w:szCs w:val="21"/>
                <w:highlight w:val="none"/>
              </w:rPr>
            </w:pPr>
          </w:p>
        </w:tc>
        <w:tc>
          <w:tcPr>
            <w:tcW w:w="1013" w:type="dxa"/>
            <w:tcMar>
              <w:top w:w="0" w:type="dxa"/>
              <w:left w:w="108" w:type="dxa"/>
              <w:bottom w:w="0" w:type="dxa"/>
              <w:right w:w="108" w:type="dxa"/>
            </w:tcMar>
            <w:vAlign w:val="center"/>
          </w:tcPr>
          <w:p w14:paraId="67FE7BC3">
            <w:pPr>
              <w:jc w:val="center"/>
              <w:rPr>
                <w:rFonts w:cs="宋体" w:asciiTheme="minorEastAsia" w:hAnsiTheme="minorEastAsia" w:eastAsiaTheme="minorEastAsia"/>
                <w:color w:val="auto"/>
                <w:szCs w:val="21"/>
                <w:highlight w:val="none"/>
              </w:rPr>
            </w:pPr>
          </w:p>
        </w:tc>
        <w:tc>
          <w:tcPr>
            <w:tcW w:w="829" w:type="dxa"/>
            <w:vAlign w:val="center"/>
          </w:tcPr>
          <w:p w14:paraId="7B9CD093">
            <w:pPr>
              <w:jc w:val="center"/>
              <w:rPr>
                <w:rFonts w:cs="宋体" w:asciiTheme="minorEastAsia" w:hAnsiTheme="minorEastAsia" w:eastAsiaTheme="minorEastAsia"/>
                <w:color w:val="auto"/>
                <w:szCs w:val="21"/>
                <w:highlight w:val="none"/>
              </w:rPr>
            </w:pPr>
          </w:p>
        </w:tc>
        <w:tc>
          <w:tcPr>
            <w:tcW w:w="959" w:type="dxa"/>
            <w:tcMar>
              <w:top w:w="0" w:type="dxa"/>
              <w:left w:w="108" w:type="dxa"/>
              <w:bottom w:w="0" w:type="dxa"/>
              <w:right w:w="108" w:type="dxa"/>
            </w:tcMar>
            <w:vAlign w:val="center"/>
          </w:tcPr>
          <w:p w14:paraId="3239516C">
            <w:pPr>
              <w:jc w:val="center"/>
              <w:rPr>
                <w:rFonts w:cs="宋体" w:asciiTheme="minorEastAsia" w:hAnsiTheme="minorEastAsia" w:eastAsiaTheme="minorEastAsia"/>
                <w:color w:val="auto"/>
                <w:szCs w:val="21"/>
                <w:highlight w:val="none"/>
              </w:rPr>
            </w:pPr>
          </w:p>
        </w:tc>
        <w:tc>
          <w:tcPr>
            <w:tcW w:w="1034" w:type="dxa"/>
            <w:vAlign w:val="center"/>
          </w:tcPr>
          <w:p w14:paraId="7D299E32">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附件</w:t>
            </w:r>
            <w:r>
              <w:rPr>
                <w:rFonts w:cs="宋体" w:asciiTheme="minorEastAsia" w:hAnsiTheme="minorEastAsia" w:eastAsiaTheme="minorEastAsia"/>
                <w:color w:val="auto"/>
                <w:szCs w:val="21"/>
                <w:highlight w:val="none"/>
              </w:rPr>
              <w:t>C1.1</w:t>
            </w:r>
          </w:p>
        </w:tc>
      </w:tr>
      <w:tr w14:paraId="1718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7214CD51">
            <w:pPr>
              <w:jc w:val="center"/>
              <w:rPr>
                <w:rFonts w:hint="default" w:cs="宋体" w:asciiTheme="minorEastAsia" w:hAnsiTheme="minorEastAsia" w:eastAsiaTheme="minorEastAsia"/>
                <w:color w:val="auto"/>
                <w:szCs w:val="21"/>
                <w:highlight w:val="none"/>
                <w:lang w:val="en-US" w:eastAsia="zh-CN"/>
              </w:rPr>
            </w:pPr>
          </w:p>
        </w:tc>
        <w:tc>
          <w:tcPr>
            <w:tcW w:w="1169" w:type="dxa"/>
            <w:tcMar>
              <w:top w:w="0" w:type="dxa"/>
              <w:left w:w="108" w:type="dxa"/>
              <w:bottom w:w="0" w:type="dxa"/>
              <w:right w:w="108" w:type="dxa"/>
            </w:tcMar>
            <w:vAlign w:val="center"/>
          </w:tcPr>
          <w:p w14:paraId="4AAB7D80">
            <w:pPr>
              <w:jc w:val="center"/>
              <w:rPr>
                <w:rFonts w:cs="宋体" w:asciiTheme="minorEastAsia" w:hAnsiTheme="minorEastAsia" w:eastAsiaTheme="minorEastAsia"/>
                <w:color w:val="auto"/>
                <w:szCs w:val="21"/>
                <w:highlight w:val="none"/>
              </w:rPr>
            </w:pPr>
          </w:p>
        </w:tc>
        <w:tc>
          <w:tcPr>
            <w:tcW w:w="1741" w:type="dxa"/>
            <w:tcMar>
              <w:top w:w="0" w:type="dxa"/>
              <w:left w:w="108" w:type="dxa"/>
              <w:bottom w:w="0" w:type="dxa"/>
              <w:right w:w="108" w:type="dxa"/>
            </w:tcMar>
            <w:vAlign w:val="center"/>
          </w:tcPr>
          <w:p w14:paraId="6505C972">
            <w:pPr>
              <w:jc w:val="center"/>
              <w:rPr>
                <w:rFonts w:cs="宋体" w:asciiTheme="minorEastAsia" w:hAnsiTheme="minorEastAsia" w:eastAsiaTheme="minorEastAsia"/>
                <w:color w:val="auto"/>
                <w:szCs w:val="21"/>
                <w:highlight w:val="none"/>
              </w:rPr>
            </w:pPr>
          </w:p>
        </w:tc>
        <w:tc>
          <w:tcPr>
            <w:tcW w:w="713" w:type="dxa"/>
          </w:tcPr>
          <w:p w14:paraId="2BF89DD7">
            <w:pPr>
              <w:jc w:val="center"/>
              <w:rPr>
                <w:rFonts w:cs="宋体" w:asciiTheme="minorEastAsia" w:hAnsiTheme="minorEastAsia" w:eastAsiaTheme="minorEastAsia"/>
                <w:color w:val="auto"/>
                <w:szCs w:val="21"/>
                <w:highlight w:val="none"/>
              </w:rPr>
            </w:pPr>
          </w:p>
        </w:tc>
        <w:tc>
          <w:tcPr>
            <w:tcW w:w="1142" w:type="dxa"/>
            <w:tcMar>
              <w:top w:w="0" w:type="dxa"/>
              <w:left w:w="108" w:type="dxa"/>
              <w:bottom w:w="0" w:type="dxa"/>
              <w:right w:w="108" w:type="dxa"/>
            </w:tcMar>
            <w:vAlign w:val="center"/>
          </w:tcPr>
          <w:p w14:paraId="42038A9A">
            <w:pPr>
              <w:widowControl/>
              <w:spacing w:line="28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□新建</w:t>
            </w:r>
          </w:p>
          <w:p w14:paraId="41A03C84">
            <w:pPr>
              <w:spacing w:line="280" w:lineRule="exact"/>
              <w:jc w:val="left"/>
              <w:rPr>
                <w:rFonts w:cs="宋体" w:asciiTheme="minorEastAsia" w:hAnsiTheme="minorEastAsia" w:eastAsiaTheme="minorEastAsia"/>
                <w:color w:val="auto"/>
                <w:kern w:val="2"/>
                <w:sz w:val="21"/>
                <w:szCs w:val="21"/>
                <w:highlight w:val="none"/>
                <w:lang w:val="en-US" w:eastAsia="zh-CN" w:bidi="ar-SA"/>
              </w:rPr>
            </w:pPr>
            <w:r>
              <w:rPr>
                <w:rFonts w:hint="eastAsia" w:ascii="宋体" w:hAnsi="宋体"/>
                <w:color w:val="auto"/>
                <w:szCs w:val="21"/>
                <w:highlight w:val="none"/>
              </w:rPr>
              <w:t>□改扩建</w:t>
            </w:r>
          </w:p>
        </w:tc>
        <w:tc>
          <w:tcPr>
            <w:tcW w:w="886" w:type="dxa"/>
            <w:tcMar>
              <w:top w:w="0" w:type="dxa"/>
              <w:left w:w="108" w:type="dxa"/>
              <w:bottom w:w="0" w:type="dxa"/>
              <w:right w:w="108" w:type="dxa"/>
            </w:tcMar>
            <w:vAlign w:val="center"/>
          </w:tcPr>
          <w:p w14:paraId="35EB26EA">
            <w:pPr>
              <w:jc w:val="center"/>
              <w:rPr>
                <w:rFonts w:cs="宋体" w:asciiTheme="minorEastAsia" w:hAnsiTheme="minorEastAsia" w:eastAsiaTheme="minorEastAsia"/>
                <w:color w:val="auto"/>
                <w:szCs w:val="21"/>
                <w:highlight w:val="none"/>
              </w:rPr>
            </w:pPr>
          </w:p>
        </w:tc>
        <w:tc>
          <w:tcPr>
            <w:tcW w:w="938" w:type="dxa"/>
            <w:vAlign w:val="center"/>
          </w:tcPr>
          <w:p w14:paraId="51147179">
            <w:pPr>
              <w:jc w:val="center"/>
              <w:rPr>
                <w:rFonts w:cs="宋体" w:asciiTheme="minorEastAsia" w:hAnsiTheme="minorEastAsia" w:eastAsiaTheme="minorEastAsia"/>
                <w:color w:val="auto"/>
                <w:szCs w:val="21"/>
                <w:highlight w:val="none"/>
              </w:rPr>
            </w:pPr>
          </w:p>
        </w:tc>
        <w:tc>
          <w:tcPr>
            <w:tcW w:w="937" w:type="dxa"/>
            <w:vAlign w:val="center"/>
          </w:tcPr>
          <w:p w14:paraId="7C4F8524">
            <w:pPr>
              <w:jc w:val="center"/>
              <w:rPr>
                <w:rFonts w:cs="宋体" w:asciiTheme="minorEastAsia" w:hAnsiTheme="minorEastAsia" w:eastAsiaTheme="minorEastAsia"/>
                <w:color w:val="auto"/>
                <w:szCs w:val="21"/>
                <w:highlight w:val="none"/>
              </w:rPr>
            </w:pPr>
          </w:p>
        </w:tc>
        <w:tc>
          <w:tcPr>
            <w:tcW w:w="1071" w:type="dxa"/>
            <w:tcMar>
              <w:top w:w="0" w:type="dxa"/>
              <w:left w:w="108" w:type="dxa"/>
              <w:bottom w:w="0" w:type="dxa"/>
              <w:right w:w="108" w:type="dxa"/>
            </w:tcMar>
            <w:vAlign w:val="center"/>
          </w:tcPr>
          <w:p w14:paraId="0A6E2F8D">
            <w:pPr>
              <w:jc w:val="center"/>
              <w:rPr>
                <w:rFonts w:cs="宋体" w:asciiTheme="minorEastAsia" w:hAnsiTheme="minorEastAsia" w:eastAsiaTheme="minorEastAsia"/>
                <w:color w:val="auto"/>
                <w:szCs w:val="21"/>
                <w:highlight w:val="none"/>
              </w:rPr>
            </w:pPr>
          </w:p>
        </w:tc>
        <w:tc>
          <w:tcPr>
            <w:tcW w:w="937" w:type="dxa"/>
            <w:vAlign w:val="center"/>
          </w:tcPr>
          <w:p w14:paraId="4BD4894B">
            <w:pPr>
              <w:jc w:val="center"/>
              <w:rPr>
                <w:rFonts w:cs="宋体" w:asciiTheme="minorEastAsia" w:hAnsiTheme="minorEastAsia" w:eastAsiaTheme="minorEastAsia"/>
                <w:color w:val="auto"/>
                <w:szCs w:val="21"/>
                <w:highlight w:val="none"/>
              </w:rPr>
            </w:pPr>
          </w:p>
        </w:tc>
        <w:tc>
          <w:tcPr>
            <w:tcW w:w="1013" w:type="dxa"/>
            <w:tcMar>
              <w:top w:w="0" w:type="dxa"/>
              <w:left w:w="108" w:type="dxa"/>
              <w:bottom w:w="0" w:type="dxa"/>
              <w:right w:w="108" w:type="dxa"/>
            </w:tcMar>
            <w:vAlign w:val="center"/>
          </w:tcPr>
          <w:p w14:paraId="54F87CBC">
            <w:pPr>
              <w:jc w:val="center"/>
              <w:rPr>
                <w:rFonts w:cs="宋体" w:asciiTheme="minorEastAsia" w:hAnsiTheme="minorEastAsia" w:eastAsiaTheme="minorEastAsia"/>
                <w:color w:val="auto"/>
                <w:szCs w:val="21"/>
                <w:highlight w:val="none"/>
              </w:rPr>
            </w:pPr>
          </w:p>
        </w:tc>
        <w:tc>
          <w:tcPr>
            <w:tcW w:w="829" w:type="dxa"/>
            <w:vAlign w:val="center"/>
          </w:tcPr>
          <w:p w14:paraId="521742C5">
            <w:pPr>
              <w:jc w:val="center"/>
              <w:rPr>
                <w:rFonts w:cs="宋体" w:asciiTheme="minorEastAsia" w:hAnsiTheme="minorEastAsia" w:eastAsiaTheme="minorEastAsia"/>
                <w:color w:val="auto"/>
                <w:szCs w:val="21"/>
                <w:highlight w:val="none"/>
              </w:rPr>
            </w:pPr>
          </w:p>
        </w:tc>
        <w:tc>
          <w:tcPr>
            <w:tcW w:w="959" w:type="dxa"/>
            <w:tcMar>
              <w:top w:w="0" w:type="dxa"/>
              <w:left w:w="108" w:type="dxa"/>
              <w:bottom w:w="0" w:type="dxa"/>
              <w:right w:w="108" w:type="dxa"/>
            </w:tcMar>
            <w:vAlign w:val="center"/>
          </w:tcPr>
          <w:p w14:paraId="2C39CCE2">
            <w:pPr>
              <w:jc w:val="center"/>
              <w:rPr>
                <w:rFonts w:cs="宋体" w:asciiTheme="minorEastAsia" w:hAnsiTheme="minorEastAsia" w:eastAsiaTheme="minorEastAsia"/>
                <w:color w:val="auto"/>
                <w:szCs w:val="21"/>
                <w:highlight w:val="none"/>
              </w:rPr>
            </w:pPr>
          </w:p>
        </w:tc>
        <w:tc>
          <w:tcPr>
            <w:tcW w:w="1034" w:type="dxa"/>
            <w:vAlign w:val="center"/>
          </w:tcPr>
          <w:p w14:paraId="4D32874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附件</w:t>
            </w:r>
            <w:r>
              <w:rPr>
                <w:rFonts w:cs="宋体" w:asciiTheme="minorEastAsia" w:hAnsiTheme="minorEastAsia" w:eastAsiaTheme="minorEastAsia"/>
                <w:color w:val="auto"/>
                <w:szCs w:val="21"/>
                <w:highlight w:val="none"/>
              </w:rPr>
              <w:t>C1.2</w:t>
            </w:r>
          </w:p>
        </w:tc>
      </w:tr>
      <w:tr w14:paraId="6322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08BF730E">
            <w:pPr>
              <w:jc w:val="center"/>
              <w:rPr>
                <w:rFonts w:hint="default" w:cs="宋体" w:asciiTheme="minorEastAsia" w:hAnsiTheme="minorEastAsia" w:eastAsiaTheme="minorEastAsia"/>
                <w:color w:val="auto"/>
                <w:szCs w:val="21"/>
                <w:highlight w:val="none"/>
                <w:lang w:val="en-US" w:eastAsia="zh-CN"/>
              </w:rPr>
            </w:pPr>
          </w:p>
        </w:tc>
        <w:tc>
          <w:tcPr>
            <w:tcW w:w="1169" w:type="dxa"/>
            <w:tcMar>
              <w:top w:w="0" w:type="dxa"/>
              <w:left w:w="108" w:type="dxa"/>
              <w:bottom w:w="0" w:type="dxa"/>
              <w:right w:w="108" w:type="dxa"/>
            </w:tcMar>
            <w:vAlign w:val="center"/>
          </w:tcPr>
          <w:p w14:paraId="5CDC03B4">
            <w:pPr>
              <w:jc w:val="center"/>
              <w:rPr>
                <w:rFonts w:cs="宋体" w:asciiTheme="minorEastAsia" w:hAnsiTheme="minorEastAsia" w:eastAsiaTheme="minorEastAsia"/>
                <w:color w:val="auto"/>
                <w:szCs w:val="21"/>
                <w:highlight w:val="none"/>
              </w:rPr>
            </w:pPr>
          </w:p>
        </w:tc>
        <w:tc>
          <w:tcPr>
            <w:tcW w:w="1741" w:type="dxa"/>
            <w:tcMar>
              <w:top w:w="0" w:type="dxa"/>
              <w:left w:w="108" w:type="dxa"/>
              <w:bottom w:w="0" w:type="dxa"/>
              <w:right w:w="108" w:type="dxa"/>
            </w:tcMar>
            <w:vAlign w:val="center"/>
          </w:tcPr>
          <w:p w14:paraId="36A921C3">
            <w:pPr>
              <w:jc w:val="center"/>
              <w:rPr>
                <w:rFonts w:cs="宋体" w:asciiTheme="minorEastAsia" w:hAnsiTheme="minorEastAsia" w:eastAsiaTheme="minorEastAsia"/>
                <w:color w:val="auto"/>
                <w:szCs w:val="21"/>
                <w:highlight w:val="none"/>
              </w:rPr>
            </w:pPr>
          </w:p>
        </w:tc>
        <w:tc>
          <w:tcPr>
            <w:tcW w:w="713" w:type="dxa"/>
          </w:tcPr>
          <w:p w14:paraId="52BF3A26">
            <w:pPr>
              <w:jc w:val="center"/>
              <w:rPr>
                <w:rFonts w:cs="宋体" w:asciiTheme="minorEastAsia" w:hAnsiTheme="minorEastAsia" w:eastAsiaTheme="minorEastAsia"/>
                <w:color w:val="auto"/>
                <w:szCs w:val="21"/>
                <w:highlight w:val="none"/>
              </w:rPr>
            </w:pPr>
          </w:p>
        </w:tc>
        <w:tc>
          <w:tcPr>
            <w:tcW w:w="1142" w:type="dxa"/>
            <w:tcMar>
              <w:top w:w="0" w:type="dxa"/>
              <w:left w:w="108" w:type="dxa"/>
              <w:bottom w:w="0" w:type="dxa"/>
              <w:right w:w="108" w:type="dxa"/>
            </w:tcMar>
            <w:vAlign w:val="center"/>
          </w:tcPr>
          <w:p w14:paraId="59FF60F7">
            <w:pPr>
              <w:widowControl/>
              <w:spacing w:line="28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□新建</w:t>
            </w:r>
          </w:p>
          <w:p w14:paraId="0DDE5902">
            <w:pPr>
              <w:spacing w:line="280" w:lineRule="exact"/>
              <w:jc w:val="left"/>
              <w:rPr>
                <w:rFonts w:cs="宋体" w:asciiTheme="minorEastAsia" w:hAnsiTheme="minorEastAsia" w:eastAsiaTheme="minorEastAsia"/>
                <w:color w:val="auto"/>
                <w:kern w:val="2"/>
                <w:sz w:val="21"/>
                <w:szCs w:val="21"/>
                <w:highlight w:val="none"/>
                <w:lang w:val="en-US" w:eastAsia="zh-CN" w:bidi="ar-SA"/>
              </w:rPr>
            </w:pPr>
            <w:r>
              <w:rPr>
                <w:rFonts w:hint="eastAsia" w:ascii="宋体" w:hAnsi="宋体"/>
                <w:color w:val="auto"/>
                <w:szCs w:val="21"/>
                <w:highlight w:val="none"/>
              </w:rPr>
              <w:t>□改扩建</w:t>
            </w:r>
          </w:p>
        </w:tc>
        <w:tc>
          <w:tcPr>
            <w:tcW w:w="886" w:type="dxa"/>
            <w:tcMar>
              <w:top w:w="0" w:type="dxa"/>
              <w:left w:w="108" w:type="dxa"/>
              <w:bottom w:w="0" w:type="dxa"/>
              <w:right w:w="108" w:type="dxa"/>
            </w:tcMar>
            <w:vAlign w:val="center"/>
          </w:tcPr>
          <w:p w14:paraId="5ADC563D">
            <w:pPr>
              <w:jc w:val="center"/>
              <w:rPr>
                <w:rFonts w:cs="宋体" w:asciiTheme="minorEastAsia" w:hAnsiTheme="minorEastAsia" w:eastAsiaTheme="minorEastAsia"/>
                <w:color w:val="auto"/>
                <w:szCs w:val="21"/>
                <w:highlight w:val="none"/>
              </w:rPr>
            </w:pPr>
          </w:p>
        </w:tc>
        <w:tc>
          <w:tcPr>
            <w:tcW w:w="938" w:type="dxa"/>
            <w:vAlign w:val="center"/>
          </w:tcPr>
          <w:p w14:paraId="0513866B">
            <w:pPr>
              <w:jc w:val="center"/>
              <w:rPr>
                <w:rFonts w:cs="宋体" w:asciiTheme="minorEastAsia" w:hAnsiTheme="minorEastAsia" w:eastAsiaTheme="minorEastAsia"/>
                <w:color w:val="auto"/>
                <w:szCs w:val="21"/>
                <w:highlight w:val="none"/>
              </w:rPr>
            </w:pPr>
          </w:p>
        </w:tc>
        <w:tc>
          <w:tcPr>
            <w:tcW w:w="937" w:type="dxa"/>
            <w:vAlign w:val="center"/>
          </w:tcPr>
          <w:p w14:paraId="448E4400">
            <w:pPr>
              <w:jc w:val="center"/>
              <w:rPr>
                <w:rFonts w:cs="宋体" w:asciiTheme="minorEastAsia" w:hAnsiTheme="minorEastAsia" w:eastAsiaTheme="minorEastAsia"/>
                <w:color w:val="auto"/>
                <w:szCs w:val="21"/>
                <w:highlight w:val="none"/>
              </w:rPr>
            </w:pPr>
          </w:p>
        </w:tc>
        <w:tc>
          <w:tcPr>
            <w:tcW w:w="1071" w:type="dxa"/>
            <w:tcMar>
              <w:top w:w="0" w:type="dxa"/>
              <w:left w:w="108" w:type="dxa"/>
              <w:bottom w:w="0" w:type="dxa"/>
              <w:right w:w="108" w:type="dxa"/>
            </w:tcMar>
            <w:vAlign w:val="center"/>
          </w:tcPr>
          <w:p w14:paraId="1A1EDE0D">
            <w:pPr>
              <w:jc w:val="center"/>
              <w:rPr>
                <w:rFonts w:cs="宋体" w:asciiTheme="minorEastAsia" w:hAnsiTheme="minorEastAsia" w:eastAsiaTheme="minorEastAsia"/>
                <w:color w:val="auto"/>
                <w:szCs w:val="21"/>
                <w:highlight w:val="none"/>
              </w:rPr>
            </w:pPr>
          </w:p>
        </w:tc>
        <w:tc>
          <w:tcPr>
            <w:tcW w:w="937" w:type="dxa"/>
            <w:vAlign w:val="center"/>
          </w:tcPr>
          <w:p w14:paraId="436F4753">
            <w:pPr>
              <w:jc w:val="center"/>
              <w:rPr>
                <w:rFonts w:cs="宋体" w:asciiTheme="minorEastAsia" w:hAnsiTheme="minorEastAsia" w:eastAsiaTheme="minorEastAsia"/>
                <w:color w:val="auto"/>
                <w:szCs w:val="21"/>
                <w:highlight w:val="none"/>
              </w:rPr>
            </w:pPr>
          </w:p>
        </w:tc>
        <w:tc>
          <w:tcPr>
            <w:tcW w:w="1013" w:type="dxa"/>
            <w:tcMar>
              <w:top w:w="0" w:type="dxa"/>
              <w:left w:w="108" w:type="dxa"/>
              <w:bottom w:w="0" w:type="dxa"/>
              <w:right w:w="108" w:type="dxa"/>
            </w:tcMar>
            <w:vAlign w:val="center"/>
          </w:tcPr>
          <w:p w14:paraId="76AAADEA">
            <w:pPr>
              <w:jc w:val="center"/>
              <w:rPr>
                <w:rFonts w:cs="宋体" w:asciiTheme="minorEastAsia" w:hAnsiTheme="minorEastAsia" w:eastAsiaTheme="minorEastAsia"/>
                <w:color w:val="auto"/>
                <w:szCs w:val="21"/>
                <w:highlight w:val="none"/>
              </w:rPr>
            </w:pPr>
          </w:p>
        </w:tc>
        <w:tc>
          <w:tcPr>
            <w:tcW w:w="829" w:type="dxa"/>
            <w:vAlign w:val="center"/>
          </w:tcPr>
          <w:p w14:paraId="6E12EA13">
            <w:pPr>
              <w:jc w:val="center"/>
              <w:rPr>
                <w:rFonts w:cs="宋体" w:asciiTheme="minorEastAsia" w:hAnsiTheme="minorEastAsia" w:eastAsiaTheme="minorEastAsia"/>
                <w:color w:val="auto"/>
                <w:szCs w:val="21"/>
                <w:highlight w:val="none"/>
              </w:rPr>
            </w:pPr>
          </w:p>
        </w:tc>
        <w:tc>
          <w:tcPr>
            <w:tcW w:w="959" w:type="dxa"/>
            <w:tcMar>
              <w:top w:w="0" w:type="dxa"/>
              <w:left w:w="108" w:type="dxa"/>
              <w:bottom w:w="0" w:type="dxa"/>
              <w:right w:w="108" w:type="dxa"/>
            </w:tcMar>
            <w:vAlign w:val="center"/>
          </w:tcPr>
          <w:p w14:paraId="03F87922">
            <w:pPr>
              <w:jc w:val="center"/>
              <w:rPr>
                <w:rFonts w:cs="宋体" w:asciiTheme="minorEastAsia" w:hAnsiTheme="minorEastAsia" w:eastAsiaTheme="minorEastAsia"/>
                <w:color w:val="auto"/>
                <w:szCs w:val="21"/>
                <w:highlight w:val="none"/>
              </w:rPr>
            </w:pPr>
          </w:p>
        </w:tc>
        <w:tc>
          <w:tcPr>
            <w:tcW w:w="1034" w:type="dxa"/>
            <w:vAlign w:val="center"/>
          </w:tcPr>
          <w:p w14:paraId="6784DFA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附件</w:t>
            </w:r>
            <w:r>
              <w:rPr>
                <w:rFonts w:cs="宋体" w:asciiTheme="minorEastAsia" w:hAnsiTheme="minorEastAsia" w:eastAsiaTheme="minorEastAsia"/>
                <w:color w:val="auto"/>
                <w:szCs w:val="21"/>
                <w:highlight w:val="none"/>
              </w:rPr>
              <w:t>C1.3</w:t>
            </w:r>
          </w:p>
        </w:tc>
      </w:tr>
      <w:tr w14:paraId="1185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562" w:type="dxa"/>
            <w:vAlign w:val="center"/>
          </w:tcPr>
          <w:p w14:paraId="4188385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1169" w:type="dxa"/>
            <w:tcMar>
              <w:top w:w="0" w:type="dxa"/>
              <w:left w:w="108" w:type="dxa"/>
              <w:bottom w:w="0" w:type="dxa"/>
              <w:right w:w="108" w:type="dxa"/>
            </w:tcMar>
            <w:vAlign w:val="center"/>
          </w:tcPr>
          <w:p w14:paraId="7084B15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1741" w:type="dxa"/>
            <w:tcMar>
              <w:top w:w="0" w:type="dxa"/>
              <w:left w:w="108" w:type="dxa"/>
              <w:bottom w:w="0" w:type="dxa"/>
              <w:right w:w="108" w:type="dxa"/>
            </w:tcMar>
            <w:vAlign w:val="center"/>
          </w:tcPr>
          <w:p w14:paraId="5C6FB13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713" w:type="dxa"/>
            <w:vAlign w:val="center"/>
          </w:tcPr>
          <w:p w14:paraId="3867ADDB">
            <w:pPr>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142" w:type="dxa"/>
            <w:tcMar>
              <w:top w:w="0" w:type="dxa"/>
              <w:left w:w="108" w:type="dxa"/>
              <w:bottom w:w="0" w:type="dxa"/>
              <w:right w:w="108" w:type="dxa"/>
            </w:tcMar>
            <w:vAlign w:val="center"/>
          </w:tcPr>
          <w:p w14:paraId="52672E05">
            <w:pPr>
              <w:jc w:val="center"/>
              <w:rPr>
                <w:rFonts w:hint="eastAsia" w:cs="宋体" w:asciiTheme="minorEastAsia" w:hAnsiTheme="minorEastAsia" w:eastAsiaTheme="minorEastAsia"/>
                <w:color w:val="auto"/>
                <w:kern w:val="0"/>
                <w:sz w:val="21"/>
                <w:szCs w:val="21"/>
                <w:highlight w:val="none"/>
                <w:lang w:val="en-US" w:eastAsia="zh-CN" w:bidi="ar-SA"/>
              </w:rPr>
            </w:pPr>
            <w:r>
              <w:rPr>
                <w:rFonts w:hint="eastAsia" w:cs="宋体" w:asciiTheme="minorEastAsia" w:hAnsiTheme="minorEastAsia" w:eastAsiaTheme="minorEastAsia"/>
                <w:color w:val="auto"/>
                <w:kern w:val="0"/>
                <w:szCs w:val="21"/>
                <w:highlight w:val="none"/>
              </w:rPr>
              <w:t>…</w:t>
            </w:r>
          </w:p>
        </w:tc>
        <w:tc>
          <w:tcPr>
            <w:tcW w:w="886" w:type="dxa"/>
            <w:tcMar>
              <w:top w:w="0" w:type="dxa"/>
              <w:left w:w="108" w:type="dxa"/>
              <w:bottom w:w="0" w:type="dxa"/>
              <w:right w:w="108" w:type="dxa"/>
            </w:tcMar>
            <w:vAlign w:val="center"/>
          </w:tcPr>
          <w:p w14:paraId="4CADB95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938" w:type="dxa"/>
            <w:vAlign w:val="center"/>
          </w:tcPr>
          <w:p w14:paraId="1579FA11">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937" w:type="dxa"/>
            <w:vAlign w:val="center"/>
          </w:tcPr>
          <w:p w14:paraId="60A6A23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1071" w:type="dxa"/>
            <w:tcMar>
              <w:top w:w="0" w:type="dxa"/>
              <w:left w:w="108" w:type="dxa"/>
              <w:bottom w:w="0" w:type="dxa"/>
              <w:right w:w="108" w:type="dxa"/>
            </w:tcMar>
            <w:vAlign w:val="center"/>
          </w:tcPr>
          <w:p w14:paraId="5876505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937" w:type="dxa"/>
            <w:vAlign w:val="center"/>
          </w:tcPr>
          <w:p w14:paraId="7FE04E3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1013" w:type="dxa"/>
            <w:tcMar>
              <w:top w:w="0" w:type="dxa"/>
              <w:left w:w="108" w:type="dxa"/>
              <w:bottom w:w="0" w:type="dxa"/>
              <w:right w:w="108" w:type="dxa"/>
            </w:tcMar>
            <w:vAlign w:val="center"/>
          </w:tcPr>
          <w:p w14:paraId="5015C633">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829" w:type="dxa"/>
            <w:vAlign w:val="center"/>
          </w:tcPr>
          <w:p w14:paraId="015544D6">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959" w:type="dxa"/>
            <w:tcMar>
              <w:top w:w="0" w:type="dxa"/>
              <w:left w:w="108" w:type="dxa"/>
              <w:bottom w:w="0" w:type="dxa"/>
              <w:right w:w="108" w:type="dxa"/>
            </w:tcMar>
            <w:vAlign w:val="center"/>
          </w:tcPr>
          <w:p w14:paraId="53921482">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1034" w:type="dxa"/>
            <w:vAlign w:val="center"/>
          </w:tcPr>
          <w:p w14:paraId="32332C2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r>
    </w:tbl>
    <w:p w14:paraId="0585A11A">
      <w:pPr>
        <w:spacing w:line="320" w:lineRule="exact"/>
        <w:ind w:left="630" w:hanging="630" w:hangingChars="300"/>
        <w:rPr>
          <w:rFonts w:hint="eastAsia" w:ascii="宋体" w:hAnsi="宋体" w:cs="宋体"/>
          <w:color w:val="auto"/>
          <w:spacing w:val="-3"/>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ascii="宋体" w:hAnsi="宋体" w:cs="宋体"/>
          <w:color w:val="auto"/>
          <w:highlight w:val="none"/>
        </w:rPr>
        <w:t>C1系列（路基土建工程施工项目业绩）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bookmarkStart w:id="929" w:name="_Hlk94097884"/>
      <w:r>
        <w:rPr>
          <w:rStyle w:val="59"/>
          <w:rFonts w:ascii="宋体" w:hAnsi="宋体" w:cs="宋体"/>
          <w:color w:val="auto"/>
          <w:highlight w:val="none"/>
        </w:rPr>
        <w:footnoteReference w:id="294"/>
      </w:r>
      <w:bookmarkEnd w:id="929"/>
      <w:r>
        <w:rPr>
          <w:rFonts w:hint="eastAsia" w:ascii="宋体" w:hAnsi="宋体" w:cs="宋体"/>
          <w:color w:val="auto"/>
          <w:highlight w:val="none"/>
        </w:rPr>
        <w:t>。</w:t>
      </w:r>
    </w:p>
    <w:p w14:paraId="76654C1A">
      <w:pPr>
        <w:spacing w:line="32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r>
        <w:rPr>
          <w:rFonts w:ascii="宋体" w:hAnsi="宋体" w:cs="宋体"/>
          <w:color w:val="auto"/>
          <w:highlight w:val="none"/>
        </w:rPr>
        <w:t xml:space="preserve"> </w:t>
      </w:r>
    </w:p>
    <w:p w14:paraId="6567BC2B">
      <w:pPr>
        <w:spacing w:line="320" w:lineRule="exact"/>
        <w:ind w:firstLine="408" w:firstLineChars="200"/>
        <w:rPr>
          <w:rFonts w:hint="eastAsia" w:ascii="宋体" w:hAnsi="宋体" w:eastAsia="宋体" w:cs="宋体"/>
          <w:color w:val="auto"/>
          <w:highlight w:val="none"/>
          <w:lang w:eastAsia="zh-CN"/>
        </w:rPr>
      </w:pPr>
      <w:r>
        <w:rPr>
          <w:rFonts w:hint="eastAsia" w:ascii="宋体" w:hAnsi="宋体" w:cs="宋体"/>
          <w:color w:val="auto"/>
          <w:spacing w:val="-3"/>
          <w:highlight w:val="none"/>
          <w:lang w:val="en-US" w:eastAsia="zh-CN"/>
        </w:rPr>
        <w:t>3</w:t>
      </w:r>
      <w:r>
        <w:rPr>
          <w:rFonts w:ascii="宋体" w:hAnsi="宋体" w:cs="宋体"/>
          <w:color w:val="auto"/>
          <w:highlight w:val="none"/>
        </w:rPr>
        <w:t>.</w:t>
      </w:r>
      <w:r>
        <w:rPr>
          <w:rFonts w:hint="eastAsia"/>
          <w:color w:val="auto"/>
          <w:highlight w:val="none"/>
        </w:rPr>
        <w:t>路基土建工程指须至少包含</w:t>
      </w:r>
      <w:r>
        <w:rPr>
          <w:rFonts w:hint="eastAsia"/>
          <w:color w:val="auto"/>
          <w:highlight w:val="none"/>
          <w:lang w:eastAsia="zh-CN"/>
        </w:rPr>
        <w:t>“路基工程、桥涵工程”或“路基工程、隧道工程”</w:t>
      </w:r>
      <w:r>
        <w:rPr>
          <w:rFonts w:hint="eastAsia"/>
          <w:color w:val="auto"/>
          <w:highlight w:val="none"/>
        </w:rPr>
        <w:t>的项目</w:t>
      </w:r>
      <w:r>
        <w:rPr>
          <w:rFonts w:hint="eastAsia"/>
          <w:color w:val="auto"/>
          <w:highlight w:val="none"/>
          <w:lang w:eastAsia="zh-CN"/>
        </w:rPr>
        <w:t>。</w:t>
      </w:r>
    </w:p>
    <w:p w14:paraId="11109025">
      <w:pPr>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本表所列合同价格一般为项目结算价格，无结算价格的以签约合同价格为准。</w:t>
      </w:r>
    </w:p>
    <w:p w14:paraId="2F2784E2">
      <w:pPr>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1478B569">
      <w:pPr>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ascii="宋体" w:hAnsi="宋体" w:cs="宋体"/>
          <w:color w:val="auto"/>
          <w:highlight w:val="none"/>
        </w:rPr>
        <w:t>表中的“日期”填写的格式统一以阿拉伯数字表示。如：</w:t>
      </w:r>
      <w:r>
        <w:rPr>
          <w:rFonts w:ascii="宋体" w:hAnsi="宋体" w:cs="宋体"/>
          <w:color w:val="auto"/>
          <w:highlight w:val="none"/>
        </w:rPr>
        <w:t>20</w:t>
      </w:r>
      <w:r>
        <w:rPr>
          <w:rFonts w:hint="eastAsia" w:ascii="宋体" w:hAnsi="宋体" w:cs="宋体"/>
          <w:color w:val="auto"/>
          <w:highlight w:val="none"/>
          <w:lang w:val="en-US" w:eastAsia="zh-CN"/>
        </w:rPr>
        <w:t>21</w:t>
      </w:r>
      <w:r>
        <w:rPr>
          <w:rFonts w:hint="eastAsia" w:ascii="宋体" w:hAnsi="宋体" w:cs="宋体"/>
          <w:color w:val="auto"/>
          <w:highlight w:val="none"/>
        </w:rPr>
        <w:t>年</w:t>
      </w:r>
      <w:r>
        <w:rPr>
          <w:rFonts w:ascii="宋体" w:hAnsi="宋体" w:cs="宋体"/>
          <w:color w:val="auto"/>
          <w:highlight w:val="none"/>
        </w:rPr>
        <w:t>05</w:t>
      </w:r>
      <w:r>
        <w:rPr>
          <w:rFonts w:hint="eastAsia" w:ascii="宋体" w:hAnsi="宋体" w:cs="宋体"/>
          <w:color w:val="auto"/>
          <w:highlight w:val="none"/>
        </w:rPr>
        <w:t>月</w:t>
      </w:r>
      <w:r>
        <w:rPr>
          <w:rFonts w:ascii="宋体" w:hAnsi="宋体" w:cs="宋体"/>
          <w:color w:val="auto"/>
          <w:highlight w:val="none"/>
        </w:rPr>
        <w:t>01</w:t>
      </w:r>
      <w:r>
        <w:rPr>
          <w:rFonts w:hint="eastAsia" w:ascii="宋体" w:hAnsi="宋体" w:cs="宋体"/>
          <w:color w:val="auto"/>
          <w:highlight w:val="none"/>
        </w:rPr>
        <w:t>日，表示为：</w:t>
      </w:r>
      <w:r>
        <w:rPr>
          <w:rFonts w:ascii="宋体" w:hAnsi="宋体" w:cs="宋体"/>
          <w:color w:val="auto"/>
          <w:highlight w:val="none"/>
        </w:rPr>
        <w:t>20</w:t>
      </w:r>
      <w:r>
        <w:rPr>
          <w:rFonts w:hint="eastAsia" w:ascii="宋体" w:hAnsi="宋体" w:cs="宋体"/>
          <w:color w:val="auto"/>
          <w:highlight w:val="none"/>
          <w:lang w:val="en-US" w:eastAsia="zh-CN"/>
        </w:rPr>
        <w:t>21</w:t>
      </w:r>
      <w:r>
        <w:rPr>
          <w:rFonts w:ascii="宋体" w:hAnsi="宋体" w:cs="宋体"/>
          <w:color w:val="auto"/>
          <w:highlight w:val="none"/>
        </w:rPr>
        <w:t>0501</w:t>
      </w:r>
      <w:r>
        <w:rPr>
          <w:rFonts w:hint="eastAsia" w:ascii="宋体" w:hAnsi="宋体" w:cs="宋体"/>
          <w:color w:val="auto"/>
          <w:highlight w:val="none"/>
          <w:lang w:eastAsia="zh-CN"/>
        </w:rPr>
        <w:t>；</w:t>
      </w:r>
      <w:r>
        <w:rPr>
          <w:rFonts w:ascii="宋体" w:hAnsi="宋体" w:cs="宋体"/>
          <w:color w:val="auto"/>
          <w:highlight w:val="none"/>
        </w:rPr>
        <w:t>20</w:t>
      </w:r>
      <w:r>
        <w:rPr>
          <w:rFonts w:hint="eastAsia" w:ascii="宋体" w:hAnsi="宋体" w:cs="宋体"/>
          <w:color w:val="auto"/>
          <w:highlight w:val="none"/>
          <w:lang w:val="en-US" w:eastAsia="zh-CN"/>
        </w:rPr>
        <w:t>21</w:t>
      </w:r>
      <w:r>
        <w:rPr>
          <w:rFonts w:hint="eastAsia" w:ascii="宋体" w:hAnsi="宋体" w:cs="宋体"/>
          <w:color w:val="auto"/>
          <w:highlight w:val="none"/>
        </w:rPr>
        <w:t>年</w:t>
      </w:r>
      <w:r>
        <w:rPr>
          <w:rFonts w:ascii="宋体" w:hAnsi="宋体" w:cs="宋体"/>
          <w:color w:val="auto"/>
          <w:highlight w:val="none"/>
        </w:rPr>
        <w:t>5</w:t>
      </w:r>
      <w:r>
        <w:rPr>
          <w:rFonts w:hint="eastAsia" w:ascii="宋体" w:hAnsi="宋体" w:cs="宋体"/>
          <w:color w:val="auto"/>
          <w:highlight w:val="none"/>
        </w:rPr>
        <w:t>月，表示为</w:t>
      </w:r>
      <w:r>
        <w:rPr>
          <w:rFonts w:ascii="宋体" w:hAnsi="宋体" w:cs="宋体"/>
          <w:color w:val="auto"/>
          <w:highlight w:val="none"/>
        </w:rPr>
        <w:t>20</w:t>
      </w:r>
      <w:r>
        <w:rPr>
          <w:rFonts w:hint="eastAsia" w:ascii="宋体" w:hAnsi="宋体" w:cs="宋体"/>
          <w:color w:val="auto"/>
          <w:highlight w:val="none"/>
          <w:lang w:val="en-US" w:eastAsia="zh-CN"/>
        </w:rPr>
        <w:t>21</w:t>
      </w:r>
      <w:r>
        <w:rPr>
          <w:rFonts w:ascii="宋体" w:hAnsi="宋体" w:cs="宋体"/>
          <w:color w:val="auto"/>
          <w:highlight w:val="none"/>
        </w:rPr>
        <w:t>05</w:t>
      </w:r>
      <w:r>
        <w:rPr>
          <w:rFonts w:hint="eastAsia" w:ascii="宋体" w:hAnsi="宋体" w:cs="宋体"/>
          <w:color w:val="auto"/>
          <w:highlight w:val="none"/>
        </w:rPr>
        <w:t>。</w:t>
      </w:r>
    </w:p>
    <w:p w14:paraId="47384CFF">
      <w:pPr>
        <w:spacing w:line="320" w:lineRule="exact"/>
        <w:ind w:left="609" w:leftChars="190" w:hanging="210" w:hangingChars="100"/>
        <w:rPr>
          <w:rFonts w:hint="eastAsia" w:ascii="宋体" w:hAnsi="宋体" w:cs="宋体"/>
          <w:color w:val="auto"/>
          <w:highlight w:val="none"/>
        </w:rPr>
      </w:pPr>
      <w:r>
        <w:rPr>
          <w:rFonts w:hint="eastAsia" w:ascii="宋体" w:hAnsi="宋体" w:cs="宋体"/>
          <w:color w:val="auto"/>
          <w:highlight w:val="none"/>
          <w:lang w:val="en-US" w:eastAsia="zh-CN"/>
        </w:rPr>
        <w:t>7</w:t>
      </w:r>
      <w:r>
        <w:rPr>
          <w:rFonts w:ascii="宋体" w:hAnsi="宋体" w:cs="宋体"/>
          <w:color w:val="auto"/>
          <w:highlight w:val="none"/>
        </w:rPr>
        <w:t>.</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highlight w:val="none"/>
        </w:rPr>
        <w:t>以联合体形式投标的，联合体各成员应按照</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前附表附录3</w:t>
      </w:r>
      <w:r>
        <w:rPr>
          <w:rFonts w:hint="eastAsia" w:ascii="宋体" w:hAnsi="宋体" w:cs="宋体"/>
          <w:color w:val="auto"/>
          <w:highlight w:val="none"/>
        </w:rPr>
        <w:t>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40C9110B">
      <w:pPr>
        <w:spacing w:line="360" w:lineRule="auto"/>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 xml:space="preserve">      </w:t>
      </w:r>
    </w:p>
    <w:p w14:paraId="0E6552FB">
      <w:pPr>
        <w:spacing w:line="240" w:lineRule="auto"/>
        <w:jc w:val="left"/>
        <w:rPr>
          <w:rFonts w:ascii="宋体" w:hAnsi="宋体"/>
          <w:color w:val="auto"/>
          <w:highlight w:val="none"/>
        </w:rPr>
      </w:pPr>
      <w:r>
        <w:rPr>
          <w:rFonts w:ascii="宋体" w:hAnsi="宋体"/>
          <w:color w:val="auto"/>
          <w:highlight w:val="none"/>
        </w:rPr>
        <w:br w:type="page"/>
      </w:r>
    </w:p>
    <w:p w14:paraId="387D2E20">
      <w:pPr>
        <w:spacing w:line="360" w:lineRule="auto"/>
        <w:jc w:val="center"/>
        <w:rPr>
          <w:rFonts w:ascii="黑体" w:hAnsi="黑体" w:eastAsia="黑体"/>
          <w:color w:val="auto"/>
          <w:sz w:val="24"/>
          <w:highlight w:val="none"/>
        </w:rPr>
      </w:pPr>
      <w:r>
        <w:rPr>
          <w:rFonts w:hint="eastAsia" w:ascii="宋体" w:hAnsi="宋体"/>
          <w:color w:val="auto"/>
          <w:highlight w:val="none"/>
          <w:lang w:val="en-US" w:eastAsia="zh-CN"/>
        </w:rPr>
        <w:t xml:space="preserve">                                 </w:t>
      </w:r>
      <w:r>
        <w:rPr>
          <w:rFonts w:ascii="宋体" w:hAnsi="宋体"/>
          <w:color w:val="auto"/>
          <w:highlight w:val="none"/>
        </w:rPr>
        <w:t xml:space="preserve"> </w:t>
      </w:r>
      <w:r>
        <w:rPr>
          <w:rFonts w:hint="eastAsia" w:ascii="黑体" w:hAnsi="黑体" w:eastAsia="黑体" w:cs="宋体"/>
          <w:b/>
          <w:color w:val="auto"/>
          <w:sz w:val="24"/>
          <w:highlight w:val="none"/>
        </w:rPr>
        <w:t>□</w:t>
      </w:r>
      <w:r>
        <w:rPr>
          <w:rFonts w:ascii="黑体" w:hAnsi="黑体" w:eastAsia="黑体" w:cs="宋体"/>
          <w:b/>
          <w:color w:val="auto"/>
          <w:sz w:val="24"/>
          <w:highlight w:val="none"/>
        </w:rPr>
        <w:t xml:space="preserve"> </w:t>
      </w:r>
      <w:r>
        <w:rPr>
          <w:rFonts w:hint="eastAsia" w:ascii="黑体" w:hAnsi="黑体" w:eastAsia="黑体"/>
          <w:color w:val="auto"/>
          <w:sz w:val="24"/>
          <w:highlight w:val="none"/>
        </w:rPr>
        <w:t>近年完成的公路桥梁工程施工情况</w:t>
      </w:r>
      <w:r>
        <w:rPr>
          <w:rFonts w:hint="eastAsia" w:ascii="黑体" w:hAnsi="黑体" w:eastAsia="黑体"/>
          <w:color w:val="auto"/>
          <w:sz w:val="24"/>
          <w:highlight w:val="none"/>
          <w:lang w:val="en-US" w:eastAsia="zh-CN"/>
        </w:rPr>
        <w:t>表</w:t>
      </w:r>
      <w:r>
        <w:rPr>
          <w:rFonts w:ascii="黑体" w:hAnsi="黑体" w:eastAsia="黑体"/>
          <w:color w:val="auto"/>
          <w:sz w:val="24"/>
          <w:highlight w:val="none"/>
        </w:rPr>
        <w:t xml:space="preserve">           </w:t>
      </w:r>
      <w:r>
        <w:rPr>
          <w:rFonts w:hint="eastAsia" w:ascii="黑体" w:hAnsi="黑体" w:eastAsia="黑体"/>
          <w:color w:val="auto"/>
          <w:sz w:val="24"/>
          <w:highlight w:val="none"/>
          <w:lang w:val="en-US" w:eastAsia="zh-CN"/>
        </w:rPr>
        <w:t xml:space="preserve">        </w:t>
      </w:r>
      <w:r>
        <w:rPr>
          <w:rFonts w:ascii="黑体" w:hAnsi="黑体" w:eastAsia="黑体"/>
          <w:color w:val="auto"/>
          <w:sz w:val="24"/>
          <w:highlight w:val="none"/>
        </w:rPr>
        <w:t xml:space="preserve">             </w:t>
      </w:r>
      <w:r>
        <w:rPr>
          <w:rFonts w:hint="eastAsia" w:ascii="黑体" w:hAnsi="黑体" w:eastAsia="黑体"/>
          <w:color w:val="auto"/>
          <w:sz w:val="24"/>
          <w:highlight w:val="none"/>
        </w:rPr>
        <w:t>表</w:t>
      </w:r>
      <w:r>
        <w:rPr>
          <w:rFonts w:hint="eastAsia" w:ascii="黑体" w:hAnsi="黑体" w:eastAsia="黑体"/>
          <w:color w:val="auto"/>
          <w:sz w:val="24"/>
          <w:highlight w:val="none"/>
          <w:lang w:val="en-US" w:eastAsia="zh-CN"/>
        </w:rPr>
        <w:t>4.</w:t>
      </w:r>
      <w:r>
        <w:rPr>
          <w:rFonts w:ascii="黑体" w:hAnsi="黑体" w:eastAsia="黑体"/>
          <w:color w:val="auto"/>
          <w:sz w:val="24"/>
          <w:highlight w:val="none"/>
        </w:rPr>
        <w:t>2</w:t>
      </w:r>
    </w:p>
    <w:tbl>
      <w:tblPr>
        <w:tblStyle w:val="49"/>
        <w:tblW w:w="139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687"/>
        <w:gridCol w:w="1144"/>
        <w:gridCol w:w="572"/>
        <w:gridCol w:w="1060"/>
        <w:gridCol w:w="644"/>
        <w:gridCol w:w="823"/>
        <w:gridCol w:w="515"/>
        <w:gridCol w:w="979"/>
        <w:gridCol w:w="798"/>
        <w:gridCol w:w="793"/>
        <w:gridCol w:w="742"/>
        <w:gridCol w:w="637"/>
        <w:gridCol w:w="679"/>
        <w:gridCol w:w="787"/>
        <w:gridCol w:w="743"/>
        <w:gridCol w:w="906"/>
        <w:gridCol w:w="1057"/>
      </w:tblGrid>
      <w:tr w14:paraId="6A2A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427" w:type="dxa"/>
            <w:vAlign w:val="center"/>
          </w:tcPr>
          <w:p w14:paraId="31577760">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687" w:type="dxa"/>
            <w:tcMar>
              <w:top w:w="0" w:type="dxa"/>
              <w:left w:w="108" w:type="dxa"/>
              <w:bottom w:w="0" w:type="dxa"/>
              <w:right w:w="108" w:type="dxa"/>
            </w:tcMar>
            <w:vAlign w:val="center"/>
          </w:tcPr>
          <w:p w14:paraId="388850C0">
            <w:pPr>
              <w:jc w:val="center"/>
              <w:rPr>
                <w:rFonts w:ascii="宋体" w:hAnsi="宋体" w:cs="宋体"/>
                <w:color w:val="auto"/>
                <w:szCs w:val="21"/>
                <w:highlight w:val="none"/>
              </w:rPr>
            </w:pPr>
            <w:r>
              <w:rPr>
                <w:rFonts w:hint="eastAsia" w:ascii="宋体" w:hAnsi="宋体" w:cs="宋体"/>
                <w:color w:val="auto"/>
                <w:szCs w:val="21"/>
                <w:highlight w:val="none"/>
              </w:rPr>
              <w:t>项目</w:t>
            </w:r>
          </w:p>
          <w:p w14:paraId="0683DBBE">
            <w:pPr>
              <w:jc w:val="center"/>
              <w:rPr>
                <w:rFonts w:ascii="宋体" w:hAnsi="宋体" w:cs="宋体"/>
                <w:color w:val="auto"/>
                <w:szCs w:val="21"/>
                <w:highlight w:val="none"/>
              </w:rPr>
            </w:pPr>
            <w:r>
              <w:rPr>
                <w:rFonts w:hint="eastAsia" w:ascii="宋体" w:hAnsi="宋体" w:cs="宋体"/>
                <w:color w:val="auto"/>
                <w:szCs w:val="21"/>
                <w:highlight w:val="none"/>
              </w:rPr>
              <w:t>业主</w:t>
            </w:r>
          </w:p>
        </w:tc>
        <w:tc>
          <w:tcPr>
            <w:tcW w:w="1144" w:type="dxa"/>
            <w:tcMar>
              <w:top w:w="0" w:type="dxa"/>
              <w:left w:w="108" w:type="dxa"/>
              <w:bottom w:w="0" w:type="dxa"/>
              <w:right w:w="108" w:type="dxa"/>
            </w:tcMar>
            <w:vAlign w:val="center"/>
          </w:tcPr>
          <w:p w14:paraId="6B5D670B">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2" w:type="dxa"/>
            <w:vAlign w:val="center"/>
          </w:tcPr>
          <w:p w14:paraId="2E5AE73C">
            <w:pPr>
              <w:jc w:val="center"/>
              <w:rPr>
                <w:rFonts w:ascii="宋体" w:hAnsi="宋体" w:cs="宋体"/>
                <w:color w:val="auto"/>
                <w:szCs w:val="21"/>
                <w:highlight w:val="none"/>
              </w:rPr>
            </w:pPr>
            <w:r>
              <w:rPr>
                <w:rFonts w:hint="eastAsia" w:ascii="宋体" w:hAnsi="宋体" w:cs="宋体"/>
                <w:color w:val="auto"/>
                <w:szCs w:val="21"/>
                <w:highlight w:val="none"/>
              </w:rPr>
              <w:t>公路</w:t>
            </w:r>
          </w:p>
          <w:p w14:paraId="513A7988">
            <w:pPr>
              <w:jc w:val="center"/>
              <w:rPr>
                <w:rFonts w:ascii="宋体" w:hAnsi="宋体" w:cs="宋体"/>
                <w:color w:val="auto"/>
                <w:szCs w:val="21"/>
                <w:highlight w:val="none"/>
              </w:rPr>
            </w:pPr>
            <w:r>
              <w:rPr>
                <w:rFonts w:hint="eastAsia" w:ascii="宋体" w:hAnsi="宋体" w:cs="宋体"/>
                <w:color w:val="auto"/>
                <w:szCs w:val="21"/>
                <w:highlight w:val="none"/>
              </w:rPr>
              <w:t>等级</w:t>
            </w:r>
          </w:p>
        </w:tc>
        <w:tc>
          <w:tcPr>
            <w:tcW w:w="1060" w:type="dxa"/>
            <w:tcMar>
              <w:top w:w="0" w:type="dxa"/>
              <w:left w:w="108" w:type="dxa"/>
              <w:bottom w:w="0" w:type="dxa"/>
              <w:right w:w="108" w:type="dxa"/>
            </w:tcMar>
            <w:vAlign w:val="center"/>
          </w:tcPr>
          <w:p w14:paraId="413754FF">
            <w:pPr>
              <w:jc w:val="center"/>
              <w:rPr>
                <w:rFonts w:hint="eastAsia" w:ascii="宋体" w:hAnsi="宋体" w:cs="宋体"/>
                <w:color w:val="auto"/>
                <w:szCs w:val="21"/>
                <w:highlight w:val="none"/>
              </w:rPr>
            </w:pPr>
            <w:r>
              <w:rPr>
                <w:rFonts w:hint="eastAsia" w:cs="宋体" w:asciiTheme="minorEastAsia" w:hAnsiTheme="minorEastAsia" w:eastAsiaTheme="minorEastAsia"/>
                <w:color w:val="auto"/>
                <w:szCs w:val="21"/>
                <w:highlight w:val="none"/>
                <w:lang w:val="en-US" w:eastAsia="zh-CN"/>
              </w:rPr>
              <w:t>项目</w:t>
            </w:r>
            <w:r>
              <w:rPr>
                <w:rFonts w:hint="eastAsia" w:cs="宋体" w:asciiTheme="minorEastAsia" w:hAnsiTheme="minorEastAsia" w:eastAsiaTheme="minorEastAsia"/>
                <w:color w:val="auto"/>
                <w:szCs w:val="21"/>
                <w:highlight w:val="none"/>
              </w:rPr>
              <w:t>建设形式</w:t>
            </w:r>
          </w:p>
        </w:tc>
        <w:tc>
          <w:tcPr>
            <w:tcW w:w="644" w:type="dxa"/>
            <w:tcMar>
              <w:top w:w="0" w:type="dxa"/>
              <w:left w:w="108" w:type="dxa"/>
              <w:bottom w:w="0" w:type="dxa"/>
              <w:right w:w="108" w:type="dxa"/>
            </w:tcMar>
            <w:vAlign w:val="center"/>
          </w:tcPr>
          <w:p w14:paraId="7F547546">
            <w:pPr>
              <w:jc w:val="center"/>
              <w:rPr>
                <w:rFonts w:ascii="宋体" w:hAnsi="宋体" w:cs="宋体"/>
                <w:color w:val="auto"/>
                <w:szCs w:val="21"/>
                <w:highlight w:val="none"/>
              </w:rPr>
            </w:pPr>
            <w:r>
              <w:rPr>
                <w:rFonts w:hint="eastAsia" w:ascii="宋体" w:hAnsi="宋体" w:cs="宋体"/>
                <w:color w:val="auto"/>
                <w:szCs w:val="21"/>
                <w:highlight w:val="none"/>
              </w:rPr>
              <w:t>标段号</w:t>
            </w:r>
          </w:p>
        </w:tc>
        <w:tc>
          <w:tcPr>
            <w:tcW w:w="823" w:type="dxa"/>
            <w:vAlign w:val="center"/>
          </w:tcPr>
          <w:p w14:paraId="2B7726B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w:t>
            </w:r>
          </w:p>
          <w:p w14:paraId="1398FB82">
            <w:pPr>
              <w:jc w:val="center"/>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长度（</w:t>
            </w:r>
            <w:r>
              <w:rPr>
                <w:rFonts w:cs="宋体" w:asciiTheme="minorEastAsia" w:hAnsiTheme="minorEastAsia" w:eastAsiaTheme="minorEastAsia"/>
                <w:color w:val="auto"/>
                <w:szCs w:val="21"/>
                <w:highlight w:val="none"/>
              </w:rPr>
              <w:t>km）</w:t>
            </w:r>
          </w:p>
        </w:tc>
        <w:tc>
          <w:tcPr>
            <w:tcW w:w="515" w:type="dxa"/>
            <w:vAlign w:val="center"/>
          </w:tcPr>
          <w:p w14:paraId="3D455F5B">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979" w:type="dxa"/>
            <w:tcMar>
              <w:top w:w="0" w:type="dxa"/>
              <w:left w:w="108" w:type="dxa"/>
              <w:bottom w:w="0" w:type="dxa"/>
              <w:right w:w="108" w:type="dxa"/>
            </w:tcMar>
            <w:vAlign w:val="center"/>
          </w:tcPr>
          <w:p w14:paraId="6364AB93">
            <w:pPr>
              <w:rPr>
                <w:rFonts w:ascii="宋体" w:hAnsi="宋体" w:cs="宋体"/>
                <w:color w:val="auto"/>
                <w:szCs w:val="21"/>
                <w:highlight w:val="none"/>
              </w:rPr>
            </w:pPr>
            <w:r>
              <w:rPr>
                <w:rFonts w:hint="eastAsia" w:ascii="宋体" w:hAnsi="宋体" w:cs="宋体"/>
                <w:color w:val="auto"/>
                <w:szCs w:val="21"/>
                <w:highlight w:val="none"/>
              </w:rPr>
              <w:t>完成（交工）日期</w:t>
            </w:r>
          </w:p>
        </w:tc>
        <w:tc>
          <w:tcPr>
            <w:tcW w:w="798" w:type="dxa"/>
            <w:vAlign w:val="center"/>
          </w:tcPr>
          <w:p w14:paraId="15BD4133">
            <w:pPr>
              <w:jc w:val="center"/>
              <w:rPr>
                <w:rFonts w:ascii="宋体" w:hAnsi="宋体" w:cs="宋体"/>
                <w:color w:val="auto"/>
                <w:szCs w:val="21"/>
                <w:highlight w:val="none"/>
              </w:rPr>
            </w:pPr>
            <w:r>
              <w:rPr>
                <w:rFonts w:hint="eastAsia" w:ascii="宋体" w:hAnsi="宋体" w:cs="宋体"/>
                <w:color w:val="auto"/>
                <w:szCs w:val="21"/>
                <w:highlight w:val="none"/>
              </w:rPr>
              <w:t>建设</w:t>
            </w:r>
          </w:p>
          <w:p w14:paraId="484C08FB">
            <w:pPr>
              <w:jc w:val="center"/>
              <w:rPr>
                <w:rFonts w:ascii="宋体" w:hAnsi="宋体" w:cs="宋体"/>
                <w:color w:val="auto"/>
                <w:szCs w:val="21"/>
                <w:highlight w:val="none"/>
              </w:rPr>
            </w:pPr>
            <w:r>
              <w:rPr>
                <w:rFonts w:hint="eastAsia" w:ascii="宋体" w:hAnsi="宋体" w:cs="宋体"/>
                <w:color w:val="auto"/>
                <w:szCs w:val="21"/>
                <w:highlight w:val="none"/>
              </w:rPr>
              <w:t>规模</w:t>
            </w:r>
          </w:p>
        </w:tc>
        <w:tc>
          <w:tcPr>
            <w:tcW w:w="793" w:type="dxa"/>
            <w:tcMar>
              <w:top w:w="0" w:type="dxa"/>
              <w:left w:w="108" w:type="dxa"/>
              <w:bottom w:w="0" w:type="dxa"/>
              <w:right w:w="108" w:type="dxa"/>
            </w:tcMar>
            <w:vAlign w:val="center"/>
          </w:tcPr>
          <w:p w14:paraId="04F00C17">
            <w:pPr>
              <w:jc w:val="center"/>
              <w:rPr>
                <w:rFonts w:ascii="宋体" w:hAnsi="宋体" w:cs="宋体"/>
                <w:color w:val="auto"/>
                <w:szCs w:val="21"/>
                <w:highlight w:val="none"/>
              </w:rPr>
            </w:pPr>
            <w:r>
              <w:rPr>
                <w:rFonts w:hint="eastAsia" w:ascii="宋体" w:hAnsi="宋体" w:cs="宋体"/>
                <w:color w:val="auto"/>
                <w:szCs w:val="21"/>
                <w:highlight w:val="none"/>
              </w:rPr>
              <w:t>合同</w:t>
            </w:r>
          </w:p>
          <w:p w14:paraId="62503828">
            <w:pPr>
              <w:jc w:val="center"/>
              <w:rPr>
                <w:rFonts w:ascii="宋体" w:hAnsi="宋体" w:cs="宋体"/>
                <w:color w:val="auto"/>
                <w:szCs w:val="21"/>
                <w:highlight w:val="none"/>
              </w:rPr>
            </w:pPr>
            <w:r>
              <w:rPr>
                <w:rFonts w:hint="eastAsia" w:ascii="宋体" w:hAnsi="宋体" w:cs="宋体"/>
                <w:color w:val="auto"/>
                <w:szCs w:val="21"/>
                <w:highlight w:val="none"/>
              </w:rPr>
              <w:t>价格（元）</w:t>
            </w:r>
          </w:p>
        </w:tc>
        <w:tc>
          <w:tcPr>
            <w:tcW w:w="742" w:type="dxa"/>
            <w:vAlign w:val="center"/>
          </w:tcPr>
          <w:p w14:paraId="5D0460EE">
            <w:pPr>
              <w:jc w:val="center"/>
              <w:rPr>
                <w:rFonts w:ascii="宋体" w:hAnsi="宋体" w:cs="宋体"/>
                <w:color w:val="auto"/>
                <w:szCs w:val="21"/>
                <w:highlight w:val="none"/>
              </w:rPr>
            </w:pPr>
            <w:r>
              <w:rPr>
                <w:rFonts w:hint="eastAsia" w:ascii="宋体" w:hAnsi="宋体" w:cs="宋体"/>
                <w:color w:val="auto"/>
                <w:szCs w:val="21"/>
                <w:highlight w:val="none"/>
              </w:rPr>
              <w:t>桥梁</w:t>
            </w:r>
          </w:p>
          <w:p w14:paraId="007B93F7">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637" w:type="dxa"/>
            <w:vAlign w:val="center"/>
          </w:tcPr>
          <w:p w14:paraId="793238CB">
            <w:pPr>
              <w:jc w:val="center"/>
              <w:rPr>
                <w:rFonts w:ascii="宋体" w:hAnsi="宋体" w:cs="宋体"/>
                <w:color w:val="auto"/>
                <w:szCs w:val="21"/>
                <w:highlight w:val="none"/>
              </w:rPr>
            </w:pPr>
            <w:r>
              <w:rPr>
                <w:rFonts w:hint="eastAsia" w:ascii="宋体" w:hAnsi="宋体" w:cs="宋体"/>
                <w:color w:val="auto"/>
                <w:szCs w:val="21"/>
                <w:highlight w:val="none"/>
              </w:rPr>
              <w:t>桥梁总长（</w:t>
            </w:r>
            <w:r>
              <w:rPr>
                <w:rFonts w:ascii="宋体" w:hAnsi="宋体" w:cs="宋体"/>
                <w:color w:val="auto"/>
                <w:szCs w:val="21"/>
                <w:highlight w:val="none"/>
              </w:rPr>
              <w:t>m）</w:t>
            </w:r>
          </w:p>
        </w:tc>
        <w:tc>
          <w:tcPr>
            <w:tcW w:w="679" w:type="dxa"/>
            <w:vAlign w:val="center"/>
          </w:tcPr>
          <w:p w14:paraId="01D54990">
            <w:pPr>
              <w:jc w:val="center"/>
              <w:rPr>
                <w:rFonts w:ascii="宋体" w:hAnsi="宋体" w:cs="宋体"/>
                <w:color w:val="auto"/>
                <w:szCs w:val="21"/>
                <w:highlight w:val="none"/>
              </w:rPr>
            </w:pPr>
            <w:r>
              <w:rPr>
                <w:rFonts w:hint="eastAsia" w:ascii="宋体" w:hAnsi="宋体" w:cs="宋体"/>
                <w:color w:val="auto"/>
                <w:szCs w:val="21"/>
                <w:highlight w:val="none"/>
              </w:rPr>
              <w:t>桥梁</w:t>
            </w:r>
          </w:p>
          <w:p w14:paraId="350DE751">
            <w:pPr>
              <w:jc w:val="center"/>
              <w:rPr>
                <w:rFonts w:ascii="宋体" w:hAnsi="宋体" w:cs="宋体"/>
                <w:color w:val="auto"/>
                <w:szCs w:val="21"/>
                <w:highlight w:val="none"/>
              </w:rPr>
            </w:pPr>
            <w:r>
              <w:rPr>
                <w:rFonts w:hint="eastAsia" w:ascii="宋体" w:hAnsi="宋体" w:cs="宋体"/>
                <w:color w:val="auto"/>
                <w:szCs w:val="21"/>
                <w:highlight w:val="none"/>
              </w:rPr>
              <w:t>类型</w:t>
            </w:r>
          </w:p>
        </w:tc>
        <w:tc>
          <w:tcPr>
            <w:tcW w:w="787" w:type="dxa"/>
            <w:vAlign w:val="center"/>
          </w:tcPr>
          <w:p w14:paraId="64BA9BAE">
            <w:pPr>
              <w:jc w:val="center"/>
              <w:rPr>
                <w:rFonts w:ascii="宋体" w:hAnsi="宋体" w:cs="宋体"/>
                <w:color w:val="auto"/>
                <w:szCs w:val="21"/>
                <w:highlight w:val="none"/>
              </w:rPr>
            </w:pPr>
            <w:r>
              <w:rPr>
                <w:rFonts w:hint="eastAsia" w:ascii="宋体" w:hAnsi="宋体" w:cs="宋体"/>
                <w:color w:val="auto"/>
                <w:szCs w:val="21"/>
                <w:highlight w:val="none"/>
              </w:rPr>
              <w:t>主跨跨径长度（</w:t>
            </w:r>
            <w:r>
              <w:rPr>
                <w:rFonts w:ascii="宋体" w:hAnsi="宋体" w:cs="宋体"/>
                <w:color w:val="auto"/>
                <w:szCs w:val="21"/>
                <w:highlight w:val="none"/>
              </w:rPr>
              <w:t>m）</w:t>
            </w:r>
          </w:p>
        </w:tc>
        <w:tc>
          <w:tcPr>
            <w:tcW w:w="743" w:type="dxa"/>
            <w:vAlign w:val="center"/>
          </w:tcPr>
          <w:p w14:paraId="1ABF3928">
            <w:pPr>
              <w:jc w:val="center"/>
              <w:rPr>
                <w:color w:val="auto"/>
                <w:szCs w:val="21"/>
                <w:highlight w:val="none"/>
              </w:rPr>
            </w:pPr>
            <w:r>
              <w:rPr>
                <w:rFonts w:hint="eastAsia" w:ascii="宋体" w:hAnsi="宋体" w:cs="宋体"/>
                <w:color w:val="auto"/>
                <w:kern w:val="0"/>
                <w:szCs w:val="21"/>
                <w:highlight w:val="none"/>
              </w:rPr>
              <w:t>□</w:t>
            </w:r>
            <w:r>
              <w:rPr>
                <w:rFonts w:hint="eastAsia"/>
                <w:color w:val="auto"/>
                <w:szCs w:val="21"/>
                <w:highlight w:val="none"/>
              </w:rPr>
              <w:t>项目</w:t>
            </w:r>
          </w:p>
          <w:p w14:paraId="3B5D9F7E">
            <w:pPr>
              <w:jc w:val="center"/>
              <w:rPr>
                <w:rFonts w:ascii="宋体" w:hAnsi="宋体" w:cs="宋体"/>
                <w:color w:val="auto"/>
                <w:szCs w:val="21"/>
                <w:highlight w:val="none"/>
              </w:rPr>
            </w:pPr>
            <w:r>
              <w:rPr>
                <w:rFonts w:hint="eastAsia"/>
                <w:color w:val="auto"/>
                <w:szCs w:val="21"/>
                <w:highlight w:val="none"/>
              </w:rPr>
              <w:t>经理</w:t>
            </w:r>
          </w:p>
        </w:tc>
        <w:tc>
          <w:tcPr>
            <w:tcW w:w="906" w:type="dxa"/>
            <w:tcMar>
              <w:top w:w="0" w:type="dxa"/>
              <w:left w:w="108" w:type="dxa"/>
              <w:bottom w:w="0" w:type="dxa"/>
              <w:right w:w="108" w:type="dxa"/>
            </w:tcMar>
            <w:vAlign w:val="center"/>
          </w:tcPr>
          <w:p w14:paraId="3A2A9E04">
            <w:pPr>
              <w:jc w:val="center"/>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color w:val="auto"/>
                <w:szCs w:val="21"/>
                <w:highlight w:val="none"/>
              </w:rPr>
              <w:t>项目总工</w:t>
            </w:r>
          </w:p>
        </w:tc>
        <w:tc>
          <w:tcPr>
            <w:tcW w:w="1057" w:type="dxa"/>
            <w:vAlign w:val="center"/>
          </w:tcPr>
          <w:p w14:paraId="091416FC">
            <w:pPr>
              <w:jc w:val="center"/>
              <w:rPr>
                <w:rFonts w:ascii="宋体" w:hAnsi="宋体" w:cs="宋体"/>
                <w:color w:val="auto"/>
                <w:szCs w:val="21"/>
                <w:highlight w:val="none"/>
              </w:rPr>
            </w:pPr>
            <w:r>
              <w:rPr>
                <w:rFonts w:hint="eastAsia" w:ascii="宋体" w:hAnsi="宋体" w:cs="宋体"/>
                <w:color w:val="auto"/>
                <w:szCs w:val="21"/>
                <w:highlight w:val="none"/>
              </w:rPr>
              <w:t>业绩证明材料附件</w:t>
            </w:r>
          </w:p>
        </w:tc>
      </w:tr>
      <w:tr w14:paraId="6F67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427" w:type="dxa"/>
            <w:vAlign w:val="center"/>
          </w:tcPr>
          <w:p w14:paraId="1F7021FB">
            <w:pPr>
              <w:jc w:val="center"/>
              <w:rPr>
                <w:rFonts w:hint="default" w:ascii="宋体" w:hAnsi="宋体" w:eastAsia="宋体" w:cs="宋体"/>
                <w:color w:val="auto"/>
                <w:szCs w:val="21"/>
                <w:highlight w:val="none"/>
                <w:lang w:val="en-US" w:eastAsia="zh-CN"/>
              </w:rPr>
            </w:pPr>
          </w:p>
        </w:tc>
        <w:tc>
          <w:tcPr>
            <w:tcW w:w="687" w:type="dxa"/>
            <w:tcMar>
              <w:top w:w="0" w:type="dxa"/>
              <w:left w:w="108" w:type="dxa"/>
              <w:bottom w:w="0" w:type="dxa"/>
              <w:right w:w="108" w:type="dxa"/>
            </w:tcMar>
            <w:vAlign w:val="center"/>
          </w:tcPr>
          <w:p w14:paraId="008A4FFD">
            <w:pPr>
              <w:jc w:val="center"/>
              <w:rPr>
                <w:rFonts w:ascii="宋体" w:hAnsi="宋体" w:cs="宋体"/>
                <w:color w:val="auto"/>
                <w:szCs w:val="21"/>
                <w:highlight w:val="none"/>
              </w:rPr>
            </w:pPr>
          </w:p>
        </w:tc>
        <w:tc>
          <w:tcPr>
            <w:tcW w:w="1144" w:type="dxa"/>
            <w:tcMar>
              <w:top w:w="0" w:type="dxa"/>
              <w:left w:w="108" w:type="dxa"/>
              <w:bottom w:w="0" w:type="dxa"/>
              <w:right w:w="108" w:type="dxa"/>
            </w:tcMar>
            <w:vAlign w:val="center"/>
          </w:tcPr>
          <w:p w14:paraId="683427FD">
            <w:pPr>
              <w:jc w:val="center"/>
              <w:rPr>
                <w:rFonts w:ascii="宋体" w:hAnsi="宋体" w:cs="宋体"/>
                <w:color w:val="auto"/>
                <w:szCs w:val="21"/>
                <w:highlight w:val="none"/>
              </w:rPr>
            </w:pPr>
          </w:p>
        </w:tc>
        <w:tc>
          <w:tcPr>
            <w:tcW w:w="572" w:type="dxa"/>
          </w:tcPr>
          <w:p w14:paraId="54718929">
            <w:pPr>
              <w:jc w:val="center"/>
              <w:rPr>
                <w:rFonts w:ascii="宋体" w:hAnsi="宋体" w:cs="宋体"/>
                <w:color w:val="auto"/>
                <w:szCs w:val="21"/>
                <w:highlight w:val="none"/>
              </w:rPr>
            </w:pPr>
          </w:p>
        </w:tc>
        <w:tc>
          <w:tcPr>
            <w:tcW w:w="1060" w:type="dxa"/>
            <w:tcMar>
              <w:top w:w="0" w:type="dxa"/>
              <w:left w:w="108" w:type="dxa"/>
              <w:bottom w:w="0" w:type="dxa"/>
              <w:right w:w="108" w:type="dxa"/>
            </w:tcMar>
            <w:vAlign w:val="center"/>
          </w:tcPr>
          <w:p w14:paraId="46AA9A9F">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6A606AE6">
            <w:pPr>
              <w:jc w:val="left"/>
              <w:rPr>
                <w:rFonts w:ascii="宋体" w:hAnsi="宋体" w:cs="宋体"/>
                <w:color w:val="auto"/>
                <w:szCs w:val="21"/>
                <w:highlight w:val="none"/>
              </w:rPr>
            </w:pPr>
            <w:r>
              <w:rPr>
                <w:rFonts w:hint="eastAsia" w:ascii="宋体" w:hAnsi="宋体"/>
                <w:color w:val="auto"/>
                <w:szCs w:val="21"/>
                <w:highlight w:val="none"/>
              </w:rPr>
              <w:t>□改扩建</w:t>
            </w:r>
          </w:p>
        </w:tc>
        <w:tc>
          <w:tcPr>
            <w:tcW w:w="644" w:type="dxa"/>
            <w:tcMar>
              <w:top w:w="0" w:type="dxa"/>
              <w:left w:w="108" w:type="dxa"/>
              <w:bottom w:w="0" w:type="dxa"/>
              <w:right w:w="108" w:type="dxa"/>
            </w:tcMar>
            <w:vAlign w:val="center"/>
          </w:tcPr>
          <w:p w14:paraId="57163C2A">
            <w:pPr>
              <w:jc w:val="center"/>
              <w:rPr>
                <w:rFonts w:ascii="宋体" w:hAnsi="宋体" w:cs="宋体"/>
                <w:color w:val="auto"/>
                <w:szCs w:val="21"/>
                <w:highlight w:val="none"/>
              </w:rPr>
            </w:pPr>
          </w:p>
        </w:tc>
        <w:tc>
          <w:tcPr>
            <w:tcW w:w="823" w:type="dxa"/>
            <w:vAlign w:val="center"/>
          </w:tcPr>
          <w:p w14:paraId="2A99FADC">
            <w:pPr>
              <w:jc w:val="center"/>
              <w:rPr>
                <w:rFonts w:ascii="宋体" w:hAnsi="宋体" w:cs="宋体"/>
                <w:color w:val="auto"/>
                <w:szCs w:val="21"/>
                <w:highlight w:val="none"/>
              </w:rPr>
            </w:pPr>
          </w:p>
        </w:tc>
        <w:tc>
          <w:tcPr>
            <w:tcW w:w="515" w:type="dxa"/>
            <w:vAlign w:val="center"/>
          </w:tcPr>
          <w:p w14:paraId="29D5320A">
            <w:pPr>
              <w:jc w:val="center"/>
              <w:rPr>
                <w:rFonts w:ascii="宋体" w:hAnsi="宋体" w:cs="宋体"/>
                <w:color w:val="auto"/>
                <w:szCs w:val="21"/>
                <w:highlight w:val="none"/>
              </w:rPr>
            </w:pPr>
          </w:p>
        </w:tc>
        <w:tc>
          <w:tcPr>
            <w:tcW w:w="979" w:type="dxa"/>
            <w:tcMar>
              <w:top w:w="0" w:type="dxa"/>
              <w:left w:w="108" w:type="dxa"/>
              <w:bottom w:w="0" w:type="dxa"/>
              <w:right w:w="108" w:type="dxa"/>
            </w:tcMar>
            <w:vAlign w:val="center"/>
          </w:tcPr>
          <w:p w14:paraId="3D9458E5">
            <w:pPr>
              <w:jc w:val="center"/>
              <w:rPr>
                <w:rFonts w:ascii="宋体" w:hAnsi="宋体" w:cs="宋体"/>
                <w:color w:val="auto"/>
                <w:szCs w:val="21"/>
                <w:highlight w:val="none"/>
              </w:rPr>
            </w:pPr>
          </w:p>
        </w:tc>
        <w:tc>
          <w:tcPr>
            <w:tcW w:w="798" w:type="dxa"/>
            <w:vAlign w:val="center"/>
          </w:tcPr>
          <w:p w14:paraId="2C425990">
            <w:pPr>
              <w:jc w:val="center"/>
              <w:rPr>
                <w:rFonts w:ascii="宋体" w:hAnsi="宋体" w:cs="宋体"/>
                <w:color w:val="auto"/>
                <w:szCs w:val="21"/>
                <w:highlight w:val="none"/>
              </w:rPr>
            </w:pPr>
          </w:p>
        </w:tc>
        <w:tc>
          <w:tcPr>
            <w:tcW w:w="793" w:type="dxa"/>
            <w:tcMar>
              <w:top w:w="0" w:type="dxa"/>
              <w:left w:w="108" w:type="dxa"/>
              <w:bottom w:w="0" w:type="dxa"/>
              <w:right w:w="108" w:type="dxa"/>
            </w:tcMar>
            <w:vAlign w:val="center"/>
          </w:tcPr>
          <w:p w14:paraId="37BBE288">
            <w:pPr>
              <w:jc w:val="center"/>
              <w:rPr>
                <w:rFonts w:ascii="宋体" w:hAnsi="宋体" w:cs="宋体"/>
                <w:color w:val="auto"/>
                <w:szCs w:val="21"/>
                <w:highlight w:val="none"/>
              </w:rPr>
            </w:pPr>
          </w:p>
        </w:tc>
        <w:tc>
          <w:tcPr>
            <w:tcW w:w="742" w:type="dxa"/>
            <w:vAlign w:val="center"/>
          </w:tcPr>
          <w:p w14:paraId="1822605A">
            <w:pPr>
              <w:jc w:val="center"/>
              <w:rPr>
                <w:rFonts w:ascii="宋体" w:hAnsi="宋体" w:cs="宋体"/>
                <w:color w:val="auto"/>
                <w:szCs w:val="21"/>
                <w:highlight w:val="none"/>
              </w:rPr>
            </w:pPr>
          </w:p>
        </w:tc>
        <w:tc>
          <w:tcPr>
            <w:tcW w:w="637" w:type="dxa"/>
            <w:vAlign w:val="center"/>
          </w:tcPr>
          <w:p w14:paraId="15939761">
            <w:pPr>
              <w:jc w:val="center"/>
              <w:rPr>
                <w:rFonts w:ascii="宋体" w:hAnsi="宋体" w:cs="宋体"/>
                <w:color w:val="auto"/>
                <w:szCs w:val="21"/>
                <w:highlight w:val="none"/>
              </w:rPr>
            </w:pPr>
          </w:p>
        </w:tc>
        <w:tc>
          <w:tcPr>
            <w:tcW w:w="679" w:type="dxa"/>
            <w:vAlign w:val="center"/>
          </w:tcPr>
          <w:p w14:paraId="489C9D83">
            <w:pPr>
              <w:jc w:val="center"/>
              <w:rPr>
                <w:rFonts w:ascii="宋体" w:hAnsi="宋体" w:cs="宋体"/>
                <w:color w:val="auto"/>
                <w:szCs w:val="21"/>
                <w:highlight w:val="none"/>
              </w:rPr>
            </w:pPr>
          </w:p>
        </w:tc>
        <w:tc>
          <w:tcPr>
            <w:tcW w:w="787" w:type="dxa"/>
            <w:vAlign w:val="center"/>
          </w:tcPr>
          <w:p w14:paraId="43419CF8">
            <w:pPr>
              <w:jc w:val="center"/>
              <w:rPr>
                <w:rFonts w:ascii="宋体" w:hAnsi="宋体" w:cs="宋体"/>
                <w:color w:val="auto"/>
                <w:szCs w:val="21"/>
                <w:highlight w:val="none"/>
              </w:rPr>
            </w:pPr>
          </w:p>
        </w:tc>
        <w:tc>
          <w:tcPr>
            <w:tcW w:w="743" w:type="dxa"/>
            <w:vAlign w:val="center"/>
          </w:tcPr>
          <w:p w14:paraId="68C9EAD6">
            <w:pPr>
              <w:jc w:val="center"/>
              <w:rPr>
                <w:rFonts w:ascii="宋体" w:hAnsi="宋体" w:cs="宋体"/>
                <w:color w:val="auto"/>
                <w:szCs w:val="21"/>
                <w:highlight w:val="none"/>
              </w:rPr>
            </w:pPr>
          </w:p>
        </w:tc>
        <w:tc>
          <w:tcPr>
            <w:tcW w:w="906" w:type="dxa"/>
            <w:tcMar>
              <w:top w:w="0" w:type="dxa"/>
              <w:left w:w="108" w:type="dxa"/>
              <w:bottom w:w="0" w:type="dxa"/>
              <w:right w:w="108" w:type="dxa"/>
            </w:tcMar>
            <w:vAlign w:val="center"/>
          </w:tcPr>
          <w:p w14:paraId="0C7EB3B3">
            <w:pPr>
              <w:jc w:val="center"/>
              <w:rPr>
                <w:rFonts w:ascii="宋体" w:hAnsi="宋体" w:cs="宋体"/>
                <w:color w:val="auto"/>
                <w:szCs w:val="21"/>
                <w:highlight w:val="none"/>
              </w:rPr>
            </w:pPr>
          </w:p>
        </w:tc>
        <w:tc>
          <w:tcPr>
            <w:tcW w:w="1057" w:type="dxa"/>
            <w:vAlign w:val="center"/>
          </w:tcPr>
          <w:p w14:paraId="7CED68FD">
            <w:pPr>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C2.1</w:t>
            </w:r>
          </w:p>
        </w:tc>
      </w:tr>
      <w:tr w14:paraId="7864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427" w:type="dxa"/>
            <w:vAlign w:val="center"/>
          </w:tcPr>
          <w:p w14:paraId="0D320389">
            <w:pPr>
              <w:jc w:val="center"/>
              <w:rPr>
                <w:rFonts w:hint="default" w:ascii="宋体" w:hAnsi="宋体" w:eastAsia="宋体" w:cs="宋体"/>
                <w:color w:val="auto"/>
                <w:szCs w:val="21"/>
                <w:highlight w:val="none"/>
                <w:lang w:val="en-US" w:eastAsia="zh-CN"/>
              </w:rPr>
            </w:pPr>
          </w:p>
        </w:tc>
        <w:tc>
          <w:tcPr>
            <w:tcW w:w="687" w:type="dxa"/>
            <w:tcMar>
              <w:top w:w="0" w:type="dxa"/>
              <w:left w:w="108" w:type="dxa"/>
              <w:bottom w:w="0" w:type="dxa"/>
              <w:right w:w="108" w:type="dxa"/>
            </w:tcMar>
            <w:vAlign w:val="center"/>
          </w:tcPr>
          <w:p w14:paraId="3FB8C9E8">
            <w:pPr>
              <w:jc w:val="center"/>
              <w:rPr>
                <w:rFonts w:ascii="宋体" w:hAnsi="宋体" w:cs="宋体"/>
                <w:color w:val="auto"/>
                <w:szCs w:val="21"/>
                <w:highlight w:val="none"/>
              </w:rPr>
            </w:pPr>
          </w:p>
        </w:tc>
        <w:tc>
          <w:tcPr>
            <w:tcW w:w="1144" w:type="dxa"/>
            <w:tcMar>
              <w:top w:w="0" w:type="dxa"/>
              <w:left w:w="108" w:type="dxa"/>
              <w:bottom w:w="0" w:type="dxa"/>
              <w:right w:w="108" w:type="dxa"/>
            </w:tcMar>
            <w:vAlign w:val="center"/>
          </w:tcPr>
          <w:p w14:paraId="32C2B328">
            <w:pPr>
              <w:jc w:val="center"/>
              <w:rPr>
                <w:rFonts w:ascii="宋体" w:hAnsi="宋体" w:cs="宋体"/>
                <w:color w:val="auto"/>
                <w:szCs w:val="21"/>
                <w:highlight w:val="none"/>
              </w:rPr>
            </w:pPr>
          </w:p>
        </w:tc>
        <w:tc>
          <w:tcPr>
            <w:tcW w:w="572" w:type="dxa"/>
          </w:tcPr>
          <w:p w14:paraId="73689CA6">
            <w:pPr>
              <w:jc w:val="center"/>
              <w:rPr>
                <w:rFonts w:ascii="宋体" w:hAnsi="宋体" w:cs="宋体"/>
                <w:color w:val="auto"/>
                <w:szCs w:val="21"/>
                <w:highlight w:val="none"/>
              </w:rPr>
            </w:pPr>
          </w:p>
        </w:tc>
        <w:tc>
          <w:tcPr>
            <w:tcW w:w="1060" w:type="dxa"/>
            <w:tcMar>
              <w:top w:w="0" w:type="dxa"/>
              <w:left w:w="108" w:type="dxa"/>
              <w:bottom w:w="0" w:type="dxa"/>
              <w:right w:w="108" w:type="dxa"/>
            </w:tcMar>
            <w:vAlign w:val="center"/>
          </w:tcPr>
          <w:p w14:paraId="3FC90103">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267A6822">
            <w:pPr>
              <w:jc w:val="left"/>
              <w:rPr>
                <w:rFonts w:ascii="宋体" w:hAnsi="宋体" w:cs="宋体"/>
                <w:color w:val="auto"/>
                <w:szCs w:val="21"/>
                <w:highlight w:val="none"/>
              </w:rPr>
            </w:pPr>
            <w:r>
              <w:rPr>
                <w:rFonts w:hint="eastAsia" w:ascii="宋体" w:hAnsi="宋体"/>
                <w:color w:val="auto"/>
                <w:szCs w:val="21"/>
                <w:highlight w:val="none"/>
              </w:rPr>
              <w:t>□改扩建</w:t>
            </w:r>
          </w:p>
        </w:tc>
        <w:tc>
          <w:tcPr>
            <w:tcW w:w="644" w:type="dxa"/>
            <w:tcMar>
              <w:top w:w="0" w:type="dxa"/>
              <w:left w:w="108" w:type="dxa"/>
              <w:bottom w:w="0" w:type="dxa"/>
              <w:right w:w="108" w:type="dxa"/>
            </w:tcMar>
            <w:vAlign w:val="center"/>
          </w:tcPr>
          <w:p w14:paraId="4D2C8BA1">
            <w:pPr>
              <w:jc w:val="center"/>
              <w:rPr>
                <w:rFonts w:ascii="宋体" w:hAnsi="宋体" w:cs="宋体"/>
                <w:color w:val="auto"/>
                <w:szCs w:val="21"/>
                <w:highlight w:val="none"/>
              </w:rPr>
            </w:pPr>
          </w:p>
        </w:tc>
        <w:tc>
          <w:tcPr>
            <w:tcW w:w="823" w:type="dxa"/>
            <w:vAlign w:val="center"/>
          </w:tcPr>
          <w:p w14:paraId="768234C7">
            <w:pPr>
              <w:jc w:val="center"/>
              <w:rPr>
                <w:rFonts w:ascii="宋体" w:hAnsi="宋体" w:cs="宋体"/>
                <w:color w:val="auto"/>
                <w:szCs w:val="21"/>
                <w:highlight w:val="none"/>
              </w:rPr>
            </w:pPr>
          </w:p>
        </w:tc>
        <w:tc>
          <w:tcPr>
            <w:tcW w:w="515" w:type="dxa"/>
            <w:vAlign w:val="center"/>
          </w:tcPr>
          <w:p w14:paraId="3A835D24">
            <w:pPr>
              <w:jc w:val="center"/>
              <w:rPr>
                <w:rFonts w:ascii="宋体" w:hAnsi="宋体" w:cs="宋体"/>
                <w:color w:val="auto"/>
                <w:szCs w:val="21"/>
                <w:highlight w:val="none"/>
              </w:rPr>
            </w:pPr>
          </w:p>
        </w:tc>
        <w:tc>
          <w:tcPr>
            <w:tcW w:w="979" w:type="dxa"/>
            <w:tcMar>
              <w:top w:w="0" w:type="dxa"/>
              <w:left w:w="108" w:type="dxa"/>
              <w:bottom w:w="0" w:type="dxa"/>
              <w:right w:w="108" w:type="dxa"/>
            </w:tcMar>
            <w:vAlign w:val="center"/>
          </w:tcPr>
          <w:p w14:paraId="7732BD33">
            <w:pPr>
              <w:jc w:val="center"/>
              <w:rPr>
                <w:rFonts w:ascii="宋体" w:hAnsi="宋体" w:cs="宋体"/>
                <w:color w:val="auto"/>
                <w:szCs w:val="21"/>
                <w:highlight w:val="none"/>
              </w:rPr>
            </w:pPr>
          </w:p>
        </w:tc>
        <w:tc>
          <w:tcPr>
            <w:tcW w:w="798" w:type="dxa"/>
            <w:vAlign w:val="center"/>
          </w:tcPr>
          <w:p w14:paraId="0F3AA53C">
            <w:pPr>
              <w:jc w:val="center"/>
              <w:rPr>
                <w:rFonts w:ascii="宋体" w:hAnsi="宋体" w:cs="宋体"/>
                <w:color w:val="auto"/>
                <w:szCs w:val="21"/>
                <w:highlight w:val="none"/>
              </w:rPr>
            </w:pPr>
          </w:p>
        </w:tc>
        <w:tc>
          <w:tcPr>
            <w:tcW w:w="793" w:type="dxa"/>
            <w:tcMar>
              <w:top w:w="0" w:type="dxa"/>
              <w:left w:w="108" w:type="dxa"/>
              <w:bottom w:w="0" w:type="dxa"/>
              <w:right w:w="108" w:type="dxa"/>
            </w:tcMar>
            <w:vAlign w:val="center"/>
          </w:tcPr>
          <w:p w14:paraId="11D7636B">
            <w:pPr>
              <w:jc w:val="center"/>
              <w:rPr>
                <w:rFonts w:ascii="宋体" w:hAnsi="宋体" w:cs="宋体"/>
                <w:color w:val="auto"/>
                <w:szCs w:val="21"/>
                <w:highlight w:val="none"/>
              </w:rPr>
            </w:pPr>
          </w:p>
        </w:tc>
        <w:tc>
          <w:tcPr>
            <w:tcW w:w="742" w:type="dxa"/>
            <w:vAlign w:val="center"/>
          </w:tcPr>
          <w:p w14:paraId="503C7DE9">
            <w:pPr>
              <w:jc w:val="center"/>
              <w:rPr>
                <w:rFonts w:ascii="宋体" w:hAnsi="宋体" w:cs="宋体"/>
                <w:color w:val="auto"/>
                <w:szCs w:val="21"/>
                <w:highlight w:val="none"/>
              </w:rPr>
            </w:pPr>
          </w:p>
        </w:tc>
        <w:tc>
          <w:tcPr>
            <w:tcW w:w="637" w:type="dxa"/>
            <w:vAlign w:val="center"/>
          </w:tcPr>
          <w:p w14:paraId="59E55185">
            <w:pPr>
              <w:jc w:val="center"/>
              <w:rPr>
                <w:rFonts w:ascii="宋体" w:hAnsi="宋体" w:cs="宋体"/>
                <w:color w:val="auto"/>
                <w:szCs w:val="21"/>
                <w:highlight w:val="none"/>
              </w:rPr>
            </w:pPr>
          </w:p>
        </w:tc>
        <w:tc>
          <w:tcPr>
            <w:tcW w:w="679" w:type="dxa"/>
            <w:vAlign w:val="center"/>
          </w:tcPr>
          <w:p w14:paraId="4C6172BF">
            <w:pPr>
              <w:jc w:val="center"/>
              <w:rPr>
                <w:rFonts w:ascii="宋体" w:hAnsi="宋体" w:cs="宋体"/>
                <w:color w:val="auto"/>
                <w:szCs w:val="21"/>
                <w:highlight w:val="none"/>
              </w:rPr>
            </w:pPr>
          </w:p>
        </w:tc>
        <w:tc>
          <w:tcPr>
            <w:tcW w:w="787" w:type="dxa"/>
            <w:vAlign w:val="center"/>
          </w:tcPr>
          <w:p w14:paraId="0F85A723">
            <w:pPr>
              <w:jc w:val="center"/>
              <w:rPr>
                <w:rFonts w:ascii="宋体" w:hAnsi="宋体" w:cs="宋体"/>
                <w:color w:val="auto"/>
                <w:szCs w:val="21"/>
                <w:highlight w:val="none"/>
              </w:rPr>
            </w:pPr>
          </w:p>
        </w:tc>
        <w:tc>
          <w:tcPr>
            <w:tcW w:w="743" w:type="dxa"/>
            <w:vAlign w:val="center"/>
          </w:tcPr>
          <w:p w14:paraId="3865D18B">
            <w:pPr>
              <w:jc w:val="center"/>
              <w:rPr>
                <w:rFonts w:ascii="宋体" w:hAnsi="宋体" w:cs="宋体"/>
                <w:color w:val="auto"/>
                <w:szCs w:val="21"/>
                <w:highlight w:val="none"/>
              </w:rPr>
            </w:pPr>
          </w:p>
        </w:tc>
        <w:tc>
          <w:tcPr>
            <w:tcW w:w="906" w:type="dxa"/>
            <w:tcMar>
              <w:top w:w="0" w:type="dxa"/>
              <w:left w:w="108" w:type="dxa"/>
              <w:bottom w:w="0" w:type="dxa"/>
              <w:right w:w="108" w:type="dxa"/>
            </w:tcMar>
            <w:vAlign w:val="center"/>
          </w:tcPr>
          <w:p w14:paraId="502588C8">
            <w:pPr>
              <w:jc w:val="center"/>
              <w:rPr>
                <w:rFonts w:ascii="宋体" w:hAnsi="宋体" w:cs="宋体"/>
                <w:color w:val="auto"/>
                <w:szCs w:val="21"/>
                <w:highlight w:val="none"/>
              </w:rPr>
            </w:pPr>
          </w:p>
        </w:tc>
        <w:tc>
          <w:tcPr>
            <w:tcW w:w="1057" w:type="dxa"/>
            <w:vAlign w:val="center"/>
          </w:tcPr>
          <w:p w14:paraId="73C8922C">
            <w:pPr>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C2.2</w:t>
            </w:r>
          </w:p>
        </w:tc>
      </w:tr>
      <w:tr w14:paraId="55EF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427" w:type="dxa"/>
            <w:vAlign w:val="center"/>
          </w:tcPr>
          <w:p w14:paraId="430CB728">
            <w:pPr>
              <w:jc w:val="center"/>
              <w:rPr>
                <w:rFonts w:hint="default" w:ascii="宋体" w:hAnsi="宋体" w:eastAsia="宋体" w:cs="宋体"/>
                <w:color w:val="auto"/>
                <w:szCs w:val="21"/>
                <w:highlight w:val="none"/>
                <w:lang w:val="en-US" w:eastAsia="zh-CN"/>
              </w:rPr>
            </w:pPr>
          </w:p>
        </w:tc>
        <w:tc>
          <w:tcPr>
            <w:tcW w:w="687" w:type="dxa"/>
            <w:tcMar>
              <w:top w:w="0" w:type="dxa"/>
              <w:left w:w="108" w:type="dxa"/>
              <w:bottom w:w="0" w:type="dxa"/>
              <w:right w:w="108" w:type="dxa"/>
            </w:tcMar>
            <w:vAlign w:val="center"/>
          </w:tcPr>
          <w:p w14:paraId="46505609">
            <w:pPr>
              <w:jc w:val="center"/>
              <w:rPr>
                <w:rFonts w:ascii="宋体" w:hAnsi="宋体" w:cs="宋体"/>
                <w:color w:val="auto"/>
                <w:szCs w:val="21"/>
                <w:highlight w:val="none"/>
              </w:rPr>
            </w:pPr>
          </w:p>
        </w:tc>
        <w:tc>
          <w:tcPr>
            <w:tcW w:w="1144" w:type="dxa"/>
            <w:tcMar>
              <w:top w:w="0" w:type="dxa"/>
              <w:left w:w="108" w:type="dxa"/>
              <w:bottom w:w="0" w:type="dxa"/>
              <w:right w:w="108" w:type="dxa"/>
            </w:tcMar>
            <w:vAlign w:val="center"/>
          </w:tcPr>
          <w:p w14:paraId="183D4836">
            <w:pPr>
              <w:jc w:val="center"/>
              <w:rPr>
                <w:rFonts w:ascii="宋体" w:hAnsi="宋体" w:cs="宋体"/>
                <w:color w:val="auto"/>
                <w:szCs w:val="21"/>
                <w:highlight w:val="none"/>
              </w:rPr>
            </w:pPr>
          </w:p>
        </w:tc>
        <w:tc>
          <w:tcPr>
            <w:tcW w:w="572" w:type="dxa"/>
          </w:tcPr>
          <w:p w14:paraId="471CE85B">
            <w:pPr>
              <w:jc w:val="center"/>
              <w:rPr>
                <w:rFonts w:ascii="宋体" w:hAnsi="宋体" w:cs="宋体"/>
                <w:color w:val="auto"/>
                <w:szCs w:val="21"/>
                <w:highlight w:val="none"/>
              </w:rPr>
            </w:pPr>
          </w:p>
        </w:tc>
        <w:tc>
          <w:tcPr>
            <w:tcW w:w="1060" w:type="dxa"/>
            <w:tcMar>
              <w:top w:w="0" w:type="dxa"/>
              <w:left w:w="108" w:type="dxa"/>
              <w:bottom w:w="0" w:type="dxa"/>
              <w:right w:w="108" w:type="dxa"/>
            </w:tcMar>
            <w:vAlign w:val="center"/>
          </w:tcPr>
          <w:p w14:paraId="666F06A3">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17912279">
            <w:pPr>
              <w:jc w:val="left"/>
              <w:rPr>
                <w:rFonts w:ascii="宋体" w:hAnsi="宋体" w:cs="宋体"/>
                <w:color w:val="auto"/>
                <w:szCs w:val="21"/>
                <w:highlight w:val="none"/>
              </w:rPr>
            </w:pPr>
            <w:r>
              <w:rPr>
                <w:rFonts w:hint="eastAsia" w:ascii="宋体" w:hAnsi="宋体"/>
                <w:color w:val="auto"/>
                <w:szCs w:val="21"/>
                <w:highlight w:val="none"/>
              </w:rPr>
              <w:t>□改扩建</w:t>
            </w:r>
          </w:p>
        </w:tc>
        <w:tc>
          <w:tcPr>
            <w:tcW w:w="644" w:type="dxa"/>
            <w:tcMar>
              <w:top w:w="0" w:type="dxa"/>
              <w:left w:w="108" w:type="dxa"/>
              <w:bottom w:w="0" w:type="dxa"/>
              <w:right w:w="108" w:type="dxa"/>
            </w:tcMar>
            <w:vAlign w:val="center"/>
          </w:tcPr>
          <w:p w14:paraId="6CF37F7A">
            <w:pPr>
              <w:jc w:val="center"/>
              <w:rPr>
                <w:rFonts w:ascii="宋体" w:hAnsi="宋体" w:cs="宋体"/>
                <w:color w:val="auto"/>
                <w:szCs w:val="21"/>
                <w:highlight w:val="none"/>
              </w:rPr>
            </w:pPr>
          </w:p>
        </w:tc>
        <w:tc>
          <w:tcPr>
            <w:tcW w:w="823" w:type="dxa"/>
            <w:vAlign w:val="center"/>
          </w:tcPr>
          <w:p w14:paraId="3A540EE9">
            <w:pPr>
              <w:jc w:val="center"/>
              <w:rPr>
                <w:rFonts w:ascii="宋体" w:hAnsi="宋体" w:cs="宋体"/>
                <w:color w:val="auto"/>
                <w:szCs w:val="21"/>
                <w:highlight w:val="none"/>
              </w:rPr>
            </w:pPr>
          </w:p>
        </w:tc>
        <w:tc>
          <w:tcPr>
            <w:tcW w:w="515" w:type="dxa"/>
            <w:vAlign w:val="center"/>
          </w:tcPr>
          <w:p w14:paraId="694A96A8">
            <w:pPr>
              <w:jc w:val="center"/>
              <w:rPr>
                <w:rFonts w:ascii="宋体" w:hAnsi="宋体" w:cs="宋体"/>
                <w:color w:val="auto"/>
                <w:szCs w:val="21"/>
                <w:highlight w:val="none"/>
              </w:rPr>
            </w:pPr>
          </w:p>
        </w:tc>
        <w:tc>
          <w:tcPr>
            <w:tcW w:w="979" w:type="dxa"/>
            <w:tcMar>
              <w:top w:w="0" w:type="dxa"/>
              <w:left w:w="108" w:type="dxa"/>
              <w:bottom w:w="0" w:type="dxa"/>
              <w:right w:w="108" w:type="dxa"/>
            </w:tcMar>
            <w:vAlign w:val="center"/>
          </w:tcPr>
          <w:p w14:paraId="67233A2F">
            <w:pPr>
              <w:jc w:val="center"/>
              <w:rPr>
                <w:rFonts w:ascii="宋体" w:hAnsi="宋体" w:cs="宋体"/>
                <w:color w:val="auto"/>
                <w:szCs w:val="21"/>
                <w:highlight w:val="none"/>
              </w:rPr>
            </w:pPr>
          </w:p>
        </w:tc>
        <w:tc>
          <w:tcPr>
            <w:tcW w:w="798" w:type="dxa"/>
            <w:vAlign w:val="center"/>
          </w:tcPr>
          <w:p w14:paraId="1861897E">
            <w:pPr>
              <w:jc w:val="center"/>
              <w:rPr>
                <w:rFonts w:ascii="宋体" w:hAnsi="宋体" w:cs="宋体"/>
                <w:color w:val="auto"/>
                <w:szCs w:val="21"/>
                <w:highlight w:val="none"/>
              </w:rPr>
            </w:pPr>
          </w:p>
        </w:tc>
        <w:tc>
          <w:tcPr>
            <w:tcW w:w="793" w:type="dxa"/>
            <w:tcMar>
              <w:top w:w="0" w:type="dxa"/>
              <w:left w:w="108" w:type="dxa"/>
              <w:bottom w:w="0" w:type="dxa"/>
              <w:right w:w="108" w:type="dxa"/>
            </w:tcMar>
            <w:vAlign w:val="center"/>
          </w:tcPr>
          <w:p w14:paraId="505407A8">
            <w:pPr>
              <w:jc w:val="center"/>
              <w:rPr>
                <w:rFonts w:ascii="宋体" w:hAnsi="宋体" w:cs="宋体"/>
                <w:color w:val="auto"/>
                <w:szCs w:val="21"/>
                <w:highlight w:val="none"/>
              </w:rPr>
            </w:pPr>
          </w:p>
        </w:tc>
        <w:tc>
          <w:tcPr>
            <w:tcW w:w="742" w:type="dxa"/>
            <w:vAlign w:val="center"/>
          </w:tcPr>
          <w:p w14:paraId="523743D8">
            <w:pPr>
              <w:jc w:val="center"/>
              <w:rPr>
                <w:rFonts w:ascii="宋体" w:hAnsi="宋体" w:cs="宋体"/>
                <w:color w:val="auto"/>
                <w:szCs w:val="21"/>
                <w:highlight w:val="none"/>
              </w:rPr>
            </w:pPr>
          </w:p>
        </w:tc>
        <w:tc>
          <w:tcPr>
            <w:tcW w:w="637" w:type="dxa"/>
            <w:vAlign w:val="center"/>
          </w:tcPr>
          <w:p w14:paraId="7DB3FAE5">
            <w:pPr>
              <w:jc w:val="center"/>
              <w:rPr>
                <w:rFonts w:ascii="宋体" w:hAnsi="宋体" w:cs="宋体"/>
                <w:color w:val="auto"/>
                <w:szCs w:val="21"/>
                <w:highlight w:val="none"/>
              </w:rPr>
            </w:pPr>
          </w:p>
        </w:tc>
        <w:tc>
          <w:tcPr>
            <w:tcW w:w="679" w:type="dxa"/>
            <w:vAlign w:val="center"/>
          </w:tcPr>
          <w:p w14:paraId="2EC7850E">
            <w:pPr>
              <w:jc w:val="center"/>
              <w:rPr>
                <w:rFonts w:ascii="宋体" w:hAnsi="宋体" w:cs="宋体"/>
                <w:color w:val="auto"/>
                <w:szCs w:val="21"/>
                <w:highlight w:val="none"/>
              </w:rPr>
            </w:pPr>
          </w:p>
        </w:tc>
        <w:tc>
          <w:tcPr>
            <w:tcW w:w="787" w:type="dxa"/>
            <w:vAlign w:val="center"/>
          </w:tcPr>
          <w:p w14:paraId="3F8797F9">
            <w:pPr>
              <w:jc w:val="center"/>
              <w:rPr>
                <w:rFonts w:ascii="宋体" w:hAnsi="宋体" w:cs="宋体"/>
                <w:color w:val="auto"/>
                <w:szCs w:val="21"/>
                <w:highlight w:val="none"/>
              </w:rPr>
            </w:pPr>
          </w:p>
        </w:tc>
        <w:tc>
          <w:tcPr>
            <w:tcW w:w="743" w:type="dxa"/>
            <w:vAlign w:val="center"/>
          </w:tcPr>
          <w:p w14:paraId="0034C0A5">
            <w:pPr>
              <w:jc w:val="center"/>
              <w:rPr>
                <w:rFonts w:ascii="宋体" w:hAnsi="宋体" w:cs="宋体"/>
                <w:color w:val="auto"/>
                <w:szCs w:val="21"/>
                <w:highlight w:val="none"/>
              </w:rPr>
            </w:pPr>
          </w:p>
        </w:tc>
        <w:tc>
          <w:tcPr>
            <w:tcW w:w="906" w:type="dxa"/>
            <w:tcMar>
              <w:top w:w="0" w:type="dxa"/>
              <w:left w:w="108" w:type="dxa"/>
              <w:bottom w:w="0" w:type="dxa"/>
              <w:right w:w="108" w:type="dxa"/>
            </w:tcMar>
            <w:vAlign w:val="center"/>
          </w:tcPr>
          <w:p w14:paraId="26D02424">
            <w:pPr>
              <w:jc w:val="center"/>
              <w:rPr>
                <w:rFonts w:ascii="宋体" w:hAnsi="宋体" w:cs="宋体"/>
                <w:color w:val="auto"/>
                <w:szCs w:val="21"/>
                <w:highlight w:val="none"/>
              </w:rPr>
            </w:pPr>
          </w:p>
        </w:tc>
        <w:tc>
          <w:tcPr>
            <w:tcW w:w="1057" w:type="dxa"/>
            <w:vAlign w:val="center"/>
          </w:tcPr>
          <w:p w14:paraId="4117BC6F">
            <w:pPr>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C2.3</w:t>
            </w:r>
          </w:p>
        </w:tc>
      </w:tr>
      <w:tr w14:paraId="4DF7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427" w:type="dxa"/>
            <w:vAlign w:val="center"/>
          </w:tcPr>
          <w:p w14:paraId="32059095">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687" w:type="dxa"/>
            <w:tcMar>
              <w:top w:w="0" w:type="dxa"/>
              <w:left w:w="108" w:type="dxa"/>
              <w:bottom w:w="0" w:type="dxa"/>
              <w:right w:w="108" w:type="dxa"/>
            </w:tcMar>
            <w:vAlign w:val="center"/>
          </w:tcPr>
          <w:p w14:paraId="4B4B6DE9">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144" w:type="dxa"/>
            <w:tcMar>
              <w:top w:w="0" w:type="dxa"/>
              <w:left w:w="108" w:type="dxa"/>
              <w:bottom w:w="0" w:type="dxa"/>
              <w:right w:w="108" w:type="dxa"/>
            </w:tcMar>
            <w:vAlign w:val="center"/>
          </w:tcPr>
          <w:p w14:paraId="47F1FDF0">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572" w:type="dxa"/>
            <w:vAlign w:val="center"/>
          </w:tcPr>
          <w:p w14:paraId="023F3BF1">
            <w:pPr>
              <w:jc w:val="center"/>
              <w:rPr>
                <w:rFonts w:ascii="宋体" w:hAnsi="宋体" w:cs="宋体"/>
                <w:color w:val="auto"/>
                <w:kern w:val="0"/>
                <w:szCs w:val="21"/>
                <w:highlight w:val="none"/>
              </w:rPr>
            </w:pPr>
            <w:r>
              <w:rPr>
                <w:rFonts w:cs="宋体" w:asciiTheme="minorEastAsia" w:hAnsiTheme="minorEastAsia" w:eastAsiaTheme="minorEastAsia"/>
                <w:color w:val="auto"/>
                <w:kern w:val="0"/>
                <w:szCs w:val="21"/>
                <w:highlight w:val="none"/>
              </w:rPr>
              <w:t>…</w:t>
            </w:r>
          </w:p>
        </w:tc>
        <w:tc>
          <w:tcPr>
            <w:tcW w:w="1060" w:type="dxa"/>
            <w:tcMar>
              <w:top w:w="0" w:type="dxa"/>
              <w:left w:w="108" w:type="dxa"/>
              <w:bottom w:w="0" w:type="dxa"/>
              <w:right w:w="108" w:type="dxa"/>
            </w:tcMar>
            <w:vAlign w:val="center"/>
          </w:tcPr>
          <w:p w14:paraId="4C94A7E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644" w:type="dxa"/>
            <w:tcMar>
              <w:top w:w="0" w:type="dxa"/>
              <w:left w:w="108" w:type="dxa"/>
              <w:bottom w:w="0" w:type="dxa"/>
              <w:right w:w="108" w:type="dxa"/>
            </w:tcMar>
            <w:vAlign w:val="center"/>
          </w:tcPr>
          <w:p w14:paraId="1FC083B9">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23" w:type="dxa"/>
            <w:vAlign w:val="center"/>
          </w:tcPr>
          <w:p w14:paraId="353772DC">
            <w:pPr>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515" w:type="dxa"/>
            <w:vAlign w:val="center"/>
          </w:tcPr>
          <w:p w14:paraId="6A3F6DAE">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79" w:type="dxa"/>
            <w:tcMar>
              <w:top w:w="0" w:type="dxa"/>
              <w:left w:w="108" w:type="dxa"/>
              <w:bottom w:w="0" w:type="dxa"/>
              <w:right w:w="108" w:type="dxa"/>
            </w:tcMar>
            <w:vAlign w:val="center"/>
          </w:tcPr>
          <w:p w14:paraId="76A514E2">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98" w:type="dxa"/>
            <w:vAlign w:val="center"/>
          </w:tcPr>
          <w:p w14:paraId="1C316BA5">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93" w:type="dxa"/>
            <w:tcMar>
              <w:top w:w="0" w:type="dxa"/>
              <w:left w:w="108" w:type="dxa"/>
              <w:bottom w:w="0" w:type="dxa"/>
              <w:right w:w="108" w:type="dxa"/>
            </w:tcMar>
            <w:vAlign w:val="center"/>
          </w:tcPr>
          <w:p w14:paraId="5BCB5A14">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42" w:type="dxa"/>
            <w:vAlign w:val="center"/>
          </w:tcPr>
          <w:p w14:paraId="1717A225">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637" w:type="dxa"/>
            <w:vAlign w:val="center"/>
          </w:tcPr>
          <w:p w14:paraId="4EA95E90">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679" w:type="dxa"/>
            <w:vAlign w:val="center"/>
          </w:tcPr>
          <w:p w14:paraId="2ED30BA7">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87" w:type="dxa"/>
            <w:vAlign w:val="center"/>
          </w:tcPr>
          <w:p w14:paraId="4B16556B">
            <w:pPr>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743" w:type="dxa"/>
            <w:vAlign w:val="center"/>
          </w:tcPr>
          <w:p w14:paraId="2998BA1B">
            <w:pPr>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906" w:type="dxa"/>
            <w:tcMar>
              <w:top w:w="0" w:type="dxa"/>
              <w:left w:w="108" w:type="dxa"/>
              <w:bottom w:w="0" w:type="dxa"/>
              <w:right w:w="108" w:type="dxa"/>
            </w:tcMar>
            <w:vAlign w:val="center"/>
          </w:tcPr>
          <w:p w14:paraId="69C8EF7E">
            <w:pPr>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057" w:type="dxa"/>
            <w:vAlign w:val="center"/>
          </w:tcPr>
          <w:p w14:paraId="7345FCA5">
            <w:pPr>
              <w:jc w:val="center"/>
              <w:rPr>
                <w:rFonts w:ascii="宋体" w:hAnsi="宋体" w:cs="宋体"/>
                <w:color w:val="auto"/>
                <w:szCs w:val="21"/>
                <w:highlight w:val="none"/>
              </w:rPr>
            </w:pPr>
            <w:r>
              <w:rPr>
                <w:rFonts w:hint="eastAsia" w:ascii="宋体" w:hAnsi="宋体" w:cs="宋体"/>
                <w:color w:val="auto"/>
                <w:kern w:val="0"/>
                <w:szCs w:val="21"/>
                <w:highlight w:val="none"/>
              </w:rPr>
              <w:t>…</w:t>
            </w:r>
          </w:p>
        </w:tc>
      </w:tr>
    </w:tbl>
    <w:p w14:paraId="082BB46E">
      <w:pPr>
        <w:spacing w:line="320" w:lineRule="exact"/>
        <w:ind w:left="630" w:hanging="630" w:hangingChars="300"/>
        <w:rPr>
          <w:rFonts w:hint="eastAsia" w:ascii="宋体" w:hAns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ascii="宋体" w:hAnsi="宋体" w:cs="宋体"/>
          <w:color w:val="auto"/>
          <w:highlight w:val="none"/>
        </w:rPr>
        <w:t>C2</w:t>
      </w:r>
      <w:r>
        <w:rPr>
          <w:rFonts w:hint="eastAsia" w:ascii="宋体" w:hAnsi="宋体" w:cs="宋体"/>
          <w:color w:val="auto"/>
          <w:highlight w:val="none"/>
        </w:rPr>
        <w:t>系列（桥梁工程施工项目业绩）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9"/>
          <w:rFonts w:ascii="宋体" w:hAnsi="宋体" w:cs="宋体"/>
          <w:color w:val="auto"/>
          <w:highlight w:val="none"/>
        </w:rPr>
        <w:footnoteReference w:id="295"/>
      </w:r>
      <w:r>
        <w:rPr>
          <w:rFonts w:hint="eastAsia" w:ascii="宋体" w:hAnsi="宋体" w:cs="宋体"/>
          <w:color w:val="auto"/>
          <w:highlight w:val="none"/>
        </w:rPr>
        <w:t>。</w:t>
      </w:r>
    </w:p>
    <w:p w14:paraId="35AD3038">
      <w:pPr>
        <w:spacing w:line="32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r>
        <w:rPr>
          <w:rFonts w:ascii="宋体" w:hAnsi="宋体" w:cs="宋体"/>
          <w:color w:val="auto"/>
          <w:highlight w:val="none"/>
        </w:rPr>
        <w:t xml:space="preserve"> </w:t>
      </w:r>
    </w:p>
    <w:p w14:paraId="4CCD814B">
      <w:pPr>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w:t>
      </w:r>
      <w:r>
        <w:rPr>
          <w:rFonts w:hint="eastAsia" w:ascii="宋体" w:hAnsi="宋体" w:eastAsia="宋体" w:cs="宋体"/>
          <w:color w:val="auto"/>
          <w:spacing w:val="-3"/>
          <w:kern w:val="2"/>
          <w:sz w:val="21"/>
          <w:szCs w:val="24"/>
          <w:highlight w:val="none"/>
          <w:lang w:val="en-US" w:eastAsia="zh-CN" w:bidi="ar"/>
        </w:rPr>
        <w:t>桥梁工程可为路基土建工程中包含的</w:t>
      </w:r>
      <w:r>
        <w:rPr>
          <w:rFonts w:hint="eastAsia" w:ascii="宋体" w:hAnsi="宋体" w:cs="宋体"/>
          <w:color w:val="auto"/>
          <w:spacing w:val="-3"/>
          <w:kern w:val="2"/>
          <w:sz w:val="21"/>
          <w:szCs w:val="24"/>
          <w:highlight w:val="none"/>
          <w:lang w:val="en-US" w:eastAsia="zh-CN" w:bidi="ar"/>
        </w:rPr>
        <w:t>施工内容</w:t>
      </w:r>
      <w:r>
        <w:rPr>
          <w:rFonts w:hint="eastAsia" w:ascii="宋体" w:hAnsi="宋体" w:eastAsia="宋体" w:cs="宋体"/>
          <w:color w:val="auto"/>
          <w:spacing w:val="-3"/>
          <w:kern w:val="2"/>
          <w:sz w:val="21"/>
          <w:szCs w:val="24"/>
          <w:highlight w:val="none"/>
          <w:lang w:val="en-US" w:eastAsia="zh-CN" w:bidi="ar"/>
        </w:rPr>
        <w:t>或单独桥梁</w:t>
      </w:r>
      <w:r>
        <w:rPr>
          <w:rFonts w:hint="eastAsia" w:ascii="宋体" w:hAnsi="宋体" w:cs="宋体"/>
          <w:color w:val="auto"/>
          <w:spacing w:val="-3"/>
          <w:kern w:val="2"/>
          <w:sz w:val="21"/>
          <w:szCs w:val="24"/>
          <w:highlight w:val="none"/>
          <w:lang w:val="en-US" w:eastAsia="zh-CN" w:bidi="ar"/>
        </w:rPr>
        <w:t>工程</w:t>
      </w:r>
      <w:r>
        <w:rPr>
          <w:rFonts w:hint="eastAsia" w:ascii="宋体" w:hAnsi="宋体" w:eastAsia="宋体" w:cs="宋体"/>
          <w:color w:val="auto"/>
          <w:spacing w:val="-3"/>
          <w:kern w:val="2"/>
          <w:sz w:val="21"/>
          <w:szCs w:val="24"/>
          <w:highlight w:val="none"/>
          <w:lang w:val="en-US" w:eastAsia="zh-CN" w:bidi="ar"/>
        </w:rPr>
        <w:t>合同的项目</w:t>
      </w:r>
      <w:r>
        <w:rPr>
          <w:rFonts w:hint="eastAsia" w:ascii="宋体" w:hAnsi="宋体" w:cs="宋体"/>
          <w:color w:val="auto"/>
          <w:spacing w:val="-3"/>
          <w:kern w:val="2"/>
          <w:sz w:val="21"/>
          <w:szCs w:val="24"/>
          <w:highlight w:val="none"/>
          <w:lang w:val="en-US" w:eastAsia="zh-CN" w:bidi="ar"/>
        </w:rPr>
        <w:t>。</w:t>
      </w:r>
    </w:p>
    <w:p w14:paraId="5D1C3CB6">
      <w:pPr>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对于左右幅桥长不相同的</w:t>
      </w:r>
      <w:r>
        <w:rPr>
          <w:rFonts w:hint="eastAsia" w:ascii="宋体" w:hAnsi="宋体" w:cs="宋体"/>
          <w:color w:val="auto"/>
          <w:highlight w:val="none"/>
          <w:lang w:val="en-US" w:eastAsia="zh-CN"/>
        </w:rPr>
        <w:t>桥梁，其桥梁长度</w:t>
      </w:r>
      <w:r>
        <w:rPr>
          <w:rFonts w:hint="eastAsia" w:ascii="宋体" w:hAnsi="宋体" w:cs="宋体"/>
          <w:color w:val="auto"/>
          <w:highlight w:val="none"/>
        </w:rPr>
        <w:t>以</w:t>
      </w:r>
      <w:r>
        <w:rPr>
          <w:rFonts w:hint="eastAsia" w:ascii="宋体" w:hAnsi="宋体" w:cs="宋体"/>
          <w:color w:val="auto"/>
          <w:sz w:val="21"/>
          <w:szCs w:val="24"/>
          <w:highlight w:val="none"/>
          <w:lang w:val="en-US" w:eastAsia="zh-CN"/>
        </w:rPr>
        <w:t>左右幅长度</w:t>
      </w:r>
      <w:r>
        <w:rPr>
          <w:rFonts w:hint="eastAsia" w:ascii="宋体" w:hAnsi="宋体" w:cs="宋体"/>
          <w:color w:val="auto"/>
          <w:highlight w:val="none"/>
          <w:lang w:val="en-US" w:eastAsia="zh-CN"/>
        </w:rPr>
        <w:t>较</w:t>
      </w:r>
      <w:r>
        <w:rPr>
          <w:rFonts w:ascii="宋体" w:hAnsi="宋体" w:cs="宋体"/>
          <w:color w:val="auto"/>
          <w:highlight w:val="none"/>
        </w:rPr>
        <w:t>长的为准；若只有单幅的，则以单幅桥梁</w:t>
      </w:r>
      <w:r>
        <w:rPr>
          <w:rFonts w:hint="eastAsia" w:ascii="宋体" w:hAnsi="宋体" w:cs="宋体"/>
          <w:color w:val="auto"/>
          <w:highlight w:val="none"/>
          <w:lang w:val="en-US" w:eastAsia="zh-CN"/>
        </w:rPr>
        <w:t>长度</w:t>
      </w:r>
      <w:r>
        <w:rPr>
          <w:rFonts w:ascii="宋体" w:hAnsi="宋体" w:cs="宋体"/>
          <w:color w:val="auto"/>
          <w:highlight w:val="none"/>
        </w:rPr>
        <w:t>数据为准。</w:t>
      </w:r>
    </w:p>
    <w:p w14:paraId="30A11FDB">
      <w:pPr>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桥梁类型应从“梁式桥、拱式桥、悬索桥、斜拉桥、刚构桥、组合体系桥、其他”中选择填写。</w:t>
      </w:r>
    </w:p>
    <w:p w14:paraId="3AE52560">
      <w:pPr>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.本表所列合同价格一般为项目结算价格，无结算价格的以签约合同价格为准。</w:t>
      </w:r>
    </w:p>
    <w:p w14:paraId="774D771A">
      <w:pPr>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7</w:t>
      </w:r>
      <w:r>
        <w:rPr>
          <w:rFonts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5D5B95B6">
      <w:pPr>
        <w:spacing w:line="32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w:t>
      </w:r>
      <w:r>
        <w:rPr>
          <w:rFonts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5月1日，填写为20</w:t>
      </w:r>
      <w:r>
        <w:rPr>
          <w:rFonts w:hint="eastAsia" w:ascii="宋体" w:hAnsi="宋体"/>
          <w:color w:val="auto"/>
          <w:szCs w:val="21"/>
          <w:highlight w:val="none"/>
          <w:lang w:val="en-US" w:eastAsia="zh-CN"/>
        </w:rPr>
        <w:t>21</w:t>
      </w:r>
      <w:r>
        <w:rPr>
          <w:rFonts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5月，填写为20</w:t>
      </w:r>
      <w:r>
        <w:rPr>
          <w:rFonts w:hint="eastAsia" w:ascii="宋体" w:hAnsi="宋体"/>
          <w:color w:val="auto"/>
          <w:szCs w:val="21"/>
          <w:highlight w:val="none"/>
          <w:lang w:val="en-US" w:eastAsia="zh-CN"/>
        </w:rPr>
        <w:t>21</w:t>
      </w:r>
      <w:r>
        <w:rPr>
          <w:rFonts w:ascii="宋体" w:hAnsi="宋体"/>
          <w:color w:val="auto"/>
          <w:szCs w:val="21"/>
          <w:highlight w:val="none"/>
        </w:rPr>
        <w:t>05。</w:t>
      </w:r>
    </w:p>
    <w:p w14:paraId="1936F051">
      <w:pPr>
        <w:spacing w:line="320" w:lineRule="exact"/>
        <w:ind w:left="630" w:hanging="630" w:hangingChars="300"/>
        <w:jc w:val="left"/>
        <w:rPr>
          <w:rFonts w:hint="default" w:ascii="宋体" w:hAnsi="宋体" w:cs="宋体"/>
          <w:color w:val="auto"/>
          <w:highlight w:val="none"/>
          <w:lang w:eastAsia="zh-CN"/>
        </w:rPr>
      </w:pPr>
      <w:r>
        <w:rPr>
          <w:rFonts w:hint="eastAsia" w:ascii="宋体" w:hAnsi="宋体"/>
          <w:color w:val="auto"/>
          <w:szCs w:val="21"/>
          <w:highlight w:val="none"/>
          <w:lang w:val="en-US" w:eastAsia="zh-CN"/>
        </w:rPr>
        <w:t xml:space="preserve">  </w:t>
      </w:r>
      <w:r>
        <w:rPr>
          <w:rFonts w:hint="eastAsia" w:ascii="宋体" w:hAnsi="宋体" w:cs="宋体"/>
          <w:color w:val="auto"/>
          <w:szCs w:val="24"/>
          <w:highlight w:val="none"/>
          <w:lang w:val="en-US" w:eastAsia="zh-CN"/>
        </w:rPr>
        <w:t xml:space="preserve"> </w:t>
      </w:r>
      <w:r>
        <w:rPr>
          <w:rFonts w:hint="default" w:ascii="宋体" w:hAnsi="宋体" w:cs="宋体"/>
          <w:color w:val="auto"/>
          <w:szCs w:val="24"/>
          <w:highlight w:val="none"/>
          <w:lang w:val="en-US" w:eastAsia="zh-CN"/>
        </w:rPr>
        <w:t xml:space="preserve"> </w:t>
      </w:r>
      <w:r>
        <w:rPr>
          <w:rFonts w:hint="default" w:ascii="宋体" w:hAnsi="宋体" w:cs="宋体"/>
          <w:color w:val="auto"/>
          <w:highlight w:val="none"/>
          <w:lang w:val="en-US" w:eastAsia="zh-CN"/>
        </w:rPr>
        <w:t>9</w:t>
      </w:r>
      <w:r>
        <w:rPr>
          <w:rFonts w:hint="eastAsia" w:ascii="宋体" w:hAnsi="宋体" w:cs="宋体"/>
          <w:color w:val="auto"/>
          <w:highlight w:val="none"/>
        </w:rPr>
        <w:t>.</w:t>
      </w:r>
      <w:r>
        <w:rPr>
          <w:rFonts w:hint="default" w:ascii="宋体" w:hAnsi="宋体" w:cs="宋体"/>
          <w:color w:val="auto"/>
          <w:szCs w:val="24"/>
          <w:highlight w:val="none"/>
        </w:rPr>
        <w:t>允许联合体投标时，</w:t>
      </w:r>
      <w:r>
        <w:rPr>
          <w:rFonts w:hint="default" w:ascii="宋体" w:hAnsi="宋体" w:cs="宋体"/>
          <w:color w:val="auto"/>
          <w:szCs w:val="24"/>
          <w:highlight w:val="none"/>
          <w:lang w:val="en-US" w:eastAsia="zh-CN"/>
        </w:rPr>
        <w:t>若</w:t>
      </w:r>
      <w:r>
        <w:rPr>
          <w:rFonts w:hint="eastAsia" w:ascii="宋体" w:hAnsi="宋体" w:cs="宋体"/>
          <w:color w:val="auto"/>
          <w:highlight w:val="none"/>
        </w:rPr>
        <w:t>以联合体形式投标的，联合体各成员应按照第二章“投标人须知”前附表附录3资格审查条件要求的对应业绩及</w:t>
      </w:r>
      <w:r>
        <w:rPr>
          <w:rFonts w:hint="default"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default" w:ascii="宋体" w:hAnsi="宋体" w:cs="宋体"/>
          <w:color w:val="auto"/>
          <w:highlight w:val="none"/>
          <w:lang w:val="en-US" w:eastAsia="zh-CN"/>
        </w:rPr>
        <w:t>本表</w:t>
      </w:r>
      <w:r>
        <w:rPr>
          <w:rFonts w:hint="default" w:ascii="宋体" w:hAnsi="宋体" w:cs="宋体"/>
          <w:color w:val="auto"/>
          <w:highlight w:val="none"/>
          <w:lang w:eastAsia="zh-CN"/>
        </w:rPr>
        <w:t>。</w:t>
      </w:r>
    </w:p>
    <w:p w14:paraId="0E62C67B">
      <w:pPr>
        <w:spacing w:line="360" w:lineRule="auto"/>
        <w:ind w:left="630" w:hanging="843" w:hangingChars="300"/>
        <w:jc w:val="left"/>
        <w:rPr>
          <w:rFonts w:ascii="黑体" w:hAnsi="黑体" w:eastAsia="黑体" w:cs="宋体"/>
          <w:color w:val="auto"/>
          <w:sz w:val="24"/>
          <w:highlight w:val="none"/>
        </w:rPr>
      </w:pPr>
      <w:r>
        <w:rPr>
          <w:rFonts w:ascii="宋体" w:hAnsi="宋体" w:cs="宋体"/>
          <w:b/>
          <w:color w:val="auto"/>
          <w:sz w:val="28"/>
          <w:szCs w:val="28"/>
          <w:highlight w:val="none"/>
        </w:rPr>
        <w:br w:type="page"/>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lang w:val="en-US" w:eastAsia="zh-CN"/>
        </w:rPr>
        <w:t xml:space="preserve">            </w:t>
      </w:r>
      <w:r>
        <w:rPr>
          <w:rFonts w:hint="eastAsia" w:ascii="黑体" w:hAnsi="黑体" w:eastAsia="黑体" w:cs="宋体"/>
          <w:b/>
          <w:color w:val="auto"/>
          <w:sz w:val="24"/>
          <w:highlight w:val="none"/>
        </w:rPr>
        <w:t>□</w:t>
      </w:r>
      <w:r>
        <w:rPr>
          <w:rFonts w:ascii="黑体" w:hAnsi="黑体" w:eastAsia="黑体" w:cs="宋体"/>
          <w:color w:val="auto"/>
          <w:sz w:val="24"/>
          <w:highlight w:val="none"/>
        </w:rPr>
        <w:t xml:space="preserve"> 近年完成的</w:t>
      </w:r>
      <w:r>
        <w:rPr>
          <w:rFonts w:hint="eastAsia" w:ascii="黑体" w:hAnsi="黑体" w:eastAsia="黑体" w:cs="宋体"/>
          <w:color w:val="auto"/>
          <w:sz w:val="24"/>
          <w:highlight w:val="none"/>
        </w:rPr>
        <w:t>公路隧道工程施工情况</w:t>
      </w:r>
      <w:r>
        <w:rPr>
          <w:rFonts w:hint="eastAsia" w:ascii="黑体" w:hAnsi="黑体" w:eastAsia="黑体" w:cs="宋体"/>
          <w:color w:val="auto"/>
          <w:sz w:val="24"/>
          <w:highlight w:val="none"/>
          <w:lang w:val="en-US" w:eastAsia="zh-CN"/>
        </w:rPr>
        <w:t>表</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表</w:t>
      </w:r>
      <w:r>
        <w:rPr>
          <w:rFonts w:hint="eastAsia" w:ascii="黑体" w:hAnsi="黑体" w:eastAsia="黑体" w:cs="宋体"/>
          <w:color w:val="auto"/>
          <w:sz w:val="24"/>
          <w:highlight w:val="none"/>
          <w:lang w:val="en-US" w:eastAsia="zh-CN"/>
        </w:rPr>
        <w:t>4.</w:t>
      </w:r>
      <w:r>
        <w:rPr>
          <w:rFonts w:ascii="黑体" w:hAnsi="黑体" w:eastAsia="黑体" w:cs="宋体"/>
          <w:color w:val="auto"/>
          <w:sz w:val="24"/>
          <w:highlight w:val="none"/>
        </w:rPr>
        <w:t>3</w:t>
      </w:r>
    </w:p>
    <w:tbl>
      <w:tblPr>
        <w:tblStyle w:val="49"/>
        <w:tblW w:w="139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935"/>
        <w:gridCol w:w="1408"/>
        <w:gridCol w:w="719"/>
        <w:gridCol w:w="1112"/>
        <w:gridCol w:w="610"/>
        <w:gridCol w:w="716"/>
        <w:gridCol w:w="578"/>
        <w:gridCol w:w="983"/>
        <w:gridCol w:w="836"/>
        <w:gridCol w:w="1001"/>
        <w:gridCol w:w="796"/>
        <w:gridCol w:w="1043"/>
        <w:gridCol w:w="759"/>
        <w:gridCol w:w="888"/>
        <w:gridCol w:w="1141"/>
      </w:tblGrid>
      <w:tr w14:paraId="0678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448" w:type="dxa"/>
            <w:vAlign w:val="center"/>
          </w:tcPr>
          <w:p w14:paraId="0BA6E11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序号</w:t>
            </w:r>
          </w:p>
        </w:tc>
        <w:tc>
          <w:tcPr>
            <w:tcW w:w="935" w:type="dxa"/>
            <w:tcMar>
              <w:top w:w="0" w:type="dxa"/>
              <w:left w:w="108" w:type="dxa"/>
              <w:bottom w:w="0" w:type="dxa"/>
              <w:right w:w="108" w:type="dxa"/>
            </w:tcMar>
            <w:vAlign w:val="center"/>
          </w:tcPr>
          <w:p w14:paraId="40E389C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w:t>
            </w:r>
          </w:p>
          <w:p w14:paraId="01BDCC4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业主</w:t>
            </w:r>
          </w:p>
        </w:tc>
        <w:tc>
          <w:tcPr>
            <w:tcW w:w="1408" w:type="dxa"/>
            <w:tcMar>
              <w:top w:w="0" w:type="dxa"/>
              <w:left w:w="108" w:type="dxa"/>
              <w:bottom w:w="0" w:type="dxa"/>
              <w:right w:w="108" w:type="dxa"/>
            </w:tcMar>
            <w:vAlign w:val="center"/>
          </w:tcPr>
          <w:p w14:paraId="3C41C60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项目名称</w:t>
            </w:r>
          </w:p>
        </w:tc>
        <w:tc>
          <w:tcPr>
            <w:tcW w:w="719" w:type="dxa"/>
            <w:vAlign w:val="center"/>
          </w:tcPr>
          <w:p w14:paraId="30C2A0D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公路</w:t>
            </w:r>
          </w:p>
          <w:p w14:paraId="40CF7BA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等级</w:t>
            </w:r>
          </w:p>
        </w:tc>
        <w:tc>
          <w:tcPr>
            <w:tcW w:w="1112" w:type="dxa"/>
            <w:tcMar>
              <w:top w:w="0" w:type="dxa"/>
              <w:left w:w="108" w:type="dxa"/>
              <w:bottom w:w="0" w:type="dxa"/>
              <w:right w:w="108" w:type="dxa"/>
            </w:tcMar>
            <w:vAlign w:val="center"/>
          </w:tcPr>
          <w:p w14:paraId="309BB739">
            <w:pPr>
              <w:jc w:val="center"/>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项目</w:t>
            </w:r>
            <w:r>
              <w:rPr>
                <w:rFonts w:hint="eastAsia" w:cs="宋体" w:asciiTheme="minorEastAsia" w:hAnsiTheme="minorEastAsia" w:eastAsiaTheme="minorEastAsia"/>
                <w:color w:val="auto"/>
                <w:szCs w:val="21"/>
                <w:highlight w:val="none"/>
              </w:rPr>
              <w:t>建设形式</w:t>
            </w:r>
          </w:p>
        </w:tc>
        <w:tc>
          <w:tcPr>
            <w:tcW w:w="610" w:type="dxa"/>
            <w:tcMar>
              <w:top w:w="0" w:type="dxa"/>
              <w:left w:w="108" w:type="dxa"/>
              <w:bottom w:w="0" w:type="dxa"/>
              <w:right w:w="108" w:type="dxa"/>
            </w:tcMar>
            <w:vAlign w:val="center"/>
          </w:tcPr>
          <w:p w14:paraId="583AB2E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标段号</w:t>
            </w:r>
          </w:p>
        </w:tc>
        <w:tc>
          <w:tcPr>
            <w:tcW w:w="716" w:type="dxa"/>
          </w:tcPr>
          <w:p w14:paraId="473C7C3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w:t>
            </w:r>
          </w:p>
          <w:p w14:paraId="3D8DCAF3">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长度（</w:t>
            </w:r>
            <w:r>
              <w:rPr>
                <w:rFonts w:cs="宋体" w:asciiTheme="minorEastAsia" w:hAnsiTheme="minorEastAsia" w:eastAsiaTheme="minorEastAsia"/>
                <w:color w:val="auto"/>
                <w:szCs w:val="21"/>
                <w:highlight w:val="none"/>
              </w:rPr>
              <w:t>km）</w:t>
            </w:r>
          </w:p>
        </w:tc>
        <w:tc>
          <w:tcPr>
            <w:tcW w:w="578" w:type="dxa"/>
            <w:vAlign w:val="center"/>
          </w:tcPr>
          <w:p w14:paraId="36B4CF0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开工</w:t>
            </w:r>
          </w:p>
          <w:p w14:paraId="66C799E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日期</w:t>
            </w:r>
          </w:p>
        </w:tc>
        <w:tc>
          <w:tcPr>
            <w:tcW w:w="983" w:type="dxa"/>
            <w:tcMar>
              <w:top w:w="0" w:type="dxa"/>
              <w:left w:w="108" w:type="dxa"/>
              <w:bottom w:w="0" w:type="dxa"/>
              <w:right w:w="108" w:type="dxa"/>
            </w:tcMar>
            <w:vAlign w:val="center"/>
          </w:tcPr>
          <w:p w14:paraId="550ED4D9">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完成（交工）日期</w:t>
            </w:r>
          </w:p>
        </w:tc>
        <w:tc>
          <w:tcPr>
            <w:tcW w:w="836" w:type="dxa"/>
            <w:vAlign w:val="center"/>
          </w:tcPr>
          <w:p w14:paraId="09BC19B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建设规模</w:t>
            </w:r>
          </w:p>
        </w:tc>
        <w:tc>
          <w:tcPr>
            <w:tcW w:w="1001" w:type="dxa"/>
            <w:tcMar>
              <w:top w:w="0" w:type="dxa"/>
              <w:left w:w="108" w:type="dxa"/>
              <w:bottom w:w="0" w:type="dxa"/>
              <w:right w:w="108" w:type="dxa"/>
            </w:tcMar>
            <w:vAlign w:val="center"/>
          </w:tcPr>
          <w:p w14:paraId="6E6A41B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合同价格（元）</w:t>
            </w:r>
          </w:p>
        </w:tc>
        <w:tc>
          <w:tcPr>
            <w:tcW w:w="796" w:type="dxa"/>
            <w:vAlign w:val="center"/>
          </w:tcPr>
          <w:p w14:paraId="613E95D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隧道</w:t>
            </w:r>
          </w:p>
          <w:p w14:paraId="61A5B1E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名称</w:t>
            </w:r>
          </w:p>
        </w:tc>
        <w:tc>
          <w:tcPr>
            <w:tcW w:w="1043" w:type="dxa"/>
            <w:vAlign w:val="center"/>
          </w:tcPr>
          <w:p w14:paraId="5F5680C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隧道长度（</w:t>
            </w:r>
            <w:r>
              <w:rPr>
                <w:rFonts w:cs="宋体" w:asciiTheme="minorEastAsia" w:hAnsiTheme="minorEastAsia" w:eastAsiaTheme="minorEastAsia"/>
                <w:color w:val="auto"/>
                <w:szCs w:val="21"/>
                <w:highlight w:val="none"/>
              </w:rPr>
              <w:t>m）</w:t>
            </w:r>
          </w:p>
        </w:tc>
        <w:tc>
          <w:tcPr>
            <w:tcW w:w="759" w:type="dxa"/>
            <w:vAlign w:val="center"/>
          </w:tcPr>
          <w:p w14:paraId="26064D8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项目经理</w:t>
            </w:r>
          </w:p>
        </w:tc>
        <w:tc>
          <w:tcPr>
            <w:tcW w:w="888" w:type="dxa"/>
            <w:tcMar>
              <w:top w:w="0" w:type="dxa"/>
              <w:left w:w="108" w:type="dxa"/>
              <w:bottom w:w="0" w:type="dxa"/>
              <w:right w:w="108" w:type="dxa"/>
            </w:tcMar>
            <w:vAlign w:val="center"/>
          </w:tcPr>
          <w:p w14:paraId="204AC99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项目总工</w:t>
            </w:r>
          </w:p>
        </w:tc>
        <w:tc>
          <w:tcPr>
            <w:tcW w:w="1141" w:type="dxa"/>
            <w:vAlign w:val="center"/>
          </w:tcPr>
          <w:p w14:paraId="74F67C83">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业绩证明材料附件</w:t>
            </w:r>
          </w:p>
        </w:tc>
      </w:tr>
      <w:tr w14:paraId="62B9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48" w:type="dxa"/>
            <w:vAlign w:val="center"/>
          </w:tcPr>
          <w:p w14:paraId="20256328">
            <w:pPr>
              <w:jc w:val="center"/>
              <w:rPr>
                <w:rFonts w:hint="default" w:cs="宋体" w:asciiTheme="minorEastAsia" w:hAnsiTheme="minorEastAsia" w:eastAsiaTheme="minorEastAsia"/>
                <w:color w:val="auto"/>
                <w:szCs w:val="21"/>
                <w:highlight w:val="none"/>
                <w:lang w:val="en-US" w:eastAsia="zh-CN"/>
              </w:rPr>
            </w:pPr>
          </w:p>
        </w:tc>
        <w:tc>
          <w:tcPr>
            <w:tcW w:w="935" w:type="dxa"/>
            <w:tcMar>
              <w:top w:w="0" w:type="dxa"/>
              <w:left w:w="108" w:type="dxa"/>
              <w:bottom w:w="0" w:type="dxa"/>
              <w:right w:w="108" w:type="dxa"/>
            </w:tcMar>
            <w:vAlign w:val="center"/>
          </w:tcPr>
          <w:p w14:paraId="30FD5F26">
            <w:pPr>
              <w:jc w:val="center"/>
              <w:rPr>
                <w:rFonts w:cs="宋体" w:asciiTheme="minorEastAsia" w:hAnsiTheme="minorEastAsia" w:eastAsiaTheme="minorEastAsia"/>
                <w:color w:val="auto"/>
                <w:szCs w:val="21"/>
                <w:highlight w:val="none"/>
              </w:rPr>
            </w:pPr>
          </w:p>
        </w:tc>
        <w:tc>
          <w:tcPr>
            <w:tcW w:w="1408" w:type="dxa"/>
            <w:tcMar>
              <w:top w:w="0" w:type="dxa"/>
              <w:left w:w="108" w:type="dxa"/>
              <w:bottom w:w="0" w:type="dxa"/>
              <w:right w:w="108" w:type="dxa"/>
            </w:tcMar>
            <w:vAlign w:val="center"/>
          </w:tcPr>
          <w:p w14:paraId="7434A080">
            <w:pPr>
              <w:jc w:val="center"/>
              <w:rPr>
                <w:rFonts w:cs="宋体" w:asciiTheme="minorEastAsia" w:hAnsiTheme="minorEastAsia" w:eastAsiaTheme="minorEastAsia"/>
                <w:color w:val="auto"/>
                <w:szCs w:val="21"/>
                <w:highlight w:val="none"/>
              </w:rPr>
            </w:pPr>
          </w:p>
        </w:tc>
        <w:tc>
          <w:tcPr>
            <w:tcW w:w="719" w:type="dxa"/>
          </w:tcPr>
          <w:p w14:paraId="4645FD32">
            <w:pPr>
              <w:jc w:val="center"/>
              <w:rPr>
                <w:rFonts w:cs="宋体" w:asciiTheme="minorEastAsia" w:hAnsiTheme="minorEastAsia" w:eastAsiaTheme="minorEastAsia"/>
                <w:color w:val="auto"/>
                <w:szCs w:val="21"/>
                <w:highlight w:val="none"/>
              </w:rPr>
            </w:pPr>
          </w:p>
        </w:tc>
        <w:tc>
          <w:tcPr>
            <w:tcW w:w="1112" w:type="dxa"/>
            <w:tcMar>
              <w:top w:w="0" w:type="dxa"/>
              <w:left w:w="108" w:type="dxa"/>
              <w:bottom w:w="0" w:type="dxa"/>
              <w:right w:w="108" w:type="dxa"/>
            </w:tcMar>
            <w:vAlign w:val="center"/>
          </w:tcPr>
          <w:p w14:paraId="7B53287F">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1C56D424">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610" w:type="dxa"/>
            <w:tcMar>
              <w:top w:w="0" w:type="dxa"/>
              <w:left w:w="108" w:type="dxa"/>
              <w:bottom w:w="0" w:type="dxa"/>
              <w:right w:w="108" w:type="dxa"/>
            </w:tcMar>
            <w:vAlign w:val="center"/>
          </w:tcPr>
          <w:p w14:paraId="291B571B">
            <w:pPr>
              <w:jc w:val="center"/>
              <w:rPr>
                <w:rFonts w:cs="宋体" w:asciiTheme="minorEastAsia" w:hAnsiTheme="minorEastAsia" w:eastAsiaTheme="minorEastAsia"/>
                <w:color w:val="auto"/>
                <w:szCs w:val="21"/>
                <w:highlight w:val="none"/>
              </w:rPr>
            </w:pPr>
          </w:p>
        </w:tc>
        <w:tc>
          <w:tcPr>
            <w:tcW w:w="716" w:type="dxa"/>
            <w:vAlign w:val="center"/>
          </w:tcPr>
          <w:p w14:paraId="7F2A5009">
            <w:pPr>
              <w:jc w:val="center"/>
              <w:rPr>
                <w:rFonts w:cs="宋体" w:asciiTheme="minorEastAsia" w:hAnsiTheme="minorEastAsia" w:eastAsiaTheme="minorEastAsia"/>
                <w:color w:val="auto"/>
                <w:szCs w:val="21"/>
                <w:highlight w:val="none"/>
              </w:rPr>
            </w:pPr>
          </w:p>
        </w:tc>
        <w:tc>
          <w:tcPr>
            <w:tcW w:w="578" w:type="dxa"/>
            <w:vAlign w:val="center"/>
          </w:tcPr>
          <w:p w14:paraId="5F9A1204">
            <w:pPr>
              <w:jc w:val="center"/>
              <w:rPr>
                <w:rFonts w:cs="宋体" w:asciiTheme="minorEastAsia" w:hAnsiTheme="minorEastAsia" w:eastAsiaTheme="minorEastAsia"/>
                <w:color w:val="auto"/>
                <w:szCs w:val="21"/>
                <w:highlight w:val="none"/>
              </w:rPr>
            </w:pPr>
          </w:p>
        </w:tc>
        <w:tc>
          <w:tcPr>
            <w:tcW w:w="983" w:type="dxa"/>
            <w:tcMar>
              <w:top w:w="0" w:type="dxa"/>
              <w:left w:w="108" w:type="dxa"/>
              <w:bottom w:w="0" w:type="dxa"/>
              <w:right w:w="108" w:type="dxa"/>
            </w:tcMar>
            <w:vAlign w:val="center"/>
          </w:tcPr>
          <w:p w14:paraId="530FA968">
            <w:pPr>
              <w:jc w:val="center"/>
              <w:rPr>
                <w:rFonts w:cs="宋体" w:asciiTheme="minorEastAsia" w:hAnsiTheme="minorEastAsia" w:eastAsiaTheme="minorEastAsia"/>
                <w:color w:val="auto"/>
                <w:szCs w:val="21"/>
                <w:highlight w:val="none"/>
              </w:rPr>
            </w:pPr>
          </w:p>
        </w:tc>
        <w:tc>
          <w:tcPr>
            <w:tcW w:w="836" w:type="dxa"/>
            <w:vAlign w:val="center"/>
          </w:tcPr>
          <w:p w14:paraId="73EB124F">
            <w:pPr>
              <w:jc w:val="center"/>
              <w:rPr>
                <w:rFonts w:cs="宋体" w:asciiTheme="minorEastAsia" w:hAnsiTheme="minorEastAsia" w:eastAsiaTheme="minorEastAsia"/>
                <w:color w:val="auto"/>
                <w:szCs w:val="21"/>
                <w:highlight w:val="none"/>
              </w:rPr>
            </w:pPr>
          </w:p>
        </w:tc>
        <w:tc>
          <w:tcPr>
            <w:tcW w:w="1001" w:type="dxa"/>
            <w:tcMar>
              <w:top w:w="0" w:type="dxa"/>
              <w:left w:w="108" w:type="dxa"/>
              <w:bottom w:w="0" w:type="dxa"/>
              <w:right w:w="108" w:type="dxa"/>
            </w:tcMar>
            <w:vAlign w:val="center"/>
          </w:tcPr>
          <w:p w14:paraId="1EA0C59C">
            <w:pPr>
              <w:jc w:val="center"/>
              <w:rPr>
                <w:rFonts w:cs="宋体" w:asciiTheme="minorEastAsia" w:hAnsiTheme="minorEastAsia" w:eastAsiaTheme="minorEastAsia"/>
                <w:color w:val="auto"/>
                <w:szCs w:val="21"/>
                <w:highlight w:val="none"/>
              </w:rPr>
            </w:pPr>
          </w:p>
        </w:tc>
        <w:tc>
          <w:tcPr>
            <w:tcW w:w="796" w:type="dxa"/>
            <w:vAlign w:val="center"/>
          </w:tcPr>
          <w:p w14:paraId="67B5735E">
            <w:pPr>
              <w:jc w:val="center"/>
              <w:rPr>
                <w:rFonts w:cs="宋体" w:asciiTheme="minorEastAsia" w:hAnsiTheme="minorEastAsia" w:eastAsiaTheme="minorEastAsia"/>
                <w:color w:val="auto"/>
                <w:szCs w:val="21"/>
                <w:highlight w:val="none"/>
              </w:rPr>
            </w:pPr>
          </w:p>
        </w:tc>
        <w:tc>
          <w:tcPr>
            <w:tcW w:w="1043" w:type="dxa"/>
            <w:vAlign w:val="center"/>
          </w:tcPr>
          <w:p w14:paraId="1062EC0C">
            <w:pPr>
              <w:jc w:val="center"/>
              <w:rPr>
                <w:rFonts w:cs="宋体" w:asciiTheme="minorEastAsia" w:hAnsiTheme="minorEastAsia" w:eastAsiaTheme="minorEastAsia"/>
                <w:color w:val="auto"/>
                <w:szCs w:val="21"/>
                <w:highlight w:val="none"/>
              </w:rPr>
            </w:pPr>
          </w:p>
        </w:tc>
        <w:tc>
          <w:tcPr>
            <w:tcW w:w="759" w:type="dxa"/>
            <w:vAlign w:val="center"/>
          </w:tcPr>
          <w:p w14:paraId="4580ED67">
            <w:pPr>
              <w:jc w:val="center"/>
              <w:rPr>
                <w:rFonts w:cs="宋体" w:asciiTheme="minorEastAsia" w:hAnsiTheme="minorEastAsia" w:eastAsiaTheme="minorEastAsia"/>
                <w:color w:val="auto"/>
                <w:szCs w:val="21"/>
                <w:highlight w:val="none"/>
              </w:rPr>
            </w:pPr>
          </w:p>
        </w:tc>
        <w:tc>
          <w:tcPr>
            <w:tcW w:w="888" w:type="dxa"/>
            <w:tcMar>
              <w:top w:w="0" w:type="dxa"/>
              <w:left w:w="108" w:type="dxa"/>
              <w:bottom w:w="0" w:type="dxa"/>
              <w:right w:w="108" w:type="dxa"/>
            </w:tcMar>
            <w:vAlign w:val="center"/>
          </w:tcPr>
          <w:p w14:paraId="5FEFAF1C">
            <w:pPr>
              <w:jc w:val="center"/>
              <w:rPr>
                <w:rFonts w:cs="宋体" w:asciiTheme="minorEastAsia" w:hAnsiTheme="minorEastAsia" w:eastAsiaTheme="minorEastAsia"/>
                <w:color w:val="auto"/>
                <w:szCs w:val="21"/>
                <w:highlight w:val="none"/>
              </w:rPr>
            </w:pPr>
          </w:p>
        </w:tc>
        <w:tc>
          <w:tcPr>
            <w:tcW w:w="1141" w:type="dxa"/>
            <w:vAlign w:val="center"/>
          </w:tcPr>
          <w:p w14:paraId="2C0133B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附件</w:t>
            </w:r>
            <w:r>
              <w:rPr>
                <w:rFonts w:cs="宋体" w:asciiTheme="minorEastAsia" w:hAnsiTheme="minorEastAsia" w:eastAsiaTheme="minorEastAsia"/>
                <w:color w:val="auto"/>
                <w:szCs w:val="21"/>
                <w:highlight w:val="none"/>
              </w:rPr>
              <w:t>C3.1</w:t>
            </w:r>
          </w:p>
        </w:tc>
      </w:tr>
      <w:tr w14:paraId="2823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48" w:type="dxa"/>
            <w:vAlign w:val="center"/>
          </w:tcPr>
          <w:p w14:paraId="251EFBF9">
            <w:pPr>
              <w:jc w:val="center"/>
              <w:rPr>
                <w:rFonts w:hint="default" w:cs="宋体" w:asciiTheme="minorEastAsia" w:hAnsiTheme="minorEastAsia" w:eastAsiaTheme="minorEastAsia"/>
                <w:color w:val="auto"/>
                <w:szCs w:val="21"/>
                <w:highlight w:val="none"/>
                <w:lang w:val="en-US" w:eastAsia="zh-CN"/>
              </w:rPr>
            </w:pPr>
          </w:p>
        </w:tc>
        <w:tc>
          <w:tcPr>
            <w:tcW w:w="935" w:type="dxa"/>
            <w:tcMar>
              <w:top w:w="0" w:type="dxa"/>
              <w:left w:w="108" w:type="dxa"/>
              <w:bottom w:w="0" w:type="dxa"/>
              <w:right w:w="108" w:type="dxa"/>
            </w:tcMar>
            <w:vAlign w:val="center"/>
          </w:tcPr>
          <w:p w14:paraId="1DADB819">
            <w:pPr>
              <w:jc w:val="center"/>
              <w:rPr>
                <w:rFonts w:cs="宋体" w:asciiTheme="minorEastAsia" w:hAnsiTheme="minorEastAsia" w:eastAsiaTheme="minorEastAsia"/>
                <w:color w:val="auto"/>
                <w:szCs w:val="21"/>
                <w:highlight w:val="none"/>
              </w:rPr>
            </w:pPr>
          </w:p>
        </w:tc>
        <w:tc>
          <w:tcPr>
            <w:tcW w:w="1408" w:type="dxa"/>
            <w:tcMar>
              <w:top w:w="0" w:type="dxa"/>
              <w:left w:w="108" w:type="dxa"/>
              <w:bottom w:w="0" w:type="dxa"/>
              <w:right w:w="108" w:type="dxa"/>
            </w:tcMar>
            <w:vAlign w:val="center"/>
          </w:tcPr>
          <w:p w14:paraId="34A9037E">
            <w:pPr>
              <w:jc w:val="center"/>
              <w:rPr>
                <w:rFonts w:cs="宋体" w:asciiTheme="minorEastAsia" w:hAnsiTheme="minorEastAsia" w:eastAsiaTheme="minorEastAsia"/>
                <w:color w:val="auto"/>
                <w:szCs w:val="21"/>
                <w:highlight w:val="none"/>
              </w:rPr>
            </w:pPr>
          </w:p>
        </w:tc>
        <w:tc>
          <w:tcPr>
            <w:tcW w:w="719" w:type="dxa"/>
          </w:tcPr>
          <w:p w14:paraId="1A9C34B1">
            <w:pPr>
              <w:jc w:val="center"/>
              <w:rPr>
                <w:rFonts w:cs="宋体" w:asciiTheme="minorEastAsia" w:hAnsiTheme="minorEastAsia" w:eastAsiaTheme="minorEastAsia"/>
                <w:color w:val="auto"/>
                <w:szCs w:val="21"/>
                <w:highlight w:val="none"/>
              </w:rPr>
            </w:pPr>
          </w:p>
        </w:tc>
        <w:tc>
          <w:tcPr>
            <w:tcW w:w="1112" w:type="dxa"/>
            <w:tcMar>
              <w:top w:w="0" w:type="dxa"/>
              <w:left w:w="108" w:type="dxa"/>
              <w:bottom w:w="0" w:type="dxa"/>
              <w:right w:w="108" w:type="dxa"/>
            </w:tcMar>
            <w:vAlign w:val="center"/>
          </w:tcPr>
          <w:p w14:paraId="672FFC7A">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5951C195">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610" w:type="dxa"/>
            <w:tcMar>
              <w:top w:w="0" w:type="dxa"/>
              <w:left w:w="108" w:type="dxa"/>
              <w:bottom w:w="0" w:type="dxa"/>
              <w:right w:w="108" w:type="dxa"/>
            </w:tcMar>
            <w:vAlign w:val="center"/>
          </w:tcPr>
          <w:p w14:paraId="214ED78B">
            <w:pPr>
              <w:jc w:val="center"/>
              <w:rPr>
                <w:rFonts w:cs="宋体" w:asciiTheme="minorEastAsia" w:hAnsiTheme="minorEastAsia" w:eastAsiaTheme="minorEastAsia"/>
                <w:color w:val="auto"/>
                <w:szCs w:val="21"/>
                <w:highlight w:val="none"/>
              </w:rPr>
            </w:pPr>
          </w:p>
        </w:tc>
        <w:tc>
          <w:tcPr>
            <w:tcW w:w="716" w:type="dxa"/>
            <w:vAlign w:val="center"/>
          </w:tcPr>
          <w:p w14:paraId="33C24F0D">
            <w:pPr>
              <w:jc w:val="center"/>
              <w:rPr>
                <w:rFonts w:cs="宋体" w:asciiTheme="minorEastAsia" w:hAnsiTheme="minorEastAsia" w:eastAsiaTheme="minorEastAsia"/>
                <w:color w:val="auto"/>
                <w:szCs w:val="21"/>
                <w:highlight w:val="none"/>
              </w:rPr>
            </w:pPr>
          </w:p>
        </w:tc>
        <w:tc>
          <w:tcPr>
            <w:tcW w:w="578" w:type="dxa"/>
            <w:vAlign w:val="center"/>
          </w:tcPr>
          <w:p w14:paraId="1AA9D648">
            <w:pPr>
              <w:jc w:val="center"/>
              <w:rPr>
                <w:rFonts w:cs="宋体" w:asciiTheme="minorEastAsia" w:hAnsiTheme="minorEastAsia" w:eastAsiaTheme="minorEastAsia"/>
                <w:color w:val="auto"/>
                <w:szCs w:val="21"/>
                <w:highlight w:val="none"/>
              </w:rPr>
            </w:pPr>
          </w:p>
        </w:tc>
        <w:tc>
          <w:tcPr>
            <w:tcW w:w="983" w:type="dxa"/>
            <w:tcMar>
              <w:top w:w="0" w:type="dxa"/>
              <w:left w:w="108" w:type="dxa"/>
              <w:bottom w:w="0" w:type="dxa"/>
              <w:right w:w="108" w:type="dxa"/>
            </w:tcMar>
            <w:vAlign w:val="center"/>
          </w:tcPr>
          <w:p w14:paraId="3280676F">
            <w:pPr>
              <w:jc w:val="center"/>
              <w:rPr>
                <w:rFonts w:cs="宋体" w:asciiTheme="minorEastAsia" w:hAnsiTheme="minorEastAsia" w:eastAsiaTheme="minorEastAsia"/>
                <w:color w:val="auto"/>
                <w:szCs w:val="21"/>
                <w:highlight w:val="none"/>
              </w:rPr>
            </w:pPr>
          </w:p>
        </w:tc>
        <w:tc>
          <w:tcPr>
            <w:tcW w:w="836" w:type="dxa"/>
            <w:vAlign w:val="center"/>
          </w:tcPr>
          <w:p w14:paraId="1134A295">
            <w:pPr>
              <w:jc w:val="center"/>
              <w:rPr>
                <w:rFonts w:cs="宋体" w:asciiTheme="minorEastAsia" w:hAnsiTheme="minorEastAsia" w:eastAsiaTheme="minorEastAsia"/>
                <w:color w:val="auto"/>
                <w:szCs w:val="21"/>
                <w:highlight w:val="none"/>
              </w:rPr>
            </w:pPr>
          </w:p>
        </w:tc>
        <w:tc>
          <w:tcPr>
            <w:tcW w:w="1001" w:type="dxa"/>
            <w:tcMar>
              <w:top w:w="0" w:type="dxa"/>
              <w:left w:w="108" w:type="dxa"/>
              <w:bottom w:w="0" w:type="dxa"/>
              <w:right w:w="108" w:type="dxa"/>
            </w:tcMar>
            <w:vAlign w:val="center"/>
          </w:tcPr>
          <w:p w14:paraId="4851783D">
            <w:pPr>
              <w:jc w:val="center"/>
              <w:rPr>
                <w:rFonts w:cs="宋体" w:asciiTheme="minorEastAsia" w:hAnsiTheme="minorEastAsia" w:eastAsiaTheme="minorEastAsia"/>
                <w:color w:val="auto"/>
                <w:szCs w:val="21"/>
                <w:highlight w:val="none"/>
              </w:rPr>
            </w:pPr>
          </w:p>
        </w:tc>
        <w:tc>
          <w:tcPr>
            <w:tcW w:w="796" w:type="dxa"/>
            <w:vAlign w:val="center"/>
          </w:tcPr>
          <w:p w14:paraId="49009C7E">
            <w:pPr>
              <w:jc w:val="center"/>
              <w:rPr>
                <w:rFonts w:cs="宋体" w:asciiTheme="minorEastAsia" w:hAnsiTheme="minorEastAsia" w:eastAsiaTheme="minorEastAsia"/>
                <w:color w:val="auto"/>
                <w:szCs w:val="21"/>
                <w:highlight w:val="none"/>
              </w:rPr>
            </w:pPr>
          </w:p>
        </w:tc>
        <w:tc>
          <w:tcPr>
            <w:tcW w:w="1043" w:type="dxa"/>
            <w:vAlign w:val="center"/>
          </w:tcPr>
          <w:p w14:paraId="01B460B9">
            <w:pPr>
              <w:jc w:val="center"/>
              <w:rPr>
                <w:rFonts w:cs="宋体" w:asciiTheme="minorEastAsia" w:hAnsiTheme="minorEastAsia" w:eastAsiaTheme="minorEastAsia"/>
                <w:color w:val="auto"/>
                <w:szCs w:val="21"/>
                <w:highlight w:val="none"/>
              </w:rPr>
            </w:pPr>
          </w:p>
        </w:tc>
        <w:tc>
          <w:tcPr>
            <w:tcW w:w="759" w:type="dxa"/>
            <w:vAlign w:val="center"/>
          </w:tcPr>
          <w:p w14:paraId="77D6DAF8">
            <w:pPr>
              <w:jc w:val="center"/>
              <w:rPr>
                <w:rFonts w:cs="宋体" w:asciiTheme="minorEastAsia" w:hAnsiTheme="minorEastAsia" w:eastAsiaTheme="minorEastAsia"/>
                <w:color w:val="auto"/>
                <w:szCs w:val="21"/>
                <w:highlight w:val="none"/>
              </w:rPr>
            </w:pPr>
          </w:p>
        </w:tc>
        <w:tc>
          <w:tcPr>
            <w:tcW w:w="888" w:type="dxa"/>
            <w:tcMar>
              <w:top w:w="0" w:type="dxa"/>
              <w:left w:w="108" w:type="dxa"/>
              <w:bottom w:w="0" w:type="dxa"/>
              <w:right w:w="108" w:type="dxa"/>
            </w:tcMar>
            <w:vAlign w:val="center"/>
          </w:tcPr>
          <w:p w14:paraId="0184F9BA">
            <w:pPr>
              <w:jc w:val="center"/>
              <w:rPr>
                <w:rFonts w:cs="宋体" w:asciiTheme="minorEastAsia" w:hAnsiTheme="minorEastAsia" w:eastAsiaTheme="minorEastAsia"/>
                <w:color w:val="auto"/>
                <w:szCs w:val="21"/>
                <w:highlight w:val="none"/>
              </w:rPr>
            </w:pPr>
          </w:p>
        </w:tc>
        <w:tc>
          <w:tcPr>
            <w:tcW w:w="1141" w:type="dxa"/>
            <w:vAlign w:val="center"/>
          </w:tcPr>
          <w:p w14:paraId="6853274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附件</w:t>
            </w:r>
            <w:r>
              <w:rPr>
                <w:rFonts w:cs="宋体" w:asciiTheme="minorEastAsia" w:hAnsiTheme="minorEastAsia" w:eastAsiaTheme="minorEastAsia"/>
                <w:color w:val="auto"/>
                <w:szCs w:val="21"/>
                <w:highlight w:val="none"/>
              </w:rPr>
              <w:t>C3.2</w:t>
            </w:r>
          </w:p>
        </w:tc>
      </w:tr>
      <w:tr w14:paraId="2407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48" w:type="dxa"/>
            <w:vAlign w:val="center"/>
          </w:tcPr>
          <w:p w14:paraId="22A5A85C">
            <w:pPr>
              <w:jc w:val="center"/>
              <w:rPr>
                <w:rFonts w:hint="default" w:cs="宋体" w:asciiTheme="minorEastAsia" w:hAnsiTheme="minorEastAsia" w:eastAsiaTheme="minorEastAsia"/>
                <w:color w:val="auto"/>
                <w:szCs w:val="21"/>
                <w:highlight w:val="none"/>
                <w:lang w:val="en-US" w:eastAsia="zh-CN"/>
              </w:rPr>
            </w:pPr>
          </w:p>
        </w:tc>
        <w:tc>
          <w:tcPr>
            <w:tcW w:w="935" w:type="dxa"/>
            <w:tcMar>
              <w:top w:w="0" w:type="dxa"/>
              <w:left w:w="108" w:type="dxa"/>
              <w:bottom w:w="0" w:type="dxa"/>
              <w:right w:w="108" w:type="dxa"/>
            </w:tcMar>
            <w:vAlign w:val="center"/>
          </w:tcPr>
          <w:p w14:paraId="08E20E27">
            <w:pPr>
              <w:jc w:val="center"/>
              <w:rPr>
                <w:rFonts w:cs="宋体" w:asciiTheme="minorEastAsia" w:hAnsiTheme="minorEastAsia" w:eastAsiaTheme="minorEastAsia"/>
                <w:color w:val="auto"/>
                <w:szCs w:val="21"/>
                <w:highlight w:val="none"/>
              </w:rPr>
            </w:pPr>
          </w:p>
        </w:tc>
        <w:tc>
          <w:tcPr>
            <w:tcW w:w="1408" w:type="dxa"/>
            <w:tcMar>
              <w:top w:w="0" w:type="dxa"/>
              <w:left w:w="108" w:type="dxa"/>
              <w:bottom w:w="0" w:type="dxa"/>
              <w:right w:w="108" w:type="dxa"/>
            </w:tcMar>
            <w:vAlign w:val="center"/>
          </w:tcPr>
          <w:p w14:paraId="671D2B66">
            <w:pPr>
              <w:jc w:val="center"/>
              <w:rPr>
                <w:rFonts w:cs="宋体" w:asciiTheme="minorEastAsia" w:hAnsiTheme="minorEastAsia" w:eastAsiaTheme="minorEastAsia"/>
                <w:color w:val="auto"/>
                <w:szCs w:val="21"/>
                <w:highlight w:val="none"/>
              </w:rPr>
            </w:pPr>
          </w:p>
        </w:tc>
        <w:tc>
          <w:tcPr>
            <w:tcW w:w="719" w:type="dxa"/>
          </w:tcPr>
          <w:p w14:paraId="5579196E">
            <w:pPr>
              <w:jc w:val="center"/>
              <w:rPr>
                <w:rFonts w:cs="宋体" w:asciiTheme="minorEastAsia" w:hAnsiTheme="minorEastAsia" w:eastAsiaTheme="minorEastAsia"/>
                <w:color w:val="auto"/>
                <w:szCs w:val="21"/>
                <w:highlight w:val="none"/>
              </w:rPr>
            </w:pPr>
          </w:p>
        </w:tc>
        <w:tc>
          <w:tcPr>
            <w:tcW w:w="1112" w:type="dxa"/>
            <w:tcMar>
              <w:top w:w="0" w:type="dxa"/>
              <w:left w:w="108" w:type="dxa"/>
              <w:bottom w:w="0" w:type="dxa"/>
              <w:right w:w="108" w:type="dxa"/>
            </w:tcMar>
            <w:vAlign w:val="center"/>
          </w:tcPr>
          <w:p w14:paraId="0CAF8F8A">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64A133DF">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610" w:type="dxa"/>
            <w:tcMar>
              <w:top w:w="0" w:type="dxa"/>
              <w:left w:w="108" w:type="dxa"/>
              <w:bottom w:w="0" w:type="dxa"/>
              <w:right w:w="108" w:type="dxa"/>
            </w:tcMar>
            <w:vAlign w:val="center"/>
          </w:tcPr>
          <w:p w14:paraId="29505CB9">
            <w:pPr>
              <w:jc w:val="center"/>
              <w:rPr>
                <w:rFonts w:cs="宋体" w:asciiTheme="minorEastAsia" w:hAnsiTheme="minorEastAsia" w:eastAsiaTheme="minorEastAsia"/>
                <w:color w:val="auto"/>
                <w:szCs w:val="21"/>
                <w:highlight w:val="none"/>
              </w:rPr>
            </w:pPr>
          </w:p>
        </w:tc>
        <w:tc>
          <w:tcPr>
            <w:tcW w:w="716" w:type="dxa"/>
            <w:vAlign w:val="center"/>
          </w:tcPr>
          <w:p w14:paraId="4341985B">
            <w:pPr>
              <w:jc w:val="center"/>
              <w:rPr>
                <w:rFonts w:cs="宋体" w:asciiTheme="minorEastAsia" w:hAnsiTheme="minorEastAsia" w:eastAsiaTheme="minorEastAsia"/>
                <w:color w:val="auto"/>
                <w:szCs w:val="21"/>
                <w:highlight w:val="none"/>
              </w:rPr>
            </w:pPr>
          </w:p>
        </w:tc>
        <w:tc>
          <w:tcPr>
            <w:tcW w:w="578" w:type="dxa"/>
            <w:vAlign w:val="center"/>
          </w:tcPr>
          <w:p w14:paraId="5767CE2C">
            <w:pPr>
              <w:jc w:val="center"/>
              <w:rPr>
                <w:rFonts w:cs="宋体" w:asciiTheme="minorEastAsia" w:hAnsiTheme="minorEastAsia" w:eastAsiaTheme="minorEastAsia"/>
                <w:color w:val="auto"/>
                <w:szCs w:val="21"/>
                <w:highlight w:val="none"/>
              </w:rPr>
            </w:pPr>
          </w:p>
        </w:tc>
        <w:tc>
          <w:tcPr>
            <w:tcW w:w="983" w:type="dxa"/>
            <w:tcMar>
              <w:top w:w="0" w:type="dxa"/>
              <w:left w:w="108" w:type="dxa"/>
              <w:bottom w:w="0" w:type="dxa"/>
              <w:right w:w="108" w:type="dxa"/>
            </w:tcMar>
            <w:vAlign w:val="center"/>
          </w:tcPr>
          <w:p w14:paraId="27F24B18">
            <w:pPr>
              <w:jc w:val="center"/>
              <w:rPr>
                <w:rFonts w:cs="宋体" w:asciiTheme="minorEastAsia" w:hAnsiTheme="minorEastAsia" w:eastAsiaTheme="minorEastAsia"/>
                <w:color w:val="auto"/>
                <w:szCs w:val="21"/>
                <w:highlight w:val="none"/>
              </w:rPr>
            </w:pPr>
          </w:p>
        </w:tc>
        <w:tc>
          <w:tcPr>
            <w:tcW w:w="836" w:type="dxa"/>
            <w:vAlign w:val="center"/>
          </w:tcPr>
          <w:p w14:paraId="63B16DE5">
            <w:pPr>
              <w:jc w:val="center"/>
              <w:rPr>
                <w:rFonts w:cs="宋体" w:asciiTheme="minorEastAsia" w:hAnsiTheme="minorEastAsia" w:eastAsiaTheme="minorEastAsia"/>
                <w:color w:val="auto"/>
                <w:szCs w:val="21"/>
                <w:highlight w:val="none"/>
              </w:rPr>
            </w:pPr>
          </w:p>
        </w:tc>
        <w:tc>
          <w:tcPr>
            <w:tcW w:w="1001" w:type="dxa"/>
            <w:tcMar>
              <w:top w:w="0" w:type="dxa"/>
              <w:left w:w="108" w:type="dxa"/>
              <w:bottom w:w="0" w:type="dxa"/>
              <w:right w:w="108" w:type="dxa"/>
            </w:tcMar>
            <w:vAlign w:val="center"/>
          </w:tcPr>
          <w:p w14:paraId="77872179">
            <w:pPr>
              <w:jc w:val="center"/>
              <w:rPr>
                <w:rFonts w:cs="宋体" w:asciiTheme="minorEastAsia" w:hAnsiTheme="minorEastAsia" w:eastAsiaTheme="minorEastAsia"/>
                <w:color w:val="auto"/>
                <w:szCs w:val="21"/>
                <w:highlight w:val="none"/>
              </w:rPr>
            </w:pPr>
          </w:p>
        </w:tc>
        <w:tc>
          <w:tcPr>
            <w:tcW w:w="796" w:type="dxa"/>
            <w:vAlign w:val="center"/>
          </w:tcPr>
          <w:p w14:paraId="456CE07D">
            <w:pPr>
              <w:jc w:val="center"/>
              <w:rPr>
                <w:rFonts w:cs="宋体" w:asciiTheme="minorEastAsia" w:hAnsiTheme="minorEastAsia" w:eastAsiaTheme="minorEastAsia"/>
                <w:color w:val="auto"/>
                <w:szCs w:val="21"/>
                <w:highlight w:val="none"/>
              </w:rPr>
            </w:pPr>
          </w:p>
        </w:tc>
        <w:tc>
          <w:tcPr>
            <w:tcW w:w="1043" w:type="dxa"/>
            <w:vAlign w:val="center"/>
          </w:tcPr>
          <w:p w14:paraId="02D35B38">
            <w:pPr>
              <w:jc w:val="center"/>
              <w:rPr>
                <w:rFonts w:cs="宋体" w:asciiTheme="minorEastAsia" w:hAnsiTheme="minorEastAsia" w:eastAsiaTheme="minorEastAsia"/>
                <w:color w:val="auto"/>
                <w:szCs w:val="21"/>
                <w:highlight w:val="none"/>
              </w:rPr>
            </w:pPr>
          </w:p>
        </w:tc>
        <w:tc>
          <w:tcPr>
            <w:tcW w:w="759" w:type="dxa"/>
            <w:vAlign w:val="center"/>
          </w:tcPr>
          <w:p w14:paraId="67F5D957">
            <w:pPr>
              <w:jc w:val="center"/>
              <w:rPr>
                <w:rFonts w:cs="宋体" w:asciiTheme="minorEastAsia" w:hAnsiTheme="minorEastAsia" w:eastAsiaTheme="minorEastAsia"/>
                <w:color w:val="auto"/>
                <w:szCs w:val="21"/>
                <w:highlight w:val="none"/>
              </w:rPr>
            </w:pPr>
          </w:p>
        </w:tc>
        <w:tc>
          <w:tcPr>
            <w:tcW w:w="888" w:type="dxa"/>
            <w:tcMar>
              <w:top w:w="0" w:type="dxa"/>
              <w:left w:w="108" w:type="dxa"/>
              <w:bottom w:w="0" w:type="dxa"/>
              <w:right w:w="108" w:type="dxa"/>
            </w:tcMar>
            <w:vAlign w:val="center"/>
          </w:tcPr>
          <w:p w14:paraId="2DE50C2C">
            <w:pPr>
              <w:jc w:val="center"/>
              <w:rPr>
                <w:rFonts w:cs="宋体" w:asciiTheme="minorEastAsia" w:hAnsiTheme="minorEastAsia" w:eastAsiaTheme="minorEastAsia"/>
                <w:color w:val="auto"/>
                <w:szCs w:val="21"/>
                <w:highlight w:val="none"/>
              </w:rPr>
            </w:pPr>
          </w:p>
        </w:tc>
        <w:tc>
          <w:tcPr>
            <w:tcW w:w="1141" w:type="dxa"/>
            <w:vAlign w:val="center"/>
          </w:tcPr>
          <w:p w14:paraId="6F5DFFD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附件</w:t>
            </w:r>
            <w:r>
              <w:rPr>
                <w:rFonts w:cs="宋体" w:asciiTheme="minorEastAsia" w:hAnsiTheme="minorEastAsia" w:eastAsiaTheme="minorEastAsia"/>
                <w:color w:val="auto"/>
                <w:szCs w:val="21"/>
                <w:highlight w:val="none"/>
              </w:rPr>
              <w:t>C3.2</w:t>
            </w:r>
          </w:p>
        </w:tc>
      </w:tr>
      <w:tr w14:paraId="3B99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448" w:type="dxa"/>
            <w:vAlign w:val="center"/>
          </w:tcPr>
          <w:p w14:paraId="7528C94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935" w:type="dxa"/>
            <w:tcMar>
              <w:top w:w="0" w:type="dxa"/>
              <w:left w:w="108" w:type="dxa"/>
              <w:bottom w:w="0" w:type="dxa"/>
              <w:right w:w="108" w:type="dxa"/>
            </w:tcMar>
            <w:vAlign w:val="center"/>
          </w:tcPr>
          <w:p w14:paraId="66DFF2E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1408" w:type="dxa"/>
            <w:tcMar>
              <w:top w:w="0" w:type="dxa"/>
              <w:left w:w="108" w:type="dxa"/>
              <w:bottom w:w="0" w:type="dxa"/>
              <w:right w:w="108" w:type="dxa"/>
            </w:tcMar>
            <w:vAlign w:val="center"/>
          </w:tcPr>
          <w:p w14:paraId="5C4BB93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719" w:type="dxa"/>
            <w:vAlign w:val="center"/>
          </w:tcPr>
          <w:p w14:paraId="124A5FC6">
            <w:pPr>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112" w:type="dxa"/>
            <w:tcMar>
              <w:top w:w="0" w:type="dxa"/>
              <w:left w:w="108" w:type="dxa"/>
              <w:bottom w:w="0" w:type="dxa"/>
              <w:right w:w="108" w:type="dxa"/>
            </w:tcMar>
            <w:vAlign w:val="center"/>
          </w:tcPr>
          <w:p w14:paraId="28B8551E">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w:t>
            </w:r>
          </w:p>
        </w:tc>
        <w:tc>
          <w:tcPr>
            <w:tcW w:w="610" w:type="dxa"/>
            <w:tcMar>
              <w:top w:w="0" w:type="dxa"/>
              <w:left w:w="108" w:type="dxa"/>
              <w:bottom w:w="0" w:type="dxa"/>
              <w:right w:w="108" w:type="dxa"/>
            </w:tcMar>
            <w:vAlign w:val="center"/>
          </w:tcPr>
          <w:p w14:paraId="0554B03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716" w:type="dxa"/>
            <w:vAlign w:val="center"/>
          </w:tcPr>
          <w:p w14:paraId="195B42E4">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578" w:type="dxa"/>
            <w:vAlign w:val="center"/>
          </w:tcPr>
          <w:p w14:paraId="3739A47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983" w:type="dxa"/>
            <w:tcMar>
              <w:top w:w="0" w:type="dxa"/>
              <w:left w:w="108" w:type="dxa"/>
              <w:bottom w:w="0" w:type="dxa"/>
              <w:right w:w="108" w:type="dxa"/>
            </w:tcMar>
            <w:vAlign w:val="center"/>
          </w:tcPr>
          <w:p w14:paraId="40E58A0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836" w:type="dxa"/>
            <w:vAlign w:val="center"/>
          </w:tcPr>
          <w:p w14:paraId="38976F6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1001" w:type="dxa"/>
            <w:tcMar>
              <w:top w:w="0" w:type="dxa"/>
              <w:left w:w="108" w:type="dxa"/>
              <w:bottom w:w="0" w:type="dxa"/>
              <w:right w:w="108" w:type="dxa"/>
            </w:tcMar>
            <w:vAlign w:val="center"/>
          </w:tcPr>
          <w:p w14:paraId="18E06B3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796" w:type="dxa"/>
            <w:vAlign w:val="center"/>
          </w:tcPr>
          <w:p w14:paraId="3C4F88A2">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1043" w:type="dxa"/>
            <w:vAlign w:val="center"/>
          </w:tcPr>
          <w:p w14:paraId="60A16073">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759" w:type="dxa"/>
            <w:vAlign w:val="center"/>
          </w:tcPr>
          <w:p w14:paraId="5594AE6C">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888" w:type="dxa"/>
            <w:tcMar>
              <w:top w:w="0" w:type="dxa"/>
              <w:left w:w="108" w:type="dxa"/>
              <w:bottom w:w="0" w:type="dxa"/>
              <w:right w:w="108" w:type="dxa"/>
            </w:tcMar>
            <w:vAlign w:val="center"/>
          </w:tcPr>
          <w:p w14:paraId="0586D1C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1141" w:type="dxa"/>
            <w:vAlign w:val="center"/>
          </w:tcPr>
          <w:p w14:paraId="1DF21A3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r>
    </w:tbl>
    <w:p w14:paraId="7FAB01FE">
      <w:pPr>
        <w:spacing w:line="276" w:lineRule="auto"/>
        <w:ind w:left="630" w:hanging="630" w:hangingChars="300"/>
        <w:rPr>
          <w:rFonts w:hint="eastAsia" w:ascii="宋体" w:hAnsi="宋体" w:cs="宋体"/>
          <w:color w:val="auto"/>
          <w:spacing w:val="-3"/>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投</w:t>
      </w:r>
      <w:r>
        <w:rPr>
          <w:rFonts w:hint="eastAsia" w:ascii="宋体" w:hAnsi="宋体" w:cs="宋体"/>
          <w:color w:val="auto"/>
          <w:spacing w:val="-3"/>
          <w:szCs w:val="21"/>
          <w:highlight w:val="none"/>
        </w:rPr>
        <w:t>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ascii="宋体" w:hAnsi="宋体" w:cs="宋体"/>
          <w:color w:val="auto"/>
          <w:highlight w:val="none"/>
        </w:rPr>
        <w:t>C3</w:t>
      </w:r>
      <w:r>
        <w:rPr>
          <w:rFonts w:hint="eastAsia" w:ascii="宋体" w:hAnsi="宋体" w:cs="宋体"/>
          <w:color w:val="auto"/>
          <w:highlight w:val="none"/>
        </w:rPr>
        <w:t>系列（隧道工程施工项目业绩）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9"/>
          <w:rFonts w:ascii="宋体" w:hAnsi="宋体" w:cs="宋体"/>
          <w:color w:val="auto"/>
          <w:highlight w:val="none"/>
        </w:rPr>
        <w:footnoteReference w:id="296"/>
      </w:r>
      <w:r>
        <w:rPr>
          <w:rFonts w:hint="eastAsia" w:ascii="宋体" w:hAnsi="宋体" w:cs="宋体"/>
          <w:color w:val="auto"/>
          <w:highlight w:val="none"/>
        </w:rPr>
        <w:t>。</w:t>
      </w:r>
    </w:p>
    <w:p w14:paraId="29C1A7CE">
      <w:pPr>
        <w:spacing w:line="276" w:lineRule="auto"/>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r>
        <w:rPr>
          <w:rFonts w:ascii="宋体" w:hAnsi="宋体" w:cs="宋体"/>
          <w:color w:val="auto"/>
          <w:highlight w:val="none"/>
        </w:rPr>
        <w:t xml:space="preserve"> </w:t>
      </w:r>
    </w:p>
    <w:p w14:paraId="2BA9ACE9">
      <w:pPr>
        <w:spacing w:line="276" w:lineRule="auto"/>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w:t>
      </w:r>
      <w:r>
        <w:rPr>
          <w:rFonts w:hint="eastAsia" w:ascii="宋体" w:hAnsi="宋体" w:cs="宋体"/>
          <w:color w:val="auto"/>
          <w:spacing w:val="-3"/>
          <w:kern w:val="2"/>
          <w:sz w:val="21"/>
          <w:szCs w:val="24"/>
          <w:highlight w:val="none"/>
          <w:lang w:val="en-US" w:eastAsia="zh-CN" w:bidi="ar"/>
        </w:rPr>
        <w:t>隧道</w:t>
      </w:r>
      <w:r>
        <w:rPr>
          <w:rFonts w:hint="eastAsia" w:ascii="宋体" w:hAnsi="宋体" w:eastAsia="宋体" w:cs="宋体"/>
          <w:color w:val="auto"/>
          <w:spacing w:val="-3"/>
          <w:kern w:val="2"/>
          <w:sz w:val="21"/>
          <w:szCs w:val="24"/>
          <w:highlight w:val="none"/>
          <w:lang w:val="en-US" w:eastAsia="zh-CN" w:bidi="ar"/>
        </w:rPr>
        <w:t>工程可为路基土建工程中包含的</w:t>
      </w:r>
      <w:r>
        <w:rPr>
          <w:rFonts w:hint="eastAsia" w:ascii="宋体" w:hAnsi="宋体" w:cs="宋体"/>
          <w:color w:val="auto"/>
          <w:spacing w:val="-3"/>
          <w:kern w:val="2"/>
          <w:sz w:val="21"/>
          <w:szCs w:val="24"/>
          <w:highlight w:val="none"/>
          <w:lang w:val="en-US" w:eastAsia="zh-CN" w:bidi="ar"/>
        </w:rPr>
        <w:t>施工内容</w:t>
      </w:r>
      <w:r>
        <w:rPr>
          <w:rFonts w:hint="eastAsia" w:ascii="宋体" w:hAnsi="宋体" w:eastAsia="宋体" w:cs="宋体"/>
          <w:color w:val="auto"/>
          <w:spacing w:val="-3"/>
          <w:kern w:val="2"/>
          <w:sz w:val="21"/>
          <w:szCs w:val="24"/>
          <w:highlight w:val="none"/>
          <w:lang w:val="en-US" w:eastAsia="zh-CN" w:bidi="ar"/>
        </w:rPr>
        <w:t>或单独</w:t>
      </w:r>
      <w:r>
        <w:rPr>
          <w:rFonts w:hint="eastAsia" w:ascii="宋体" w:hAnsi="宋体" w:cs="宋体"/>
          <w:color w:val="auto"/>
          <w:spacing w:val="-3"/>
          <w:kern w:val="2"/>
          <w:sz w:val="21"/>
          <w:szCs w:val="24"/>
          <w:highlight w:val="none"/>
          <w:lang w:val="en-US" w:eastAsia="zh-CN" w:bidi="ar"/>
        </w:rPr>
        <w:t>隧道工程</w:t>
      </w:r>
      <w:r>
        <w:rPr>
          <w:rFonts w:hint="eastAsia" w:ascii="宋体" w:hAnsi="宋体" w:eastAsia="宋体" w:cs="宋体"/>
          <w:color w:val="auto"/>
          <w:spacing w:val="-3"/>
          <w:kern w:val="2"/>
          <w:sz w:val="21"/>
          <w:szCs w:val="24"/>
          <w:highlight w:val="none"/>
          <w:lang w:val="en-US" w:eastAsia="zh-CN" w:bidi="ar"/>
        </w:rPr>
        <w:t>合同的项目</w:t>
      </w:r>
      <w:r>
        <w:rPr>
          <w:rFonts w:hint="eastAsia" w:ascii="宋体" w:hAnsi="宋体" w:cs="宋体"/>
          <w:color w:val="auto"/>
          <w:spacing w:val="-3"/>
          <w:kern w:val="2"/>
          <w:sz w:val="21"/>
          <w:szCs w:val="24"/>
          <w:highlight w:val="none"/>
          <w:lang w:val="en-US" w:eastAsia="zh-CN" w:bidi="ar"/>
        </w:rPr>
        <w:t>。</w:t>
      </w:r>
    </w:p>
    <w:p w14:paraId="22DC80F5">
      <w:pPr>
        <w:spacing w:line="276" w:lineRule="auto"/>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对于具有双洞的隧道，其隧道长度以左右线隧道长度</w:t>
      </w:r>
      <w:r>
        <w:rPr>
          <w:rFonts w:hint="eastAsia" w:ascii="宋体" w:hAnsi="宋体" w:cs="宋体"/>
          <w:color w:val="auto"/>
          <w:highlight w:val="none"/>
          <w:lang w:val="en-US" w:eastAsia="zh-CN"/>
        </w:rPr>
        <w:t>较</w:t>
      </w:r>
      <w:r>
        <w:rPr>
          <w:rFonts w:ascii="宋体" w:hAnsi="宋体" w:cs="宋体"/>
          <w:color w:val="auto"/>
          <w:highlight w:val="none"/>
        </w:rPr>
        <w:t>长的为准；若只有单洞的，则以单洞隧道长度数据为准。</w:t>
      </w:r>
      <w:r>
        <w:rPr>
          <w:rFonts w:hint="eastAsia" w:ascii="宋体" w:hAnsi="宋体" w:cs="宋体"/>
          <w:color w:val="auto"/>
          <w:highlight w:val="none"/>
        </w:rPr>
        <w:t>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p>
    <w:p w14:paraId="26844BEB">
      <w:pPr>
        <w:spacing w:line="276"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.本表所列合同价格一般为项目结算价格，无结算价格的以签约合同价格为准。</w:t>
      </w:r>
    </w:p>
    <w:p w14:paraId="70BDD982">
      <w:pPr>
        <w:spacing w:line="276"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1E3ABAB1">
      <w:pPr>
        <w:spacing w:line="276" w:lineRule="auto"/>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w:t>
      </w:r>
      <w:r>
        <w:rPr>
          <w:rFonts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5月1日，填写为20</w:t>
      </w:r>
      <w:r>
        <w:rPr>
          <w:rFonts w:hint="eastAsia" w:ascii="宋体" w:hAnsi="宋体"/>
          <w:color w:val="auto"/>
          <w:szCs w:val="21"/>
          <w:highlight w:val="none"/>
          <w:lang w:val="en-US" w:eastAsia="zh-CN"/>
        </w:rPr>
        <w:t>21</w:t>
      </w:r>
      <w:r>
        <w:rPr>
          <w:rFonts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5月，填写为20</w:t>
      </w:r>
      <w:r>
        <w:rPr>
          <w:rFonts w:hint="eastAsia" w:ascii="宋体" w:hAnsi="宋体"/>
          <w:color w:val="auto"/>
          <w:szCs w:val="21"/>
          <w:highlight w:val="none"/>
          <w:lang w:val="en-US" w:eastAsia="zh-CN"/>
        </w:rPr>
        <w:t>21</w:t>
      </w:r>
      <w:r>
        <w:rPr>
          <w:rFonts w:ascii="宋体" w:hAnsi="宋体"/>
          <w:color w:val="auto"/>
          <w:szCs w:val="21"/>
          <w:highlight w:val="none"/>
        </w:rPr>
        <w:t>05。</w:t>
      </w:r>
    </w:p>
    <w:p w14:paraId="75522B41">
      <w:pPr>
        <w:spacing w:line="276" w:lineRule="auto"/>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8</w:t>
      </w:r>
      <w:r>
        <w:rPr>
          <w:rFonts w:ascii="宋体" w:hAnsi="宋体" w:cs="宋体"/>
          <w:color w:val="auto"/>
          <w:highlight w:val="none"/>
        </w:rPr>
        <w:t>.</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highlight w:val="none"/>
        </w:rPr>
        <w:t>以联合体形式投标的，联合体各成员应按照</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前附表附录3</w:t>
      </w:r>
      <w:r>
        <w:rPr>
          <w:rFonts w:hint="eastAsia" w:ascii="宋体" w:hAnsi="宋体" w:cs="宋体"/>
          <w:color w:val="auto"/>
          <w:highlight w:val="none"/>
        </w:rPr>
        <w:t>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527954C1">
      <w:pPr>
        <w:spacing w:line="360" w:lineRule="auto"/>
        <w:ind w:left="360"/>
        <w:jc w:val="center"/>
        <w:rPr>
          <w:rFonts w:ascii="黑体" w:hAnsi="黑体" w:eastAsia="黑体" w:cs="宋体"/>
          <w:color w:val="auto"/>
          <w:sz w:val="24"/>
          <w:highlight w:val="none"/>
        </w:rPr>
      </w:pPr>
      <w:r>
        <w:rPr>
          <w:rFonts w:ascii="宋体" w:hAnsi="宋体" w:cs="宋体"/>
          <w:b/>
          <w:color w:val="auto"/>
          <w:sz w:val="28"/>
          <w:szCs w:val="28"/>
          <w:highlight w:val="none"/>
        </w:rPr>
        <w:br w:type="page"/>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lang w:val="en-US" w:eastAsia="zh-CN"/>
        </w:rPr>
        <w:t xml:space="preserve">     </w:t>
      </w:r>
      <w:r>
        <w:rPr>
          <w:rFonts w:ascii="宋体" w:hAnsi="宋体" w:cs="宋体"/>
          <w:b/>
          <w:color w:val="auto"/>
          <w:sz w:val="28"/>
          <w:szCs w:val="28"/>
          <w:highlight w:val="none"/>
        </w:rPr>
        <w:t xml:space="preserve">      </w:t>
      </w:r>
      <w:r>
        <w:rPr>
          <w:rFonts w:hint="eastAsia" w:ascii="黑体" w:hAnsi="黑体" w:eastAsia="黑体" w:cs="宋体"/>
          <w:b/>
          <w:color w:val="auto"/>
          <w:sz w:val="24"/>
          <w:szCs w:val="28"/>
          <w:highlight w:val="none"/>
        </w:rPr>
        <w:sym w:font="Wingdings 2" w:char="00A3"/>
      </w:r>
      <w:r>
        <w:rPr>
          <w:rFonts w:ascii="宋体" w:hAnsi="宋体" w:cs="宋体"/>
          <w:b/>
          <w:color w:val="auto"/>
          <w:sz w:val="28"/>
          <w:szCs w:val="28"/>
          <w:highlight w:val="none"/>
        </w:rPr>
        <w:t xml:space="preserve"> </w:t>
      </w:r>
      <w:r>
        <w:rPr>
          <w:rFonts w:hint="eastAsia" w:ascii="黑体" w:hAnsi="黑体" w:eastAsia="黑体" w:cs="宋体"/>
          <w:color w:val="auto"/>
          <w:sz w:val="24"/>
          <w:highlight w:val="none"/>
        </w:rPr>
        <w:t>近年完成的公路路面工程施工情况</w:t>
      </w:r>
      <w:r>
        <w:rPr>
          <w:rFonts w:hint="eastAsia" w:ascii="黑体" w:hAnsi="黑体" w:eastAsia="黑体" w:cs="宋体"/>
          <w:color w:val="auto"/>
          <w:sz w:val="24"/>
          <w:highlight w:val="none"/>
          <w:lang w:val="en-US" w:eastAsia="zh-CN"/>
        </w:rPr>
        <w:t>表</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4.</w:t>
      </w:r>
      <w:r>
        <w:rPr>
          <w:rFonts w:ascii="黑体" w:hAnsi="黑体" w:eastAsia="黑体" w:cs="宋体"/>
          <w:color w:val="auto"/>
          <w:sz w:val="24"/>
          <w:highlight w:val="none"/>
        </w:rPr>
        <w:t>4</w:t>
      </w:r>
    </w:p>
    <w:tbl>
      <w:tblPr>
        <w:tblStyle w:val="49"/>
        <w:tblW w:w="140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901"/>
        <w:gridCol w:w="1518"/>
        <w:gridCol w:w="605"/>
        <w:gridCol w:w="1203"/>
        <w:gridCol w:w="717"/>
        <w:gridCol w:w="910"/>
        <w:gridCol w:w="930"/>
        <w:gridCol w:w="929"/>
        <w:gridCol w:w="1062"/>
        <w:gridCol w:w="929"/>
        <w:gridCol w:w="1062"/>
        <w:gridCol w:w="929"/>
        <w:gridCol w:w="907"/>
        <w:gridCol w:w="975"/>
      </w:tblGrid>
      <w:tr w14:paraId="1BE5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487" w:type="dxa"/>
            <w:vAlign w:val="center"/>
          </w:tcPr>
          <w:p w14:paraId="443C715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序号</w:t>
            </w:r>
          </w:p>
        </w:tc>
        <w:tc>
          <w:tcPr>
            <w:tcW w:w="901" w:type="dxa"/>
            <w:tcMar>
              <w:top w:w="0" w:type="dxa"/>
              <w:left w:w="108" w:type="dxa"/>
              <w:bottom w:w="0" w:type="dxa"/>
              <w:right w:w="108" w:type="dxa"/>
            </w:tcMar>
            <w:vAlign w:val="center"/>
          </w:tcPr>
          <w:p w14:paraId="015BCC37">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w:t>
            </w:r>
          </w:p>
          <w:p w14:paraId="06AEFC4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业主</w:t>
            </w:r>
          </w:p>
        </w:tc>
        <w:tc>
          <w:tcPr>
            <w:tcW w:w="1518" w:type="dxa"/>
            <w:tcMar>
              <w:top w:w="0" w:type="dxa"/>
              <w:left w:w="108" w:type="dxa"/>
              <w:bottom w:w="0" w:type="dxa"/>
              <w:right w:w="108" w:type="dxa"/>
            </w:tcMar>
            <w:vAlign w:val="center"/>
          </w:tcPr>
          <w:p w14:paraId="25EB408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项目名称</w:t>
            </w:r>
          </w:p>
        </w:tc>
        <w:tc>
          <w:tcPr>
            <w:tcW w:w="605" w:type="dxa"/>
            <w:vAlign w:val="center"/>
          </w:tcPr>
          <w:p w14:paraId="200631E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公路</w:t>
            </w:r>
          </w:p>
          <w:p w14:paraId="1EDFC48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等级</w:t>
            </w:r>
          </w:p>
        </w:tc>
        <w:tc>
          <w:tcPr>
            <w:tcW w:w="1203" w:type="dxa"/>
            <w:tcMar>
              <w:top w:w="0" w:type="dxa"/>
              <w:left w:w="108" w:type="dxa"/>
              <w:bottom w:w="0" w:type="dxa"/>
              <w:right w:w="108" w:type="dxa"/>
            </w:tcMar>
            <w:vAlign w:val="center"/>
          </w:tcPr>
          <w:p w14:paraId="38B8720F">
            <w:pPr>
              <w:jc w:val="center"/>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建设形式</w:t>
            </w:r>
          </w:p>
        </w:tc>
        <w:tc>
          <w:tcPr>
            <w:tcW w:w="717" w:type="dxa"/>
            <w:tcMar>
              <w:top w:w="0" w:type="dxa"/>
              <w:left w:w="108" w:type="dxa"/>
              <w:bottom w:w="0" w:type="dxa"/>
              <w:right w:w="108" w:type="dxa"/>
            </w:tcMar>
            <w:vAlign w:val="center"/>
          </w:tcPr>
          <w:p w14:paraId="7E78B6A3">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标段号</w:t>
            </w:r>
          </w:p>
        </w:tc>
        <w:tc>
          <w:tcPr>
            <w:tcW w:w="910" w:type="dxa"/>
            <w:vAlign w:val="center"/>
          </w:tcPr>
          <w:p w14:paraId="4F2A1BE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标段长度（</w:t>
            </w:r>
            <w:r>
              <w:rPr>
                <w:rFonts w:cs="宋体" w:asciiTheme="minorEastAsia" w:hAnsiTheme="minorEastAsia" w:eastAsiaTheme="minorEastAsia"/>
                <w:color w:val="auto"/>
                <w:szCs w:val="21"/>
                <w:highlight w:val="none"/>
              </w:rPr>
              <w:t>km）</w:t>
            </w:r>
          </w:p>
        </w:tc>
        <w:tc>
          <w:tcPr>
            <w:tcW w:w="930" w:type="dxa"/>
            <w:tcMar>
              <w:top w:w="0" w:type="dxa"/>
              <w:left w:w="108" w:type="dxa"/>
              <w:bottom w:w="0" w:type="dxa"/>
              <w:right w:w="108" w:type="dxa"/>
            </w:tcMar>
            <w:vAlign w:val="center"/>
          </w:tcPr>
          <w:p w14:paraId="18634FF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开工</w:t>
            </w:r>
          </w:p>
          <w:p w14:paraId="47EBEBB2">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日期</w:t>
            </w:r>
          </w:p>
        </w:tc>
        <w:tc>
          <w:tcPr>
            <w:tcW w:w="929" w:type="dxa"/>
            <w:vAlign w:val="center"/>
          </w:tcPr>
          <w:p w14:paraId="51AD3BD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完成（交工）日期</w:t>
            </w:r>
          </w:p>
        </w:tc>
        <w:tc>
          <w:tcPr>
            <w:tcW w:w="1062" w:type="dxa"/>
            <w:tcMar>
              <w:top w:w="0" w:type="dxa"/>
              <w:left w:w="108" w:type="dxa"/>
              <w:bottom w:w="0" w:type="dxa"/>
              <w:right w:w="108" w:type="dxa"/>
            </w:tcMar>
            <w:vAlign w:val="center"/>
          </w:tcPr>
          <w:p w14:paraId="41DF91C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建设规模</w:t>
            </w:r>
          </w:p>
        </w:tc>
        <w:tc>
          <w:tcPr>
            <w:tcW w:w="929" w:type="dxa"/>
            <w:vAlign w:val="center"/>
          </w:tcPr>
          <w:p w14:paraId="4D6C0DF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合同价格（元）</w:t>
            </w:r>
          </w:p>
        </w:tc>
        <w:tc>
          <w:tcPr>
            <w:tcW w:w="1062" w:type="dxa"/>
            <w:vAlign w:val="center"/>
          </w:tcPr>
          <w:p w14:paraId="73AF8AC5">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路面结构</w:t>
            </w:r>
          </w:p>
          <w:p w14:paraId="7C273242">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类型</w:t>
            </w:r>
          </w:p>
        </w:tc>
        <w:tc>
          <w:tcPr>
            <w:tcW w:w="929" w:type="dxa"/>
            <w:vAlign w:val="center"/>
          </w:tcPr>
          <w:p w14:paraId="4948AFBA">
            <w:pPr>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w:t>
            </w:r>
          </w:p>
          <w:p w14:paraId="5E78AD7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经理</w:t>
            </w:r>
          </w:p>
        </w:tc>
        <w:tc>
          <w:tcPr>
            <w:tcW w:w="907" w:type="dxa"/>
            <w:tcMar>
              <w:top w:w="0" w:type="dxa"/>
              <w:left w:w="108" w:type="dxa"/>
              <w:bottom w:w="0" w:type="dxa"/>
              <w:right w:w="108" w:type="dxa"/>
            </w:tcMar>
            <w:vAlign w:val="center"/>
          </w:tcPr>
          <w:p w14:paraId="1D835BF6">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□项目</w:t>
            </w:r>
          </w:p>
          <w:p w14:paraId="0FD57423">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总工</w:t>
            </w:r>
          </w:p>
        </w:tc>
        <w:tc>
          <w:tcPr>
            <w:tcW w:w="975" w:type="dxa"/>
            <w:vAlign w:val="center"/>
          </w:tcPr>
          <w:p w14:paraId="7A355AB3">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业绩证明材料附件</w:t>
            </w:r>
          </w:p>
        </w:tc>
      </w:tr>
      <w:tr w14:paraId="55D5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487" w:type="dxa"/>
            <w:vAlign w:val="center"/>
          </w:tcPr>
          <w:p w14:paraId="08705D42">
            <w:pPr>
              <w:jc w:val="center"/>
              <w:rPr>
                <w:rFonts w:hint="default" w:cs="宋体" w:asciiTheme="minorEastAsia" w:hAnsiTheme="minorEastAsia" w:eastAsiaTheme="minorEastAsia"/>
                <w:color w:val="auto"/>
                <w:highlight w:val="none"/>
                <w:lang w:val="en-US" w:eastAsia="zh-CN"/>
              </w:rPr>
            </w:pPr>
          </w:p>
        </w:tc>
        <w:tc>
          <w:tcPr>
            <w:tcW w:w="901" w:type="dxa"/>
            <w:tcMar>
              <w:top w:w="0" w:type="dxa"/>
              <w:left w:w="108" w:type="dxa"/>
              <w:bottom w:w="0" w:type="dxa"/>
              <w:right w:w="108" w:type="dxa"/>
            </w:tcMar>
            <w:vAlign w:val="center"/>
          </w:tcPr>
          <w:p w14:paraId="1D77E9A0">
            <w:pPr>
              <w:jc w:val="center"/>
              <w:rPr>
                <w:rFonts w:cs="宋体" w:asciiTheme="minorEastAsia" w:hAnsiTheme="minorEastAsia" w:eastAsiaTheme="minorEastAsia"/>
                <w:color w:val="auto"/>
                <w:highlight w:val="none"/>
              </w:rPr>
            </w:pPr>
          </w:p>
        </w:tc>
        <w:tc>
          <w:tcPr>
            <w:tcW w:w="1518" w:type="dxa"/>
            <w:tcMar>
              <w:top w:w="0" w:type="dxa"/>
              <w:left w:w="108" w:type="dxa"/>
              <w:bottom w:w="0" w:type="dxa"/>
              <w:right w:w="108" w:type="dxa"/>
            </w:tcMar>
            <w:vAlign w:val="center"/>
          </w:tcPr>
          <w:p w14:paraId="6735D086">
            <w:pPr>
              <w:jc w:val="center"/>
              <w:rPr>
                <w:rFonts w:cs="宋体" w:asciiTheme="minorEastAsia" w:hAnsiTheme="minorEastAsia" w:eastAsiaTheme="minorEastAsia"/>
                <w:color w:val="auto"/>
                <w:highlight w:val="none"/>
              </w:rPr>
            </w:pPr>
          </w:p>
        </w:tc>
        <w:tc>
          <w:tcPr>
            <w:tcW w:w="605" w:type="dxa"/>
          </w:tcPr>
          <w:p w14:paraId="5F974E1E">
            <w:pPr>
              <w:jc w:val="center"/>
              <w:rPr>
                <w:rFonts w:cs="宋体" w:asciiTheme="minorEastAsia" w:hAnsiTheme="minorEastAsia" w:eastAsiaTheme="minorEastAsia"/>
                <w:color w:val="auto"/>
                <w:highlight w:val="none"/>
              </w:rPr>
            </w:pPr>
          </w:p>
        </w:tc>
        <w:tc>
          <w:tcPr>
            <w:tcW w:w="1203" w:type="dxa"/>
            <w:tcMar>
              <w:top w:w="0" w:type="dxa"/>
              <w:left w:w="108" w:type="dxa"/>
              <w:bottom w:w="0" w:type="dxa"/>
              <w:right w:w="108" w:type="dxa"/>
            </w:tcMar>
            <w:vAlign w:val="center"/>
          </w:tcPr>
          <w:p w14:paraId="7CCDE4AA">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473F49E9">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717" w:type="dxa"/>
            <w:tcMar>
              <w:top w:w="0" w:type="dxa"/>
              <w:left w:w="108" w:type="dxa"/>
              <w:bottom w:w="0" w:type="dxa"/>
              <w:right w:w="108" w:type="dxa"/>
            </w:tcMar>
            <w:vAlign w:val="center"/>
          </w:tcPr>
          <w:p w14:paraId="7DB929BF">
            <w:pPr>
              <w:jc w:val="center"/>
              <w:rPr>
                <w:rFonts w:cs="宋体" w:asciiTheme="minorEastAsia" w:hAnsiTheme="minorEastAsia" w:eastAsiaTheme="minorEastAsia"/>
                <w:color w:val="auto"/>
                <w:highlight w:val="none"/>
              </w:rPr>
            </w:pPr>
          </w:p>
        </w:tc>
        <w:tc>
          <w:tcPr>
            <w:tcW w:w="910" w:type="dxa"/>
            <w:vAlign w:val="center"/>
          </w:tcPr>
          <w:p w14:paraId="52F41DA1">
            <w:pPr>
              <w:jc w:val="center"/>
              <w:rPr>
                <w:rFonts w:cs="宋体" w:asciiTheme="minorEastAsia" w:hAnsiTheme="minorEastAsia" w:eastAsiaTheme="minorEastAsia"/>
                <w:color w:val="auto"/>
                <w:highlight w:val="none"/>
              </w:rPr>
            </w:pPr>
          </w:p>
        </w:tc>
        <w:tc>
          <w:tcPr>
            <w:tcW w:w="930" w:type="dxa"/>
            <w:tcMar>
              <w:top w:w="0" w:type="dxa"/>
              <w:left w:w="108" w:type="dxa"/>
              <w:bottom w:w="0" w:type="dxa"/>
              <w:right w:w="108" w:type="dxa"/>
            </w:tcMar>
            <w:vAlign w:val="center"/>
          </w:tcPr>
          <w:p w14:paraId="1AC65889">
            <w:pPr>
              <w:jc w:val="center"/>
              <w:rPr>
                <w:rFonts w:cs="宋体" w:asciiTheme="minorEastAsia" w:hAnsiTheme="minorEastAsia" w:eastAsiaTheme="minorEastAsia"/>
                <w:color w:val="auto"/>
                <w:highlight w:val="none"/>
              </w:rPr>
            </w:pPr>
          </w:p>
        </w:tc>
        <w:tc>
          <w:tcPr>
            <w:tcW w:w="929" w:type="dxa"/>
            <w:vAlign w:val="center"/>
          </w:tcPr>
          <w:p w14:paraId="04A8D59E">
            <w:pPr>
              <w:jc w:val="center"/>
              <w:rPr>
                <w:rFonts w:cs="宋体" w:asciiTheme="minorEastAsia" w:hAnsiTheme="minorEastAsia" w:eastAsiaTheme="minorEastAsia"/>
                <w:color w:val="auto"/>
                <w:highlight w:val="none"/>
              </w:rPr>
            </w:pPr>
          </w:p>
        </w:tc>
        <w:tc>
          <w:tcPr>
            <w:tcW w:w="1062" w:type="dxa"/>
            <w:tcMar>
              <w:top w:w="0" w:type="dxa"/>
              <w:left w:w="108" w:type="dxa"/>
              <w:bottom w:w="0" w:type="dxa"/>
              <w:right w:w="108" w:type="dxa"/>
            </w:tcMar>
            <w:vAlign w:val="center"/>
          </w:tcPr>
          <w:p w14:paraId="6B9D35A8">
            <w:pPr>
              <w:jc w:val="center"/>
              <w:rPr>
                <w:rFonts w:cs="宋体" w:asciiTheme="minorEastAsia" w:hAnsiTheme="minorEastAsia" w:eastAsiaTheme="minorEastAsia"/>
                <w:color w:val="auto"/>
                <w:highlight w:val="none"/>
              </w:rPr>
            </w:pPr>
          </w:p>
        </w:tc>
        <w:tc>
          <w:tcPr>
            <w:tcW w:w="929" w:type="dxa"/>
            <w:vAlign w:val="center"/>
          </w:tcPr>
          <w:p w14:paraId="65CFEB0B">
            <w:pPr>
              <w:jc w:val="center"/>
              <w:rPr>
                <w:rFonts w:cs="宋体" w:asciiTheme="minorEastAsia" w:hAnsiTheme="minorEastAsia" w:eastAsiaTheme="minorEastAsia"/>
                <w:color w:val="auto"/>
                <w:highlight w:val="none"/>
              </w:rPr>
            </w:pPr>
          </w:p>
        </w:tc>
        <w:tc>
          <w:tcPr>
            <w:tcW w:w="1062" w:type="dxa"/>
            <w:vAlign w:val="center"/>
          </w:tcPr>
          <w:p w14:paraId="5291DAD2">
            <w:pPr>
              <w:jc w:val="center"/>
              <w:rPr>
                <w:rFonts w:cs="宋体" w:asciiTheme="minorEastAsia" w:hAnsiTheme="minorEastAsia" w:eastAsiaTheme="minorEastAsia"/>
                <w:color w:val="auto"/>
                <w:highlight w:val="none"/>
              </w:rPr>
            </w:pPr>
          </w:p>
        </w:tc>
        <w:tc>
          <w:tcPr>
            <w:tcW w:w="929" w:type="dxa"/>
            <w:vAlign w:val="center"/>
          </w:tcPr>
          <w:p w14:paraId="586B8A37">
            <w:pPr>
              <w:jc w:val="center"/>
              <w:rPr>
                <w:rFonts w:cs="宋体" w:asciiTheme="minorEastAsia" w:hAnsiTheme="minorEastAsia" w:eastAsiaTheme="minorEastAsia"/>
                <w:color w:val="auto"/>
                <w:highlight w:val="none"/>
              </w:rPr>
            </w:pPr>
          </w:p>
        </w:tc>
        <w:tc>
          <w:tcPr>
            <w:tcW w:w="907" w:type="dxa"/>
            <w:tcMar>
              <w:top w:w="0" w:type="dxa"/>
              <w:left w:w="108" w:type="dxa"/>
              <w:bottom w:w="0" w:type="dxa"/>
              <w:right w:w="108" w:type="dxa"/>
            </w:tcMar>
            <w:vAlign w:val="center"/>
          </w:tcPr>
          <w:p w14:paraId="4183D718">
            <w:pPr>
              <w:jc w:val="center"/>
              <w:rPr>
                <w:rFonts w:cs="宋体" w:asciiTheme="minorEastAsia" w:hAnsiTheme="minorEastAsia" w:eastAsiaTheme="minorEastAsia"/>
                <w:color w:val="auto"/>
                <w:highlight w:val="none"/>
              </w:rPr>
            </w:pPr>
          </w:p>
        </w:tc>
        <w:tc>
          <w:tcPr>
            <w:tcW w:w="975" w:type="dxa"/>
            <w:vAlign w:val="center"/>
          </w:tcPr>
          <w:p w14:paraId="576C271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附件</w:t>
            </w:r>
            <w:r>
              <w:rPr>
                <w:rFonts w:cs="宋体" w:asciiTheme="minorEastAsia" w:hAnsiTheme="minorEastAsia" w:eastAsiaTheme="minorEastAsia"/>
                <w:color w:val="auto"/>
                <w:highlight w:val="none"/>
              </w:rPr>
              <w:t>C4.1</w:t>
            </w:r>
          </w:p>
        </w:tc>
      </w:tr>
      <w:tr w14:paraId="7DA9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487" w:type="dxa"/>
            <w:vAlign w:val="center"/>
          </w:tcPr>
          <w:p w14:paraId="1A50B571">
            <w:pPr>
              <w:jc w:val="center"/>
              <w:rPr>
                <w:rFonts w:hint="default" w:cs="宋体" w:asciiTheme="minorEastAsia" w:hAnsiTheme="minorEastAsia" w:eastAsiaTheme="minorEastAsia"/>
                <w:color w:val="auto"/>
                <w:highlight w:val="none"/>
                <w:lang w:val="en-US" w:eastAsia="zh-CN"/>
              </w:rPr>
            </w:pPr>
          </w:p>
        </w:tc>
        <w:tc>
          <w:tcPr>
            <w:tcW w:w="901" w:type="dxa"/>
            <w:tcMar>
              <w:top w:w="0" w:type="dxa"/>
              <w:left w:w="108" w:type="dxa"/>
              <w:bottom w:w="0" w:type="dxa"/>
              <w:right w:w="108" w:type="dxa"/>
            </w:tcMar>
            <w:vAlign w:val="center"/>
          </w:tcPr>
          <w:p w14:paraId="7C034888">
            <w:pPr>
              <w:jc w:val="center"/>
              <w:rPr>
                <w:rFonts w:cs="宋体" w:asciiTheme="minorEastAsia" w:hAnsiTheme="minorEastAsia" w:eastAsiaTheme="minorEastAsia"/>
                <w:color w:val="auto"/>
                <w:highlight w:val="none"/>
              </w:rPr>
            </w:pPr>
          </w:p>
        </w:tc>
        <w:tc>
          <w:tcPr>
            <w:tcW w:w="1518" w:type="dxa"/>
            <w:tcMar>
              <w:top w:w="0" w:type="dxa"/>
              <w:left w:w="108" w:type="dxa"/>
              <w:bottom w:w="0" w:type="dxa"/>
              <w:right w:w="108" w:type="dxa"/>
            </w:tcMar>
            <w:vAlign w:val="center"/>
          </w:tcPr>
          <w:p w14:paraId="2496688A">
            <w:pPr>
              <w:jc w:val="center"/>
              <w:rPr>
                <w:rFonts w:cs="宋体" w:asciiTheme="minorEastAsia" w:hAnsiTheme="minorEastAsia" w:eastAsiaTheme="minorEastAsia"/>
                <w:color w:val="auto"/>
                <w:highlight w:val="none"/>
              </w:rPr>
            </w:pPr>
          </w:p>
        </w:tc>
        <w:tc>
          <w:tcPr>
            <w:tcW w:w="605" w:type="dxa"/>
          </w:tcPr>
          <w:p w14:paraId="4686D0F9">
            <w:pPr>
              <w:jc w:val="center"/>
              <w:rPr>
                <w:rFonts w:cs="宋体" w:asciiTheme="minorEastAsia" w:hAnsiTheme="minorEastAsia" w:eastAsiaTheme="minorEastAsia"/>
                <w:color w:val="auto"/>
                <w:highlight w:val="none"/>
              </w:rPr>
            </w:pPr>
          </w:p>
        </w:tc>
        <w:tc>
          <w:tcPr>
            <w:tcW w:w="1203" w:type="dxa"/>
            <w:tcMar>
              <w:top w:w="0" w:type="dxa"/>
              <w:left w:w="108" w:type="dxa"/>
              <w:bottom w:w="0" w:type="dxa"/>
              <w:right w:w="108" w:type="dxa"/>
            </w:tcMar>
            <w:vAlign w:val="center"/>
          </w:tcPr>
          <w:p w14:paraId="50CBEDFA">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47E06709">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717" w:type="dxa"/>
            <w:tcMar>
              <w:top w:w="0" w:type="dxa"/>
              <w:left w:w="108" w:type="dxa"/>
              <w:bottom w:w="0" w:type="dxa"/>
              <w:right w:w="108" w:type="dxa"/>
            </w:tcMar>
            <w:vAlign w:val="center"/>
          </w:tcPr>
          <w:p w14:paraId="6E595CE9">
            <w:pPr>
              <w:jc w:val="center"/>
              <w:rPr>
                <w:rFonts w:cs="宋体" w:asciiTheme="minorEastAsia" w:hAnsiTheme="minorEastAsia" w:eastAsiaTheme="minorEastAsia"/>
                <w:color w:val="auto"/>
                <w:highlight w:val="none"/>
              </w:rPr>
            </w:pPr>
          </w:p>
        </w:tc>
        <w:tc>
          <w:tcPr>
            <w:tcW w:w="910" w:type="dxa"/>
            <w:vAlign w:val="center"/>
          </w:tcPr>
          <w:p w14:paraId="06400005">
            <w:pPr>
              <w:jc w:val="center"/>
              <w:rPr>
                <w:rFonts w:cs="宋体" w:asciiTheme="minorEastAsia" w:hAnsiTheme="minorEastAsia" w:eastAsiaTheme="minorEastAsia"/>
                <w:color w:val="auto"/>
                <w:highlight w:val="none"/>
              </w:rPr>
            </w:pPr>
          </w:p>
        </w:tc>
        <w:tc>
          <w:tcPr>
            <w:tcW w:w="930" w:type="dxa"/>
            <w:tcMar>
              <w:top w:w="0" w:type="dxa"/>
              <w:left w:w="108" w:type="dxa"/>
              <w:bottom w:w="0" w:type="dxa"/>
              <w:right w:w="108" w:type="dxa"/>
            </w:tcMar>
            <w:vAlign w:val="center"/>
          </w:tcPr>
          <w:p w14:paraId="1B1348B3">
            <w:pPr>
              <w:jc w:val="center"/>
              <w:rPr>
                <w:rFonts w:cs="宋体" w:asciiTheme="minorEastAsia" w:hAnsiTheme="minorEastAsia" w:eastAsiaTheme="minorEastAsia"/>
                <w:color w:val="auto"/>
                <w:highlight w:val="none"/>
              </w:rPr>
            </w:pPr>
          </w:p>
        </w:tc>
        <w:tc>
          <w:tcPr>
            <w:tcW w:w="929" w:type="dxa"/>
            <w:vAlign w:val="center"/>
          </w:tcPr>
          <w:p w14:paraId="361BF692">
            <w:pPr>
              <w:jc w:val="center"/>
              <w:rPr>
                <w:rFonts w:cs="宋体" w:asciiTheme="minorEastAsia" w:hAnsiTheme="minorEastAsia" w:eastAsiaTheme="minorEastAsia"/>
                <w:color w:val="auto"/>
                <w:highlight w:val="none"/>
              </w:rPr>
            </w:pPr>
          </w:p>
        </w:tc>
        <w:tc>
          <w:tcPr>
            <w:tcW w:w="1062" w:type="dxa"/>
            <w:tcMar>
              <w:top w:w="0" w:type="dxa"/>
              <w:left w:w="108" w:type="dxa"/>
              <w:bottom w:w="0" w:type="dxa"/>
              <w:right w:w="108" w:type="dxa"/>
            </w:tcMar>
            <w:vAlign w:val="center"/>
          </w:tcPr>
          <w:p w14:paraId="2CB8E1D9">
            <w:pPr>
              <w:jc w:val="center"/>
              <w:rPr>
                <w:rFonts w:cs="宋体" w:asciiTheme="minorEastAsia" w:hAnsiTheme="minorEastAsia" w:eastAsiaTheme="minorEastAsia"/>
                <w:color w:val="auto"/>
                <w:highlight w:val="none"/>
              </w:rPr>
            </w:pPr>
          </w:p>
        </w:tc>
        <w:tc>
          <w:tcPr>
            <w:tcW w:w="929" w:type="dxa"/>
            <w:vAlign w:val="center"/>
          </w:tcPr>
          <w:p w14:paraId="7E25C464">
            <w:pPr>
              <w:jc w:val="center"/>
              <w:rPr>
                <w:rFonts w:cs="宋体" w:asciiTheme="minorEastAsia" w:hAnsiTheme="minorEastAsia" w:eastAsiaTheme="minorEastAsia"/>
                <w:color w:val="auto"/>
                <w:highlight w:val="none"/>
              </w:rPr>
            </w:pPr>
          </w:p>
        </w:tc>
        <w:tc>
          <w:tcPr>
            <w:tcW w:w="1062" w:type="dxa"/>
            <w:vAlign w:val="center"/>
          </w:tcPr>
          <w:p w14:paraId="7C471608">
            <w:pPr>
              <w:jc w:val="center"/>
              <w:rPr>
                <w:rFonts w:cs="宋体" w:asciiTheme="minorEastAsia" w:hAnsiTheme="minorEastAsia" w:eastAsiaTheme="minorEastAsia"/>
                <w:color w:val="auto"/>
                <w:highlight w:val="none"/>
              </w:rPr>
            </w:pPr>
          </w:p>
        </w:tc>
        <w:tc>
          <w:tcPr>
            <w:tcW w:w="929" w:type="dxa"/>
            <w:vAlign w:val="center"/>
          </w:tcPr>
          <w:p w14:paraId="02DA6B6B">
            <w:pPr>
              <w:jc w:val="center"/>
              <w:rPr>
                <w:rFonts w:cs="宋体" w:asciiTheme="minorEastAsia" w:hAnsiTheme="minorEastAsia" w:eastAsiaTheme="minorEastAsia"/>
                <w:color w:val="auto"/>
                <w:highlight w:val="none"/>
              </w:rPr>
            </w:pPr>
          </w:p>
        </w:tc>
        <w:tc>
          <w:tcPr>
            <w:tcW w:w="907" w:type="dxa"/>
            <w:tcMar>
              <w:top w:w="0" w:type="dxa"/>
              <w:left w:w="108" w:type="dxa"/>
              <w:bottom w:w="0" w:type="dxa"/>
              <w:right w:w="108" w:type="dxa"/>
            </w:tcMar>
            <w:vAlign w:val="center"/>
          </w:tcPr>
          <w:p w14:paraId="7383268A">
            <w:pPr>
              <w:jc w:val="center"/>
              <w:rPr>
                <w:rFonts w:cs="宋体" w:asciiTheme="minorEastAsia" w:hAnsiTheme="minorEastAsia" w:eastAsiaTheme="minorEastAsia"/>
                <w:color w:val="auto"/>
                <w:highlight w:val="none"/>
              </w:rPr>
            </w:pPr>
          </w:p>
        </w:tc>
        <w:tc>
          <w:tcPr>
            <w:tcW w:w="975" w:type="dxa"/>
            <w:vAlign w:val="center"/>
          </w:tcPr>
          <w:p w14:paraId="493592D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附件</w:t>
            </w:r>
            <w:r>
              <w:rPr>
                <w:rFonts w:cs="宋体" w:asciiTheme="minorEastAsia" w:hAnsiTheme="minorEastAsia" w:eastAsiaTheme="minorEastAsia"/>
                <w:color w:val="auto"/>
                <w:highlight w:val="none"/>
              </w:rPr>
              <w:t>C4.2</w:t>
            </w:r>
          </w:p>
        </w:tc>
      </w:tr>
      <w:tr w14:paraId="5B8C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487" w:type="dxa"/>
            <w:vAlign w:val="center"/>
          </w:tcPr>
          <w:p w14:paraId="187BFC63">
            <w:pPr>
              <w:jc w:val="center"/>
              <w:rPr>
                <w:rFonts w:hint="default" w:cs="宋体" w:asciiTheme="minorEastAsia" w:hAnsiTheme="minorEastAsia" w:eastAsiaTheme="minorEastAsia"/>
                <w:color w:val="auto"/>
                <w:highlight w:val="none"/>
                <w:lang w:val="en-US" w:eastAsia="zh-CN"/>
              </w:rPr>
            </w:pPr>
          </w:p>
        </w:tc>
        <w:tc>
          <w:tcPr>
            <w:tcW w:w="901" w:type="dxa"/>
            <w:tcMar>
              <w:top w:w="0" w:type="dxa"/>
              <w:left w:w="108" w:type="dxa"/>
              <w:bottom w:w="0" w:type="dxa"/>
              <w:right w:w="108" w:type="dxa"/>
            </w:tcMar>
            <w:vAlign w:val="center"/>
          </w:tcPr>
          <w:p w14:paraId="5E541D93">
            <w:pPr>
              <w:jc w:val="center"/>
              <w:rPr>
                <w:rFonts w:cs="宋体" w:asciiTheme="minorEastAsia" w:hAnsiTheme="minorEastAsia" w:eastAsiaTheme="minorEastAsia"/>
                <w:color w:val="auto"/>
                <w:highlight w:val="none"/>
              </w:rPr>
            </w:pPr>
          </w:p>
        </w:tc>
        <w:tc>
          <w:tcPr>
            <w:tcW w:w="1518" w:type="dxa"/>
            <w:tcMar>
              <w:top w:w="0" w:type="dxa"/>
              <w:left w:w="108" w:type="dxa"/>
              <w:bottom w:w="0" w:type="dxa"/>
              <w:right w:w="108" w:type="dxa"/>
            </w:tcMar>
            <w:vAlign w:val="center"/>
          </w:tcPr>
          <w:p w14:paraId="7CB09148">
            <w:pPr>
              <w:jc w:val="center"/>
              <w:rPr>
                <w:rFonts w:cs="宋体" w:asciiTheme="minorEastAsia" w:hAnsiTheme="minorEastAsia" w:eastAsiaTheme="minorEastAsia"/>
                <w:color w:val="auto"/>
                <w:highlight w:val="none"/>
              </w:rPr>
            </w:pPr>
          </w:p>
        </w:tc>
        <w:tc>
          <w:tcPr>
            <w:tcW w:w="605" w:type="dxa"/>
          </w:tcPr>
          <w:p w14:paraId="2925A9E3">
            <w:pPr>
              <w:jc w:val="center"/>
              <w:rPr>
                <w:rFonts w:cs="宋体" w:asciiTheme="minorEastAsia" w:hAnsiTheme="minorEastAsia" w:eastAsiaTheme="minorEastAsia"/>
                <w:color w:val="auto"/>
                <w:highlight w:val="none"/>
              </w:rPr>
            </w:pPr>
          </w:p>
        </w:tc>
        <w:tc>
          <w:tcPr>
            <w:tcW w:w="1203" w:type="dxa"/>
            <w:tcMar>
              <w:top w:w="0" w:type="dxa"/>
              <w:left w:w="108" w:type="dxa"/>
              <w:bottom w:w="0" w:type="dxa"/>
              <w:right w:w="108" w:type="dxa"/>
            </w:tcMar>
            <w:vAlign w:val="center"/>
          </w:tcPr>
          <w:p w14:paraId="621D8987">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0D516EE5">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717" w:type="dxa"/>
            <w:tcMar>
              <w:top w:w="0" w:type="dxa"/>
              <w:left w:w="108" w:type="dxa"/>
              <w:bottom w:w="0" w:type="dxa"/>
              <w:right w:w="108" w:type="dxa"/>
            </w:tcMar>
            <w:vAlign w:val="center"/>
          </w:tcPr>
          <w:p w14:paraId="75392CED">
            <w:pPr>
              <w:jc w:val="center"/>
              <w:rPr>
                <w:rFonts w:cs="宋体" w:asciiTheme="minorEastAsia" w:hAnsiTheme="minorEastAsia" w:eastAsiaTheme="minorEastAsia"/>
                <w:color w:val="auto"/>
                <w:highlight w:val="none"/>
              </w:rPr>
            </w:pPr>
          </w:p>
        </w:tc>
        <w:tc>
          <w:tcPr>
            <w:tcW w:w="910" w:type="dxa"/>
            <w:vAlign w:val="center"/>
          </w:tcPr>
          <w:p w14:paraId="3AC60BCC">
            <w:pPr>
              <w:jc w:val="center"/>
              <w:rPr>
                <w:rFonts w:cs="宋体" w:asciiTheme="minorEastAsia" w:hAnsiTheme="minorEastAsia" w:eastAsiaTheme="minorEastAsia"/>
                <w:color w:val="auto"/>
                <w:highlight w:val="none"/>
              </w:rPr>
            </w:pPr>
          </w:p>
        </w:tc>
        <w:tc>
          <w:tcPr>
            <w:tcW w:w="930" w:type="dxa"/>
            <w:tcMar>
              <w:top w:w="0" w:type="dxa"/>
              <w:left w:w="108" w:type="dxa"/>
              <w:bottom w:w="0" w:type="dxa"/>
              <w:right w:w="108" w:type="dxa"/>
            </w:tcMar>
            <w:vAlign w:val="center"/>
          </w:tcPr>
          <w:p w14:paraId="6459CDC7">
            <w:pPr>
              <w:jc w:val="center"/>
              <w:rPr>
                <w:rFonts w:cs="宋体" w:asciiTheme="minorEastAsia" w:hAnsiTheme="minorEastAsia" w:eastAsiaTheme="minorEastAsia"/>
                <w:color w:val="auto"/>
                <w:highlight w:val="none"/>
              </w:rPr>
            </w:pPr>
          </w:p>
        </w:tc>
        <w:tc>
          <w:tcPr>
            <w:tcW w:w="929" w:type="dxa"/>
            <w:vAlign w:val="center"/>
          </w:tcPr>
          <w:p w14:paraId="2FA03B3B">
            <w:pPr>
              <w:jc w:val="center"/>
              <w:rPr>
                <w:rFonts w:cs="宋体" w:asciiTheme="minorEastAsia" w:hAnsiTheme="minorEastAsia" w:eastAsiaTheme="minorEastAsia"/>
                <w:color w:val="auto"/>
                <w:highlight w:val="none"/>
              </w:rPr>
            </w:pPr>
          </w:p>
        </w:tc>
        <w:tc>
          <w:tcPr>
            <w:tcW w:w="1062" w:type="dxa"/>
            <w:tcMar>
              <w:top w:w="0" w:type="dxa"/>
              <w:left w:w="108" w:type="dxa"/>
              <w:bottom w:w="0" w:type="dxa"/>
              <w:right w:w="108" w:type="dxa"/>
            </w:tcMar>
            <w:vAlign w:val="center"/>
          </w:tcPr>
          <w:p w14:paraId="552A792F">
            <w:pPr>
              <w:jc w:val="center"/>
              <w:rPr>
                <w:rFonts w:cs="宋体" w:asciiTheme="minorEastAsia" w:hAnsiTheme="minorEastAsia" w:eastAsiaTheme="minorEastAsia"/>
                <w:color w:val="auto"/>
                <w:highlight w:val="none"/>
              </w:rPr>
            </w:pPr>
          </w:p>
        </w:tc>
        <w:tc>
          <w:tcPr>
            <w:tcW w:w="929" w:type="dxa"/>
            <w:vAlign w:val="center"/>
          </w:tcPr>
          <w:p w14:paraId="6418359B">
            <w:pPr>
              <w:jc w:val="center"/>
              <w:rPr>
                <w:rFonts w:cs="宋体" w:asciiTheme="minorEastAsia" w:hAnsiTheme="minorEastAsia" w:eastAsiaTheme="minorEastAsia"/>
                <w:color w:val="auto"/>
                <w:highlight w:val="none"/>
              </w:rPr>
            </w:pPr>
          </w:p>
        </w:tc>
        <w:tc>
          <w:tcPr>
            <w:tcW w:w="1062" w:type="dxa"/>
            <w:vAlign w:val="center"/>
          </w:tcPr>
          <w:p w14:paraId="04473400">
            <w:pPr>
              <w:jc w:val="center"/>
              <w:rPr>
                <w:rFonts w:cs="宋体" w:asciiTheme="minorEastAsia" w:hAnsiTheme="minorEastAsia" w:eastAsiaTheme="minorEastAsia"/>
                <w:color w:val="auto"/>
                <w:highlight w:val="none"/>
              </w:rPr>
            </w:pPr>
          </w:p>
        </w:tc>
        <w:tc>
          <w:tcPr>
            <w:tcW w:w="929" w:type="dxa"/>
            <w:vAlign w:val="center"/>
          </w:tcPr>
          <w:p w14:paraId="4DA616BC">
            <w:pPr>
              <w:jc w:val="center"/>
              <w:rPr>
                <w:rFonts w:cs="宋体" w:asciiTheme="minorEastAsia" w:hAnsiTheme="minorEastAsia" w:eastAsiaTheme="minorEastAsia"/>
                <w:color w:val="auto"/>
                <w:highlight w:val="none"/>
              </w:rPr>
            </w:pPr>
          </w:p>
        </w:tc>
        <w:tc>
          <w:tcPr>
            <w:tcW w:w="907" w:type="dxa"/>
            <w:tcMar>
              <w:top w:w="0" w:type="dxa"/>
              <w:left w:w="108" w:type="dxa"/>
              <w:bottom w:w="0" w:type="dxa"/>
              <w:right w:w="108" w:type="dxa"/>
            </w:tcMar>
            <w:vAlign w:val="center"/>
          </w:tcPr>
          <w:p w14:paraId="3ED13472">
            <w:pPr>
              <w:jc w:val="center"/>
              <w:rPr>
                <w:rFonts w:cs="宋体" w:asciiTheme="minorEastAsia" w:hAnsiTheme="minorEastAsia" w:eastAsiaTheme="minorEastAsia"/>
                <w:color w:val="auto"/>
                <w:highlight w:val="none"/>
              </w:rPr>
            </w:pPr>
          </w:p>
        </w:tc>
        <w:tc>
          <w:tcPr>
            <w:tcW w:w="975" w:type="dxa"/>
            <w:vAlign w:val="center"/>
          </w:tcPr>
          <w:p w14:paraId="16AC8E4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附件</w:t>
            </w:r>
            <w:r>
              <w:rPr>
                <w:rFonts w:cs="宋体" w:asciiTheme="minorEastAsia" w:hAnsiTheme="minorEastAsia" w:eastAsiaTheme="minorEastAsia"/>
                <w:color w:val="auto"/>
                <w:highlight w:val="none"/>
              </w:rPr>
              <w:t>C4.3</w:t>
            </w:r>
          </w:p>
        </w:tc>
      </w:tr>
      <w:tr w14:paraId="6A80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487" w:type="dxa"/>
            <w:vAlign w:val="center"/>
          </w:tcPr>
          <w:p w14:paraId="08F169A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c>
          <w:tcPr>
            <w:tcW w:w="901" w:type="dxa"/>
            <w:tcMar>
              <w:top w:w="0" w:type="dxa"/>
              <w:left w:w="108" w:type="dxa"/>
              <w:bottom w:w="0" w:type="dxa"/>
              <w:right w:w="108" w:type="dxa"/>
            </w:tcMar>
            <w:vAlign w:val="center"/>
          </w:tcPr>
          <w:p w14:paraId="3D3C367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c>
          <w:tcPr>
            <w:tcW w:w="1518" w:type="dxa"/>
            <w:tcMar>
              <w:top w:w="0" w:type="dxa"/>
              <w:left w:w="108" w:type="dxa"/>
              <w:bottom w:w="0" w:type="dxa"/>
              <w:right w:w="108" w:type="dxa"/>
            </w:tcMar>
            <w:vAlign w:val="center"/>
          </w:tcPr>
          <w:p w14:paraId="0BFA0E0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c>
          <w:tcPr>
            <w:tcW w:w="605" w:type="dxa"/>
            <w:vAlign w:val="center"/>
          </w:tcPr>
          <w:p w14:paraId="456A4916">
            <w:pPr>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203" w:type="dxa"/>
            <w:tcMar>
              <w:top w:w="0" w:type="dxa"/>
              <w:left w:w="108" w:type="dxa"/>
              <w:bottom w:w="0" w:type="dxa"/>
              <w:right w:w="108" w:type="dxa"/>
            </w:tcMar>
            <w:vAlign w:val="center"/>
          </w:tcPr>
          <w:p w14:paraId="74C28AD7">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w:t>
            </w:r>
          </w:p>
        </w:tc>
        <w:tc>
          <w:tcPr>
            <w:tcW w:w="717" w:type="dxa"/>
            <w:tcMar>
              <w:top w:w="0" w:type="dxa"/>
              <w:left w:w="108" w:type="dxa"/>
              <w:bottom w:w="0" w:type="dxa"/>
              <w:right w:w="108" w:type="dxa"/>
            </w:tcMar>
            <w:vAlign w:val="center"/>
          </w:tcPr>
          <w:p w14:paraId="68A4A50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c>
          <w:tcPr>
            <w:tcW w:w="910" w:type="dxa"/>
            <w:vAlign w:val="center"/>
          </w:tcPr>
          <w:p w14:paraId="4426389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c>
          <w:tcPr>
            <w:tcW w:w="930" w:type="dxa"/>
            <w:tcMar>
              <w:top w:w="0" w:type="dxa"/>
              <w:left w:w="108" w:type="dxa"/>
              <w:bottom w:w="0" w:type="dxa"/>
              <w:right w:w="108" w:type="dxa"/>
            </w:tcMar>
            <w:vAlign w:val="center"/>
          </w:tcPr>
          <w:p w14:paraId="2C34171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c>
          <w:tcPr>
            <w:tcW w:w="929" w:type="dxa"/>
            <w:vAlign w:val="center"/>
          </w:tcPr>
          <w:p w14:paraId="4F7AAF6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c>
          <w:tcPr>
            <w:tcW w:w="1062" w:type="dxa"/>
            <w:tcMar>
              <w:top w:w="0" w:type="dxa"/>
              <w:left w:w="108" w:type="dxa"/>
              <w:bottom w:w="0" w:type="dxa"/>
              <w:right w:w="108" w:type="dxa"/>
            </w:tcMar>
            <w:vAlign w:val="center"/>
          </w:tcPr>
          <w:p w14:paraId="4B644BD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c>
          <w:tcPr>
            <w:tcW w:w="929" w:type="dxa"/>
            <w:vAlign w:val="center"/>
          </w:tcPr>
          <w:p w14:paraId="15D66306">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1062" w:type="dxa"/>
            <w:vAlign w:val="center"/>
          </w:tcPr>
          <w:p w14:paraId="27C58042">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929" w:type="dxa"/>
            <w:vAlign w:val="center"/>
          </w:tcPr>
          <w:p w14:paraId="0AAFC812">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907" w:type="dxa"/>
            <w:tcMar>
              <w:top w:w="0" w:type="dxa"/>
              <w:left w:w="108" w:type="dxa"/>
              <w:bottom w:w="0" w:type="dxa"/>
              <w:right w:w="108" w:type="dxa"/>
            </w:tcMar>
            <w:vAlign w:val="center"/>
          </w:tcPr>
          <w:p w14:paraId="30EE5B1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c>
          <w:tcPr>
            <w:tcW w:w="975" w:type="dxa"/>
            <w:vAlign w:val="center"/>
          </w:tcPr>
          <w:p w14:paraId="71A6886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w:t>
            </w:r>
          </w:p>
        </w:tc>
      </w:tr>
    </w:tbl>
    <w:p w14:paraId="4E9816F7">
      <w:pPr>
        <w:spacing w:line="360" w:lineRule="auto"/>
        <w:ind w:left="630" w:hanging="630" w:hangingChars="300"/>
        <w:rPr>
          <w:rFonts w:hint="eastAsia" w:ascii="宋体" w:hAnsi="宋体" w:cs="宋体"/>
          <w:color w:val="auto"/>
          <w:spacing w:val="-3"/>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投</w:t>
      </w:r>
      <w:r>
        <w:rPr>
          <w:rFonts w:hint="eastAsia" w:ascii="宋体" w:hAnsi="宋体" w:cs="宋体"/>
          <w:color w:val="auto"/>
          <w:spacing w:val="-3"/>
          <w:szCs w:val="21"/>
          <w:highlight w:val="none"/>
        </w:rPr>
        <w:t>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ascii="宋体" w:hAnsi="宋体" w:cs="宋体"/>
          <w:color w:val="auto"/>
          <w:highlight w:val="none"/>
        </w:rPr>
        <w:t>C4</w:t>
      </w:r>
      <w:r>
        <w:rPr>
          <w:rFonts w:hint="eastAsia" w:ascii="宋体" w:hAnsi="宋体" w:cs="宋体"/>
          <w:color w:val="auto"/>
          <w:highlight w:val="none"/>
        </w:rPr>
        <w:t>系列（</w:t>
      </w:r>
      <w:r>
        <w:rPr>
          <w:rFonts w:hint="eastAsia" w:ascii="宋体" w:hAnsi="宋体" w:cs="宋体"/>
          <w:color w:val="auto"/>
          <w:highlight w:val="none"/>
          <w:lang w:val="en-US" w:eastAsia="zh-CN"/>
        </w:rPr>
        <w:t>路面</w:t>
      </w:r>
      <w:r>
        <w:rPr>
          <w:rFonts w:hint="eastAsia" w:ascii="宋体" w:hAnsi="宋体" w:cs="宋体"/>
          <w:color w:val="auto"/>
          <w:highlight w:val="none"/>
        </w:rPr>
        <w:t>工程施工项目业绩）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9"/>
          <w:rFonts w:ascii="宋体" w:hAnsi="宋体" w:cs="宋体"/>
          <w:color w:val="auto"/>
          <w:highlight w:val="none"/>
        </w:rPr>
        <w:footnoteReference w:id="297"/>
      </w:r>
      <w:r>
        <w:rPr>
          <w:rFonts w:hint="eastAsia" w:ascii="宋体" w:hAnsi="宋体" w:cs="宋体"/>
          <w:color w:val="auto"/>
          <w:highlight w:val="none"/>
        </w:rPr>
        <w:t>。</w:t>
      </w:r>
    </w:p>
    <w:p w14:paraId="1002AB16">
      <w:pPr>
        <w:spacing w:line="360" w:lineRule="auto"/>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r>
        <w:rPr>
          <w:rFonts w:ascii="宋体" w:hAnsi="宋体" w:cs="宋体"/>
          <w:color w:val="auto"/>
          <w:highlight w:val="none"/>
        </w:rPr>
        <w:t xml:space="preserve"> </w:t>
      </w:r>
    </w:p>
    <w:p w14:paraId="6FA324D3">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.本表所列合同价格一般为项目结算价格，无结算价格的以签约合同价格为准。</w:t>
      </w:r>
    </w:p>
    <w:p w14:paraId="6DDB6EBB">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w:t>
      </w:r>
      <w:r>
        <w:rPr>
          <w:rFonts w:hint="eastAsia" w:ascii="宋体" w:hAnsi="宋体" w:cs="宋体"/>
          <w:color w:val="auto"/>
          <w:spacing w:val="-3"/>
          <w:kern w:val="2"/>
          <w:sz w:val="21"/>
          <w:szCs w:val="24"/>
          <w:highlight w:val="none"/>
          <w:lang w:val="en-US" w:eastAsia="zh-CN" w:bidi="ar"/>
        </w:rPr>
        <w:t>路面</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中包含的</w:t>
      </w:r>
      <w:r>
        <w:rPr>
          <w:rFonts w:hint="eastAsia" w:ascii="宋体" w:hAnsi="宋体" w:cs="宋体"/>
          <w:color w:val="auto"/>
          <w:spacing w:val="-3"/>
          <w:kern w:val="2"/>
          <w:sz w:val="21"/>
          <w:szCs w:val="24"/>
          <w:highlight w:val="none"/>
          <w:lang w:val="en-US" w:eastAsia="zh-CN" w:bidi="ar"/>
        </w:rPr>
        <w:t>施工内容</w:t>
      </w:r>
      <w:r>
        <w:rPr>
          <w:rFonts w:hint="eastAsia" w:ascii="宋体" w:hAnsi="宋体" w:eastAsia="宋体" w:cs="宋体"/>
          <w:color w:val="auto"/>
          <w:spacing w:val="-3"/>
          <w:kern w:val="2"/>
          <w:sz w:val="21"/>
          <w:szCs w:val="24"/>
          <w:highlight w:val="none"/>
          <w:lang w:val="en-US" w:eastAsia="zh-CN" w:bidi="ar"/>
        </w:rPr>
        <w:t>或单独</w:t>
      </w:r>
      <w:r>
        <w:rPr>
          <w:rFonts w:hint="eastAsia" w:ascii="宋体" w:hAnsi="宋体" w:cs="宋体"/>
          <w:color w:val="auto"/>
          <w:spacing w:val="-3"/>
          <w:kern w:val="2"/>
          <w:sz w:val="21"/>
          <w:szCs w:val="24"/>
          <w:highlight w:val="none"/>
          <w:lang w:val="en-US" w:eastAsia="zh-CN" w:bidi="ar"/>
        </w:rPr>
        <w:t>路面工程</w:t>
      </w:r>
      <w:r>
        <w:rPr>
          <w:rFonts w:hint="eastAsia" w:ascii="宋体" w:hAnsi="宋体" w:eastAsia="宋体" w:cs="宋体"/>
          <w:color w:val="auto"/>
          <w:spacing w:val="-3"/>
          <w:kern w:val="2"/>
          <w:sz w:val="21"/>
          <w:szCs w:val="24"/>
          <w:highlight w:val="none"/>
          <w:lang w:val="en-US" w:eastAsia="zh-CN" w:bidi="ar"/>
        </w:rPr>
        <w:t>合同的项目</w:t>
      </w:r>
      <w:r>
        <w:rPr>
          <w:rFonts w:hint="eastAsia" w:ascii="宋体" w:hAnsi="宋体" w:cs="宋体"/>
          <w:color w:val="auto"/>
          <w:spacing w:val="-3"/>
          <w:kern w:val="2"/>
          <w:sz w:val="21"/>
          <w:szCs w:val="24"/>
          <w:highlight w:val="none"/>
          <w:lang w:val="en-US" w:eastAsia="zh-CN" w:bidi="ar"/>
        </w:rPr>
        <w:t>。</w:t>
      </w:r>
    </w:p>
    <w:p w14:paraId="7ECF2EF5">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06BFB933">
      <w:pPr>
        <w:spacing w:line="360" w:lineRule="auto"/>
        <w:ind w:firstLine="420" w:firstLineChars="200"/>
        <w:rPr>
          <w:rFonts w:ascii="宋体" w:hAnsi="宋体" w:cs="宋体"/>
          <w:color w:val="auto"/>
          <w:highlight w:val="none"/>
        </w:rPr>
      </w:pPr>
      <w:bookmarkStart w:id="930" w:name="_Hlk52813213"/>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w:t>
      </w:r>
      <w:r>
        <w:rPr>
          <w:rFonts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5月1日，填写为20</w:t>
      </w:r>
      <w:r>
        <w:rPr>
          <w:rFonts w:hint="eastAsia" w:ascii="宋体" w:hAnsi="宋体"/>
          <w:color w:val="auto"/>
          <w:szCs w:val="21"/>
          <w:highlight w:val="none"/>
          <w:lang w:val="en-US" w:eastAsia="zh-CN"/>
        </w:rPr>
        <w:t>21</w:t>
      </w:r>
      <w:r>
        <w:rPr>
          <w:rFonts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5月，填写为20</w:t>
      </w:r>
      <w:r>
        <w:rPr>
          <w:rFonts w:hint="eastAsia" w:ascii="宋体" w:hAnsi="宋体"/>
          <w:color w:val="auto"/>
          <w:szCs w:val="21"/>
          <w:highlight w:val="none"/>
          <w:lang w:val="en-US" w:eastAsia="zh-CN"/>
        </w:rPr>
        <w:t>21</w:t>
      </w:r>
      <w:r>
        <w:rPr>
          <w:rFonts w:ascii="宋体" w:hAnsi="宋体"/>
          <w:color w:val="auto"/>
          <w:szCs w:val="21"/>
          <w:highlight w:val="none"/>
        </w:rPr>
        <w:t>05。</w:t>
      </w:r>
    </w:p>
    <w:p w14:paraId="44FABF17">
      <w:pPr>
        <w:spacing w:line="360" w:lineRule="auto"/>
        <w:ind w:left="609" w:leftChars="190" w:hanging="210" w:hangingChars="100"/>
        <w:rPr>
          <w:rFonts w:cs="黑体"/>
          <w:b/>
          <w:color w:val="auto"/>
          <w:sz w:val="28"/>
          <w:szCs w:val="28"/>
          <w:highlight w:val="none"/>
        </w:rPr>
      </w:pPr>
      <w:r>
        <w:rPr>
          <w:rFonts w:hint="eastAsia" w:ascii="宋体" w:hAnsi="宋体" w:cs="宋体"/>
          <w:color w:val="auto"/>
          <w:highlight w:val="none"/>
          <w:lang w:val="en-US" w:eastAsia="zh-CN"/>
        </w:rPr>
        <w:t>7</w:t>
      </w:r>
      <w:r>
        <w:rPr>
          <w:rFonts w:ascii="宋体" w:hAnsi="宋体" w:cs="宋体"/>
          <w:color w:val="auto"/>
          <w:highlight w:val="none"/>
        </w:rPr>
        <w:t>.</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highlight w:val="none"/>
        </w:rPr>
        <w:t>以联合体形式投标的，联合体各成员应按照</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前附表附录3</w:t>
      </w:r>
      <w:r>
        <w:rPr>
          <w:rFonts w:hint="eastAsia" w:ascii="宋体" w:hAnsi="宋体" w:cs="宋体"/>
          <w:color w:val="auto"/>
          <w:highlight w:val="none"/>
        </w:rPr>
        <w:t>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bookmarkEnd w:id="930"/>
      <w:r>
        <w:rPr>
          <w:rFonts w:cs="宋体"/>
          <w:b/>
          <w:color w:val="auto"/>
          <w:sz w:val="28"/>
          <w:szCs w:val="28"/>
          <w:highlight w:val="none"/>
        </w:rPr>
        <w:br w:type="page"/>
      </w:r>
    </w:p>
    <w:p w14:paraId="2BCE31B9">
      <w:pPr>
        <w:spacing w:line="360" w:lineRule="auto"/>
        <w:ind w:left="1418"/>
        <w:jc w:val="center"/>
        <w:rPr>
          <w:rFonts w:ascii="黑体" w:hAnsi="黑体" w:eastAsia="黑体" w:cs="宋体"/>
          <w:color w:val="auto"/>
          <w:sz w:val="24"/>
          <w:highlight w:val="none"/>
        </w:rPr>
      </w:pPr>
      <w:bookmarkStart w:id="931" w:name="_Hlk52813245"/>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b/>
          <w:color w:val="auto"/>
          <w:sz w:val="24"/>
          <w:highlight w:val="none"/>
        </w:rPr>
        <w:t>□</w:t>
      </w:r>
      <w:r>
        <w:rPr>
          <w:rFonts w:ascii="黑体" w:hAnsi="黑体" w:eastAsia="黑体" w:cs="宋体"/>
          <w:color w:val="auto"/>
          <w:sz w:val="24"/>
          <w:highlight w:val="none"/>
        </w:rPr>
        <w:t xml:space="preserve"> 近年完成的</w:t>
      </w:r>
      <w:r>
        <w:rPr>
          <w:rFonts w:hint="eastAsia" w:ascii="黑体" w:hAnsi="黑体" w:eastAsia="黑体" w:cs="宋体"/>
          <w:color w:val="auto"/>
          <w:sz w:val="24"/>
          <w:highlight w:val="none"/>
        </w:rPr>
        <w:t>公路交通安全设施工程施工情况</w:t>
      </w:r>
      <w:r>
        <w:rPr>
          <w:rFonts w:hint="eastAsia" w:ascii="黑体" w:hAnsi="黑体" w:eastAsia="黑体" w:cs="宋体"/>
          <w:color w:val="auto"/>
          <w:sz w:val="24"/>
          <w:highlight w:val="none"/>
          <w:lang w:val="en-US" w:eastAsia="zh-CN"/>
        </w:rPr>
        <w:t>表</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4.</w:t>
      </w:r>
      <w:r>
        <w:rPr>
          <w:rFonts w:ascii="黑体" w:hAnsi="黑体" w:eastAsia="黑体" w:cs="宋体"/>
          <w:color w:val="auto"/>
          <w:sz w:val="24"/>
          <w:highlight w:val="none"/>
        </w:rPr>
        <w:t>5</w:t>
      </w:r>
    </w:p>
    <w:tbl>
      <w:tblPr>
        <w:tblStyle w:val="49"/>
        <w:tblW w:w="140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
        <w:gridCol w:w="638"/>
        <w:gridCol w:w="1194"/>
        <w:gridCol w:w="536"/>
        <w:gridCol w:w="1111"/>
        <w:gridCol w:w="606"/>
        <w:gridCol w:w="898"/>
        <w:gridCol w:w="770"/>
        <w:gridCol w:w="898"/>
        <w:gridCol w:w="898"/>
        <w:gridCol w:w="642"/>
        <w:gridCol w:w="642"/>
        <w:gridCol w:w="1027"/>
        <w:gridCol w:w="773"/>
        <w:gridCol w:w="876"/>
        <w:gridCol w:w="1003"/>
        <w:gridCol w:w="1185"/>
      </w:tblGrid>
      <w:tr w14:paraId="0B50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76" w:type="dxa"/>
            <w:vMerge w:val="restart"/>
            <w:vAlign w:val="center"/>
          </w:tcPr>
          <w:p w14:paraId="0BE51139">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638" w:type="dxa"/>
            <w:vMerge w:val="restart"/>
            <w:tcMar>
              <w:top w:w="0" w:type="dxa"/>
              <w:left w:w="108" w:type="dxa"/>
              <w:bottom w:w="0" w:type="dxa"/>
              <w:right w:w="108" w:type="dxa"/>
            </w:tcMar>
            <w:vAlign w:val="center"/>
          </w:tcPr>
          <w:p w14:paraId="4C876ECC">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p w14:paraId="6E005CB1">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业主</w:t>
            </w:r>
          </w:p>
        </w:tc>
        <w:tc>
          <w:tcPr>
            <w:tcW w:w="1194" w:type="dxa"/>
            <w:vMerge w:val="restart"/>
            <w:tcMar>
              <w:top w:w="0" w:type="dxa"/>
              <w:left w:w="108" w:type="dxa"/>
              <w:bottom w:w="0" w:type="dxa"/>
              <w:right w:w="108" w:type="dxa"/>
            </w:tcMar>
            <w:vAlign w:val="center"/>
          </w:tcPr>
          <w:p w14:paraId="3EA27538">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536" w:type="dxa"/>
            <w:vMerge w:val="restart"/>
            <w:vAlign w:val="center"/>
          </w:tcPr>
          <w:p w14:paraId="68607038">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公路</w:t>
            </w:r>
          </w:p>
          <w:p w14:paraId="380735C7">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等级</w:t>
            </w:r>
          </w:p>
        </w:tc>
        <w:tc>
          <w:tcPr>
            <w:tcW w:w="1111" w:type="dxa"/>
            <w:vMerge w:val="restart"/>
            <w:tcMar>
              <w:top w:w="0" w:type="dxa"/>
              <w:left w:w="108" w:type="dxa"/>
              <w:bottom w:w="0" w:type="dxa"/>
              <w:right w:w="108" w:type="dxa"/>
            </w:tcMar>
            <w:vAlign w:val="center"/>
          </w:tcPr>
          <w:p w14:paraId="2C5DCA8A">
            <w:pPr>
              <w:jc w:val="center"/>
              <w:rPr>
                <w:rFonts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项目</w:t>
            </w:r>
            <w:r>
              <w:rPr>
                <w:rFonts w:hint="eastAsia" w:cs="宋体" w:asciiTheme="minorEastAsia" w:hAnsiTheme="minorEastAsia" w:eastAsiaTheme="minorEastAsia"/>
                <w:color w:val="auto"/>
                <w:szCs w:val="21"/>
                <w:highlight w:val="none"/>
              </w:rPr>
              <w:t>建设形式</w:t>
            </w:r>
          </w:p>
        </w:tc>
        <w:tc>
          <w:tcPr>
            <w:tcW w:w="606" w:type="dxa"/>
            <w:vMerge w:val="restart"/>
            <w:tcMar>
              <w:top w:w="0" w:type="dxa"/>
              <w:left w:w="108" w:type="dxa"/>
              <w:bottom w:w="0" w:type="dxa"/>
              <w:right w:w="108" w:type="dxa"/>
            </w:tcMar>
            <w:vAlign w:val="center"/>
          </w:tcPr>
          <w:p w14:paraId="08DCF656">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标段号</w:t>
            </w:r>
          </w:p>
        </w:tc>
        <w:tc>
          <w:tcPr>
            <w:tcW w:w="898" w:type="dxa"/>
            <w:vMerge w:val="restart"/>
            <w:vAlign w:val="center"/>
          </w:tcPr>
          <w:p w14:paraId="6F74E9E2">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标段长度</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km）</w:t>
            </w:r>
          </w:p>
        </w:tc>
        <w:tc>
          <w:tcPr>
            <w:tcW w:w="770" w:type="dxa"/>
            <w:vMerge w:val="restart"/>
            <w:tcMar>
              <w:top w:w="0" w:type="dxa"/>
              <w:left w:w="108" w:type="dxa"/>
              <w:bottom w:w="0" w:type="dxa"/>
              <w:right w:w="108" w:type="dxa"/>
            </w:tcMar>
            <w:vAlign w:val="center"/>
          </w:tcPr>
          <w:p w14:paraId="7E167976">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开工</w:t>
            </w:r>
          </w:p>
          <w:p w14:paraId="55316F7A">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p>
        </w:tc>
        <w:tc>
          <w:tcPr>
            <w:tcW w:w="898" w:type="dxa"/>
            <w:vMerge w:val="restart"/>
            <w:vAlign w:val="center"/>
          </w:tcPr>
          <w:p w14:paraId="0A10E170">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完成（交工）日期</w:t>
            </w:r>
          </w:p>
        </w:tc>
        <w:tc>
          <w:tcPr>
            <w:tcW w:w="898" w:type="dxa"/>
            <w:vMerge w:val="restart"/>
            <w:vAlign w:val="center"/>
          </w:tcPr>
          <w:p w14:paraId="36C7021D">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建设规模</w:t>
            </w:r>
          </w:p>
        </w:tc>
        <w:tc>
          <w:tcPr>
            <w:tcW w:w="3084" w:type="dxa"/>
            <w:gridSpan w:val="4"/>
            <w:vAlign w:val="center"/>
          </w:tcPr>
          <w:p w14:paraId="124D857A">
            <w:pPr>
              <w:pStyle w:val="299"/>
              <w:jc w:val="center"/>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交通安全设施包含类型</w:t>
            </w:r>
          </w:p>
        </w:tc>
        <w:tc>
          <w:tcPr>
            <w:tcW w:w="876" w:type="dxa"/>
            <w:vMerge w:val="restart"/>
            <w:vAlign w:val="center"/>
          </w:tcPr>
          <w:p w14:paraId="2272CDBF">
            <w:pPr>
              <w:pStyle w:val="299"/>
              <w:jc w:val="center"/>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w:t>
            </w:r>
          </w:p>
          <w:p w14:paraId="69093536">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经理</w:t>
            </w:r>
          </w:p>
        </w:tc>
        <w:tc>
          <w:tcPr>
            <w:tcW w:w="1003" w:type="dxa"/>
            <w:vMerge w:val="restart"/>
            <w:tcMar>
              <w:top w:w="0" w:type="dxa"/>
              <w:left w:w="108" w:type="dxa"/>
              <w:bottom w:w="0" w:type="dxa"/>
              <w:right w:w="108" w:type="dxa"/>
            </w:tcMar>
            <w:vAlign w:val="center"/>
          </w:tcPr>
          <w:p w14:paraId="5A4148F4">
            <w:pPr>
              <w:pStyle w:val="299"/>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□项目</w:t>
            </w:r>
          </w:p>
          <w:p w14:paraId="2C4BEF7F">
            <w:pPr>
              <w:pStyle w:val="299"/>
              <w:jc w:val="both"/>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 xml:space="preserve"> </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总工</w:t>
            </w:r>
          </w:p>
        </w:tc>
        <w:tc>
          <w:tcPr>
            <w:tcW w:w="1185" w:type="dxa"/>
            <w:vMerge w:val="restart"/>
            <w:vAlign w:val="center"/>
          </w:tcPr>
          <w:p w14:paraId="6A908F3B">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业绩证明材料附件</w:t>
            </w:r>
          </w:p>
        </w:tc>
      </w:tr>
      <w:tr w14:paraId="54A9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76" w:type="dxa"/>
            <w:vMerge w:val="continue"/>
            <w:vAlign w:val="center"/>
          </w:tcPr>
          <w:p w14:paraId="591D70FE">
            <w:pPr>
              <w:pStyle w:val="299"/>
              <w:jc w:val="center"/>
              <w:rPr>
                <w:rFonts w:asciiTheme="minorEastAsia" w:hAnsiTheme="minorEastAsia" w:eastAsiaTheme="minorEastAsia"/>
                <w:color w:val="auto"/>
                <w:szCs w:val="21"/>
                <w:highlight w:val="none"/>
              </w:rPr>
            </w:pPr>
          </w:p>
        </w:tc>
        <w:tc>
          <w:tcPr>
            <w:tcW w:w="638" w:type="dxa"/>
            <w:vMerge w:val="continue"/>
            <w:tcMar>
              <w:top w:w="0" w:type="dxa"/>
              <w:left w:w="108" w:type="dxa"/>
              <w:bottom w:w="0" w:type="dxa"/>
              <w:right w:w="108" w:type="dxa"/>
            </w:tcMar>
            <w:vAlign w:val="center"/>
          </w:tcPr>
          <w:p w14:paraId="1EBCE30E">
            <w:pPr>
              <w:pStyle w:val="299"/>
              <w:jc w:val="center"/>
              <w:rPr>
                <w:rFonts w:asciiTheme="minorEastAsia" w:hAnsiTheme="minorEastAsia" w:eastAsiaTheme="minorEastAsia"/>
                <w:color w:val="auto"/>
                <w:szCs w:val="21"/>
                <w:highlight w:val="none"/>
              </w:rPr>
            </w:pPr>
          </w:p>
        </w:tc>
        <w:tc>
          <w:tcPr>
            <w:tcW w:w="1194" w:type="dxa"/>
            <w:vMerge w:val="continue"/>
            <w:tcMar>
              <w:top w:w="0" w:type="dxa"/>
              <w:left w:w="108" w:type="dxa"/>
              <w:bottom w:w="0" w:type="dxa"/>
              <w:right w:w="108" w:type="dxa"/>
            </w:tcMar>
            <w:vAlign w:val="center"/>
          </w:tcPr>
          <w:p w14:paraId="62D26CDF">
            <w:pPr>
              <w:pStyle w:val="299"/>
              <w:jc w:val="center"/>
              <w:rPr>
                <w:rFonts w:asciiTheme="minorEastAsia" w:hAnsiTheme="minorEastAsia" w:eastAsiaTheme="minorEastAsia"/>
                <w:color w:val="auto"/>
                <w:szCs w:val="21"/>
                <w:highlight w:val="none"/>
              </w:rPr>
            </w:pPr>
          </w:p>
        </w:tc>
        <w:tc>
          <w:tcPr>
            <w:tcW w:w="536" w:type="dxa"/>
            <w:vMerge w:val="continue"/>
            <w:vAlign w:val="center"/>
          </w:tcPr>
          <w:p w14:paraId="7577F686">
            <w:pPr>
              <w:pStyle w:val="299"/>
              <w:jc w:val="center"/>
              <w:rPr>
                <w:rFonts w:asciiTheme="minorEastAsia" w:hAnsiTheme="minorEastAsia" w:eastAsiaTheme="minorEastAsia"/>
                <w:color w:val="auto"/>
                <w:szCs w:val="21"/>
                <w:highlight w:val="none"/>
              </w:rPr>
            </w:pPr>
          </w:p>
        </w:tc>
        <w:tc>
          <w:tcPr>
            <w:tcW w:w="1111" w:type="dxa"/>
            <w:vMerge w:val="continue"/>
            <w:tcMar>
              <w:top w:w="0" w:type="dxa"/>
              <w:left w:w="108" w:type="dxa"/>
              <w:bottom w:w="0" w:type="dxa"/>
              <w:right w:w="108" w:type="dxa"/>
            </w:tcMar>
            <w:vAlign w:val="center"/>
          </w:tcPr>
          <w:p w14:paraId="704E50CE">
            <w:pPr>
              <w:jc w:val="left"/>
              <w:rPr>
                <w:rFonts w:ascii="宋体" w:hAnsi="宋体" w:eastAsia="宋体" w:cs="宋体"/>
                <w:color w:val="auto"/>
                <w:kern w:val="2"/>
                <w:sz w:val="21"/>
                <w:szCs w:val="21"/>
                <w:highlight w:val="none"/>
                <w:lang w:val="en-US" w:eastAsia="zh-CN" w:bidi="ar-SA"/>
              </w:rPr>
            </w:pPr>
          </w:p>
        </w:tc>
        <w:tc>
          <w:tcPr>
            <w:tcW w:w="606" w:type="dxa"/>
            <w:vMerge w:val="continue"/>
            <w:tcMar>
              <w:top w:w="0" w:type="dxa"/>
              <w:left w:w="108" w:type="dxa"/>
              <w:bottom w:w="0" w:type="dxa"/>
              <w:right w:w="108" w:type="dxa"/>
            </w:tcMar>
            <w:vAlign w:val="center"/>
          </w:tcPr>
          <w:p w14:paraId="6DA87A2C">
            <w:pPr>
              <w:pStyle w:val="299"/>
              <w:jc w:val="center"/>
              <w:rPr>
                <w:rFonts w:asciiTheme="minorEastAsia" w:hAnsiTheme="minorEastAsia" w:eastAsiaTheme="minorEastAsia"/>
                <w:color w:val="auto"/>
                <w:szCs w:val="21"/>
                <w:highlight w:val="none"/>
              </w:rPr>
            </w:pPr>
          </w:p>
        </w:tc>
        <w:tc>
          <w:tcPr>
            <w:tcW w:w="898" w:type="dxa"/>
            <w:vMerge w:val="continue"/>
            <w:vAlign w:val="center"/>
          </w:tcPr>
          <w:p w14:paraId="2E00D5FD">
            <w:pPr>
              <w:pStyle w:val="299"/>
              <w:jc w:val="center"/>
              <w:rPr>
                <w:rFonts w:asciiTheme="minorEastAsia" w:hAnsiTheme="minorEastAsia" w:eastAsiaTheme="minorEastAsia"/>
                <w:color w:val="auto"/>
                <w:szCs w:val="21"/>
                <w:highlight w:val="none"/>
              </w:rPr>
            </w:pPr>
          </w:p>
        </w:tc>
        <w:tc>
          <w:tcPr>
            <w:tcW w:w="770" w:type="dxa"/>
            <w:vMerge w:val="continue"/>
            <w:tcMar>
              <w:top w:w="0" w:type="dxa"/>
              <w:left w:w="108" w:type="dxa"/>
              <w:bottom w:w="0" w:type="dxa"/>
              <w:right w:w="108" w:type="dxa"/>
            </w:tcMar>
            <w:vAlign w:val="center"/>
          </w:tcPr>
          <w:p w14:paraId="17B05036">
            <w:pPr>
              <w:pStyle w:val="299"/>
              <w:jc w:val="center"/>
              <w:rPr>
                <w:rFonts w:asciiTheme="minorEastAsia" w:hAnsiTheme="minorEastAsia" w:eastAsiaTheme="minorEastAsia"/>
                <w:color w:val="auto"/>
                <w:szCs w:val="21"/>
                <w:highlight w:val="none"/>
              </w:rPr>
            </w:pPr>
          </w:p>
        </w:tc>
        <w:tc>
          <w:tcPr>
            <w:tcW w:w="898" w:type="dxa"/>
            <w:vMerge w:val="continue"/>
            <w:vAlign w:val="center"/>
          </w:tcPr>
          <w:p w14:paraId="1036F17A">
            <w:pPr>
              <w:pStyle w:val="299"/>
              <w:jc w:val="center"/>
              <w:rPr>
                <w:rFonts w:asciiTheme="minorEastAsia" w:hAnsiTheme="minorEastAsia" w:eastAsiaTheme="minorEastAsia"/>
                <w:color w:val="auto"/>
                <w:szCs w:val="21"/>
                <w:highlight w:val="none"/>
              </w:rPr>
            </w:pPr>
          </w:p>
        </w:tc>
        <w:tc>
          <w:tcPr>
            <w:tcW w:w="898" w:type="dxa"/>
            <w:vMerge w:val="continue"/>
          </w:tcPr>
          <w:p w14:paraId="12655C0B">
            <w:pPr>
              <w:pStyle w:val="299"/>
              <w:jc w:val="center"/>
              <w:rPr>
                <w:rFonts w:cs="宋体" w:asciiTheme="minorEastAsia" w:hAnsiTheme="minorEastAsia" w:eastAsiaTheme="minorEastAsia"/>
                <w:color w:val="auto"/>
                <w:kern w:val="0"/>
                <w:szCs w:val="21"/>
                <w:highlight w:val="none"/>
              </w:rPr>
            </w:pPr>
          </w:p>
        </w:tc>
        <w:tc>
          <w:tcPr>
            <w:tcW w:w="642" w:type="dxa"/>
            <w:vAlign w:val="center"/>
          </w:tcPr>
          <w:p w14:paraId="733BC1EB">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标志（个）</w:t>
            </w:r>
          </w:p>
        </w:tc>
        <w:tc>
          <w:tcPr>
            <w:tcW w:w="642" w:type="dxa"/>
            <w:vAlign w:val="center"/>
          </w:tcPr>
          <w:p w14:paraId="66FD65A7">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标线（</w:t>
            </w:r>
            <w:r>
              <w:rPr>
                <w:rFonts w:asciiTheme="minorEastAsia" w:hAnsiTheme="minorEastAsia" w:eastAsiaTheme="minorEastAsia"/>
                <w:color w:val="auto"/>
                <w:szCs w:val="21"/>
                <w:highlight w:val="none"/>
              </w:rPr>
              <w:t>m</w:t>
            </w:r>
            <w:r>
              <w:rPr>
                <w:rFonts w:asciiTheme="minorEastAsia" w:hAnsiTheme="minorEastAsia" w:eastAsiaTheme="minorEastAsia"/>
                <w:color w:val="auto"/>
                <w:szCs w:val="21"/>
                <w:highlight w:val="none"/>
                <w:vertAlign w:val="superscript"/>
              </w:rPr>
              <w:t>2</w:t>
            </w:r>
            <w:r>
              <w:rPr>
                <w:rFonts w:hint="eastAsia" w:asciiTheme="minorEastAsia" w:hAnsiTheme="minorEastAsia" w:eastAsiaTheme="minorEastAsia"/>
                <w:color w:val="auto"/>
                <w:szCs w:val="21"/>
                <w:highlight w:val="none"/>
              </w:rPr>
              <w:t>）</w:t>
            </w:r>
          </w:p>
        </w:tc>
        <w:tc>
          <w:tcPr>
            <w:tcW w:w="1027" w:type="dxa"/>
            <w:vAlign w:val="center"/>
          </w:tcPr>
          <w:p w14:paraId="55D7F324">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波形梁护栏</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km）</w:t>
            </w:r>
          </w:p>
        </w:tc>
        <w:tc>
          <w:tcPr>
            <w:tcW w:w="773" w:type="dxa"/>
            <w:vAlign w:val="center"/>
          </w:tcPr>
          <w:p w14:paraId="28498E6C">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□其他</w:t>
            </w:r>
          </w:p>
        </w:tc>
        <w:tc>
          <w:tcPr>
            <w:tcW w:w="876" w:type="dxa"/>
            <w:vMerge w:val="continue"/>
          </w:tcPr>
          <w:p w14:paraId="05BE83EC">
            <w:pPr>
              <w:pStyle w:val="299"/>
              <w:jc w:val="center"/>
              <w:rPr>
                <w:rFonts w:asciiTheme="minorEastAsia" w:hAnsiTheme="minorEastAsia" w:eastAsiaTheme="minorEastAsia"/>
                <w:color w:val="auto"/>
                <w:szCs w:val="21"/>
                <w:highlight w:val="none"/>
              </w:rPr>
            </w:pPr>
          </w:p>
        </w:tc>
        <w:tc>
          <w:tcPr>
            <w:tcW w:w="1003" w:type="dxa"/>
            <w:vMerge w:val="continue"/>
            <w:tcMar>
              <w:top w:w="0" w:type="dxa"/>
              <w:left w:w="108" w:type="dxa"/>
              <w:bottom w:w="0" w:type="dxa"/>
              <w:right w:w="108" w:type="dxa"/>
            </w:tcMar>
            <w:vAlign w:val="center"/>
          </w:tcPr>
          <w:p w14:paraId="220BE659">
            <w:pPr>
              <w:pStyle w:val="299"/>
              <w:jc w:val="center"/>
              <w:rPr>
                <w:rFonts w:asciiTheme="minorEastAsia" w:hAnsiTheme="minorEastAsia" w:eastAsiaTheme="minorEastAsia"/>
                <w:color w:val="auto"/>
                <w:szCs w:val="21"/>
                <w:highlight w:val="none"/>
              </w:rPr>
            </w:pPr>
          </w:p>
        </w:tc>
        <w:tc>
          <w:tcPr>
            <w:tcW w:w="1185" w:type="dxa"/>
            <w:vMerge w:val="continue"/>
            <w:vAlign w:val="center"/>
          </w:tcPr>
          <w:p w14:paraId="73857351">
            <w:pPr>
              <w:pStyle w:val="299"/>
              <w:jc w:val="center"/>
              <w:rPr>
                <w:rFonts w:asciiTheme="minorEastAsia" w:hAnsiTheme="minorEastAsia" w:eastAsiaTheme="minorEastAsia"/>
                <w:color w:val="auto"/>
                <w:szCs w:val="21"/>
                <w:highlight w:val="none"/>
              </w:rPr>
            </w:pPr>
          </w:p>
        </w:tc>
      </w:tr>
      <w:tr w14:paraId="094F8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14:paraId="11814F05">
            <w:pPr>
              <w:pStyle w:val="299"/>
              <w:jc w:val="center"/>
              <w:rPr>
                <w:rFonts w:hint="default" w:asciiTheme="minorEastAsia" w:hAnsiTheme="minorEastAsia" w:eastAsiaTheme="minorEastAsia"/>
                <w:color w:val="auto"/>
                <w:szCs w:val="21"/>
                <w:highlight w:val="none"/>
                <w:lang w:val="en-US" w:eastAsia="zh-CN"/>
              </w:rPr>
            </w:pPr>
          </w:p>
        </w:tc>
        <w:tc>
          <w:tcPr>
            <w:tcW w:w="638" w:type="dxa"/>
            <w:tcMar>
              <w:top w:w="0" w:type="dxa"/>
              <w:left w:w="108" w:type="dxa"/>
              <w:bottom w:w="0" w:type="dxa"/>
              <w:right w:w="108" w:type="dxa"/>
            </w:tcMar>
            <w:vAlign w:val="center"/>
          </w:tcPr>
          <w:p w14:paraId="34B5C1F0">
            <w:pPr>
              <w:pStyle w:val="299"/>
              <w:jc w:val="center"/>
              <w:rPr>
                <w:rFonts w:asciiTheme="minorEastAsia" w:hAnsiTheme="minorEastAsia" w:eastAsiaTheme="minorEastAsia"/>
                <w:color w:val="auto"/>
                <w:szCs w:val="21"/>
                <w:highlight w:val="none"/>
              </w:rPr>
            </w:pPr>
          </w:p>
        </w:tc>
        <w:tc>
          <w:tcPr>
            <w:tcW w:w="1194" w:type="dxa"/>
            <w:tcMar>
              <w:top w:w="0" w:type="dxa"/>
              <w:left w:w="108" w:type="dxa"/>
              <w:bottom w:w="0" w:type="dxa"/>
              <w:right w:w="108" w:type="dxa"/>
            </w:tcMar>
            <w:vAlign w:val="center"/>
          </w:tcPr>
          <w:p w14:paraId="0CEFB26D">
            <w:pPr>
              <w:pStyle w:val="299"/>
              <w:jc w:val="center"/>
              <w:rPr>
                <w:rFonts w:asciiTheme="minorEastAsia" w:hAnsiTheme="minorEastAsia" w:eastAsiaTheme="minorEastAsia"/>
                <w:color w:val="auto"/>
                <w:szCs w:val="21"/>
                <w:highlight w:val="none"/>
              </w:rPr>
            </w:pPr>
          </w:p>
        </w:tc>
        <w:tc>
          <w:tcPr>
            <w:tcW w:w="536" w:type="dxa"/>
          </w:tcPr>
          <w:p w14:paraId="18B102B2">
            <w:pPr>
              <w:pStyle w:val="299"/>
              <w:jc w:val="center"/>
              <w:rPr>
                <w:rFonts w:asciiTheme="minorEastAsia" w:hAnsiTheme="minorEastAsia" w:eastAsiaTheme="minorEastAsia"/>
                <w:color w:val="auto"/>
                <w:szCs w:val="21"/>
                <w:highlight w:val="none"/>
              </w:rPr>
            </w:pPr>
          </w:p>
        </w:tc>
        <w:tc>
          <w:tcPr>
            <w:tcW w:w="1111" w:type="dxa"/>
            <w:tcMar>
              <w:top w:w="0" w:type="dxa"/>
              <w:left w:w="108" w:type="dxa"/>
              <w:bottom w:w="0" w:type="dxa"/>
              <w:right w:w="108" w:type="dxa"/>
            </w:tcMar>
            <w:vAlign w:val="center"/>
          </w:tcPr>
          <w:p w14:paraId="4444F0A2">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051A89D8">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606" w:type="dxa"/>
            <w:tcMar>
              <w:top w:w="0" w:type="dxa"/>
              <w:left w:w="108" w:type="dxa"/>
              <w:bottom w:w="0" w:type="dxa"/>
              <w:right w:w="108" w:type="dxa"/>
            </w:tcMar>
            <w:vAlign w:val="center"/>
          </w:tcPr>
          <w:p w14:paraId="7F9D634A">
            <w:pPr>
              <w:pStyle w:val="299"/>
              <w:jc w:val="center"/>
              <w:rPr>
                <w:rFonts w:asciiTheme="minorEastAsia" w:hAnsiTheme="minorEastAsia" w:eastAsiaTheme="minorEastAsia"/>
                <w:color w:val="auto"/>
                <w:szCs w:val="21"/>
                <w:highlight w:val="none"/>
              </w:rPr>
            </w:pPr>
          </w:p>
        </w:tc>
        <w:tc>
          <w:tcPr>
            <w:tcW w:w="898" w:type="dxa"/>
            <w:vAlign w:val="center"/>
          </w:tcPr>
          <w:p w14:paraId="2DBFDEB5">
            <w:pPr>
              <w:pStyle w:val="299"/>
              <w:jc w:val="center"/>
              <w:rPr>
                <w:rFonts w:asciiTheme="minorEastAsia" w:hAnsiTheme="minorEastAsia" w:eastAsiaTheme="minorEastAsia"/>
                <w:color w:val="auto"/>
                <w:szCs w:val="21"/>
                <w:highlight w:val="none"/>
              </w:rPr>
            </w:pPr>
          </w:p>
        </w:tc>
        <w:tc>
          <w:tcPr>
            <w:tcW w:w="770" w:type="dxa"/>
            <w:tcMar>
              <w:top w:w="0" w:type="dxa"/>
              <w:left w:w="108" w:type="dxa"/>
              <w:bottom w:w="0" w:type="dxa"/>
              <w:right w:w="108" w:type="dxa"/>
            </w:tcMar>
            <w:vAlign w:val="center"/>
          </w:tcPr>
          <w:p w14:paraId="3D9B9367">
            <w:pPr>
              <w:pStyle w:val="299"/>
              <w:jc w:val="center"/>
              <w:rPr>
                <w:rFonts w:asciiTheme="minorEastAsia" w:hAnsiTheme="minorEastAsia" w:eastAsiaTheme="minorEastAsia"/>
                <w:color w:val="auto"/>
                <w:szCs w:val="21"/>
                <w:highlight w:val="none"/>
              </w:rPr>
            </w:pPr>
          </w:p>
        </w:tc>
        <w:tc>
          <w:tcPr>
            <w:tcW w:w="898" w:type="dxa"/>
            <w:vAlign w:val="center"/>
          </w:tcPr>
          <w:p w14:paraId="756C287E">
            <w:pPr>
              <w:pStyle w:val="299"/>
              <w:jc w:val="center"/>
              <w:rPr>
                <w:rFonts w:asciiTheme="minorEastAsia" w:hAnsiTheme="minorEastAsia" w:eastAsiaTheme="minorEastAsia"/>
                <w:color w:val="auto"/>
                <w:szCs w:val="21"/>
                <w:highlight w:val="none"/>
              </w:rPr>
            </w:pPr>
          </w:p>
        </w:tc>
        <w:tc>
          <w:tcPr>
            <w:tcW w:w="898" w:type="dxa"/>
            <w:vAlign w:val="center"/>
          </w:tcPr>
          <w:p w14:paraId="557F7D3B">
            <w:pPr>
              <w:pStyle w:val="299"/>
              <w:jc w:val="center"/>
              <w:rPr>
                <w:rFonts w:asciiTheme="minorEastAsia" w:hAnsiTheme="minorEastAsia" w:eastAsiaTheme="minorEastAsia"/>
                <w:color w:val="auto"/>
                <w:szCs w:val="21"/>
                <w:highlight w:val="none"/>
              </w:rPr>
            </w:pPr>
          </w:p>
        </w:tc>
        <w:tc>
          <w:tcPr>
            <w:tcW w:w="642" w:type="dxa"/>
            <w:vAlign w:val="center"/>
          </w:tcPr>
          <w:p w14:paraId="3D00CD90">
            <w:pPr>
              <w:pStyle w:val="299"/>
              <w:jc w:val="center"/>
              <w:rPr>
                <w:rFonts w:asciiTheme="minorEastAsia" w:hAnsiTheme="minorEastAsia" w:eastAsiaTheme="minorEastAsia"/>
                <w:color w:val="auto"/>
                <w:szCs w:val="21"/>
                <w:highlight w:val="none"/>
              </w:rPr>
            </w:pPr>
          </w:p>
        </w:tc>
        <w:tc>
          <w:tcPr>
            <w:tcW w:w="642" w:type="dxa"/>
            <w:vAlign w:val="center"/>
          </w:tcPr>
          <w:p w14:paraId="12D30D6E">
            <w:pPr>
              <w:pStyle w:val="299"/>
              <w:jc w:val="center"/>
              <w:rPr>
                <w:rFonts w:asciiTheme="minorEastAsia" w:hAnsiTheme="minorEastAsia" w:eastAsiaTheme="minorEastAsia"/>
                <w:color w:val="auto"/>
                <w:szCs w:val="21"/>
                <w:highlight w:val="none"/>
              </w:rPr>
            </w:pPr>
          </w:p>
        </w:tc>
        <w:tc>
          <w:tcPr>
            <w:tcW w:w="1027" w:type="dxa"/>
            <w:vAlign w:val="center"/>
          </w:tcPr>
          <w:p w14:paraId="1D50D5A9">
            <w:pPr>
              <w:pStyle w:val="299"/>
              <w:jc w:val="center"/>
              <w:rPr>
                <w:rFonts w:asciiTheme="minorEastAsia" w:hAnsiTheme="minorEastAsia" w:eastAsiaTheme="minorEastAsia"/>
                <w:color w:val="auto"/>
                <w:szCs w:val="21"/>
                <w:highlight w:val="none"/>
              </w:rPr>
            </w:pPr>
          </w:p>
        </w:tc>
        <w:tc>
          <w:tcPr>
            <w:tcW w:w="773" w:type="dxa"/>
            <w:vAlign w:val="center"/>
          </w:tcPr>
          <w:p w14:paraId="0335E031">
            <w:pPr>
              <w:pStyle w:val="299"/>
              <w:jc w:val="center"/>
              <w:rPr>
                <w:rFonts w:asciiTheme="minorEastAsia" w:hAnsiTheme="minorEastAsia" w:eastAsiaTheme="minorEastAsia"/>
                <w:color w:val="auto"/>
                <w:szCs w:val="21"/>
                <w:highlight w:val="none"/>
              </w:rPr>
            </w:pPr>
          </w:p>
        </w:tc>
        <w:tc>
          <w:tcPr>
            <w:tcW w:w="876" w:type="dxa"/>
            <w:vAlign w:val="center"/>
          </w:tcPr>
          <w:p w14:paraId="1A99C5F8">
            <w:pPr>
              <w:pStyle w:val="299"/>
              <w:jc w:val="center"/>
              <w:rPr>
                <w:rFonts w:asciiTheme="minorEastAsia" w:hAnsiTheme="minorEastAsia" w:eastAsiaTheme="minorEastAsia"/>
                <w:color w:val="auto"/>
                <w:szCs w:val="21"/>
                <w:highlight w:val="none"/>
              </w:rPr>
            </w:pPr>
          </w:p>
        </w:tc>
        <w:tc>
          <w:tcPr>
            <w:tcW w:w="1003" w:type="dxa"/>
            <w:tcMar>
              <w:top w:w="0" w:type="dxa"/>
              <w:left w:w="108" w:type="dxa"/>
              <w:bottom w:w="0" w:type="dxa"/>
              <w:right w:w="108" w:type="dxa"/>
            </w:tcMar>
            <w:vAlign w:val="center"/>
          </w:tcPr>
          <w:p w14:paraId="1EE0B1D6">
            <w:pPr>
              <w:pStyle w:val="299"/>
              <w:jc w:val="center"/>
              <w:rPr>
                <w:rFonts w:asciiTheme="minorEastAsia" w:hAnsiTheme="minorEastAsia" w:eastAsiaTheme="minorEastAsia"/>
                <w:color w:val="auto"/>
                <w:szCs w:val="21"/>
                <w:highlight w:val="none"/>
              </w:rPr>
            </w:pPr>
          </w:p>
        </w:tc>
        <w:tc>
          <w:tcPr>
            <w:tcW w:w="1185" w:type="dxa"/>
            <w:vAlign w:val="center"/>
          </w:tcPr>
          <w:p w14:paraId="15339769">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C5.1</w:t>
            </w:r>
          </w:p>
        </w:tc>
      </w:tr>
      <w:tr w14:paraId="222BD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14:paraId="39562F64">
            <w:pPr>
              <w:pStyle w:val="299"/>
              <w:jc w:val="center"/>
              <w:rPr>
                <w:rFonts w:hint="default" w:asciiTheme="minorEastAsia" w:hAnsiTheme="minorEastAsia" w:eastAsiaTheme="minorEastAsia"/>
                <w:color w:val="auto"/>
                <w:szCs w:val="21"/>
                <w:highlight w:val="none"/>
                <w:lang w:val="en-US" w:eastAsia="zh-CN"/>
              </w:rPr>
            </w:pPr>
          </w:p>
        </w:tc>
        <w:tc>
          <w:tcPr>
            <w:tcW w:w="638" w:type="dxa"/>
            <w:tcMar>
              <w:top w:w="0" w:type="dxa"/>
              <w:left w:w="108" w:type="dxa"/>
              <w:bottom w:w="0" w:type="dxa"/>
              <w:right w:w="108" w:type="dxa"/>
            </w:tcMar>
            <w:vAlign w:val="center"/>
          </w:tcPr>
          <w:p w14:paraId="55A28FB9">
            <w:pPr>
              <w:pStyle w:val="299"/>
              <w:jc w:val="center"/>
              <w:rPr>
                <w:rFonts w:asciiTheme="minorEastAsia" w:hAnsiTheme="minorEastAsia" w:eastAsiaTheme="minorEastAsia"/>
                <w:color w:val="auto"/>
                <w:szCs w:val="21"/>
                <w:highlight w:val="none"/>
              </w:rPr>
            </w:pPr>
          </w:p>
        </w:tc>
        <w:tc>
          <w:tcPr>
            <w:tcW w:w="1194" w:type="dxa"/>
            <w:tcMar>
              <w:top w:w="0" w:type="dxa"/>
              <w:left w:w="108" w:type="dxa"/>
              <w:bottom w:w="0" w:type="dxa"/>
              <w:right w:w="108" w:type="dxa"/>
            </w:tcMar>
            <w:vAlign w:val="center"/>
          </w:tcPr>
          <w:p w14:paraId="26A1A950">
            <w:pPr>
              <w:pStyle w:val="299"/>
              <w:jc w:val="center"/>
              <w:rPr>
                <w:rFonts w:asciiTheme="minorEastAsia" w:hAnsiTheme="minorEastAsia" w:eastAsiaTheme="minorEastAsia"/>
                <w:color w:val="auto"/>
                <w:szCs w:val="21"/>
                <w:highlight w:val="none"/>
              </w:rPr>
            </w:pPr>
          </w:p>
        </w:tc>
        <w:tc>
          <w:tcPr>
            <w:tcW w:w="536" w:type="dxa"/>
          </w:tcPr>
          <w:p w14:paraId="5344E7BE">
            <w:pPr>
              <w:pStyle w:val="299"/>
              <w:jc w:val="center"/>
              <w:rPr>
                <w:rFonts w:asciiTheme="minorEastAsia" w:hAnsiTheme="minorEastAsia" w:eastAsiaTheme="minorEastAsia"/>
                <w:color w:val="auto"/>
                <w:szCs w:val="21"/>
                <w:highlight w:val="none"/>
              </w:rPr>
            </w:pPr>
          </w:p>
        </w:tc>
        <w:tc>
          <w:tcPr>
            <w:tcW w:w="1111" w:type="dxa"/>
            <w:tcMar>
              <w:top w:w="0" w:type="dxa"/>
              <w:left w:w="108" w:type="dxa"/>
              <w:bottom w:w="0" w:type="dxa"/>
              <w:right w:w="108" w:type="dxa"/>
            </w:tcMar>
            <w:vAlign w:val="center"/>
          </w:tcPr>
          <w:p w14:paraId="14615070">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2A610069">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606" w:type="dxa"/>
            <w:tcMar>
              <w:top w:w="0" w:type="dxa"/>
              <w:left w:w="108" w:type="dxa"/>
              <w:bottom w:w="0" w:type="dxa"/>
              <w:right w:w="108" w:type="dxa"/>
            </w:tcMar>
            <w:vAlign w:val="center"/>
          </w:tcPr>
          <w:p w14:paraId="487CBCF4">
            <w:pPr>
              <w:pStyle w:val="299"/>
              <w:jc w:val="center"/>
              <w:rPr>
                <w:rFonts w:asciiTheme="minorEastAsia" w:hAnsiTheme="minorEastAsia" w:eastAsiaTheme="minorEastAsia"/>
                <w:color w:val="auto"/>
                <w:szCs w:val="21"/>
                <w:highlight w:val="none"/>
              </w:rPr>
            </w:pPr>
          </w:p>
        </w:tc>
        <w:tc>
          <w:tcPr>
            <w:tcW w:w="898" w:type="dxa"/>
            <w:vAlign w:val="center"/>
          </w:tcPr>
          <w:p w14:paraId="7EA54515">
            <w:pPr>
              <w:pStyle w:val="299"/>
              <w:jc w:val="center"/>
              <w:rPr>
                <w:rFonts w:asciiTheme="minorEastAsia" w:hAnsiTheme="minorEastAsia" w:eastAsiaTheme="minorEastAsia"/>
                <w:color w:val="auto"/>
                <w:szCs w:val="21"/>
                <w:highlight w:val="none"/>
              </w:rPr>
            </w:pPr>
          </w:p>
        </w:tc>
        <w:tc>
          <w:tcPr>
            <w:tcW w:w="770" w:type="dxa"/>
            <w:tcMar>
              <w:top w:w="0" w:type="dxa"/>
              <w:left w:w="108" w:type="dxa"/>
              <w:bottom w:w="0" w:type="dxa"/>
              <w:right w:w="108" w:type="dxa"/>
            </w:tcMar>
            <w:vAlign w:val="center"/>
          </w:tcPr>
          <w:p w14:paraId="00F0EC0D">
            <w:pPr>
              <w:pStyle w:val="299"/>
              <w:jc w:val="center"/>
              <w:rPr>
                <w:rFonts w:asciiTheme="minorEastAsia" w:hAnsiTheme="minorEastAsia" w:eastAsiaTheme="minorEastAsia"/>
                <w:color w:val="auto"/>
                <w:szCs w:val="21"/>
                <w:highlight w:val="none"/>
              </w:rPr>
            </w:pPr>
          </w:p>
        </w:tc>
        <w:tc>
          <w:tcPr>
            <w:tcW w:w="898" w:type="dxa"/>
            <w:vAlign w:val="center"/>
          </w:tcPr>
          <w:p w14:paraId="331F0AFB">
            <w:pPr>
              <w:pStyle w:val="299"/>
              <w:jc w:val="center"/>
              <w:rPr>
                <w:rFonts w:asciiTheme="minorEastAsia" w:hAnsiTheme="minorEastAsia" w:eastAsiaTheme="minorEastAsia"/>
                <w:color w:val="auto"/>
                <w:szCs w:val="21"/>
                <w:highlight w:val="none"/>
              </w:rPr>
            </w:pPr>
          </w:p>
        </w:tc>
        <w:tc>
          <w:tcPr>
            <w:tcW w:w="898" w:type="dxa"/>
            <w:vAlign w:val="center"/>
          </w:tcPr>
          <w:p w14:paraId="655B9C8D">
            <w:pPr>
              <w:pStyle w:val="299"/>
              <w:jc w:val="center"/>
              <w:rPr>
                <w:rFonts w:asciiTheme="minorEastAsia" w:hAnsiTheme="minorEastAsia" w:eastAsiaTheme="minorEastAsia"/>
                <w:color w:val="auto"/>
                <w:szCs w:val="21"/>
                <w:highlight w:val="none"/>
              </w:rPr>
            </w:pPr>
          </w:p>
        </w:tc>
        <w:tc>
          <w:tcPr>
            <w:tcW w:w="642" w:type="dxa"/>
            <w:vAlign w:val="center"/>
          </w:tcPr>
          <w:p w14:paraId="18EF47A6">
            <w:pPr>
              <w:pStyle w:val="299"/>
              <w:jc w:val="center"/>
              <w:rPr>
                <w:rFonts w:asciiTheme="minorEastAsia" w:hAnsiTheme="minorEastAsia" w:eastAsiaTheme="minorEastAsia"/>
                <w:color w:val="auto"/>
                <w:szCs w:val="21"/>
                <w:highlight w:val="none"/>
              </w:rPr>
            </w:pPr>
          </w:p>
        </w:tc>
        <w:tc>
          <w:tcPr>
            <w:tcW w:w="642" w:type="dxa"/>
            <w:vAlign w:val="center"/>
          </w:tcPr>
          <w:p w14:paraId="79643794">
            <w:pPr>
              <w:pStyle w:val="299"/>
              <w:jc w:val="center"/>
              <w:rPr>
                <w:rFonts w:asciiTheme="minorEastAsia" w:hAnsiTheme="minorEastAsia" w:eastAsiaTheme="minorEastAsia"/>
                <w:color w:val="auto"/>
                <w:szCs w:val="21"/>
                <w:highlight w:val="none"/>
              </w:rPr>
            </w:pPr>
          </w:p>
        </w:tc>
        <w:tc>
          <w:tcPr>
            <w:tcW w:w="1027" w:type="dxa"/>
            <w:vAlign w:val="center"/>
          </w:tcPr>
          <w:p w14:paraId="2C3B23B5">
            <w:pPr>
              <w:pStyle w:val="299"/>
              <w:jc w:val="center"/>
              <w:rPr>
                <w:rFonts w:asciiTheme="minorEastAsia" w:hAnsiTheme="minorEastAsia" w:eastAsiaTheme="minorEastAsia"/>
                <w:color w:val="auto"/>
                <w:szCs w:val="21"/>
                <w:highlight w:val="none"/>
              </w:rPr>
            </w:pPr>
          </w:p>
        </w:tc>
        <w:tc>
          <w:tcPr>
            <w:tcW w:w="773" w:type="dxa"/>
            <w:vAlign w:val="center"/>
          </w:tcPr>
          <w:p w14:paraId="151C39A2">
            <w:pPr>
              <w:pStyle w:val="299"/>
              <w:jc w:val="center"/>
              <w:rPr>
                <w:rFonts w:asciiTheme="minorEastAsia" w:hAnsiTheme="minorEastAsia" w:eastAsiaTheme="minorEastAsia"/>
                <w:color w:val="auto"/>
                <w:szCs w:val="21"/>
                <w:highlight w:val="none"/>
              </w:rPr>
            </w:pPr>
          </w:p>
        </w:tc>
        <w:tc>
          <w:tcPr>
            <w:tcW w:w="876" w:type="dxa"/>
            <w:vAlign w:val="center"/>
          </w:tcPr>
          <w:p w14:paraId="0AC0FBDA">
            <w:pPr>
              <w:pStyle w:val="299"/>
              <w:jc w:val="center"/>
              <w:rPr>
                <w:rFonts w:asciiTheme="minorEastAsia" w:hAnsiTheme="minorEastAsia" w:eastAsiaTheme="minorEastAsia"/>
                <w:color w:val="auto"/>
                <w:szCs w:val="21"/>
                <w:highlight w:val="none"/>
              </w:rPr>
            </w:pPr>
          </w:p>
        </w:tc>
        <w:tc>
          <w:tcPr>
            <w:tcW w:w="1003" w:type="dxa"/>
            <w:tcMar>
              <w:top w:w="0" w:type="dxa"/>
              <w:left w:w="108" w:type="dxa"/>
              <w:bottom w:w="0" w:type="dxa"/>
              <w:right w:w="108" w:type="dxa"/>
            </w:tcMar>
            <w:vAlign w:val="center"/>
          </w:tcPr>
          <w:p w14:paraId="72D9CC52">
            <w:pPr>
              <w:pStyle w:val="299"/>
              <w:jc w:val="center"/>
              <w:rPr>
                <w:rFonts w:asciiTheme="minorEastAsia" w:hAnsiTheme="minorEastAsia" w:eastAsiaTheme="minorEastAsia"/>
                <w:color w:val="auto"/>
                <w:szCs w:val="21"/>
                <w:highlight w:val="none"/>
              </w:rPr>
            </w:pPr>
          </w:p>
        </w:tc>
        <w:tc>
          <w:tcPr>
            <w:tcW w:w="1185" w:type="dxa"/>
            <w:vAlign w:val="center"/>
          </w:tcPr>
          <w:p w14:paraId="048113E3">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C5.2</w:t>
            </w:r>
          </w:p>
        </w:tc>
      </w:tr>
      <w:tr w14:paraId="74B15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14:paraId="7DCC5E25">
            <w:pPr>
              <w:pStyle w:val="299"/>
              <w:jc w:val="center"/>
              <w:rPr>
                <w:rFonts w:hint="default" w:asciiTheme="minorEastAsia" w:hAnsiTheme="minorEastAsia" w:eastAsiaTheme="minorEastAsia"/>
                <w:color w:val="auto"/>
                <w:szCs w:val="21"/>
                <w:highlight w:val="none"/>
                <w:lang w:val="en-US" w:eastAsia="zh-CN"/>
              </w:rPr>
            </w:pPr>
          </w:p>
        </w:tc>
        <w:tc>
          <w:tcPr>
            <w:tcW w:w="638" w:type="dxa"/>
            <w:tcMar>
              <w:top w:w="0" w:type="dxa"/>
              <w:left w:w="108" w:type="dxa"/>
              <w:bottom w:w="0" w:type="dxa"/>
              <w:right w:w="108" w:type="dxa"/>
            </w:tcMar>
            <w:vAlign w:val="center"/>
          </w:tcPr>
          <w:p w14:paraId="1CB5C714">
            <w:pPr>
              <w:pStyle w:val="299"/>
              <w:jc w:val="center"/>
              <w:rPr>
                <w:rFonts w:asciiTheme="minorEastAsia" w:hAnsiTheme="minorEastAsia" w:eastAsiaTheme="minorEastAsia"/>
                <w:color w:val="auto"/>
                <w:szCs w:val="21"/>
                <w:highlight w:val="none"/>
              </w:rPr>
            </w:pPr>
          </w:p>
        </w:tc>
        <w:tc>
          <w:tcPr>
            <w:tcW w:w="1194" w:type="dxa"/>
            <w:tcMar>
              <w:top w:w="0" w:type="dxa"/>
              <w:left w:w="108" w:type="dxa"/>
              <w:bottom w:w="0" w:type="dxa"/>
              <w:right w:w="108" w:type="dxa"/>
            </w:tcMar>
            <w:vAlign w:val="center"/>
          </w:tcPr>
          <w:p w14:paraId="13EE7936">
            <w:pPr>
              <w:pStyle w:val="299"/>
              <w:jc w:val="center"/>
              <w:rPr>
                <w:rFonts w:asciiTheme="minorEastAsia" w:hAnsiTheme="minorEastAsia" w:eastAsiaTheme="minorEastAsia"/>
                <w:color w:val="auto"/>
                <w:szCs w:val="21"/>
                <w:highlight w:val="none"/>
              </w:rPr>
            </w:pPr>
          </w:p>
        </w:tc>
        <w:tc>
          <w:tcPr>
            <w:tcW w:w="536" w:type="dxa"/>
          </w:tcPr>
          <w:p w14:paraId="6F4F978D">
            <w:pPr>
              <w:pStyle w:val="299"/>
              <w:jc w:val="center"/>
              <w:rPr>
                <w:rFonts w:asciiTheme="minorEastAsia" w:hAnsiTheme="minorEastAsia" w:eastAsiaTheme="minorEastAsia"/>
                <w:color w:val="auto"/>
                <w:szCs w:val="21"/>
                <w:highlight w:val="none"/>
              </w:rPr>
            </w:pPr>
          </w:p>
        </w:tc>
        <w:tc>
          <w:tcPr>
            <w:tcW w:w="1111" w:type="dxa"/>
            <w:tcMar>
              <w:top w:w="0" w:type="dxa"/>
              <w:left w:w="108" w:type="dxa"/>
              <w:bottom w:w="0" w:type="dxa"/>
              <w:right w:w="108" w:type="dxa"/>
            </w:tcMar>
            <w:vAlign w:val="center"/>
          </w:tcPr>
          <w:p w14:paraId="26C4C6D5">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2462B088">
            <w:pPr>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606" w:type="dxa"/>
            <w:tcMar>
              <w:top w:w="0" w:type="dxa"/>
              <w:left w:w="108" w:type="dxa"/>
              <w:bottom w:w="0" w:type="dxa"/>
              <w:right w:w="108" w:type="dxa"/>
            </w:tcMar>
            <w:vAlign w:val="center"/>
          </w:tcPr>
          <w:p w14:paraId="09AB054C">
            <w:pPr>
              <w:pStyle w:val="299"/>
              <w:jc w:val="center"/>
              <w:rPr>
                <w:rFonts w:asciiTheme="minorEastAsia" w:hAnsiTheme="minorEastAsia" w:eastAsiaTheme="minorEastAsia"/>
                <w:color w:val="auto"/>
                <w:szCs w:val="21"/>
                <w:highlight w:val="none"/>
              </w:rPr>
            </w:pPr>
          </w:p>
        </w:tc>
        <w:tc>
          <w:tcPr>
            <w:tcW w:w="898" w:type="dxa"/>
            <w:vAlign w:val="center"/>
          </w:tcPr>
          <w:p w14:paraId="36803447">
            <w:pPr>
              <w:pStyle w:val="299"/>
              <w:jc w:val="center"/>
              <w:rPr>
                <w:rFonts w:asciiTheme="minorEastAsia" w:hAnsiTheme="minorEastAsia" w:eastAsiaTheme="minorEastAsia"/>
                <w:color w:val="auto"/>
                <w:szCs w:val="21"/>
                <w:highlight w:val="none"/>
              </w:rPr>
            </w:pPr>
          </w:p>
        </w:tc>
        <w:tc>
          <w:tcPr>
            <w:tcW w:w="770" w:type="dxa"/>
            <w:tcMar>
              <w:top w:w="0" w:type="dxa"/>
              <w:left w:w="108" w:type="dxa"/>
              <w:bottom w:w="0" w:type="dxa"/>
              <w:right w:w="108" w:type="dxa"/>
            </w:tcMar>
            <w:vAlign w:val="center"/>
          </w:tcPr>
          <w:p w14:paraId="527B9D7D">
            <w:pPr>
              <w:pStyle w:val="299"/>
              <w:jc w:val="center"/>
              <w:rPr>
                <w:rFonts w:asciiTheme="minorEastAsia" w:hAnsiTheme="minorEastAsia" w:eastAsiaTheme="minorEastAsia"/>
                <w:color w:val="auto"/>
                <w:szCs w:val="21"/>
                <w:highlight w:val="none"/>
              </w:rPr>
            </w:pPr>
          </w:p>
        </w:tc>
        <w:tc>
          <w:tcPr>
            <w:tcW w:w="898" w:type="dxa"/>
            <w:vAlign w:val="center"/>
          </w:tcPr>
          <w:p w14:paraId="5B2AE47A">
            <w:pPr>
              <w:pStyle w:val="299"/>
              <w:jc w:val="center"/>
              <w:rPr>
                <w:rFonts w:asciiTheme="minorEastAsia" w:hAnsiTheme="minorEastAsia" w:eastAsiaTheme="minorEastAsia"/>
                <w:color w:val="auto"/>
                <w:szCs w:val="21"/>
                <w:highlight w:val="none"/>
              </w:rPr>
            </w:pPr>
          </w:p>
        </w:tc>
        <w:tc>
          <w:tcPr>
            <w:tcW w:w="898" w:type="dxa"/>
            <w:vAlign w:val="center"/>
          </w:tcPr>
          <w:p w14:paraId="7A254DFB">
            <w:pPr>
              <w:pStyle w:val="299"/>
              <w:jc w:val="center"/>
              <w:rPr>
                <w:rFonts w:asciiTheme="minorEastAsia" w:hAnsiTheme="minorEastAsia" w:eastAsiaTheme="minorEastAsia"/>
                <w:color w:val="auto"/>
                <w:szCs w:val="21"/>
                <w:highlight w:val="none"/>
              </w:rPr>
            </w:pPr>
          </w:p>
        </w:tc>
        <w:tc>
          <w:tcPr>
            <w:tcW w:w="642" w:type="dxa"/>
            <w:vAlign w:val="center"/>
          </w:tcPr>
          <w:p w14:paraId="4390F5CB">
            <w:pPr>
              <w:pStyle w:val="299"/>
              <w:jc w:val="center"/>
              <w:rPr>
                <w:rFonts w:asciiTheme="minorEastAsia" w:hAnsiTheme="minorEastAsia" w:eastAsiaTheme="minorEastAsia"/>
                <w:color w:val="auto"/>
                <w:szCs w:val="21"/>
                <w:highlight w:val="none"/>
              </w:rPr>
            </w:pPr>
          </w:p>
        </w:tc>
        <w:tc>
          <w:tcPr>
            <w:tcW w:w="642" w:type="dxa"/>
            <w:vAlign w:val="center"/>
          </w:tcPr>
          <w:p w14:paraId="6F5A2137">
            <w:pPr>
              <w:pStyle w:val="299"/>
              <w:jc w:val="center"/>
              <w:rPr>
                <w:rFonts w:asciiTheme="minorEastAsia" w:hAnsiTheme="minorEastAsia" w:eastAsiaTheme="minorEastAsia"/>
                <w:color w:val="auto"/>
                <w:szCs w:val="21"/>
                <w:highlight w:val="none"/>
              </w:rPr>
            </w:pPr>
          </w:p>
        </w:tc>
        <w:tc>
          <w:tcPr>
            <w:tcW w:w="1027" w:type="dxa"/>
            <w:vAlign w:val="center"/>
          </w:tcPr>
          <w:p w14:paraId="0B18D1B5">
            <w:pPr>
              <w:pStyle w:val="299"/>
              <w:jc w:val="center"/>
              <w:rPr>
                <w:rFonts w:asciiTheme="minorEastAsia" w:hAnsiTheme="minorEastAsia" w:eastAsiaTheme="minorEastAsia"/>
                <w:color w:val="auto"/>
                <w:szCs w:val="21"/>
                <w:highlight w:val="none"/>
              </w:rPr>
            </w:pPr>
          </w:p>
        </w:tc>
        <w:tc>
          <w:tcPr>
            <w:tcW w:w="773" w:type="dxa"/>
            <w:vAlign w:val="center"/>
          </w:tcPr>
          <w:p w14:paraId="34CC2A01">
            <w:pPr>
              <w:pStyle w:val="299"/>
              <w:jc w:val="center"/>
              <w:rPr>
                <w:rFonts w:asciiTheme="minorEastAsia" w:hAnsiTheme="minorEastAsia" w:eastAsiaTheme="minorEastAsia"/>
                <w:color w:val="auto"/>
                <w:szCs w:val="21"/>
                <w:highlight w:val="none"/>
              </w:rPr>
            </w:pPr>
          </w:p>
        </w:tc>
        <w:tc>
          <w:tcPr>
            <w:tcW w:w="876" w:type="dxa"/>
            <w:vAlign w:val="center"/>
          </w:tcPr>
          <w:p w14:paraId="691C6261">
            <w:pPr>
              <w:pStyle w:val="299"/>
              <w:jc w:val="center"/>
              <w:rPr>
                <w:rFonts w:asciiTheme="minorEastAsia" w:hAnsiTheme="minorEastAsia" w:eastAsiaTheme="minorEastAsia"/>
                <w:color w:val="auto"/>
                <w:szCs w:val="21"/>
                <w:highlight w:val="none"/>
              </w:rPr>
            </w:pPr>
          </w:p>
        </w:tc>
        <w:tc>
          <w:tcPr>
            <w:tcW w:w="1003" w:type="dxa"/>
            <w:tcMar>
              <w:top w:w="0" w:type="dxa"/>
              <w:left w:w="108" w:type="dxa"/>
              <w:bottom w:w="0" w:type="dxa"/>
              <w:right w:w="108" w:type="dxa"/>
            </w:tcMar>
            <w:vAlign w:val="center"/>
          </w:tcPr>
          <w:p w14:paraId="7ED4DC0F">
            <w:pPr>
              <w:pStyle w:val="299"/>
              <w:jc w:val="center"/>
              <w:rPr>
                <w:rFonts w:asciiTheme="minorEastAsia" w:hAnsiTheme="minorEastAsia" w:eastAsiaTheme="minorEastAsia"/>
                <w:color w:val="auto"/>
                <w:szCs w:val="21"/>
                <w:highlight w:val="none"/>
              </w:rPr>
            </w:pPr>
          </w:p>
        </w:tc>
        <w:tc>
          <w:tcPr>
            <w:tcW w:w="1185" w:type="dxa"/>
            <w:vAlign w:val="center"/>
          </w:tcPr>
          <w:p w14:paraId="2B5EA8EB">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C5.3</w:t>
            </w:r>
          </w:p>
        </w:tc>
      </w:tr>
      <w:tr w14:paraId="44570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76" w:type="dxa"/>
            <w:vAlign w:val="center"/>
          </w:tcPr>
          <w:p w14:paraId="6AC38C9B">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638" w:type="dxa"/>
            <w:tcMar>
              <w:top w:w="0" w:type="dxa"/>
              <w:left w:w="108" w:type="dxa"/>
              <w:bottom w:w="0" w:type="dxa"/>
              <w:right w:w="108" w:type="dxa"/>
            </w:tcMar>
            <w:vAlign w:val="center"/>
          </w:tcPr>
          <w:p w14:paraId="12BBD42E">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194" w:type="dxa"/>
            <w:tcMar>
              <w:top w:w="0" w:type="dxa"/>
              <w:left w:w="108" w:type="dxa"/>
              <w:bottom w:w="0" w:type="dxa"/>
              <w:right w:w="108" w:type="dxa"/>
            </w:tcMar>
            <w:vAlign w:val="center"/>
          </w:tcPr>
          <w:p w14:paraId="461D2966">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536" w:type="dxa"/>
            <w:vAlign w:val="center"/>
          </w:tcPr>
          <w:p w14:paraId="7D7533FA">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111" w:type="dxa"/>
            <w:tcMar>
              <w:top w:w="0" w:type="dxa"/>
              <w:left w:w="108" w:type="dxa"/>
              <w:bottom w:w="0" w:type="dxa"/>
              <w:right w:w="108" w:type="dxa"/>
            </w:tcMar>
            <w:vAlign w:val="center"/>
          </w:tcPr>
          <w:p w14:paraId="36034E38">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w:t>
            </w:r>
          </w:p>
        </w:tc>
        <w:tc>
          <w:tcPr>
            <w:tcW w:w="606" w:type="dxa"/>
            <w:tcMar>
              <w:top w:w="0" w:type="dxa"/>
              <w:left w:w="108" w:type="dxa"/>
              <w:bottom w:w="0" w:type="dxa"/>
              <w:right w:w="108" w:type="dxa"/>
            </w:tcMar>
            <w:vAlign w:val="center"/>
          </w:tcPr>
          <w:p w14:paraId="255D21E7">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898" w:type="dxa"/>
            <w:vAlign w:val="center"/>
          </w:tcPr>
          <w:p w14:paraId="479FFDA9">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770" w:type="dxa"/>
            <w:tcMar>
              <w:top w:w="0" w:type="dxa"/>
              <w:left w:w="108" w:type="dxa"/>
              <w:bottom w:w="0" w:type="dxa"/>
              <w:right w:w="108" w:type="dxa"/>
            </w:tcMar>
            <w:vAlign w:val="center"/>
          </w:tcPr>
          <w:p w14:paraId="458A8E1B">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898" w:type="dxa"/>
            <w:vAlign w:val="center"/>
          </w:tcPr>
          <w:p w14:paraId="6F125FD3">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898" w:type="dxa"/>
            <w:vAlign w:val="center"/>
          </w:tcPr>
          <w:p w14:paraId="408B4689">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642" w:type="dxa"/>
            <w:vAlign w:val="center"/>
          </w:tcPr>
          <w:p w14:paraId="3BCD33F8">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642" w:type="dxa"/>
            <w:vAlign w:val="center"/>
          </w:tcPr>
          <w:p w14:paraId="165C12B6">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027" w:type="dxa"/>
            <w:vAlign w:val="center"/>
          </w:tcPr>
          <w:p w14:paraId="51700D4C">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773" w:type="dxa"/>
            <w:vAlign w:val="center"/>
          </w:tcPr>
          <w:p w14:paraId="16D76B94">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876" w:type="dxa"/>
            <w:vAlign w:val="center"/>
          </w:tcPr>
          <w:p w14:paraId="29A7BA39">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003" w:type="dxa"/>
            <w:tcMar>
              <w:top w:w="0" w:type="dxa"/>
              <w:left w:w="108" w:type="dxa"/>
              <w:bottom w:w="0" w:type="dxa"/>
              <w:right w:w="108" w:type="dxa"/>
            </w:tcMar>
            <w:vAlign w:val="center"/>
          </w:tcPr>
          <w:p w14:paraId="2ADC997F">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185" w:type="dxa"/>
            <w:vAlign w:val="center"/>
          </w:tcPr>
          <w:p w14:paraId="4F918D24">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r>
    </w:tbl>
    <w:p w14:paraId="0F3B1604">
      <w:pPr>
        <w:spacing w:line="360" w:lineRule="auto"/>
        <w:ind w:left="630" w:hanging="630" w:hangingChars="300"/>
        <w:rPr>
          <w:rFonts w:hint="eastAsia" w:ascii="宋体" w:hAnsi="宋体" w:cs="宋体"/>
          <w:color w:val="auto"/>
          <w:spacing w:val="-3"/>
          <w:highlight w:val="none"/>
        </w:rPr>
      </w:pPr>
      <w:r>
        <w:rPr>
          <w:rFonts w:hint="eastAsia" w:ascii="宋体" w:hAnsi="宋体" w:cs="宋体"/>
          <w:color w:val="auto"/>
          <w:highlight w:val="none"/>
        </w:rPr>
        <w:t>注：</w:t>
      </w:r>
      <w:r>
        <w:rPr>
          <w:rFonts w:ascii="宋体" w:hAnsi="宋体" w:cs="宋体"/>
          <w:color w:val="auto"/>
          <w:highlight w:val="none"/>
        </w:rPr>
        <w:t>1.投</w:t>
      </w:r>
      <w:r>
        <w:rPr>
          <w:rFonts w:hint="eastAsia" w:ascii="宋体" w:hAnsi="宋体" w:cs="宋体"/>
          <w:color w:val="auto"/>
          <w:spacing w:val="-3"/>
          <w:szCs w:val="21"/>
          <w:highlight w:val="none"/>
        </w:rPr>
        <w:t>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ascii="宋体" w:hAnsi="宋体" w:cs="宋体"/>
          <w:color w:val="auto"/>
          <w:highlight w:val="none"/>
        </w:rPr>
        <w:t>C5</w:t>
      </w:r>
      <w:r>
        <w:rPr>
          <w:rFonts w:hint="eastAsia" w:ascii="宋体" w:hAnsi="宋体" w:cs="宋体"/>
          <w:color w:val="auto"/>
          <w:highlight w:val="none"/>
        </w:rPr>
        <w:t>系列（交通安全设施工程施工项目业绩）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9"/>
          <w:rFonts w:ascii="宋体" w:hAnsi="宋体" w:cs="宋体"/>
          <w:color w:val="auto"/>
          <w:highlight w:val="none"/>
        </w:rPr>
        <w:footnoteReference w:id="298"/>
      </w:r>
      <w:r>
        <w:rPr>
          <w:rFonts w:hint="eastAsia" w:ascii="宋体" w:hAnsi="宋体" w:cs="宋体"/>
          <w:color w:val="auto"/>
          <w:highlight w:val="none"/>
        </w:rPr>
        <w:t>。</w:t>
      </w:r>
    </w:p>
    <w:p w14:paraId="29461451">
      <w:pPr>
        <w:spacing w:line="360" w:lineRule="auto"/>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r>
        <w:rPr>
          <w:rFonts w:ascii="宋体" w:hAnsi="宋体" w:cs="宋体"/>
          <w:color w:val="auto"/>
          <w:highlight w:val="none"/>
        </w:rPr>
        <w:t xml:space="preserve"> </w:t>
      </w:r>
    </w:p>
    <w:p w14:paraId="23E95DE6">
      <w:pPr>
        <w:pStyle w:val="299"/>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.本表所列合同价格一般为项目结算价格，无结算价格的以签约合同价格为准。</w:t>
      </w:r>
    </w:p>
    <w:p w14:paraId="05047C0E">
      <w:pPr>
        <w:pStyle w:val="299"/>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cs="宋体"/>
          <w:color w:val="auto"/>
          <w:spacing w:val="-3"/>
          <w:kern w:val="2"/>
          <w:sz w:val="21"/>
          <w:szCs w:val="24"/>
          <w:highlight w:val="none"/>
          <w:lang w:val="en-US" w:eastAsia="zh-CN" w:bidi="ar"/>
        </w:rPr>
        <w:t>交通安全设施</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中包含的</w:t>
      </w:r>
      <w:r>
        <w:rPr>
          <w:rFonts w:hint="eastAsia" w:ascii="宋体" w:hAnsi="宋体" w:cs="宋体"/>
          <w:color w:val="auto"/>
          <w:spacing w:val="-3"/>
          <w:kern w:val="2"/>
          <w:sz w:val="21"/>
          <w:szCs w:val="24"/>
          <w:highlight w:val="none"/>
          <w:lang w:val="en-US" w:eastAsia="zh-CN" w:bidi="ar"/>
        </w:rPr>
        <w:t>施工内容</w:t>
      </w:r>
      <w:r>
        <w:rPr>
          <w:rFonts w:hint="eastAsia" w:ascii="宋体" w:hAnsi="宋体" w:eastAsia="宋体" w:cs="宋体"/>
          <w:color w:val="auto"/>
          <w:spacing w:val="-3"/>
          <w:kern w:val="2"/>
          <w:sz w:val="21"/>
          <w:szCs w:val="24"/>
          <w:highlight w:val="none"/>
          <w:lang w:val="en-US" w:eastAsia="zh-CN" w:bidi="ar"/>
        </w:rPr>
        <w:t>或单独</w:t>
      </w:r>
      <w:r>
        <w:rPr>
          <w:rFonts w:hint="eastAsia" w:ascii="宋体" w:hAnsi="宋体" w:cs="宋体"/>
          <w:color w:val="auto"/>
          <w:spacing w:val="-3"/>
          <w:kern w:val="2"/>
          <w:sz w:val="21"/>
          <w:szCs w:val="24"/>
          <w:highlight w:val="none"/>
          <w:lang w:val="en-US" w:eastAsia="zh-CN" w:bidi="ar"/>
        </w:rPr>
        <w:t>交通安全设施工程</w:t>
      </w:r>
      <w:r>
        <w:rPr>
          <w:rFonts w:hint="eastAsia" w:ascii="宋体" w:hAnsi="宋体" w:eastAsia="宋体" w:cs="宋体"/>
          <w:color w:val="auto"/>
          <w:spacing w:val="-3"/>
          <w:kern w:val="2"/>
          <w:sz w:val="21"/>
          <w:szCs w:val="24"/>
          <w:highlight w:val="none"/>
          <w:lang w:val="en-US" w:eastAsia="zh-CN" w:bidi="ar"/>
        </w:rPr>
        <w:t>合同的项目</w:t>
      </w:r>
      <w:r>
        <w:rPr>
          <w:rFonts w:hint="eastAsia" w:ascii="宋体" w:hAnsi="宋体" w:cs="宋体"/>
          <w:color w:val="auto"/>
          <w:spacing w:val="-3"/>
          <w:kern w:val="2"/>
          <w:sz w:val="21"/>
          <w:szCs w:val="24"/>
          <w:highlight w:val="none"/>
          <w:lang w:val="en-US" w:eastAsia="zh-CN" w:bidi="ar"/>
        </w:rPr>
        <w:t>。</w:t>
      </w:r>
    </w:p>
    <w:p w14:paraId="4C042C9D">
      <w:pPr>
        <w:pStyle w:val="299"/>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如近年来，投标人法人机构发生合法变更或重组或法人名称变更时，应提供相关部门的合法批件或其他相关证明材料来证明其所附业绩的继承性。</w:t>
      </w:r>
    </w:p>
    <w:p w14:paraId="52EA1A15">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w:t>
      </w:r>
      <w:r>
        <w:rPr>
          <w:rFonts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5月1日，填写为20</w:t>
      </w:r>
      <w:r>
        <w:rPr>
          <w:rFonts w:hint="eastAsia" w:ascii="宋体" w:hAnsi="宋体"/>
          <w:color w:val="auto"/>
          <w:szCs w:val="21"/>
          <w:highlight w:val="none"/>
          <w:lang w:val="en-US" w:eastAsia="zh-CN"/>
        </w:rPr>
        <w:t>21</w:t>
      </w:r>
      <w:r>
        <w:rPr>
          <w:rFonts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5月，填写为20</w:t>
      </w:r>
      <w:r>
        <w:rPr>
          <w:rFonts w:hint="eastAsia" w:ascii="宋体" w:hAnsi="宋体"/>
          <w:color w:val="auto"/>
          <w:szCs w:val="21"/>
          <w:highlight w:val="none"/>
          <w:lang w:val="en-US" w:eastAsia="zh-CN"/>
        </w:rPr>
        <w:t>21</w:t>
      </w:r>
      <w:r>
        <w:rPr>
          <w:rFonts w:ascii="宋体" w:hAnsi="宋体"/>
          <w:color w:val="auto"/>
          <w:szCs w:val="21"/>
          <w:highlight w:val="none"/>
        </w:rPr>
        <w:t>05。</w:t>
      </w:r>
    </w:p>
    <w:p w14:paraId="3B22F3C6">
      <w:pPr>
        <w:spacing w:line="360" w:lineRule="auto"/>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7</w:t>
      </w:r>
      <w:r>
        <w:rPr>
          <w:rFonts w:ascii="宋体" w:hAnsi="宋体" w:cs="宋体"/>
          <w:color w:val="auto"/>
          <w:highlight w:val="none"/>
        </w:rPr>
        <w:t>.</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highlight w:val="none"/>
        </w:rPr>
        <w:t>以联合体形式投标的，联合体各成员应按照</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前附表附录3</w:t>
      </w:r>
      <w:r>
        <w:rPr>
          <w:rFonts w:hint="eastAsia" w:ascii="宋体" w:hAnsi="宋体" w:cs="宋体"/>
          <w:color w:val="auto"/>
          <w:highlight w:val="none"/>
        </w:rPr>
        <w:t>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bookmarkEnd w:id="931"/>
      <w:r>
        <w:rPr>
          <w:rFonts w:ascii="宋体" w:hAnsi="宋体" w:cs="宋体"/>
          <w:color w:val="auto"/>
          <w:highlight w:val="none"/>
        </w:rPr>
        <w:br w:type="page"/>
      </w:r>
    </w:p>
    <w:p w14:paraId="149FCDE9">
      <w:pPr>
        <w:spacing w:line="360" w:lineRule="auto"/>
        <w:jc w:val="center"/>
        <w:rPr>
          <w:rFonts w:hint="eastAsia" w:ascii="黑体" w:hAnsi="黑体" w:eastAsia="黑体" w:cs="宋体"/>
          <w:color w:val="auto"/>
          <w:sz w:val="24"/>
          <w:highlight w:val="none"/>
          <w:lang w:eastAsia="zh-CN"/>
        </w:rPr>
      </w:pP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b/>
          <w:bCs/>
          <w:color w:val="auto"/>
          <w:sz w:val="24"/>
          <w:highlight w:val="none"/>
        </w:rPr>
        <w:t>□</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近年完成的公路机电工程</w:t>
      </w:r>
      <w:r>
        <w:rPr>
          <w:rFonts w:hint="eastAsia" w:ascii="黑体" w:hAnsi="黑体" w:eastAsia="黑体" w:cs="宋体"/>
          <w:color w:val="auto"/>
          <w:sz w:val="24"/>
          <w:highlight w:val="none"/>
          <w:lang w:eastAsia="zh-CN"/>
        </w:rPr>
        <w:t>（</w:t>
      </w:r>
      <w:r>
        <w:rPr>
          <w:rFonts w:hint="eastAsia" w:ascii="黑体" w:hAnsi="黑体" w:eastAsia="黑体" w:cs="宋体"/>
          <w:color w:val="auto"/>
          <w:sz w:val="24"/>
          <w:highlight w:val="none"/>
          <w:lang w:val="en-US" w:eastAsia="zh-CN"/>
        </w:rPr>
        <w:t>含隧道机电</w:t>
      </w:r>
      <w:r>
        <w:rPr>
          <w:rFonts w:hint="eastAsia" w:ascii="黑体" w:hAnsi="黑体" w:eastAsia="黑体" w:cs="宋体"/>
          <w:color w:val="auto"/>
          <w:sz w:val="24"/>
          <w:highlight w:val="none"/>
          <w:lang w:eastAsia="zh-CN"/>
        </w:rPr>
        <w:t>）</w:t>
      </w:r>
      <w:r>
        <w:rPr>
          <w:rFonts w:hint="eastAsia" w:ascii="黑体" w:hAnsi="黑体" w:eastAsia="黑体" w:cs="宋体"/>
          <w:color w:val="auto"/>
          <w:sz w:val="24"/>
          <w:highlight w:val="none"/>
        </w:rPr>
        <w:t>施工情况</w:t>
      </w:r>
      <w:r>
        <w:rPr>
          <w:rFonts w:hint="eastAsia" w:ascii="黑体" w:hAnsi="黑体" w:eastAsia="黑体" w:cs="宋体"/>
          <w:color w:val="auto"/>
          <w:sz w:val="24"/>
          <w:highlight w:val="none"/>
          <w:lang w:val="en-US" w:eastAsia="zh-CN"/>
        </w:rPr>
        <w:t>表</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表</w:t>
      </w:r>
      <w:r>
        <w:rPr>
          <w:rFonts w:hint="eastAsia" w:ascii="黑体" w:hAnsi="黑体" w:eastAsia="黑体" w:cs="宋体"/>
          <w:color w:val="auto"/>
          <w:sz w:val="24"/>
          <w:highlight w:val="none"/>
          <w:lang w:val="en-US" w:eastAsia="zh-CN"/>
        </w:rPr>
        <w:t>4.6</w:t>
      </w:r>
    </w:p>
    <w:tbl>
      <w:tblPr>
        <w:tblStyle w:val="49"/>
        <w:tblW w:w="139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679"/>
        <w:gridCol w:w="1270"/>
        <w:gridCol w:w="645"/>
        <w:gridCol w:w="1141"/>
        <w:gridCol w:w="764"/>
        <w:gridCol w:w="861"/>
        <w:gridCol w:w="656"/>
        <w:gridCol w:w="936"/>
        <w:gridCol w:w="990"/>
        <w:gridCol w:w="1420"/>
        <w:gridCol w:w="1399"/>
        <w:gridCol w:w="818"/>
        <w:gridCol w:w="871"/>
        <w:gridCol w:w="1062"/>
      </w:tblGrid>
      <w:tr w14:paraId="613DD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00" w:type="dxa"/>
            <w:vMerge w:val="restart"/>
            <w:vAlign w:val="center"/>
          </w:tcPr>
          <w:p w14:paraId="03023A42">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679" w:type="dxa"/>
            <w:vMerge w:val="restart"/>
            <w:tcMar>
              <w:top w:w="0" w:type="dxa"/>
              <w:left w:w="108" w:type="dxa"/>
              <w:bottom w:w="0" w:type="dxa"/>
              <w:right w:w="108" w:type="dxa"/>
            </w:tcMar>
            <w:vAlign w:val="center"/>
          </w:tcPr>
          <w:p w14:paraId="33EA5D20">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p w14:paraId="50A01CE7">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业主</w:t>
            </w:r>
          </w:p>
        </w:tc>
        <w:tc>
          <w:tcPr>
            <w:tcW w:w="1270" w:type="dxa"/>
            <w:vMerge w:val="restart"/>
            <w:tcMar>
              <w:top w:w="0" w:type="dxa"/>
              <w:left w:w="108" w:type="dxa"/>
              <w:bottom w:w="0" w:type="dxa"/>
              <w:right w:w="108" w:type="dxa"/>
            </w:tcMar>
            <w:vAlign w:val="center"/>
          </w:tcPr>
          <w:p w14:paraId="09E5A3EF">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645" w:type="dxa"/>
            <w:vMerge w:val="restart"/>
            <w:tcMar>
              <w:top w:w="0" w:type="dxa"/>
              <w:left w:w="108" w:type="dxa"/>
              <w:bottom w:w="0" w:type="dxa"/>
              <w:right w:w="108" w:type="dxa"/>
            </w:tcMar>
            <w:vAlign w:val="center"/>
          </w:tcPr>
          <w:p w14:paraId="4D8386BC">
            <w:pPr>
              <w:pStyle w:val="299"/>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公路等级</w:t>
            </w:r>
          </w:p>
        </w:tc>
        <w:tc>
          <w:tcPr>
            <w:tcW w:w="1141" w:type="dxa"/>
            <w:vMerge w:val="restart"/>
            <w:tcMar>
              <w:top w:w="0" w:type="dxa"/>
              <w:left w:w="108" w:type="dxa"/>
              <w:bottom w:w="0" w:type="dxa"/>
              <w:right w:w="108" w:type="dxa"/>
            </w:tcMar>
            <w:vAlign w:val="center"/>
          </w:tcPr>
          <w:p w14:paraId="7A7E7831">
            <w:pPr>
              <w:pStyle w:val="299"/>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项目建设形式</w:t>
            </w:r>
          </w:p>
        </w:tc>
        <w:tc>
          <w:tcPr>
            <w:tcW w:w="764" w:type="dxa"/>
            <w:vMerge w:val="restart"/>
            <w:tcMar>
              <w:top w:w="0" w:type="dxa"/>
              <w:left w:w="108" w:type="dxa"/>
              <w:bottom w:w="0" w:type="dxa"/>
              <w:right w:w="108" w:type="dxa"/>
            </w:tcMar>
            <w:vAlign w:val="center"/>
          </w:tcPr>
          <w:p w14:paraId="760EAFF1">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标段号</w:t>
            </w:r>
          </w:p>
        </w:tc>
        <w:tc>
          <w:tcPr>
            <w:tcW w:w="861" w:type="dxa"/>
            <w:vMerge w:val="restart"/>
            <w:vAlign w:val="center"/>
          </w:tcPr>
          <w:p w14:paraId="63B0A1D1">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标段长度</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km）</w:t>
            </w:r>
          </w:p>
        </w:tc>
        <w:tc>
          <w:tcPr>
            <w:tcW w:w="656" w:type="dxa"/>
            <w:vMerge w:val="restart"/>
            <w:tcMar>
              <w:top w:w="0" w:type="dxa"/>
              <w:left w:w="108" w:type="dxa"/>
              <w:bottom w:w="0" w:type="dxa"/>
              <w:right w:w="108" w:type="dxa"/>
            </w:tcMar>
            <w:vAlign w:val="center"/>
          </w:tcPr>
          <w:p w14:paraId="3C64770C">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开工</w:t>
            </w:r>
          </w:p>
          <w:p w14:paraId="7611A674">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p>
        </w:tc>
        <w:tc>
          <w:tcPr>
            <w:tcW w:w="936" w:type="dxa"/>
            <w:vMerge w:val="restart"/>
            <w:vAlign w:val="center"/>
          </w:tcPr>
          <w:p w14:paraId="70DE083B">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完成（交工）日期</w:t>
            </w:r>
          </w:p>
        </w:tc>
        <w:tc>
          <w:tcPr>
            <w:tcW w:w="990" w:type="dxa"/>
            <w:vMerge w:val="restart"/>
            <w:vAlign w:val="center"/>
          </w:tcPr>
          <w:p w14:paraId="54908991">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建设规模</w:t>
            </w:r>
          </w:p>
        </w:tc>
        <w:tc>
          <w:tcPr>
            <w:tcW w:w="1420" w:type="dxa"/>
            <w:vAlign w:val="center"/>
          </w:tcPr>
          <w:p w14:paraId="730CD755">
            <w:pPr>
              <w:pStyle w:val="299"/>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机电</w:t>
            </w:r>
            <w:r>
              <w:rPr>
                <w:rFonts w:hint="eastAsia" w:asciiTheme="minorEastAsia" w:hAnsiTheme="minorEastAsia" w:eastAsiaTheme="minorEastAsia"/>
                <w:color w:val="auto"/>
                <w:szCs w:val="21"/>
                <w:highlight w:val="none"/>
                <w:lang w:val="en-US" w:eastAsia="zh-CN"/>
              </w:rPr>
              <w:t>工程</w:t>
            </w:r>
          </w:p>
        </w:tc>
        <w:tc>
          <w:tcPr>
            <w:tcW w:w="1399" w:type="dxa"/>
            <w:vAlign w:val="center"/>
          </w:tcPr>
          <w:p w14:paraId="00C3DDC7">
            <w:pPr>
              <w:pStyle w:val="299"/>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隧道机电</w:t>
            </w:r>
          </w:p>
        </w:tc>
        <w:tc>
          <w:tcPr>
            <w:tcW w:w="818" w:type="dxa"/>
            <w:vMerge w:val="restart"/>
            <w:vAlign w:val="center"/>
          </w:tcPr>
          <w:p w14:paraId="7FD16A27">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项目经理</w:t>
            </w:r>
          </w:p>
        </w:tc>
        <w:tc>
          <w:tcPr>
            <w:tcW w:w="871" w:type="dxa"/>
            <w:vMerge w:val="restart"/>
            <w:tcMar>
              <w:top w:w="0" w:type="dxa"/>
              <w:left w:w="108" w:type="dxa"/>
              <w:bottom w:w="0" w:type="dxa"/>
              <w:right w:w="108" w:type="dxa"/>
            </w:tcMar>
            <w:vAlign w:val="center"/>
          </w:tcPr>
          <w:p w14:paraId="3A6A197D">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项目总工</w:t>
            </w:r>
          </w:p>
        </w:tc>
        <w:tc>
          <w:tcPr>
            <w:tcW w:w="1062" w:type="dxa"/>
            <w:vMerge w:val="restart"/>
            <w:vAlign w:val="center"/>
          </w:tcPr>
          <w:p w14:paraId="396DE27D">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业绩证明材料附件</w:t>
            </w:r>
          </w:p>
        </w:tc>
      </w:tr>
      <w:tr w14:paraId="67963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400" w:type="dxa"/>
            <w:vMerge w:val="continue"/>
            <w:vAlign w:val="center"/>
          </w:tcPr>
          <w:p w14:paraId="6571C853">
            <w:pPr>
              <w:pStyle w:val="299"/>
              <w:jc w:val="center"/>
              <w:rPr>
                <w:rFonts w:asciiTheme="minorEastAsia" w:hAnsiTheme="minorEastAsia" w:eastAsiaTheme="minorEastAsia"/>
                <w:color w:val="auto"/>
                <w:szCs w:val="21"/>
                <w:highlight w:val="none"/>
              </w:rPr>
            </w:pPr>
          </w:p>
        </w:tc>
        <w:tc>
          <w:tcPr>
            <w:tcW w:w="679" w:type="dxa"/>
            <w:vMerge w:val="continue"/>
            <w:tcMar>
              <w:top w:w="0" w:type="dxa"/>
              <w:left w:w="108" w:type="dxa"/>
              <w:bottom w:w="0" w:type="dxa"/>
              <w:right w:w="108" w:type="dxa"/>
            </w:tcMar>
            <w:vAlign w:val="center"/>
          </w:tcPr>
          <w:p w14:paraId="7F2CE53B">
            <w:pPr>
              <w:pStyle w:val="299"/>
              <w:jc w:val="center"/>
              <w:rPr>
                <w:rFonts w:asciiTheme="minorEastAsia" w:hAnsiTheme="minorEastAsia" w:eastAsiaTheme="minorEastAsia"/>
                <w:color w:val="auto"/>
                <w:szCs w:val="21"/>
                <w:highlight w:val="none"/>
              </w:rPr>
            </w:pPr>
          </w:p>
        </w:tc>
        <w:tc>
          <w:tcPr>
            <w:tcW w:w="1270" w:type="dxa"/>
            <w:vMerge w:val="continue"/>
            <w:tcMar>
              <w:top w:w="0" w:type="dxa"/>
              <w:left w:w="108" w:type="dxa"/>
              <w:bottom w:w="0" w:type="dxa"/>
              <w:right w:w="108" w:type="dxa"/>
            </w:tcMar>
            <w:vAlign w:val="center"/>
          </w:tcPr>
          <w:p w14:paraId="634DA746">
            <w:pPr>
              <w:pStyle w:val="299"/>
              <w:jc w:val="center"/>
              <w:rPr>
                <w:rFonts w:asciiTheme="minorEastAsia" w:hAnsiTheme="minorEastAsia" w:eastAsiaTheme="minorEastAsia"/>
                <w:color w:val="auto"/>
                <w:szCs w:val="21"/>
                <w:highlight w:val="none"/>
              </w:rPr>
            </w:pPr>
          </w:p>
        </w:tc>
        <w:tc>
          <w:tcPr>
            <w:tcW w:w="645" w:type="dxa"/>
            <w:vMerge w:val="continue"/>
            <w:tcMar>
              <w:top w:w="0" w:type="dxa"/>
              <w:left w:w="108" w:type="dxa"/>
              <w:bottom w:w="0" w:type="dxa"/>
              <w:right w:w="108" w:type="dxa"/>
            </w:tcMar>
            <w:vAlign w:val="center"/>
          </w:tcPr>
          <w:p w14:paraId="496E6B43">
            <w:pPr>
              <w:pStyle w:val="299"/>
              <w:jc w:val="center"/>
              <w:rPr>
                <w:rFonts w:asciiTheme="minorEastAsia" w:hAnsiTheme="minorEastAsia" w:eastAsiaTheme="minorEastAsia"/>
                <w:color w:val="auto"/>
                <w:szCs w:val="21"/>
                <w:highlight w:val="none"/>
              </w:rPr>
            </w:pPr>
          </w:p>
        </w:tc>
        <w:tc>
          <w:tcPr>
            <w:tcW w:w="1141" w:type="dxa"/>
            <w:vMerge w:val="continue"/>
            <w:tcMar>
              <w:top w:w="0" w:type="dxa"/>
              <w:left w:w="108" w:type="dxa"/>
              <w:bottom w:w="0" w:type="dxa"/>
              <w:right w:w="108" w:type="dxa"/>
            </w:tcMar>
            <w:vAlign w:val="center"/>
          </w:tcPr>
          <w:p w14:paraId="6CD41F74">
            <w:pPr>
              <w:pStyle w:val="299"/>
              <w:jc w:val="center"/>
              <w:rPr>
                <w:rFonts w:asciiTheme="minorEastAsia" w:hAnsiTheme="minorEastAsia" w:eastAsiaTheme="minorEastAsia"/>
                <w:color w:val="auto"/>
                <w:szCs w:val="21"/>
                <w:highlight w:val="none"/>
              </w:rPr>
            </w:pPr>
          </w:p>
        </w:tc>
        <w:tc>
          <w:tcPr>
            <w:tcW w:w="764" w:type="dxa"/>
            <w:vMerge w:val="continue"/>
            <w:tcMar>
              <w:top w:w="0" w:type="dxa"/>
              <w:left w:w="108" w:type="dxa"/>
              <w:bottom w:w="0" w:type="dxa"/>
              <w:right w:w="108" w:type="dxa"/>
            </w:tcMar>
            <w:vAlign w:val="center"/>
          </w:tcPr>
          <w:p w14:paraId="68E6DBF3">
            <w:pPr>
              <w:pStyle w:val="299"/>
              <w:jc w:val="center"/>
              <w:rPr>
                <w:rFonts w:asciiTheme="minorEastAsia" w:hAnsiTheme="minorEastAsia" w:eastAsiaTheme="minorEastAsia"/>
                <w:color w:val="auto"/>
                <w:szCs w:val="21"/>
                <w:highlight w:val="none"/>
              </w:rPr>
            </w:pPr>
          </w:p>
        </w:tc>
        <w:tc>
          <w:tcPr>
            <w:tcW w:w="861" w:type="dxa"/>
            <w:vMerge w:val="continue"/>
            <w:vAlign w:val="center"/>
          </w:tcPr>
          <w:p w14:paraId="1ED3F261">
            <w:pPr>
              <w:pStyle w:val="299"/>
              <w:jc w:val="center"/>
              <w:rPr>
                <w:rFonts w:asciiTheme="minorEastAsia" w:hAnsiTheme="minorEastAsia" w:eastAsiaTheme="minorEastAsia"/>
                <w:color w:val="auto"/>
                <w:szCs w:val="21"/>
                <w:highlight w:val="none"/>
              </w:rPr>
            </w:pPr>
          </w:p>
        </w:tc>
        <w:tc>
          <w:tcPr>
            <w:tcW w:w="656" w:type="dxa"/>
            <w:vMerge w:val="continue"/>
            <w:tcMar>
              <w:top w:w="0" w:type="dxa"/>
              <w:left w:w="108" w:type="dxa"/>
              <w:bottom w:w="0" w:type="dxa"/>
              <w:right w:w="108" w:type="dxa"/>
            </w:tcMar>
            <w:vAlign w:val="center"/>
          </w:tcPr>
          <w:p w14:paraId="56804359">
            <w:pPr>
              <w:pStyle w:val="299"/>
              <w:jc w:val="center"/>
              <w:rPr>
                <w:rFonts w:asciiTheme="minorEastAsia" w:hAnsiTheme="minorEastAsia" w:eastAsiaTheme="minorEastAsia"/>
                <w:color w:val="auto"/>
                <w:szCs w:val="21"/>
                <w:highlight w:val="none"/>
              </w:rPr>
            </w:pPr>
          </w:p>
        </w:tc>
        <w:tc>
          <w:tcPr>
            <w:tcW w:w="936" w:type="dxa"/>
            <w:vMerge w:val="continue"/>
            <w:vAlign w:val="center"/>
          </w:tcPr>
          <w:p w14:paraId="3ED760B8">
            <w:pPr>
              <w:pStyle w:val="299"/>
              <w:jc w:val="center"/>
              <w:rPr>
                <w:rFonts w:asciiTheme="minorEastAsia" w:hAnsiTheme="minorEastAsia" w:eastAsiaTheme="minorEastAsia"/>
                <w:color w:val="auto"/>
                <w:szCs w:val="21"/>
                <w:highlight w:val="none"/>
              </w:rPr>
            </w:pPr>
          </w:p>
        </w:tc>
        <w:tc>
          <w:tcPr>
            <w:tcW w:w="990" w:type="dxa"/>
            <w:vMerge w:val="continue"/>
          </w:tcPr>
          <w:p w14:paraId="5EF7E68C">
            <w:pPr>
              <w:pStyle w:val="299"/>
              <w:jc w:val="center"/>
              <w:rPr>
                <w:rFonts w:cs="宋体" w:asciiTheme="minorEastAsia" w:hAnsiTheme="minorEastAsia" w:eastAsiaTheme="minorEastAsia"/>
                <w:color w:val="auto"/>
                <w:kern w:val="0"/>
                <w:szCs w:val="21"/>
                <w:highlight w:val="none"/>
              </w:rPr>
            </w:pPr>
          </w:p>
        </w:tc>
        <w:tc>
          <w:tcPr>
            <w:tcW w:w="1420" w:type="dxa"/>
            <w:vAlign w:val="center"/>
          </w:tcPr>
          <w:p w14:paraId="3108DF21">
            <w:pPr>
              <w:pStyle w:val="299"/>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包含的</w:t>
            </w:r>
          </w:p>
          <w:p w14:paraId="626C4607">
            <w:pPr>
              <w:pStyle w:val="299"/>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系统类型及完成长度</w:t>
            </w:r>
            <w:r>
              <w:rPr>
                <w:rFonts w:hint="eastAsia" w:ascii="宋体" w:hAnsi="宋体" w:cs="宋体"/>
                <w:color w:val="auto"/>
                <w:highlight w:val="none"/>
              </w:rPr>
              <w:t>（km）</w:t>
            </w:r>
          </w:p>
        </w:tc>
        <w:tc>
          <w:tcPr>
            <w:tcW w:w="1399" w:type="dxa"/>
            <w:vAlign w:val="center"/>
          </w:tcPr>
          <w:p w14:paraId="28589F81">
            <w:pPr>
              <w:pStyle w:val="299"/>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包含的</w:t>
            </w:r>
          </w:p>
          <w:p w14:paraId="58848A71">
            <w:pPr>
              <w:pStyle w:val="299"/>
              <w:jc w:val="center"/>
              <w:rPr>
                <w:rFonts w:hint="eastAsia" w:ascii="宋体" w:hAnsi="宋体" w:cs="宋体"/>
                <w:color w:val="auto"/>
                <w:highlight w:val="none"/>
              </w:rPr>
            </w:pPr>
            <w:r>
              <w:rPr>
                <w:rFonts w:hint="eastAsia" w:ascii="宋体" w:hAnsi="宋体" w:cs="宋体"/>
                <w:color w:val="auto"/>
                <w:highlight w:val="none"/>
                <w:lang w:val="en-US" w:eastAsia="zh-CN"/>
              </w:rPr>
              <w:t>系统类型及完成长度</w:t>
            </w:r>
            <w:r>
              <w:rPr>
                <w:rFonts w:hint="eastAsia" w:ascii="宋体" w:hAnsi="宋体" w:cs="宋体"/>
                <w:color w:val="auto"/>
                <w:highlight w:val="none"/>
              </w:rPr>
              <w:t>（km）</w:t>
            </w:r>
          </w:p>
        </w:tc>
        <w:tc>
          <w:tcPr>
            <w:tcW w:w="818" w:type="dxa"/>
            <w:vMerge w:val="continue"/>
          </w:tcPr>
          <w:p w14:paraId="74B43639">
            <w:pPr>
              <w:pStyle w:val="299"/>
              <w:jc w:val="center"/>
              <w:rPr>
                <w:rFonts w:asciiTheme="minorEastAsia" w:hAnsiTheme="minorEastAsia" w:eastAsiaTheme="minorEastAsia"/>
                <w:color w:val="auto"/>
                <w:szCs w:val="21"/>
                <w:highlight w:val="none"/>
              </w:rPr>
            </w:pPr>
          </w:p>
        </w:tc>
        <w:tc>
          <w:tcPr>
            <w:tcW w:w="871" w:type="dxa"/>
            <w:vMerge w:val="continue"/>
            <w:tcMar>
              <w:top w:w="0" w:type="dxa"/>
              <w:left w:w="108" w:type="dxa"/>
              <w:bottom w:w="0" w:type="dxa"/>
              <w:right w:w="108" w:type="dxa"/>
            </w:tcMar>
            <w:vAlign w:val="center"/>
          </w:tcPr>
          <w:p w14:paraId="5D4E5F1A">
            <w:pPr>
              <w:pStyle w:val="299"/>
              <w:jc w:val="center"/>
              <w:rPr>
                <w:rFonts w:asciiTheme="minorEastAsia" w:hAnsiTheme="minorEastAsia" w:eastAsiaTheme="minorEastAsia"/>
                <w:color w:val="auto"/>
                <w:szCs w:val="21"/>
                <w:highlight w:val="none"/>
              </w:rPr>
            </w:pPr>
          </w:p>
        </w:tc>
        <w:tc>
          <w:tcPr>
            <w:tcW w:w="1062" w:type="dxa"/>
            <w:vMerge w:val="continue"/>
            <w:vAlign w:val="center"/>
          </w:tcPr>
          <w:p w14:paraId="5D99816D">
            <w:pPr>
              <w:pStyle w:val="299"/>
              <w:jc w:val="center"/>
              <w:rPr>
                <w:rFonts w:asciiTheme="minorEastAsia" w:hAnsiTheme="minorEastAsia" w:eastAsiaTheme="minorEastAsia"/>
                <w:color w:val="auto"/>
                <w:szCs w:val="21"/>
                <w:highlight w:val="none"/>
              </w:rPr>
            </w:pPr>
          </w:p>
        </w:tc>
      </w:tr>
      <w:tr w14:paraId="7EF1C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00" w:type="dxa"/>
            <w:vAlign w:val="center"/>
          </w:tcPr>
          <w:p w14:paraId="405A187F">
            <w:pPr>
              <w:pStyle w:val="299"/>
              <w:jc w:val="center"/>
              <w:rPr>
                <w:rFonts w:asciiTheme="minorEastAsia" w:hAnsiTheme="minorEastAsia" w:eastAsiaTheme="minorEastAsia"/>
                <w:color w:val="auto"/>
                <w:szCs w:val="21"/>
                <w:highlight w:val="none"/>
              </w:rPr>
            </w:pPr>
          </w:p>
        </w:tc>
        <w:tc>
          <w:tcPr>
            <w:tcW w:w="679" w:type="dxa"/>
            <w:tcMar>
              <w:top w:w="0" w:type="dxa"/>
              <w:left w:w="108" w:type="dxa"/>
              <w:bottom w:w="0" w:type="dxa"/>
              <w:right w:w="108" w:type="dxa"/>
            </w:tcMar>
            <w:vAlign w:val="center"/>
          </w:tcPr>
          <w:p w14:paraId="0A9E87C7">
            <w:pPr>
              <w:pStyle w:val="299"/>
              <w:jc w:val="center"/>
              <w:rPr>
                <w:rFonts w:asciiTheme="minorEastAsia" w:hAnsiTheme="minorEastAsia" w:eastAsiaTheme="minorEastAsia"/>
                <w:color w:val="auto"/>
                <w:szCs w:val="21"/>
                <w:highlight w:val="none"/>
              </w:rPr>
            </w:pPr>
          </w:p>
        </w:tc>
        <w:tc>
          <w:tcPr>
            <w:tcW w:w="1270" w:type="dxa"/>
            <w:tcMar>
              <w:top w:w="0" w:type="dxa"/>
              <w:left w:w="108" w:type="dxa"/>
              <w:bottom w:w="0" w:type="dxa"/>
              <w:right w:w="108" w:type="dxa"/>
            </w:tcMar>
            <w:vAlign w:val="center"/>
          </w:tcPr>
          <w:p w14:paraId="79049A17">
            <w:pPr>
              <w:pStyle w:val="299"/>
              <w:jc w:val="center"/>
              <w:rPr>
                <w:rFonts w:asciiTheme="minorEastAsia" w:hAnsiTheme="minorEastAsia" w:eastAsiaTheme="minorEastAsia"/>
                <w:color w:val="auto"/>
                <w:szCs w:val="21"/>
                <w:highlight w:val="none"/>
              </w:rPr>
            </w:pPr>
          </w:p>
        </w:tc>
        <w:tc>
          <w:tcPr>
            <w:tcW w:w="645" w:type="dxa"/>
            <w:tcMar>
              <w:top w:w="0" w:type="dxa"/>
              <w:left w:w="108" w:type="dxa"/>
              <w:bottom w:w="0" w:type="dxa"/>
              <w:right w:w="108" w:type="dxa"/>
            </w:tcMar>
            <w:vAlign w:val="center"/>
          </w:tcPr>
          <w:p w14:paraId="1AB67A7C">
            <w:pPr>
              <w:pStyle w:val="299"/>
              <w:jc w:val="center"/>
              <w:rPr>
                <w:rFonts w:asciiTheme="minorEastAsia" w:hAnsiTheme="minorEastAsia" w:eastAsiaTheme="minorEastAsia"/>
                <w:color w:val="auto"/>
                <w:szCs w:val="21"/>
                <w:highlight w:val="none"/>
              </w:rPr>
            </w:pPr>
          </w:p>
        </w:tc>
        <w:tc>
          <w:tcPr>
            <w:tcW w:w="1141" w:type="dxa"/>
            <w:tcMar>
              <w:top w:w="0" w:type="dxa"/>
              <w:left w:w="108" w:type="dxa"/>
              <w:bottom w:w="0" w:type="dxa"/>
              <w:right w:w="108" w:type="dxa"/>
            </w:tcMar>
            <w:vAlign w:val="center"/>
          </w:tcPr>
          <w:p w14:paraId="276D8D42">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784F1F13">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764" w:type="dxa"/>
            <w:tcMar>
              <w:top w:w="0" w:type="dxa"/>
              <w:left w:w="108" w:type="dxa"/>
              <w:bottom w:w="0" w:type="dxa"/>
              <w:right w:w="108" w:type="dxa"/>
            </w:tcMar>
            <w:vAlign w:val="center"/>
          </w:tcPr>
          <w:p w14:paraId="31EA3824">
            <w:pPr>
              <w:pStyle w:val="299"/>
              <w:jc w:val="center"/>
              <w:rPr>
                <w:rFonts w:asciiTheme="minorEastAsia" w:hAnsiTheme="minorEastAsia" w:eastAsiaTheme="minorEastAsia"/>
                <w:color w:val="auto"/>
                <w:szCs w:val="21"/>
                <w:highlight w:val="none"/>
              </w:rPr>
            </w:pPr>
          </w:p>
        </w:tc>
        <w:tc>
          <w:tcPr>
            <w:tcW w:w="861" w:type="dxa"/>
            <w:vAlign w:val="center"/>
          </w:tcPr>
          <w:p w14:paraId="31DF2AD0">
            <w:pPr>
              <w:pStyle w:val="299"/>
              <w:jc w:val="center"/>
              <w:rPr>
                <w:rFonts w:asciiTheme="minorEastAsia" w:hAnsiTheme="minorEastAsia" w:eastAsiaTheme="minorEastAsia"/>
                <w:color w:val="auto"/>
                <w:szCs w:val="21"/>
                <w:highlight w:val="none"/>
              </w:rPr>
            </w:pPr>
          </w:p>
        </w:tc>
        <w:tc>
          <w:tcPr>
            <w:tcW w:w="656" w:type="dxa"/>
            <w:tcMar>
              <w:top w:w="0" w:type="dxa"/>
              <w:left w:w="108" w:type="dxa"/>
              <w:bottom w:w="0" w:type="dxa"/>
              <w:right w:w="108" w:type="dxa"/>
            </w:tcMar>
            <w:vAlign w:val="center"/>
          </w:tcPr>
          <w:p w14:paraId="50E6DB36">
            <w:pPr>
              <w:pStyle w:val="299"/>
              <w:jc w:val="center"/>
              <w:rPr>
                <w:rFonts w:asciiTheme="minorEastAsia" w:hAnsiTheme="minorEastAsia" w:eastAsiaTheme="minorEastAsia"/>
                <w:color w:val="auto"/>
                <w:szCs w:val="21"/>
                <w:highlight w:val="none"/>
              </w:rPr>
            </w:pPr>
          </w:p>
        </w:tc>
        <w:tc>
          <w:tcPr>
            <w:tcW w:w="936" w:type="dxa"/>
            <w:vAlign w:val="center"/>
          </w:tcPr>
          <w:p w14:paraId="0B630574">
            <w:pPr>
              <w:pStyle w:val="299"/>
              <w:jc w:val="center"/>
              <w:rPr>
                <w:rFonts w:asciiTheme="minorEastAsia" w:hAnsiTheme="minorEastAsia" w:eastAsiaTheme="minorEastAsia"/>
                <w:color w:val="auto"/>
                <w:szCs w:val="21"/>
                <w:highlight w:val="none"/>
              </w:rPr>
            </w:pPr>
          </w:p>
        </w:tc>
        <w:tc>
          <w:tcPr>
            <w:tcW w:w="990" w:type="dxa"/>
          </w:tcPr>
          <w:p w14:paraId="02B364DB">
            <w:pPr>
              <w:pStyle w:val="299"/>
              <w:jc w:val="center"/>
              <w:rPr>
                <w:rFonts w:asciiTheme="minorEastAsia" w:hAnsiTheme="minorEastAsia" w:eastAsiaTheme="minorEastAsia"/>
                <w:color w:val="auto"/>
                <w:szCs w:val="21"/>
                <w:highlight w:val="none"/>
              </w:rPr>
            </w:pPr>
          </w:p>
        </w:tc>
        <w:tc>
          <w:tcPr>
            <w:tcW w:w="1420" w:type="dxa"/>
          </w:tcPr>
          <w:p w14:paraId="221D279E">
            <w:pPr>
              <w:pStyle w:val="299"/>
              <w:jc w:val="center"/>
              <w:rPr>
                <w:rFonts w:asciiTheme="minorEastAsia" w:hAnsiTheme="minorEastAsia" w:eastAsiaTheme="minorEastAsia"/>
                <w:color w:val="auto"/>
                <w:szCs w:val="21"/>
                <w:highlight w:val="none"/>
              </w:rPr>
            </w:pPr>
          </w:p>
        </w:tc>
        <w:tc>
          <w:tcPr>
            <w:tcW w:w="1399" w:type="dxa"/>
          </w:tcPr>
          <w:p w14:paraId="0518A3D0">
            <w:pPr>
              <w:pStyle w:val="299"/>
              <w:jc w:val="center"/>
              <w:rPr>
                <w:rFonts w:asciiTheme="minorEastAsia" w:hAnsiTheme="minorEastAsia" w:eastAsiaTheme="minorEastAsia"/>
                <w:color w:val="auto"/>
                <w:szCs w:val="21"/>
                <w:highlight w:val="none"/>
              </w:rPr>
            </w:pPr>
          </w:p>
        </w:tc>
        <w:tc>
          <w:tcPr>
            <w:tcW w:w="818" w:type="dxa"/>
          </w:tcPr>
          <w:p w14:paraId="5290D076">
            <w:pPr>
              <w:pStyle w:val="299"/>
              <w:jc w:val="center"/>
              <w:rPr>
                <w:rFonts w:asciiTheme="minorEastAsia" w:hAnsiTheme="minorEastAsia" w:eastAsiaTheme="minorEastAsia"/>
                <w:color w:val="auto"/>
                <w:szCs w:val="21"/>
                <w:highlight w:val="none"/>
              </w:rPr>
            </w:pPr>
          </w:p>
        </w:tc>
        <w:tc>
          <w:tcPr>
            <w:tcW w:w="871" w:type="dxa"/>
            <w:tcMar>
              <w:top w:w="0" w:type="dxa"/>
              <w:left w:w="108" w:type="dxa"/>
              <w:bottom w:w="0" w:type="dxa"/>
              <w:right w:w="108" w:type="dxa"/>
            </w:tcMar>
            <w:vAlign w:val="center"/>
          </w:tcPr>
          <w:p w14:paraId="5B350590">
            <w:pPr>
              <w:pStyle w:val="299"/>
              <w:jc w:val="center"/>
              <w:rPr>
                <w:rFonts w:asciiTheme="minorEastAsia" w:hAnsiTheme="minorEastAsia" w:eastAsiaTheme="minorEastAsia"/>
                <w:color w:val="auto"/>
                <w:szCs w:val="21"/>
                <w:highlight w:val="none"/>
              </w:rPr>
            </w:pPr>
          </w:p>
        </w:tc>
        <w:tc>
          <w:tcPr>
            <w:tcW w:w="1062" w:type="dxa"/>
            <w:vAlign w:val="center"/>
          </w:tcPr>
          <w:p w14:paraId="6942C30E">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lang w:val="en-US" w:eastAsia="zh-CN"/>
              </w:rPr>
              <w:t>6</w:t>
            </w:r>
            <w:r>
              <w:rPr>
                <w:rFonts w:asciiTheme="minorEastAsia" w:hAnsiTheme="minorEastAsia" w:eastAsiaTheme="minorEastAsia"/>
                <w:color w:val="auto"/>
                <w:szCs w:val="21"/>
                <w:highlight w:val="none"/>
              </w:rPr>
              <w:t>.1</w:t>
            </w:r>
          </w:p>
        </w:tc>
      </w:tr>
      <w:tr w14:paraId="15D57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00" w:type="dxa"/>
            <w:vAlign w:val="center"/>
          </w:tcPr>
          <w:p w14:paraId="7EE87619">
            <w:pPr>
              <w:pStyle w:val="299"/>
              <w:jc w:val="center"/>
              <w:rPr>
                <w:rFonts w:asciiTheme="minorEastAsia" w:hAnsiTheme="minorEastAsia" w:eastAsiaTheme="minorEastAsia"/>
                <w:color w:val="auto"/>
                <w:szCs w:val="21"/>
                <w:highlight w:val="none"/>
              </w:rPr>
            </w:pPr>
          </w:p>
        </w:tc>
        <w:tc>
          <w:tcPr>
            <w:tcW w:w="679" w:type="dxa"/>
            <w:tcMar>
              <w:top w:w="0" w:type="dxa"/>
              <w:left w:w="108" w:type="dxa"/>
              <w:bottom w:w="0" w:type="dxa"/>
              <w:right w:w="108" w:type="dxa"/>
            </w:tcMar>
            <w:vAlign w:val="center"/>
          </w:tcPr>
          <w:p w14:paraId="258360E6">
            <w:pPr>
              <w:pStyle w:val="299"/>
              <w:jc w:val="center"/>
              <w:rPr>
                <w:rFonts w:asciiTheme="minorEastAsia" w:hAnsiTheme="minorEastAsia" w:eastAsiaTheme="minorEastAsia"/>
                <w:color w:val="auto"/>
                <w:szCs w:val="21"/>
                <w:highlight w:val="none"/>
              </w:rPr>
            </w:pPr>
          </w:p>
        </w:tc>
        <w:tc>
          <w:tcPr>
            <w:tcW w:w="1270" w:type="dxa"/>
            <w:tcMar>
              <w:top w:w="0" w:type="dxa"/>
              <w:left w:w="108" w:type="dxa"/>
              <w:bottom w:w="0" w:type="dxa"/>
              <w:right w:w="108" w:type="dxa"/>
            </w:tcMar>
            <w:vAlign w:val="center"/>
          </w:tcPr>
          <w:p w14:paraId="7ED2895D">
            <w:pPr>
              <w:pStyle w:val="299"/>
              <w:jc w:val="center"/>
              <w:rPr>
                <w:rFonts w:asciiTheme="minorEastAsia" w:hAnsiTheme="minorEastAsia" w:eastAsiaTheme="minorEastAsia"/>
                <w:color w:val="auto"/>
                <w:szCs w:val="21"/>
                <w:highlight w:val="none"/>
              </w:rPr>
            </w:pPr>
          </w:p>
        </w:tc>
        <w:tc>
          <w:tcPr>
            <w:tcW w:w="645" w:type="dxa"/>
            <w:tcMar>
              <w:top w:w="0" w:type="dxa"/>
              <w:left w:w="108" w:type="dxa"/>
              <w:bottom w:w="0" w:type="dxa"/>
              <w:right w:w="108" w:type="dxa"/>
            </w:tcMar>
            <w:vAlign w:val="center"/>
          </w:tcPr>
          <w:p w14:paraId="2D0D960B">
            <w:pPr>
              <w:pStyle w:val="299"/>
              <w:jc w:val="center"/>
              <w:rPr>
                <w:rFonts w:asciiTheme="minorEastAsia" w:hAnsiTheme="minorEastAsia" w:eastAsiaTheme="minorEastAsia"/>
                <w:color w:val="auto"/>
                <w:szCs w:val="21"/>
                <w:highlight w:val="none"/>
              </w:rPr>
            </w:pPr>
          </w:p>
        </w:tc>
        <w:tc>
          <w:tcPr>
            <w:tcW w:w="1141" w:type="dxa"/>
            <w:tcMar>
              <w:top w:w="0" w:type="dxa"/>
              <w:left w:w="108" w:type="dxa"/>
              <w:bottom w:w="0" w:type="dxa"/>
              <w:right w:w="108" w:type="dxa"/>
            </w:tcMar>
            <w:vAlign w:val="center"/>
          </w:tcPr>
          <w:p w14:paraId="14929C28">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51D4B14F">
            <w:pPr>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764" w:type="dxa"/>
            <w:tcMar>
              <w:top w:w="0" w:type="dxa"/>
              <w:left w:w="108" w:type="dxa"/>
              <w:bottom w:w="0" w:type="dxa"/>
              <w:right w:w="108" w:type="dxa"/>
            </w:tcMar>
            <w:vAlign w:val="center"/>
          </w:tcPr>
          <w:p w14:paraId="714A2994">
            <w:pPr>
              <w:pStyle w:val="299"/>
              <w:jc w:val="center"/>
              <w:rPr>
                <w:rFonts w:asciiTheme="minorEastAsia" w:hAnsiTheme="minorEastAsia" w:eastAsiaTheme="minorEastAsia"/>
                <w:color w:val="auto"/>
                <w:szCs w:val="21"/>
                <w:highlight w:val="none"/>
              </w:rPr>
            </w:pPr>
          </w:p>
        </w:tc>
        <w:tc>
          <w:tcPr>
            <w:tcW w:w="861" w:type="dxa"/>
            <w:vAlign w:val="center"/>
          </w:tcPr>
          <w:p w14:paraId="76724781">
            <w:pPr>
              <w:pStyle w:val="299"/>
              <w:jc w:val="center"/>
              <w:rPr>
                <w:rFonts w:asciiTheme="minorEastAsia" w:hAnsiTheme="minorEastAsia" w:eastAsiaTheme="minorEastAsia"/>
                <w:color w:val="auto"/>
                <w:szCs w:val="21"/>
                <w:highlight w:val="none"/>
              </w:rPr>
            </w:pPr>
          </w:p>
        </w:tc>
        <w:tc>
          <w:tcPr>
            <w:tcW w:w="656" w:type="dxa"/>
            <w:tcMar>
              <w:top w:w="0" w:type="dxa"/>
              <w:left w:w="108" w:type="dxa"/>
              <w:bottom w:w="0" w:type="dxa"/>
              <w:right w:w="108" w:type="dxa"/>
            </w:tcMar>
            <w:vAlign w:val="center"/>
          </w:tcPr>
          <w:p w14:paraId="4EC90A34">
            <w:pPr>
              <w:pStyle w:val="299"/>
              <w:jc w:val="center"/>
              <w:rPr>
                <w:rFonts w:asciiTheme="minorEastAsia" w:hAnsiTheme="minorEastAsia" w:eastAsiaTheme="minorEastAsia"/>
                <w:color w:val="auto"/>
                <w:szCs w:val="21"/>
                <w:highlight w:val="none"/>
              </w:rPr>
            </w:pPr>
          </w:p>
        </w:tc>
        <w:tc>
          <w:tcPr>
            <w:tcW w:w="936" w:type="dxa"/>
            <w:vAlign w:val="center"/>
          </w:tcPr>
          <w:p w14:paraId="04BDA494">
            <w:pPr>
              <w:pStyle w:val="299"/>
              <w:jc w:val="center"/>
              <w:rPr>
                <w:rFonts w:asciiTheme="minorEastAsia" w:hAnsiTheme="minorEastAsia" w:eastAsiaTheme="minorEastAsia"/>
                <w:color w:val="auto"/>
                <w:szCs w:val="21"/>
                <w:highlight w:val="none"/>
              </w:rPr>
            </w:pPr>
          </w:p>
        </w:tc>
        <w:tc>
          <w:tcPr>
            <w:tcW w:w="990" w:type="dxa"/>
          </w:tcPr>
          <w:p w14:paraId="4606DE7B">
            <w:pPr>
              <w:pStyle w:val="299"/>
              <w:jc w:val="center"/>
              <w:rPr>
                <w:rFonts w:asciiTheme="minorEastAsia" w:hAnsiTheme="minorEastAsia" w:eastAsiaTheme="minorEastAsia"/>
                <w:color w:val="auto"/>
                <w:szCs w:val="21"/>
                <w:highlight w:val="none"/>
              </w:rPr>
            </w:pPr>
          </w:p>
        </w:tc>
        <w:tc>
          <w:tcPr>
            <w:tcW w:w="1420" w:type="dxa"/>
          </w:tcPr>
          <w:p w14:paraId="6EA145C4">
            <w:pPr>
              <w:pStyle w:val="299"/>
              <w:jc w:val="center"/>
              <w:rPr>
                <w:rFonts w:asciiTheme="minorEastAsia" w:hAnsiTheme="minorEastAsia" w:eastAsiaTheme="minorEastAsia"/>
                <w:color w:val="auto"/>
                <w:szCs w:val="21"/>
                <w:highlight w:val="none"/>
              </w:rPr>
            </w:pPr>
          </w:p>
        </w:tc>
        <w:tc>
          <w:tcPr>
            <w:tcW w:w="1399" w:type="dxa"/>
          </w:tcPr>
          <w:p w14:paraId="5F91ED8E">
            <w:pPr>
              <w:pStyle w:val="299"/>
              <w:jc w:val="center"/>
              <w:rPr>
                <w:rFonts w:asciiTheme="minorEastAsia" w:hAnsiTheme="minorEastAsia" w:eastAsiaTheme="minorEastAsia"/>
                <w:color w:val="auto"/>
                <w:szCs w:val="21"/>
                <w:highlight w:val="none"/>
              </w:rPr>
            </w:pPr>
          </w:p>
        </w:tc>
        <w:tc>
          <w:tcPr>
            <w:tcW w:w="818" w:type="dxa"/>
          </w:tcPr>
          <w:p w14:paraId="0D6A9789">
            <w:pPr>
              <w:pStyle w:val="299"/>
              <w:jc w:val="center"/>
              <w:rPr>
                <w:rFonts w:asciiTheme="minorEastAsia" w:hAnsiTheme="minorEastAsia" w:eastAsiaTheme="minorEastAsia"/>
                <w:color w:val="auto"/>
                <w:szCs w:val="21"/>
                <w:highlight w:val="none"/>
              </w:rPr>
            </w:pPr>
          </w:p>
        </w:tc>
        <w:tc>
          <w:tcPr>
            <w:tcW w:w="871" w:type="dxa"/>
            <w:tcMar>
              <w:top w:w="0" w:type="dxa"/>
              <w:left w:w="108" w:type="dxa"/>
              <w:bottom w:w="0" w:type="dxa"/>
              <w:right w:w="108" w:type="dxa"/>
            </w:tcMar>
            <w:vAlign w:val="center"/>
          </w:tcPr>
          <w:p w14:paraId="03F637B2">
            <w:pPr>
              <w:pStyle w:val="299"/>
              <w:jc w:val="center"/>
              <w:rPr>
                <w:rFonts w:asciiTheme="minorEastAsia" w:hAnsiTheme="minorEastAsia" w:eastAsiaTheme="minorEastAsia"/>
                <w:color w:val="auto"/>
                <w:szCs w:val="21"/>
                <w:highlight w:val="none"/>
              </w:rPr>
            </w:pPr>
          </w:p>
        </w:tc>
        <w:tc>
          <w:tcPr>
            <w:tcW w:w="1062" w:type="dxa"/>
            <w:vAlign w:val="center"/>
          </w:tcPr>
          <w:p w14:paraId="60E89D59">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lang w:val="en-US" w:eastAsia="zh-CN"/>
              </w:rPr>
              <w:t>6</w:t>
            </w:r>
            <w:r>
              <w:rPr>
                <w:rFonts w:asciiTheme="minorEastAsia" w:hAnsiTheme="minorEastAsia" w:eastAsiaTheme="minorEastAsia"/>
                <w:color w:val="auto"/>
                <w:szCs w:val="21"/>
                <w:highlight w:val="none"/>
              </w:rPr>
              <w:t>.2</w:t>
            </w:r>
          </w:p>
        </w:tc>
      </w:tr>
      <w:tr w14:paraId="30BF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00" w:type="dxa"/>
            <w:vAlign w:val="center"/>
          </w:tcPr>
          <w:p w14:paraId="7E24AD92">
            <w:pPr>
              <w:pStyle w:val="299"/>
              <w:jc w:val="center"/>
              <w:rPr>
                <w:rFonts w:asciiTheme="minorEastAsia" w:hAnsiTheme="minorEastAsia" w:eastAsiaTheme="minorEastAsia"/>
                <w:color w:val="auto"/>
                <w:szCs w:val="21"/>
                <w:highlight w:val="none"/>
              </w:rPr>
            </w:pPr>
          </w:p>
        </w:tc>
        <w:tc>
          <w:tcPr>
            <w:tcW w:w="679" w:type="dxa"/>
            <w:tcMar>
              <w:top w:w="0" w:type="dxa"/>
              <w:left w:w="108" w:type="dxa"/>
              <w:bottom w:w="0" w:type="dxa"/>
              <w:right w:w="108" w:type="dxa"/>
            </w:tcMar>
            <w:vAlign w:val="center"/>
          </w:tcPr>
          <w:p w14:paraId="289F71C7">
            <w:pPr>
              <w:pStyle w:val="299"/>
              <w:jc w:val="center"/>
              <w:rPr>
                <w:rFonts w:asciiTheme="minorEastAsia" w:hAnsiTheme="minorEastAsia" w:eastAsiaTheme="minorEastAsia"/>
                <w:color w:val="auto"/>
                <w:szCs w:val="21"/>
                <w:highlight w:val="none"/>
              </w:rPr>
            </w:pPr>
          </w:p>
        </w:tc>
        <w:tc>
          <w:tcPr>
            <w:tcW w:w="1270" w:type="dxa"/>
            <w:tcMar>
              <w:top w:w="0" w:type="dxa"/>
              <w:left w:w="108" w:type="dxa"/>
              <w:bottom w:w="0" w:type="dxa"/>
              <w:right w:w="108" w:type="dxa"/>
            </w:tcMar>
            <w:vAlign w:val="center"/>
          </w:tcPr>
          <w:p w14:paraId="7FD6F588">
            <w:pPr>
              <w:pStyle w:val="299"/>
              <w:jc w:val="center"/>
              <w:rPr>
                <w:rFonts w:asciiTheme="minorEastAsia" w:hAnsiTheme="minorEastAsia" w:eastAsiaTheme="minorEastAsia"/>
                <w:color w:val="auto"/>
                <w:szCs w:val="21"/>
                <w:highlight w:val="none"/>
              </w:rPr>
            </w:pPr>
          </w:p>
        </w:tc>
        <w:tc>
          <w:tcPr>
            <w:tcW w:w="645" w:type="dxa"/>
            <w:tcMar>
              <w:top w:w="0" w:type="dxa"/>
              <w:left w:w="108" w:type="dxa"/>
              <w:bottom w:w="0" w:type="dxa"/>
              <w:right w:w="108" w:type="dxa"/>
            </w:tcMar>
            <w:vAlign w:val="center"/>
          </w:tcPr>
          <w:p w14:paraId="13C62EC3">
            <w:pPr>
              <w:pStyle w:val="299"/>
              <w:jc w:val="center"/>
              <w:rPr>
                <w:rFonts w:asciiTheme="minorEastAsia" w:hAnsiTheme="minorEastAsia" w:eastAsiaTheme="minorEastAsia"/>
                <w:color w:val="auto"/>
                <w:szCs w:val="21"/>
                <w:highlight w:val="none"/>
              </w:rPr>
            </w:pPr>
          </w:p>
        </w:tc>
        <w:tc>
          <w:tcPr>
            <w:tcW w:w="1141" w:type="dxa"/>
            <w:tcMar>
              <w:top w:w="0" w:type="dxa"/>
              <w:left w:w="108" w:type="dxa"/>
              <w:bottom w:w="0" w:type="dxa"/>
              <w:right w:w="108" w:type="dxa"/>
            </w:tcMar>
            <w:vAlign w:val="center"/>
          </w:tcPr>
          <w:p w14:paraId="3371E588">
            <w:pPr>
              <w:widowControl/>
              <w:spacing w:line="400" w:lineRule="exact"/>
              <w:jc w:val="left"/>
              <w:rPr>
                <w:rFonts w:ascii="宋体" w:hAnsi="宋体"/>
                <w:color w:val="auto"/>
                <w:szCs w:val="21"/>
                <w:highlight w:val="none"/>
              </w:rPr>
            </w:pPr>
            <w:r>
              <w:rPr>
                <w:rFonts w:hint="eastAsia" w:ascii="宋体" w:hAnsi="宋体"/>
                <w:color w:val="auto"/>
                <w:szCs w:val="21"/>
                <w:highlight w:val="none"/>
              </w:rPr>
              <w:t>□新建</w:t>
            </w:r>
          </w:p>
          <w:p w14:paraId="36B1E35F">
            <w:pPr>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□改扩建</w:t>
            </w:r>
          </w:p>
        </w:tc>
        <w:tc>
          <w:tcPr>
            <w:tcW w:w="764" w:type="dxa"/>
            <w:tcMar>
              <w:top w:w="0" w:type="dxa"/>
              <w:left w:w="108" w:type="dxa"/>
              <w:bottom w:w="0" w:type="dxa"/>
              <w:right w:w="108" w:type="dxa"/>
            </w:tcMar>
            <w:vAlign w:val="center"/>
          </w:tcPr>
          <w:p w14:paraId="1875B8D2">
            <w:pPr>
              <w:pStyle w:val="299"/>
              <w:jc w:val="center"/>
              <w:rPr>
                <w:rFonts w:asciiTheme="minorEastAsia" w:hAnsiTheme="minorEastAsia" w:eastAsiaTheme="minorEastAsia"/>
                <w:color w:val="auto"/>
                <w:szCs w:val="21"/>
                <w:highlight w:val="none"/>
              </w:rPr>
            </w:pPr>
          </w:p>
        </w:tc>
        <w:tc>
          <w:tcPr>
            <w:tcW w:w="861" w:type="dxa"/>
          </w:tcPr>
          <w:p w14:paraId="5414B11D">
            <w:pPr>
              <w:pStyle w:val="299"/>
              <w:jc w:val="center"/>
              <w:rPr>
                <w:rFonts w:asciiTheme="minorEastAsia" w:hAnsiTheme="minorEastAsia" w:eastAsiaTheme="minorEastAsia"/>
                <w:color w:val="auto"/>
                <w:szCs w:val="21"/>
                <w:highlight w:val="none"/>
              </w:rPr>
            </w:pPr>
          </w:p>
        </w:tc>
        <w:tc>
          <w:tcPr>
            <w:tcW w:w="656" w:type="dxa"/>
            <w:tcMar>
              <w:top w:w="0" w:type="dxa"/>
              <w:left w:w="108" w:type="dxa"/>
              <w:bottom w:w="0" w:type="dxa"/>
              <w:right w:w="108" w:type="dxa"/>
            </w:tcMar>
            <w:vAlign w:val="center"/>
          </w:tcPr>
          <w:p w14:paraId="59670A7F">
            <w:pPr>
              <w:pStyle w:val="299"/>
              <w:jc w:val="center"/>
              <w:rPr>
                <w:rFonts w:asciiTheme="minorEastAsia" w:hAnsiTheme="minorEastAsia" w:eastAsiaTheme="minorEastAsia"/>
                <w:color w:val="auto"/>
                <w:szCs w:val="21"/>
                <w:highlight w:val="none"/>
              </w:rPr>
            </w:pPr>
          </w:p>
        </w:tc>
        <w:tc>
          <w:tcPr>
            <w:tcW w:w="936" w:type="dxa"/>
            <w:vAlign w:val="center"/>
          </w:tcPr>
          <w:p w14:paraId="3BAEE28B">
            <w:pPr>
              <w:pStyle w:val="299"/>
              <w:jc w:val="center"/>
              <w:rPr>
                <w:rFonts w:asciiTheme="minorEastAsia" w:hAnsiTheme="minorEastAsia" w:eastAsiaTheme="minorEastAsia"/>
                <w:color w:val="auto"/>
                <w:szCs w:val="21"/>
                <w:highlight w:val="none"/>
              </w:rPr>
            </w:pPr>
          </w:p>
        </w:tc>
        <w:tc>
          <w:tcPr>
            <w:tcW w:w="990" w:type="dxa"/>
          </w:tcPr>
          <w:p w14:paraId="3498A4E5">
            <w:pPr>
              <w:pStyle w:val="299"/>
              <w:jc w:val="center"/>
              <w:rPr>
                <w:rFonts w:asciiTheme="minorEastAsia" w:hAnsiTheme="minorEastAsia" w:eastAsiaTheme="minorEastAsia"/>
                <w:color w:val="auto"/>
                <w:szCs w:val="21"/>
                <w:highlight w:val="none"/>
              </w:rPr>
            </w:pPr>
          </w:p>
        </w:tc>
        <w:tc>
          <w:tcPr>
            <w:tcW w:w="1420" w:type="dxa"/>
          </w:tcPr>
          <w:p w14:paraId="6092C107">
            <w:pPr>
              <w:pStyle w:val="299"/>
              <w:jc w:val="center"/>
              <w:rPr>
                <w:rFonts w:asciiTheme="minorEastAsia" w:hAnsiTheme="minorEastAsia" w:eastAsiaTheme="minorEastAsia"/>
                <w:color w:val="auto"/>
                <w:szCs w:val="21"/>
                <w:highlight w:val="none"/>
              </w:rPr>
            </w:pPr>
          </w:p>
        </w:tc>
        <w:tc>
          <w:tcPr>
            <w:tcW w:w="1399" w:type="dxa"/>
          </w:tcPr>
          <w:p w14:paraId="0A899050">
            <w:pPr>
              <w:pStyle w:val="299"/>
              <w:jc w:val="center"/>
              <w:rPr>
                <w:rFonts w:asciiTheme="minorEastAsia" w:hAnsiTheme="minorEastAsia" w:eastAsiaTheme="minorEastAsia"/>
                <w:color w:val="auto"/>
                <w:szCs w:val="21"/>
                <w:highlight w:val="none"/>
              </w:rPr>
            </w:pPr>
          </w:p>
        </w:tc>
        <w:tc>
          <w:tcPr>
            <w:tcW w:w="818" w:type="dxa"/>
          </w:tcPr>
          <w:p w14:paraId="4866D743">
            <w:pPr>
              <w:pStyle w:val="299"/>
              <w:jc w:val="center"/>
              <w:rPr>
                <w:rFonts w:asciiTheme="minorEastAsia" w:hAnsiTheme="minorEastAsia" w:eastAsiaTheme="minorEastAsia"/>
                <w:color w:val="auto"/>
                <w:szCs w:val="21"/>
                <w:highlight w:val="none"/>
              </w:rPr>
            </w:pPr>
          </w:p>
        </w:tc>
        <w:tc>
          <w:tcPr>
            <w:tcW w:w="871" w:type="dxa"/>
            <w:tcMar>
              <w:top w:w="0" w:type="dxa"/>
              <w:left w:w="108" w:type="dxa"/>
              <w:bottom w:w="0" w:type="dxa"/>
              <w:right w:w="108" w:type="dxa"/>
            </w:tcMar>
            <w:vAlign w:val="center"/>
          </w:tcPr>
          <w:p w14:paraId="6B85EF3E">
            <w:pPr>
              <w:pStyle w:val="299"/>
              <w:jc w:val="center"/>
              <w:rPr>
                <w:rFonts w:asciiTheme="minorEastAsia" w:hAnsiTheme="minorEastAsia" w:eastAsiaTheme="minorEastAsia"/>
                <w:color w:val="auto"/>
                <w:szCs w:val="21"/>
                <w:highlight w:val="none"/>
              </w:rPr>
            </w:pPr>
          </w:p>
        </w:tc>
        <w:tc>
          <w:tcPr>
            <w:tcW w:w="1062" w:type="dxa"/>
            <w:vAlign w:val="center"/>
          </w:tcPr>
          <w:p w14:paraId="1F20F64D">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lang w:val="en-US" w:eastAsia="zh-CN"/>
              </w:rPr>
              <w:t>6</w:t>
            </w:r>
            <w:r>
              <w:rPr>
                <w:rFonts w:asciiTheme="minorEastAsia" w:hAnsiTheme="minorEastAsia" w:eastAsiaTheme="minorEastAsia"/>
                <w:color w:val="auto"/>
                <w:szCs w:val="21"/>
                <w:highlight w:val="none"/>
              </w:rPr>
              <w:t>.3</w:t>
            </w:r>
          </w:p>
        </w:tc>
      </w:tr>
      <w:tr w14:paraId="45A27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00" w:type="dxa"/>
            <w:vAlign w:val="center"/>
          </w:tcPr>
          <w:p w14:paraId="7372FAA3">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679" w:type="dxa"/>
            <w:tcMar>
              <w:top w:w="0" w:type="dxa"/>
              <w:left w:w="108" w:type="dxa"/>
              <w:bottom w:w="0" w:type="dxa"/>
              <w:right w:w="108" w:type="dxa"/>
            </w:tcMar>
            <w:vAlign w:val="center"/>
          </w:tcPr>
          <w:p w14:paraId="4CC1CF1E">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270" w:type="dxa"/>
            <w:tcMar>
              <w:top w:w="0" w:type="dxa"/>
              <w:left w:w="108" w:type="dxa"/>
              <w:bottom w:w="0" w:type="dxa"/>
              <w:right w:w="108" w:type="dxa"/>
            </w:tcMar>
            <w:vAlign w:val="center"/>
          </w:tcPr>
          <w:p w14:paraId="096E5754">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645" w:type="dxa"/>
            <w:tcMar>
              <w:top w:w="0" w:type="dxa"/>
              <w:left w:w="108" w:type="dxa"/>
              <w:bottom w:w="0" w:type="dxa"/>
              <w:right w:w="108" w:type="dxa"/>
            </w:tcMar>
            <w:vAlign w:val="center"/>
          </w:tcPr>
          <w:p w14:paraId="281E196D">
            <w:pPr>
              <w:pStyle w:val="299"/>
              <w:jc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w:t>
            </w:r>
          </w:p>
        </w:tc>
        <w:tc>
          <w:tcPr>
            <w:tcW w:w="1141" w:type="dxa"/>
            <w:tcMar>
              <w:top w:w="0" w:type="dxa"/>
              <w:left w:w="108" w:type="dxa"/>
              <w:bottom w:w="0" w:type="dxa"/>
              <w:right w:w="108" w:type="dxa"/>
            </w:tcMar>
            <w:vAlign w:val="center"/>
          </w:tcPr>
          <w:p w14:paraId="7398B16F">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w:t>
            </w:r>
          </w:p>
        </w:tc>
        <w:tc>
          <w:tcPr>
            <w:tcW w:w="764" w:type="dxa"/>
            <w:tcMar>
              <w:top w:w="0" w:type="dxa"/>
              <w:left w:w="108" w:type="dxa"/>
              <w:bottom w:w="0" w:type="dxa"/>
              <w:right w:w="108" w:type="dxa"/>
            </w:tcMar>
            <w:vAlign w:val="center"/>
          </w:tcPr>
          <w:p w14:paraId="0E077448">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861" w:type="dxa"/>
            <w:vAlign w:val="center"/>
          </w:tcPr>
          <w:p w14:paraId="236F0A01">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656" w:type="dxa"/>
            <w:tcMar>
              <w:top w:w="0" w:type="dxa"/>
              <w:left w:w="108" w:type="dxa"/>
              <w:bottom w:w="0" w:type="dxa"/>
              <w:right w:w="108" w:type="dxa"/>
            </w:tcMar>
            <w:vAlign w:val="center"/>
          </w:tcPr>
          <w:p w14:paraId="728EA7A6">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936" w:type="dxa"/>
            <w:vAlign w:val="center"/>
          </w:tcPr>
          <w:p w14:paraId="2F7D8344">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990" w:type="dxa"/>
            <w:vAlign w:val="center"/>
          </w:tcPr>
          <w:p w14:paraId="521E6212">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420" w:type="dxa"/>
            <w:vAlign w:val="center"/>
          </w:tcPr>
          <w:p w14:paraId="22CD9096">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399" w:type="dxa"/>
            <w:vAlign w:val="center"/>
          </w:tcPr>
          <w:p w14:paraId="0FBFCB3E">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818" w:type="dxa"/>
            <w:vAlign w:val="center"/>
          </w:tcPr>
          <w:p w14:paraId="4C41C5A4">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871" w:type="dxa"/>
            <w:tcMar>
              <w:top w:w="0" w:type="dxa"/>
              <w:left w:w="108" w:type="dxa"/>
              <w:bottom w:w="0" w:type="dxa"/>
              <w:right w:w="108" w:type="dxa"/>
            </w:tcMar>
            <w:vAlign w:val="center"/>
          </w:tcPr>
          <w:p w14:paraId="3AB5D705">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062" w:type="dxa"/>
            <w:vAlign w:val="center"/>
          </w:tcPr>
          <w:p w14:paraId="6B356B50">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r>
    </w:tbl>
    <w:p w14:paraId="778C8A24">
      <w:pPr>
        <w:pStyle w:val="299"/>
        <w:spacing w:line="300" w:lineRule="exact"/>
        <w:ind w:left="630" w:hanging="630" w:hangingChars="300"/>
        <w:rPr>
          <w:rFonts w:hint="eastAsia" w:ascii="宋体" w:hAnsi="宋体" w:cs="宋体"/>
          <w:color w:val="auto"/>
          <w:spacing w:val="-3"/>
          <w:highlight w:val="none"/>
        </w:rPr>
      </w:pPr>
      <w:r>
        <w:rPr>
          <w:rFonts w:hint="eastAsia" w:ascii="宋体" w:hAnsi="宋体"/>
          <w:color w:val="auto"/>
          <w:highlight w:val="none"/>
        </w:rPr>
        <w:t>注：</w:t>
      </w:r>
      <w:r>
        <w:rPr>
          <w:rFonts w:ascii="宋体" w:hAnsi="宋体"/>
          <w:color w:val="auto"/>
          <w:highlight w:val="none"/>
        </w:rPr>
        <w:t>1.投标人</w:t>
      </w:r>
      <w:r>
        <w:rPr>
          <w:rFonts w:hint="eastAsia" w:ascii="宋体" w:hAnsi="宋体"/>
          <w:color w:val="auto"/>
          <w:highlight w:val="none"/>
          <w:lang w:val="en-US" w:eastAsia="zh-CN"/>
        </w:rPr>
        <w:t>应</w:t>
      </w:r>
      <w:r>
        <w:rPr>
          <w:rFonts w:ascii="宋体" w:hAnsi="宋体"/>
          <w:color w:val="auto"/>
          <w:highlight w:val="none"/>
        </w:rPr>
        <w:t>在表后</w:t>
      </w:r>
      <w:r>
        <w:rPr>
          <w:rFonts w:hint="eastAsia" w:ascii="宋体" w:hAnsi="宋体"/>
          <w:color w:val="auto"/>
          <w:highlight w:val="none"/>
        </w:rPr>
        <w:t>提供相关业绩情况证明材料附件</w:t>
      </w:r>
      <w:r>
        <w:rPr>
          <w:rFonts w:ascii="宋体" w:hAnsi="宋体"/>
          <w:color w:val="auto"/>
          <w:highlight w:val="none"/>
        </w:rPr>
        <w:t>C</w:t>
      </w:r>
      <w:r>
        <w:rPr>
          <w:rFonts w:hint="eastAsia" w:ascii="宋体" w:hAnsi="宋体"/>
          <w:color w:val="auto"/>
          <w:highlight w:val="none"/>
          <w:lang w:val="en-US" w:eastAsia="zh-CN"/>
        </w:rPr>
        <w:t>6</w:t>
      </w:r>
      <w:r>
        <w:rPr>
          <w:rFonts w:hint="eastAsia" w:ascii="宋体" w:hAnsi="宋体"/>
          <w:color w:val="auto"/>
          <w:highlight w:val="none"/>
        </w:rPr>
        <w:t>系列</w:t>
      </w:r>
      <w:r>
        <w:rPr>
          <w:rFonts w:hint="eastAsia" w:ascii="宋体" w:hAnsi="宋体" w:eastAsia="宋体" w:cs="宋体"/>
          <w:color w:val="auto"/>
          <w:highlight w:val="none"/>
        </w:rPr>
        <w:t>［</w:t>
      </w:r>
      <w:r>
        <w:rPr>
          <w:rFonts w:hint="eastAsia" w:ascii="宋体" w:hAnsi="宋体"/>
          <w:color w:val="auto"/>
          <w:highlight w:val="none"/>
        </w:rPr>
        <w:t>机电工程</w:t>
      </w:r>
      <w:r>
        <w:rPr>
          <w:rFonts w:hint="eastAsia" w:ascii="宋体" w:hAnsi="宋体"/>
          <w:color w:val="auto"/>
          <w:highlight w:val="none"/>
          <w:lang w:eastAsia="zh-CN"/>
        </w:rPr>
        <w:t>（</w:t>
      </w:r>
      <w:r>
        <w:rPr>
          <w:rFonts w:hint="eastAsia" w:ascii="宋体" w:hAnsi="宋体"/>
          <w:color w:val="auto"/>
          <w:highlight w:val="none"/>
          <w:lang w:val="en-US" w:eastAsia="zh-CN"/>
        </w:rPr>
        <w:t>含隧道机电</w:t>
      </w:r>
      <w:r>
        <w:rPr>
          <w:rFonts w:hint="eastAsia" w:ascii="宋体" w:hAnsi="宋体"/>
          <w:color w:val="auto"/>
          <w:highlight w:val="none"/>
          <w:lang w:eastAsia="zh-CN"/>
        </w:rPr>
        <w:t>）</w:t>
      </w:r>
      <w:r>
        <w:rPr>
          <w:rFonts w:hint="eastAsia" w:ascii="宋体" w:hAnsi="宋体"/>
          <w:color w:val="auto"/>
          <w:highlight w:val="none"/>
        </w:rPr>
        <w:t>施工项目业绩</w:t>
      </w:r>
      <w:r>
        <w:rPr>
          <w:rFonts w:hint="eastAsia" w:ascii="宋体" w:hAnsi="宋体" w:eastAsia="宋体" w:cs="宋体"/>
          <w:color w:val="auto"/>
          <w:highlight w:val="none"/>
        </w:rPr>
        <w:t>]</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9"/>
          <w:rFonts w:ascii="宋体" w:hAnsi="宋体" w:cs="宋体"/>
          <w:color w:val="auto"/>
          <w:highlight w:val="none"/>
        </w:rPr>
        <w:footnoteReference w:id="299"/>
      </w:r>
      <w:r>
        <w:rPr>
          <w:rFonts w:hint="eastAsia" w:ascii="宋体" w:hAnsi="宋体" w:cs="宋体"/>
          <w:color w:val="auto"/>
          <w:highlight w:val="none"/>
        </w:rPr>
        <w:t>。</w:t>
      </w:r>
    </w:p>
    <w:p w14:paraId="633BB79E">
      <w:pPr>
        <w:pStyle w:val="299"/>
        <w:spacing w:line="300" w:lineRule="exact"/>
        <w:ind w:firstLine="408" w:firstLineChars="200"/>
        <w:rPr>
          <w:rFonts w:ascii="宋体" w:hAnsi="宋体"/>
          <w:color w:val="auto"/>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r>
        <w:rPr>
          <w:rFonts w:hint="eastAsia" w:ascii="宋体" w:hAnsi="宋体"/>
          <w:color w:val="auto"/>
          <w:highlight w:val="none"/>
        </w:rPr>
        <w:t>。</w:t>
      </w:r>
    </w:p>
    <w:p w14:paraId="1A192B52">
      <w:pPr>
        <w:pStyle w:val="299"/>
        <w:spacing w:line="3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w:t>
      </w:r>
      <w:r>
        <w:rPr>
          <w:rFonts w:hint="eastAsia" w:ascii="宋体" w:hAnsi="宋体"/>
          <w:color w:val="auto"/>
          <w:highlight w:val="none"/>
        </w:rPr>
        <w:t>本表所列合同价格一般为项目结算价格，无结算价格的以签约合同价格为准。</w:t>
      </w:r>
    </w:p>
    <w:p w14:paraId="6B835689">
      <w:pPr>
        <w:pStyle w:val="299"/>
        <w:spacing w:line="30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cs="宋体"/>
          <w:color w:val="auto"/>
          <w:spacing w:val="-3"/>
          <w:kern w:val="2"/>
          <w:sz w:val="21"/>
          <w:szCs w:val="24"/>
          <w:highlight w:val="none"/>
          <w:lang w:val="en-US" w:eastAsia="zh-CN" w:bidi="ar"/>
        </w:rPr>
        <w:t>公路机电</w:t>
      </w:r>
      <w:r>
        <w:rPr>
          <w:rFonts w:hint="eastAsia" w:ascii="宋体" w:hAnsi="宋体" w:eastAsia="宋体" w:cs="宋体"/>
          <w:color w:val="auto"/>
          <w:spacing w:val="-3"/>
          <w:kern w:val="2"/>
          <w:sz w:val="21"/>
          <w:szCs w:val="24"/>
          <w:highlight w:val="none"/>
          <w:lang w:val="en-US" w:eastAsia="zh-CN" w:bidi="ar"/>
        </w:rPr>
        <w:t>工程</w:t>
      </w:r>
      <w:r>
        <w:rPr>
          <w:rFonts w:hint="eastAsia" w:ascii="宋体" w:hAnsi="宋体" w:cs="宋体"/>
          <w:color w:val="auto"/>
          <w:spacing w:val="-3"/>
          <w:kern w:val="2"/>
          <w:sz w:val="21"/>
          <w:szCs w:val="24"/>
          <w:highlight w:val="none"/>
          <w:lang w:val="en-US" w:eastAsia="zh-CN" w:bidi="ar"/>
        </w:rPr>
        <w:t>（含隧道机电）</w:t>
      </w:r>
      <w:r>
        <w:rPr>
          <w:rFonts w:hint="eastAsia" w:ascii="宋体" w:hAnsi="宋体" w:eastAsia="宋体" w:cs="宋体"/>
          <w:color w:val="auto"/>
          <w:spacing w:val="-3"/>
          <w:kern w:val="2"/>
          <w:sz w:val="21"/>
          <w:szCs w:val="24"/>
          <w:highlight w:val="none"/>
          <w:lang w:val="en-US" w:eastAsia="zh-CN" w:bidi="ar"/>
        </w:rPr>
        <w:t>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中包含的</w:t>
      </w:r>
      <w:r>
        <w:rPr>
          <w:rFonts w:hint="eastAsia" w:ascii="宋体" w:hAnsi="宋体" w:cs="宋体"/>
          <w:color w:val="auto"/>
          <w:spacing w:val="-3"/>
          <w:kern w:val="2"/>
          <w:sz w:val="21"/>
          <w:szCs w:val="24"/>
          <w:highlight w:val="none"/>
          <w:lang w:val="en-US" w:eastAsia="zh-CN" w:bidi="ar"/>
        </w:rPr>
        <w:t>施工内容</w:t>
      </w:r>
      <w:r>
        <w:rPr>
          <w:rFonts w:hint="eastAsia" w:ascii="宋体" w:hAnsi="宋体" w:eastAsia="宋体" w:cs="宋体"/>
          <w:color w:val="auto"/>
          <w:spacing w:val="-3"/>
          <w:kern w:val="2"/>
          <w:sz w:val="21"/>
          <w:szCs w:val="24"/>
          <w:highlight w:val="none"/>
          <w:lang w:val="en-US" w:eastAsia="zh-CN" w:bidi="ar"/>
        </w:rPr>
        <w:t>或单独</w:t>
      </w:r>
      <w:r>
        <w:rPr>
          <w:rFonts w:hint="eastAsia" w:ascii="宋体" w:hAnsi="宋体" w:cs="宋体"/>
          <w:color w:val="auto"/>
          <w:spacing w:val="-3"/>
          <w:kern w:val="2"/>
          <w:sz w:val="21"/>
          <w:szCs w:val="24"/>
          <w:highlight w:val="none"/>
          <w:lang w:val="en-US" w:eastAsia="zh-CN" w:bidi="ar"/>
        </w:rPr>
        <w:t>公路机电</w:t>
      </w:r>
      <w:r>
        <w:rPr>
          <w:rFonts w:hint="eastAsia" w:ascii="宋体" w:hAnsi="宋体" w:eastAsia="宋体" w:cs="宋体"/>
          <w:color w:val="auto"/>
          <w:spacing w:val="-3"/>
          <w:kern w:val="2"/>
          <w:sz w:val="21"/>
          <w:szCs w:val="24"/>
          <w:highlight w:val="none"/>
          <w:lang w:val="en-US" w:eastAsia="zh-CN" w:bidi="ar"/>
        </w:rPr>
        <w:t>工程</w:t>
      </w:r>
      <w:r>
        <w:rPr>
          <w:rFonts w:hint="eastAsia" w:ascii="宋体" w:hAnsi="宋体" w:cs="宋体"/>
          <w:color w:val="auto"/>
          <w:spacing w:val="-3"/>
          <w:kern w:val="2"/>
          <w:sz w:val="21"/>
          <w:szCs w:val="24"/>
          <w:highlight w:val="none"/>
          <w:lang w:val="en-US" w:eastAsia="zh-CN" w:bidi="ar"/>
        </w:rPr>
        <w:t>（含隧道机电）</w:t>
      </w:r>
      <w:r>
        <w:rPr>
          <w:rFonts w:hint="eastAsia" w:ascii="宋体" w:hAnsi="宋体" w:eastAsia="宋体" w:cs="宋体"/>
          <w:color w:val="auto"/>
          <w:spacing w:val="-3"/>
          <w:kern w:val="2"/>
          <w:sz w:val="21"/>
          <w:szCs w:val="24"/>
          <w:highlight w:val="none"/>
          <w:lang w:val="en-US" w:eastAsia="zh-CN" w:bidi="ar"/>
        </w:rPr>
        <w:t>合同的项目</w:t>
      </w:r>
      <w:r>
        <w:rPr>
          <w:rFonts w:hint="eastAsia" w:ascii="宋体" w:hAnsi="宋体" w:cs="宋体"/>
          <w:color w:val="auto"/>
          <w:spacing w:val="-3"/>
          <w:kern w:val="2"/>
          <w:sz w:val="21"/>
          <w:szCs w:val="24"/>
          <w:highlight w:val="none"/>
          <w:lang w:val="en-US" w:eastAsia="zh-CN" w:bidi="ar"/>
        </w:rPr>
        <w:t>。</w:t>
      </w:r>
    </w:p>
    <w:p w14:paraId="0C14126D">
      <w:pPr>
        <w:pStyle w:val="299"/>
        <w:spacing w:line="300" w:lineRule="exact"/>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如近年来，投标人法人机构发生合法变更或重组或法人名称变更时，应提供相关部门的合法批件或其他相关证明材料来证明其所附业绩的继承性。</w:t>
      </w:r>
    </w:p>
    <w:p w14:paraId="46E07994">
      <w:pPr>
        <w:pStyle w:val="299"/>
        <w:spacing w:line="3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填写的格式统一以阿拉伯数字表示。如：20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年5月1日，填写为20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0501；20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年5月，填写为20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05。</w:t>
      </w:r>
    </w:p>
    <w:p w14:paraId="56F192B4">
      <w:pPr>
        <w:pStyle w:val="299"/>
        <w:spacing w:line="300" w:lineRule="exact"/>
        <w:ind w:left="630" w:leftChars="200" w:hanging="210" w:hangingChars="100"/>
        <w:rPr>
          <w:rFonts w:hint="eastAsia" w:ascii="宋体" w:hAnsi="宋体" w:cs="宋体"/>
          <w:b w:val="0"/>
          <w:bCs w:val="0"/>
          <w:color w:val="auto"/>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机电工程施工系统类型应是“监控系统、</w:t>
      </w:r>
      <w:r>
        <w:rPr>
          <w:rFonts w:hint="eastAsia" w:ascii="宋体" w:hAnsi="宋体" w:cs="宋体"/>
          <w:color w:val="auto"/>
          <w:sz w:val="21"/>
          <w:szCs w:val="21"/>
          <w:highlight w:val="none"/>
          <w:lang w:eastAsia="zh-CN"/>
        </w:rPr>
        <w:t>通信</w:t>
      </w:r>
      <w:r>
        <w:rPr>
          <w:rFonts w:hint="eastAsia" w:ascii="宋体" w:hAnsi="宋体" w:cs="宋体"/>
          <w:color w:val="auto"/>
          <w:sz w:val="21"/>
          <w:szCs w:val="21"/>
          <w:highlight w:val="none"/>
        </w:rPr>
        <w:t>系统、收费系统”中的一种或多种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隧道机电工程施工系统类型应是隧道“监控系统、通风系统、供配电系统、照明系统、消防系统、其他”中的一种或多种。</w:t>
      </w:r>
      <w:r>
        <w:rPr>
          <w:rFonts w:hint="eastAsia" w:ascii="宋体" w:hAnsi="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长的为准；若只有单洞的，则以承担单洞隧道长度数据为准。隧道单洞长度不含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p>
    <w:p w14:paraId="600F292F">
      <w:pPr>
        <w:spacing w:line="300" w:lineRule="exact"/>
        <w:ind w:left="609" w:leftChars="190" w:hanging="210" w:hangingChars="100"/>
        <w:jc w:val="both"/>
        <w:rPr>
          <w:rFonts w:ascii="黑体" w:hAnsi="黑体" w:eastAsia="黑体" w:cs="宋体"/>
          <w:b/>
          <w:color w:val="auto"/>
          <w:sz w:val="24"/>
          <w:highlight w:val="none"/>
        </w:rPr>
      </w:pPr>
      <w:r>
        <w:rPr>
          <w:rFonts w:hint="eastAsia" w:ascii="宋体" w:hAnsi="宋体" w:cs="宋体"/>
          <w:color w:val="auto"/>
          <w:highlight w:val="none"/>
          <w:lang w:val="en-US" w:eastAsia="zh-CN"/>
        </w:rPr>
        <w:t>8</w:t>
      </w:r>
      <w:r>
        <w:rPr>
          <w:rFonts w:ascii="宋体" w:hAnsi="宋体" w:cs="宋体"/>
          <w:color w:val="auto"/>
          <w:highlight w:val="none"/>
        </w:rPr>
        <w:t>.</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highlight w:val="none"/>
        </w:rPr>
        <w:t>以联合体形式投标的，联合体各成员应按照</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前附表附录3</w:t>
      </w:r>
      <w:r>
        <w:rPr>
          <w:rFonts w:hint="eastAsia" w:ascii="宋体" w:hAnsi="宋体" w:cs="宋体"/>
          <w:color w:val="auto"/>
          <w:highlight w:val="none"/>
        </w:rPr>
        <w:t>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r>
        <w:rPr>
          <w:rFonts w:hint="eastAsia" w:ascii="黑体" w:hAnsi="黑体" w:eastAsia="黑体" w:cs="宋体"/>
          <w:b/>
          <w:color w:val="auto"/>
          <w:sz w:val="24"/>
          <w:highlight w:val="none"/>
        </w:rPr>
        <w:t xml:space="preserve"> </w:t>
      </w:r>
      <w:r>
        <w:rPr>
          <w:rFonts w:ascii="黑体" w:hAnsi="黑体" w:eastAsia="黑体" w:cs="宋体"/>
          <w:b/>
          <w:color w:val="auto"/>
          <w:sz w:val="24"/>
          <w:highlight w:val="none"/>
        </w:rPr>
        <w:t xml:space="preserve">         </w:t>
      </w:r>
    </w:p>
    <w:p w14:paraId="51F51FCB">
      <w:pPr>
        <w:spacing w:line="480" w:lineRule="auto"/>
        <w:ind w:left="1418"/>
        <w:jc w:val="center"/>
        <w:rPr>
          <w:rFonts w:ascii="黑体" w:hAnsi="黑体" w:eastAsia="黑体" w:cs="宋体"/>
          <w:b/>
          <w:color w:val="auto"/>
          <w:sz w:val="24"/>
          <w:highlight w:val="none"/>
        </w:rPr>
      </w:pPr>
      <w:r>
        <w:rPr>
          <w:rFonts w:ascii="黑体" w:hAnsi="黑体" w:eastAsia="黑体" w:cs="宋体"/>
          <w:b/>
          <w:color w:val="auto"/>
          <w:sz w:val="24"/>
          <w:highlight w:val="none"/>
        </w:rPr>
        <w:br w:type="page"/>
      </w:r>
    </w:p>
    <w:p w14:paraId="27470F3D">
      <w:pPr>
        <w:spacing w:line="360" w:lineRule="auto"/>
        <w:ind w:left="1418"/>
        <w:jc w:val="center"/>
        <w:rPr>
          <w:rFonts w:hint="eastAsia" w:ascii="黑体" w:hAnsi="黑体" w:eastAsia="黑体" w:cs="宋体"/>
          <w:color w:val="auto"/>
          <w:sz w:val="24"/>
          <w:highlight w:val="none"/>
          <w:lang w:val="en-US" w:eastAsia="zh-CN"/>
        </w:rPr>
      </w:pPr>
      <w:r>
        <w:rPr>
          <w:rFonts w:hint="eastAsia" w:ascii="黑体" w:hAnsi="黑体" w:eastAsia="黑体" w:cs="宋体"/>
          <w:b/>
          <w:color w:val="auto"/>
          <w:sz w:val="24"/>
          <w:highlight w:val="none"/>
          <w:lang w:val="en-US" w:eastAsia="zh-CN"/>
        </w:rPr>
        <w:t xml:space="preserve">                       </w:t>
      </w:r>
      <w:r>
        <w:rPr>
          <w:rFonts w:ascii="黑体" w:hAnsi="黑体" w:eastAsia="黑体" w:cs="宋体"/>
          <w:b/>
          <w:color w:val="auto"/>
          <w:sz w:val="24"/>
          <w:highlight w:val="none"/>
        </w:rPr>
        <w:t xml:space="preserve"> </w:t>
      </w:r>
      <w:r>
        <w:rPr>
          <w:rFonts w:hint="eastAsia" w:ascii="黑体" w:hAnsi="黑体" w:eastAsia="黑体" w:cs="宋体"/>
          <w:b/>
          <w:color w:val="auto"/>
          <w:sz w:val="24"/>
          <w:highlight w:val="none"/>
        </w:rPr>
        <w:t>□</w:t>
      </w:r>
      <w:r>
        <w:rPr>
          <w:rFonts w:ascii="黑体" w:hAnsi="黑体" w:eastAsia="黑体" w:cs="宋体"/>
          <w:color w:val="auto"/>
          <w:sz w:val="24"/>
          <w:highlight w:val="none"/>
        </w:rPr>
        <w:t xml:space="preserve"> 近年完成的</w:t>
      </w:r>
      <w:r>
        <w:rPr>
          <w:rFonts w:hint="eastAsia" w:ascii="黑体" w:hAnsi="黑体" w:eastAsia="黑体" w:cs="宋体"/>
          <w:color w:val="auto"/>
          <w:sz w:val="24"/>
          <w:highlight w:val="none"/>
        </w:rPr>
        <w:t>房建工程施工情况</w:t>
      </w:r>
      <w:r>
        <w:rPr>
          <w:rFonts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4.7</w:t>
      </w:r>
    </w:p>
    <w:tbl>
      <w:tblPr>
        <w:tblStyle w:val="49"/>
        <w:tblW w:w="136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766"/>
        <w:gridCol w:w="1320"/>
        <w:gridCol w:w="727"/>
        <w:gridCol w:w="1078"/>
        <w:gridCol w:w="925"/>
        <w:gridCol w:w="1078"/>
        <w:gridCol w:w="1078"/>
        <w:gridCol w:w="966"/>
        <w:gridCol w:w="1115"/>
        <w:gridCol w:w="959"/>
        <w:gridCol w:w="956"/>
        <w:gridCol w:w="1116"/>
        <w:gridCol w:w="1158"/>
      </w:tblGrid>
      <w:tr w14:paraId="4E44B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51" w:type="dxa"/>
            <w:vMerge w:val="restart"/>
            <w:vAlign w:val="center"/>
          </w:tcPr>
          <w:p w14:paraId="5D72B010">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766" w:type="dxa"/>
            <w:vMerge w:val="restart"/>
            <w:tcMar>
              <w:top w:w="0" w:type="dxa"/>
              <w:left w:w="108" w:type="dxa"/>
              <w:bottom w:w="0" w:type="dxa"/>
              <w:right w:w="108" w:type="dxa"/>
            </w:tcMar>
            <w:vAlign w:val="center"/>
          </w:tcPr>
          <w:p w14:paraId="7F28641C">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p w14:paraId="2731F3BB">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业主</w:t>
            </w:r>
          </w:p>
        </w:tc>
        <w:tc>
          <w:tcPr>
            <w:tcW w:w="1320" w:type="dxa"/>
            <w:vMerge w:val="restart"/>
            <w:tcMar>
              <w:top w:w="0" w:type="dxa"/>
              <w:left w:w="108" w:type="dxa"/>
              <w:bottom w:w="0" w:type="dxa"/>
              <w:right w:w="108" w:type="dxa"/>
            </w:tcMar>
            <w:vAlign w:val="center"/>
          </w:tcPr>
          <w:p w14:paraId="5498E2FA">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727" w:type="dxa"/>
            <w:vMerge w:val="restart"/>
            <w:tcMar>
              <w:top w:w="0" w:type="dxa"/>
              <w:left w:w="108" w:type="dxa"/>
              <w:bottom w:w="0" w:type="dxa"/>
              <w:right w:w="108" w:type="dxa"/>
            </w:tcMar>
            <w:vAlign w:val="center"/>
          </w:tcPr>
          <w:p w14:paraId="1668DDD8">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标段号</w:t>
            </w:r>
          </w:p>
        </w:tc>
        <w:tc>
          <w:tcPr>
            <w:tcW w:w="1078" w:type="dxa"/>
            <w:vMerge w:val="restart"/>
            <w:vAlign w:val="center"/>
          </w:tcPr>
          <w:p w14:paraId="43A527C6">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标段长度</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km）</w:t>
            </w:r>
          </w:p>
        </w:tc>
        <w:tc>
          <w:tcPr>
            <w:tcW w:w="925" w:type="dxa"/>
            <w:vMerge w:val="restart"/>
            <w:tcMar>
              <w:top w:w="0" w:type="dxa"/>
              <w:left w:w="108" w:type="dxa"/>
              <w:bottom w:w="0" w:type="dxa"/>
              <w:right w:w="108" w:type="dxa"/>
            </w:tcMar>
            <w:vAlign w:val="center"/>
          </w:tcPr>
          <w:p w14:paraId="5B2BB8A3">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开工</w:t>
            </w:r>
          </w:p>
          <w:p w14:paraId="12F7E0D1">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p>
        </w:tc>
        <w:tc>
          <w:tcPr>
            <w:tcW w:w="1078" w:type="dxa"/>
            <w:vMerge w:val="restart"/>
            <w:vAlign w:val="center"/>
          </w:tcPr>
          <w:p w14:paraId="19906A34">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完成（交工）日期</w:t>
            </w:r>
          </w:p>
        </w:tc>
        <w:tc>
          <w:tcPr>
            <w:tcW w:w="1078" w:type="dxa"/>
            <w:vMerge w:val="restart"/>
            <w:vAlign w:val="center"/>
          </w:tcPr>
          <w:p w14:paraId="305C1268">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建设规模</w:t>
            </w:r>
          </w:p>
        </w:tc>
        <w:tc>
          <w:tcPr>
            <w:tcW w:w="3040" w:type="dxa"/>
            <w:gridSpan w:val="3"/>
            <w:vAlign w:val="center"/>
          </w:tcPr>
          <w:p w14:paraId="4950288D">
            <w:pPr>
              <w:pStyle w:val="299"/>
              <w:jc w:val="center"/>
              <w:rPr>
                <w:rFonts w:cs="宋体" w:asciiTheme="minorEastAsia" w:hAnsiTheme="minorEastAsia" w:eastAsiaTheme="minorEastAsia"/>
                <w:color w:val="auto"/>
                <w:kern w:val="0"/>
                <w:szCs w:val="21"/>
                <w:highlight w:val="none"/>
              </w:rPr>
            </w:pPr>
            <w:r>
              <w:rPr>
                <w:rFonts w:hint="eastAsia" w:ascii="宋体" w:hAnsi="宋体"/>
                <w:color w:val="auto"/>
                <w:szCs w:val="21"/>
                <w:highlight w:val="none"/>
              </w:rPr>
              <w:t>房建工程</w:t>
            </w:r>
          </w:p>
        </w:tc>
        <w:tc>
          <w:tcPr>
            <w:tcW w:w="956" w:type="dxa"/>
            <w:vMerge w:val="restart"/>
            <w:vAlign w:val="center"/>
          </w:tcPr>
          <w:p w14:paraId="560891FC">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w:t>
            </w:r>
          </w:p>
          <w:p w14:paraId="5A4CE6D4">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经理</w:t>
            </w:r>
          </w:p>
        </w:tc>
        <w:tc>
          <w:tcPr>
            <w:tcW w:w="1116" w:type="dxa"/>
            <w:vMerge w:val="restart"/>
            <w:tcMar>
              <w:top w:w="0" w:type="dxa"/>
              <w:left w:w="108" w:type="dxa"/>
              <w:bottom w:w="0" w:type="dxa"/>
              <w:right w:w="108" w:type="dxa"/>
            </w:tcMar>
            <w:vAlign w:val="center"/>
          </w:tcPr>
          <w:p w14:paraId="3735DB2E">
            <w:pPr>
              <w:pStyle w:val="299"/>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□项目</w:t>
            </w:r>
          </w:p>
          <w:p w14:paraId="39F927E8">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 xml:space="preserve"> </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总工</w:t>
            </w:r>
          </w:p>
        </w:tc>
        <w:tc>
          <w:tcPr>
            <w:tcW w:w="1158" w:type="dxa"/>
            <w:vMerge w:val="restart"/>
            <w:vAlign w:val="center"/>
          </w:tcPr>
          <w:p w14:paraId="35834737">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业绩证明材料附件</w:t>
            </w:r>
          </w:p>
        </w:tc>
      </w:tr>
      <w:tr w14:paraId="1116C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51" w:type="dxa"/>
            <w:vMerge w:val="continue"/>
            <w:vAlign w:val="center"/>
          </w:tcPr>
          <w:p w14:paraId="418F3D1D">
            <w:pPr>
              <w:pStyle w:val="299"/>
              <w:jc w:val="center"/>
              <w:rPr>
                <w:rFonts w:asciiTheme="minorEastAsia" w:hAnsiTheme="minorEastAsia" w:eastAsiaTheme="minorEastAsia"/>
                <w:color w:val="auto"/>
                <w:szCs w:val="21"/>
                <w:highlight w:val="none"/>
              </w:rPr>
            </w:pPr>
          </w:p>
        </w:tc>
        <w:tc>
          <w:tcPr>
            <w:tcW w:w="766" w:type="dxa"/>
            <w:vMerge w:val="continue"/>
            <w:tcMar>
              <w:top w:w="0" w:type="dxa"/>
              <w:left w:w="108" w:type="dxa"/>
              <w:bottom w:w="0" w:type="dxa"/>
              <w:right w:w="108" w:type="dxa"/>
            </w:tcMar>
            <w:vAlign w:val="center"/>
          </w:tcPr>
          <w:p w14:paraId="47035594">
            <w:pPr>
              <w:pStyle w:val="299"/>
              <w:jc w:val="center"/>
              <w:rPr>
                <w:rFonts w:asciiTheme="minorEastAsia" w:hAnsiTheme="minorEastAsia" w:eastAsiaTheme="minorEastAsia"/>
                <w:color w:val="auto"/>
                <w:szCs w:val="21"/>
                <w:highlight w:val="none"/>
              </w:rPr>
            </w:pPr>
          </w:p>
        </w:tc>
        <w:tc>
          <w:tcPr>
            <w:tcW w:w="1320" w:type="dxa"/>
            <w:vMerge w:val="continue"/>
            <w:tcMar>
              <w:top w:w="0" w:type="dxa"/>
              <w:left w:w="108" w:type="dxa"/>
              <w:bottom w:w="0" w:type="dxa"/>
              <w:right w:w="108" w:type="dxa"/>
            </w:tcMar>
            <w:vAlign w:val="center"/>
          </w:tcPr>
          <w:p w14:paraId="4952C539">
            <w:pPr>
              <w:pStyle w:val="299"/>
              <w:jc w:val="center"/>
              <w:rPr>
                <w:rFonts w:asciiTheme="minorEastAsia" w:hAnsiTheme="minorEastAsia" w:eastAsiaTheme="minorEastAsia"/>
                <w:color w:val="auto"/>
                <w:szCs w:val="21"/>
                <w:highlight w:val="none"/>
              </w:rPr>
            </w:pPr>
          </w:p>
        </w:tc>
        <w:tc>
          <w:tcPr>
            <w:tcW w:w="727" w:type="dxa"/>
            <w:vMerge w:val="continue"/>
            <w:tcMar>
              <w:top w:w="0" w:type="dxa"/>
              <w:left w:w="108" w:type="dxa"/>
              <w:bottom w:w="0" w:type="dxa"/>
              <w:right w:w="108" w:type="dxa"/>
            </w:tcMar>
            <w:vAlign w:val="center"/>
          </w:tcPr>
          <w:p w14:paraId="743B0938">
            <w:pPr>
              <w:pStyle w:val="299"/>
              <w:jc w:val="center"/>
              <w:rPr>
                <w:rFonts w:asciiTheme="minorEastAsia" w:hAnsiTheme="minorEastAsia" w:eastAsiaTheme="minorEastAsia"/>
                <w:color w:val="auto"/>
                <w:szCs w:val="21"/>
                <w:highlight w:val="none"/>
              </w:rPr>
            </w:pPr>
          </w:p>
        </w:tc>
        <w:tc>
          <w:tcPr>
            <w:tcW w:w="1078" w:type="dxa"/>
            <w:vMerge w:val="continue"/>
            <w:vAlign w:val="center"/>
          </w:tcPr>
          <w:p w14:paraId="00BA8CF3">
            <w:pPr>
              <w:pStyle w:val="299"/>
              <w:jc w:val="center"/>
              <w:rPr>
                <w:rFonts w:asciiTheme="minorEastAsia" w:hAnsiTheme="minorEastAsia" w:eastAsiaTheme="minorEastAsia"/>
                <w:color w:val="auto"/>
                <w:szCs w:val="21"/>
                <w:highlight w:val="none"/>
              </w:rPr>
            </w:pPr>
          </w:p>
        </w:tc>
        <w:tc>
          <w:tcPr>
            <w:tcW w:w="925" w:type="dxa"/>
            <w:vMerge w:val="continue"/>
            <w:tcMar>
              <w:top w:w="0" w:type="dxa"/>
              <w:left w:w="108" w:type="dxa"/>
              <w:bottom w:w="0" w:type="dxa"/>
              <w:right w:w="108" w:type="dxa"/>
            </w:tcMar>
            <w:vAlign w:val="center"/>
          </w:tcPr>
          <w:p w14:paraId="1D4CDB3B">
            <w:pPr>
              <w:pStyle w:val="299"/>
              <w:jc w:val="center"/>
              <w:rPr>
                <w:rFonts w:asciiTheme="minorEastAsia" w:hAnsiTheme="minorEastAsia" w:eastAsiaTheme="minorEastAsia"/>
                <w:color w:val="auto"/>
                <w:szCs w:val="21"/>
                <w:highlight w:val="none"/>
              </w:rPr>
            </w:pPr>
          </w:p>
        </w:tc>
        <w:tc>
          <w:tcPr>
            <w:tcW w:w="1078" w:type="dxa"/>
            <w:vMerge w:val="continue"/>
            <w:vAlign w:val="center"/>
          </w:tcPr>
          <w:p w14:paraId="2CCE1A48">
            <w:pPr>
              <w:pStyle w:val="299"/>
              <w:jc w:val="center"/>
              <w:rPr>
                <w:rFonts w:asciiTheme="minorEastAsia" w:hAnsiTheme="minorEastAsia" w:eastAsiaTheme="minorEastAsia"/>
                <w:color w:val="auto"/>
                <w:szCs w:val="21"/>
                <w:highlight w:val="none"/>
              </w:rPr>
            </w:pPr>
          </w:p>
        </w:tc>
        <w:tc>
          <w:tcPr>
            <w:tcW w:w="1078" w:type="dxa"/>
            <w:vMerge w:val="continue"/>
          </w:tcPr>
          <w:p w14:paraId="4F46B9CF">
            <w:pPr>
              <w:pStyle w:val="299"/>
              <w:jc w:val="center"/>
              <w:rPr>
                <w:rFonts w:cs="宋体" w:asciiTheme="minorEastAsia" w:hAnsiTheme="minorEastAsia" w:eastAsiaTheme="minorEastAsia"/>
                <w:color w:val="auto"/>
                <w:kern w:val="0"/>
                <w:szCs w:val="21"/>
                <w:highlight w:val="none"/>
              </w:rPr>
            </w:pPr>
          </w:p>
        </w:tc>
        <w:tc>
          <w:tcPr>
            <w:tcW w:w="966" w:type="dxa"/>
            <w:vAlign w:val="center"/>
          </w:tcPr>
          <w:p w14:paraId="52942DC8">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主体</w:t>
            </w:r>
            <w:r>
              <w:rPr>
                <w:rFonts w:hint="eastAsia" w:asciiTheme="minorEastAsia" w:hAnsiTheme="minorEastAsia" w:eastAsiaTheme="minorEastAsia"/>
                <w:color w:val="auto"/>
                <w:szCs w:val="21"/>
                <w:highlight w:val="none"/>
              </w:rPr>
              <w:t>结构形式</w:t>
            </w:r>
          </w:p>
        </w:tc>
        <w:tc>
          <w:tcPr>
            <w:tcW w:w="1115" w:type="dxa"/>
            <w:vAlign w:val="center"/>
          </w:tcPr>
          <w:p w14:paraId="34871D77">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累计</w:t>
            </w:r>
            <w:r>
              <w:rPr>
                <w:rFonts w:hint="eastAsia" w:asciiTheme="minorEastAsia" w:hAnsiTheme="minorEastAsia" w:eastAsiaTheme="minorEastAsia"/>
                <w:color w:val="auto"/>
                <w:szCs w:val="21"/>
                <w:highlight w:val="none"/>
              </w:rPr>
              <w:t>建筑面积（</w:t>
            </w:r>
            <w:r>
              <w:rPr>
                <w:rFonts w:asciiTheme="minorEastAsia" w:hAnsiTheme="minorEastAsia" w:eastAsiaTheme="minorEastAsia"/>
                <w:color w:val="auto"/>
                <w:szCs w:val="21"/>
                <w:highlight w:val="none"/>
              </w:rPr>
              <w:t>m</w:t>
            </w:r>
            <w:r>
              <w:rPr>
                <w:rFonts w:asciiTheme="minorEastAsia" w:hAnsiTheme="minorEastAsia" w:eastAsiaTheme="minorEastAsia"/>
                <w:color w:val="auto"/>
                <w:szCs w:val="21"/>
                <w:highlight w:val="none"/>
                <w:vertAlign w:val="superscript"/>
              </w:rPr>
              <w:t>2</w:t>
            </w:r>
            <w:r>
              <w:rPr>
                <w:rFonts w:hint="eastAsia" w:asciiTheme="minorEastAsia" w:hAnsiTheme="minorEastAsia" w:eastAsiaTheme="minorEastAsia"/>
                <w:color w:val="auto"/>
                <w:szCs w:val="21"/>
                <w:highlight w:val="none"/>
              </w:rPr>
              <w:t>）</w:t>
            </w:r>
          </w:p>
        </w:tc>
        <w:tc>
          <w:tcPr>
            <w:tcW w:w="959" w:type="dxa"/>
            <w:vAlign w:val="center"/>
          </w:tcPr>
          <w:p w14:paraId="1BF558E5">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□其他</w:t>
            </w:r>
          </w:p>
        </w:tc>
        <w:tc>
          <w:tcPr>
            <w:tcW w:w="956" w:type="dxa"/>
            <w:vMerge w:val="continue"/>
          </w:tcPr>
          <w:p w14:paraId="2B7A5A0E">
            <w:pPr>
              <w:pStyle w:val="299"/>
              <w:jc w:val="center"/>
              <w:rPr>
                <w:rFonts w:asciiTheme="minorEastAsia" w:hAnsiTheme="minorEastAsia" w:eastAsiaTheme="minorEastAsia"/>
                <w:color w:val="auto"/>
                <w:szCs w:val="21"/>
                <w:highlight w:val="none"/>
              </w:rPr>
            </w:pPr>
          </w:p>
        </w:tc>
        <w:tc>
          <w:tcPr>
            <w:tcW w:w="1116" w:type="dxa"/>
            <w:vMerge w:val="continue"/>
            <w:tcMar>
              <w:top w:w="0" w:type="dxa"/>
              <w:left w:w="108" w:type="dxa"/>
              <w:bottom w:w="0" w:type="dxa"/>
              <w:right w:w="108" w:type="dxa"/>
            </w:tcMar>
            <w:vAlign w:val="center"/>
          </w:tcPr>
          <w:p w14:paraId="1CAA9CDC">
            <w:pPr>
              <w:pStyle w:val="299"/>
              <w:jc w:val="center"/>
              <w:rPr>
                <w:rFonts w:asciiTheme="minorEastAsia" w:hAnsiTheme="minorEastAsia" w:eastAsiaTheme="minorEastAsia"/>
                <w:color w:val="auto"/>
                <w:szCs w:val="21"/>
                <w:highlight w:val="none"/>
              </w:rPr>
            </w:pPr>
          </w:p>
        </w:tc>
        <w:tc>
          <w:tcPr>
            <w:tcW w:w="1158" w:type="dxa"/>
            <w:vMerge w:val="continue"/>
            <w:vAlign w:val="center"/>
          </w:tcPr>
          <w:p w14:paraId="51E3F493">
            <w:pPr>
              <w:pStyle w:val="299"/>
              <w:jc w:val="center"/>
              <w:rPr>
                <w:rFonts w:asciiTheme="minorEastAsia" w:hAnsiTheme="minorEastAsia" w:eastAsiaTheme="minorEastAsia"/>
                <w:color w:val="auto"/>
                <w:szCs w:val="21"/>
                <w:highlight w:val="none"/>
              </w:rPr>
            </w:pPr>
          </w:p>
        </w:tc>
      </w:tr>
      <w:tr w14:paraId="0C30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451" w:type="dxa"/>
            <w:vAlign w:val="center"/>
          </w:tcPr>
          <w:p w14:paraId="19B84B93">
            <w:pPr>
              <w:pStyle w:val="299"/>
              <w:jc w:val="center"/>
              <w:rPr>
                <w:rFonts w:hint="default" w:asciiTheme="minorEastAsia" w:hAnsiTheme="minorEastAsia" w:eastAsiaTheme="minorEastAsia"/>
                <w:color w:val="auto"/>
                <w:szCs w:val="21"/>
                <w:highlight w:val="none"/>
                <w:lang w:val="en-US" w:eastAsia="zh-CN"/>
              </w:rPr>
            </w:pPr>
          </w:p>
        </w:tc>
        <w:tc>
          <w:tcPr>
            <w:tcW w:w="766" w:type="dxa"/>
            <w:tcMar>
              <w:top w:w="0" w:type="dxa"/>
              <w:left w:w="108" w:type="dxa"/>
              <w:bottom w:w="0" w:type="dxa"/>
              <w:right w:w="108" w:type="dxa"/>
            </w:tcMar>
            <w:vAlign w:val="center"/>
          </w:tcPr>
          <w:p w14:paraId="7CEABDEC">
            <w:pPr>
              <w:pStyle w:val="299"/>
              <w:jc w:val="center"/>
              <w:rPr>
                <w:rFonts w:asciiTheme="minorEastAsia" w:hAnsiTheme="minorEastAsia" w:eastAsiaTheme="minorEastAsia"/>
                <w:color w:val="auto"/>
                <w:szCs w:val="21"/>
                <w:highlight w:val="none"/>
              </w:rPr>
            </w:pPr>
          </w:p>
        </w:tc>
        <w:tc>
          <w:tcPr>
            <w:tcW w:w="1320" w:type="dxa"/>
            <w:tcMar>
              <w:top w:w="0" w:type="dxa"/>
              <w:left w:w="108" w:type="dxa"/>
              <w:bottom w:w="0" w:type="dxa"/>
              <w:right w:w="108" w:type="dxa"/>
            </w:tcMar>
            <w:vAlign w:val="center"/>
          </w:tcPr>
          <w:p w14:paraId="7B141D99">
            <w:pPr>
              <w:pStyle w:val="299"/>
              <w:jc w:val="center"/>
              <w:rPr>
                <w:rFonts w:asciiTheme="minorEastAsia" w:hAnsiTheme="minorEastAsia" w:eastAsiaTheme="minorEastAsia"/>
                <w:color w:val="auto"/>
                <w:szCs w:val="21"/>
                <w:highlight w:val="none"/>
              </w:rPr>
            </w:pPr>
          </w:p>
        </w:tc>
        <w:tc>
          <w:tcPr>
            <w:tcW w:w="727" w:type="dxa"/>
            <w:tcMar>
              <w:top w:w="0" w:type="dxa"/>
              <w:left w:w="108" w:type="dxa"/>
              <w:bottom w:w="0" w:type="dxa"/>
              <w:right w:w="108" w:type="dxa"/>
            </w:tcMar>
            <w:vAlign w:val="center"/>
          </w:tcPr>
          <w:p w14:paraId="123A5AE4">
            <w:pPr>
              <w:pStyle w:val="299"/>
              <w:jc w:val="center"/>
              <w:rPr>
                <w:rFonts w:asciiTheme="minorEastAsia" w:hAnsiTheme="minorEastAsia" w:eastAsiaTheme="minorEastAsia"/>
                <w:color w:val="auto"/>
                <w:szCs w:val="21"/>
                <w:highlight w:val="none"/>
              </w:rPr>
            </w:pPr>
          </w:p>
        </w:tc>
        <w:tc>
          <w:tcPr>
            <w:tcW w:w="1078" w:type="dxa"/>
            <w:vAlign w:val="center"/>
          </w:tcPr>
          <w:p w14:paraId="5C9543D6">
            <w:pPr>
              <w:pStyle w:val="299"/>
              <w:jc w:val="center"/>
              <w:rPr>
                <w:rFonts w:asciiTheme="minorEastAsia" w:hAnsiTheme="minorEastAsia" w:eastAsiaTheme="minorEastAsia"/>
                <w:color w:val="auto"/>
                <w:szCs w:val="21"/>
                <w:highlight w:val="none"/>
              </w:rPr>
            </w:pPr>
          </w:p>
        </w:tc>
        <w:tc>
          <w:tcPr>
            <w:tcW w:w="925" w:type="dxa"/>
            <w:tcMar>
              <w:top w:w="0" w:type="dxa"/>
              <w:left w:w="108" w:type="dxa"/>
              <w:bottom w:w="0" w:type="dxa"/>
              <w:right w:w="108" w:type="dxa"/>
            </w:tcMar>
            <w:vAlign w:val="center"/>
          </w:tcPr>
          <w:p w14:paraId="5D74ABEE">
            <w:pPr>
              <w:pStyle w:val="299"/>
              <w:jc w:val="center"/>
              <w:rPr>
                <w:rFonts w:asciiTheme="minorEastAsia" w:hAnsiTheme="minorEastAsia" w:eastAsiaTheme="minorEastAsia"/>
                <w:color w:val="auto"/>
                <w:szCs w:val="21"/>
                <w:highlight w:val="none"/>
              </w:rPr>
            </w:pPr>
          </w:p>
        </w:tc>
        <w:tc>
          <w:tcPr>
            <w:tcW w:w="1078" w:type="dxa"/>
            <w:vAlign w:val="center"/>
          </w:tcPr>
          <w:p w14:paraId="43CD744A">
            <w:pPr>
              <w:pStyle w:val="299"/>
              <w:jc w:val="center"/>
              <w:rPr>
                <w:rFonts w:asciiTheme="minorEastAsia" w:hAnsiTheme="minorEastAsia" w:eastAsiaTheme="minorEastAsia"/>
                <w:color w:val="auto"/>
                <w:szCs w:val="21"/>
                <w:highlight w:val="none"/>
              </w:rPr>
            </w:pPr>
          </w:p>
        </w:tc>
        <w:tc>
          <w:tcPr>
            <w:tcW w:w="1078" w:type="dxa"/>
            <w:vAlign w:val="center"/>
          </w:tcPr>
          <w:p w14:paraId="74F26C60">
            <w:pPr>
              <w:pStyle w:val="299"/>
              <w:jc w:val="center"/>
              <w:rPr>
                <w:rFonts w:asciiTheme="minorEastAsia" w:hAnsiTheme="minorEastAsia" w:eastAsiaTheme="minorEastAsia"/>
                <w:color w:val="auto"/>
                <w:szCs w:val="21"/>
                <w:highlight w:val="none"/>
              </w:rPr>
            </w:pPr>
          </w:p>
        </w:tc>
        <w:tc>
          <w:tcPr>
            <w:tcW w:w="966" w:type="dxa"/>
            <w:vAlign w:val="center"/>
          </w:tcPr>
          <w:p w14:paraId="598453CE">
            <w:pPr>
              <w:pStyle w:val="299"/>
              <w:jc w:val="center"/>
              <w:rPr>
                <w:rFonts w:asciiTheme="minorEastAsia" w:hAnsiTheme="minorEastAsia" w:eastAsiaTheme="minorEastAsia"/>
                <w:color w:val="auto"/>
                <w:szCs w:val="21"/>
                <w:highlight w:val="none"/>
              </w:rPr>
            </w:pPr>
          </w:p>
        </w:tc>
        <w:tc>
          <w:tcPr>
            <w:tcW w:w="1115" w:type="dxa"/>
            <w:vAlign w:val="center"/>
          </w:tcPr>
          <w:p w14:paraId="2D322DCA">
            <w:pPr>
              <w:pStyle w:val="299"/>
              <w:jc w:val="center"/>
              <w:rPr>
                <w:rFonts w:asciiTheme="minorEastAsia" w:hAnsiTheme="minorEastAsia" w:eastAsiaTheme="minorEastAsia"/>
                <w:color w:val="auto"/>
                <w:szCs w:val="21"/>
                <w:highlight w:val="none"/>
              </w:rPr>
            </w:pPr>
          </w:p>
        </w:tc>
        <w:tc>
          <w:tcPr>
            <w:tcW w:w="959" w:type="dxa"/>
            <w:vAlign w:val="center"/>
          </w:tcPr>
          <w:p w14:paraId="2D95CFF0">
            <w:pPr>
              <w:pStyle w:val="299"/>
              <w:jc w:val="center"/>
              <w:rPr>
                <w:rFonts w:asciiTheme="minorEastAsia" w:hAnsiTheme="minorEastAsia" w:eastAsiaTheme="minorEastAsia"/>
                <w:color w:val="auto"/>
                <w:szCs w:val="21"/>
                <w:highlight w:val="none"/>
              </w:rPr>
            </w:pPr>
          </w:p>
        </w:tc>
        <w:tc>
          <w:tcPr>
            <w:tcW w:w="956" w:type="dxa"/>
            <w:vAlign w:val="center"/>
          </w:tcPr>
          <w:p w14:paraId="1C6A1C71">
            <w:pPr>
              <w:pStyle w:val="299"/>
              <w:jc w:val="center"/>
              <w:rPr>
                <w:rFonts w:asciiTheme="minorEastAsia" w:hAnsiTheme="minorEastAsia" w:eastAsiaTheme="minorEastAsia"/>
                <w:color w:val="auto"/>
                <w:szCs w:val="21"/>
                <w:highlight w:val="none"/>
              </w:rPr>
            </w:pPr>
          </w:p>
        </w:tc>
        <w:tc>
          <w:tcPr>
            <w:tcW w:w="1116" w:type="dxa"/>
            <w:tcMar>
              <w:top w:w="0" w:type="dxa"/>
              <w:left w:w="108" w:type="dxa"/>
              <w:bottom w:w="0" w:type="dxa"/>
              <w:right w:w="108" w:type="dxa"/>
            </w:tcMar>
            <w:vAlign w:val="center"/>
          </w:tcPr>
          <w:p w14:paraId="26CAB392">
            <w:pPr>
              <w:pStyle w:val="299"/>
              <w:jc w:val="center"/>
              <w:rPr>
                <w:rFonts w:asciiTheme="minorEastAsia" w:hAnsiTheme="minorEastAsia" w:eastAsiaTheme="minorEastAsia"/>
                <w:color w:val="auto"/>
                <w:szCs w:val="21"/>
                <w:highlight w:val="none"/>
              </w:rPr>
            </w:pPr>
          </w:p>
        </w:tc>
        <w:tc>
          <w:tcPr>
            <w:tcW w:w="1158" w:type="dxa"/>
            <w:vAlign w:val="center"/>
          </w:tcPr>
          <w:p w14:paraId="23F15F9A">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lang w:val="en-US" w:eastAsia="zh-CN"/>
              </w:rPr>
              <w:t>7</w:t>
            </w:r>
            <w:r>
              <w:rPr>
                <w:rFonts w:asciiTheme="minorEastAsia" w:hAnsiTheme="minorEastAsia" w:eastAsiaTheme="minorEastAsia"/>
                <w:color w:val="auto"/>
                <w:szCs w:val="21"/>
                <w:highlight w:val="none"/>
              </w:rPr>
              <w:t>.1</w:t>
            </w:r>
          </w:p>
        </w:tc>
      </w:tr>
      <w:tr w14:paraId="30D43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51" w:type="dxa"/>
            <w:vAlign w:val="center"/>
          </w:tcPr>
          <w:p w14:paraId="0ABEB1BC">
            <w:pPr>
              <w:pStyle w:val="299"/>
              <w:jc w:val="center"/>
              <w:rPr>
                <w:rFonts w:hint="default" w:asciiTheme="minorEastAsia" w:hAnsiTheme="minorEastAsia" w:eastAsiaTheme="minorEastAsia"/>
                <w:color w:val="auto"/>
                <w:szCs w:val="21"/>
                <w:highlight w:val="none"/>
                <w:lang w:val="en-US" w:eastAsia="zh-CN"/>
              </w:rPr>
            </w:pPr>
          </w:p>
        </w:tc>
        <w:tc>
          <w:tcPr>
            <w:tcW w:w="766" w:type="dxa"/>
            <w:tcMar>
              <w:top w:w="0" w:type="dxa"/>
              <w:left w:w="108" w:type="dxa"/>
              <w:bottom w:w="0" w:type="dxa"/>
              <w:right w:w="108" w:type="dxa"/>
            </w:tcMar>
            <w:vAlign w:val="center"/>
          </w:tcPr>
          <w:p w14:paraId="396005E4">
            <w:pPr>
              <w:pStyle w:val="299"/>
              <w:jc w:val="center"/>
              <w:rPr>
                <w:rFonts w:asciiTheme="minorEastAsia" w:hAnsiTheme="minorEastAsia" w:eastAsiaTheme="minorEastAsia"/>
                <w:color w:val="auto"/>
                <w:szCs w:val="21"/>
                <w:highlight w:val="none"/>
              </w:rPr>
            </w:pPr>
          </w:p>
        </w:tc>
        <w:tc>
          <w:tcPr>
            <w:tcW w:w="1320" w:type="dxa"/>
            <w:tcMar>
              <w:top w:w="0" w:type="dxa"/>
              <w:left w:w="108" w:type="dxa"/>
              <w:bottom w:w="0" w:type="dxa"/>
              <w:right w:w="108" w:type="dxa"/>
            </w:tcMar>
            <w:vAlign w:val="center"/>
          </w:tcPr>
          <w:p w14:paraId="697B9F06">
            <w:pPr>
              <w:pStyle w:val="299"/>
              <w:jc w:val="center"/>
              <w:rPr>
                <w:rFonts w:asciiTheme="minorEastAsia" w:hAnsiTheme="minorEastAsia" w:eastAsiaTheme="minorEastAsia"/>
                <w:color w:val="auto"/>
                <w:szCs w:val="21"/>
                <w:highlight w:val="none"/>
              </w:rPr>
            </w:pPr>
          </w:p>
        </w:tc>
        <w:tc>
          <w:tcPr>
            <w:tcW w:w="727" w:type="dxa"/>
            <w:tcMar>
              <w:top w:w="0" w:type="dxa"/>
              <w:left w:w="108" w:type="dxa"/>
              <w:bottom w:w="0" w:type="dxa"/>
              <w:right w:w="108" w:type="dxa"/>
            </w:tcMar>
            <w:vAlign w:val="center"/>
          </w:tcPr>
          <w:p w14:paraId="5E0DDE5C">
            <w:pPr>
              <w:pStyle w:val="299"/>
              <w:jc w:val="center"/>
              <w:rPr>
                <w:rFonts w:asciiTheme="minorEastAsia" w:hAnsiTheme="minorEastAsia" w:eastAsiaTheme="minorEastAsia"/>
                <w:color w:val="auto"/>
                <w:szCs w:val="21"/>
                <w:highlight w:val="none"/>
              </w:rPr>
            </w:pPr>
          </w:p>
        </w:tc>
        <w:tc>
          <w:tcPr>
            <w:tcW w:w="1078" w:type="dxa"/>
            <w:vAlign w:val="center"/>
          </w:tcPr>
          <w:p w14:paraId="3ABFE457">
            <w:pPr>
              <w:pStyle w:val="299"/>
              <w:jc w:val="center"/>
              <w:rPr>
                <w:rFonts w:asciiTheme="minorEastAsia" w:hAnsiTheme="minorEastAsia" w:eastAsiaTheme="minorEastAsia"/>
                <w:color w:val="auto"/>
                <w:szCs w:val="21"/>
                <w:highlight w:val="none"/>
              </w:rPr>
            </w:pPr>
          </w:p>
        </w:tc>
        <w:tc>
          <w:tcPr>
            <w:tcW w:w="925" w:type="dxa"/>
            <w:tcMar>
              <w:top w:w="0" w:type="dxa"/>
              <w:left w:w="108" w:type="dxa"/>
              <w:bottom w:w="0" w:type="dxa"/>
              <w:right w:w="108" w:type="dxa"/>
            </w:tcMar>
            <w:vAlign w:val="center"/>
          </w:tcPr>
          <w:p w14:paraId="625FF7A9">
            <w:pPr>
              <w:pStyle w:val="299"/>
              <w:jc w:val="center"/>
              <w:rPr>
                <w:rFonts w:asciiTheme="minorEastAsia" w:hAnsiTheme="minorEastAsia" w:eastAsiaTheme="minorEastAsia"/>
                <w:color w:val="auto"/>
                <w:szCs w:val="21"/>
                <w:highlight w:val="none"/>
              </w:rPr>
            </w:pPr>
          </w:p>
        </w:tc>
        <w:tc>
          <w:tcPr>
            <w:tcW w:w="1078" w:type="dxa"/>
            <w:vAlign w:val="center"/>
          </w:tcPr>
          <w:p w14:paraId="76D0DFAF">
            <w:pPr>
              <w:pStyle w:val="299"/>
              <w:jc w:val="center"/>
              <w:rPr>
                <w:rFonts w:asciiTheme="minorEastAsia" w:hAnsiTheme="minorEastAsia" w:eastAsiaTheme="minorEastAsia"/>
                <w:color w:val="auto"/>
                <w:szCs w:val="21"/>
                <w:highlight w:val="none"/>
              </w:rPr>
            </w:pPr>
          </w:p>
        </w:tc>
        <w:tc>
          <w:tcPr>
            <w:tcW w:w="1078" w:type="dxa"/>
            <w:vAlign w:val="center"/>
          </w:tcPr>
          <w:p w14:paraId="37E2076A">
            <w:pPr>
              <w:pStyle w:val="299"/>
              <w:jc w:val="center"/>
              <w:rPr>
                <w:rFonts w:asciiTheme="minorEastAsia" w:hAnsiTheme="minorEastAsia" w:eastAsiaTheme="minorEastAsia"/>
                <w:color w:val="auto"/>
                <w:szCs w:val="21"/>
                <w:highlight w:val="none"/>
              </w:rPr>
            </w:pPr>
          </w:p>
        </w:tc>
        <w:tc>
          <w:tcPr>
            <w:tcW w:w="966" w:type="dxa"/>
            <w:vAlign w:val="center"/>
          </w:tcPr>
          <w:p w14:paraId="75929EDC">
            <w:pPr>
              <w:pStyle w:val="299"/>
              <w:jc w:val="center"/>
              <w:rPr>
                <w:rFonts w:asciiTheme="minorEastAsia" w:hAnsiTheme="minorEastAsia" w:eastAsiaTheme="minorEastAsia"/>
                <w:color w:val="auto"/>
                <w:szCs w:val="21"/>
                <w:highlight w:val="none"/>
              </w:rPr>
            </w:pPr>
          </w:p>
        </w:tc>
        <w:tc>
          <w:tcPr>
            <w:tcW w:w="1115" w:type="dxa"/>
            <w:vAlign w:val="center"/>
          </w:tcPr>
          <w:p w14:paraId="1391B40B">
            <w:pPr>
              <w:pStyle w:val="299"/>
              <w:jc w:val="center"/>
              <w:rPr>
                <w:rFonts w:asciiTheme="minorEastAsia" w:hAnsiTheme="minorEastAsia" w:eastAsiaTheme="minorEastAsia"/>
                <w:color w:val="auto"/>
                <w:szCs w:val="21"/>
                <w:highlight w:val="none"/>
              </w:rPr>
            </w:pPr>
          </w:p>
        </w:tc>
        <w:tc>
          <w:tcPr>
            <w:tcW w:w="959" w:type="dxa"/>
            <w:vAlign w:val="center"/>
          </w:tcPr>
          <w:p w14:paraId="5296CF3C">
            <w:pPr>
              <w:pStyle w:val="299"/>
              <w:jc w:val="center"/>
              <w:rPr>
                <w:rFonts w:asciiTheme="minorEastAsia" w:hAnsiTheme="minorEastAsia" w:eastAsiaTheme="minorEastAsia"/>
                <w:color w:val="auto"/>
                <w:szCs w:val="21"/>
                <w:highlight w:val="none"/>
              </w:rPr>
            </w:pPr>
          </w:p>
        </w:tc>
        <w:tc>
          <w:tcPr>
            <w:tcW w:w="956" w:type="dxa"/>
            <w:vAlign w:val="center"/>
          </w:tcPr>
          <w:p w14:paraId="2530C28F">
            <w:pPr>
              <w:pStyle w:val="299"/>
              <w:jc w:val="center"/>
              <w:rPr>
                <w:rFonts w:asciiTheme="minorEastAsia" w:hAnsiTheme="minorEastAsia" w:eastAsiaTheme="minorEastAsia"/>
                <w:color w:val="auto"/>
                <w:szCs w:val="21"/>
                <w:highlight w:val="none"/>
              </w:rPr>
            </w:pPr>
          </w:p>
        </w:tc>
        <w:tc>
          <w:tcPr>
            <w:tcW w:w="1116" w:type="dxa"/>
            <w:tcMar>
              <w:top w:w="0" w:type="dxa"/>
              <w:left w:w="108" w:type="dxa"/>
              <w:bottom w:w="0" w:type="dxa"/>
              <w:right w:w="108" w:type="dxa"/>
            </w:tcMar>
            <w:vAlign w:val="center"/>
          </w:tcPr>
          <w:p w14:paraId="26666433">
            <w:pPr>
              <w:pStyle w:val="299"/>
              <w:jc w:val="center"/>
              <w:rPr>
                <w:rFonts w:asciiTheme="minorEastAsia" w:hAnsiTheme="minorEastAsia" w:eastAsiaTheme="minorEastAsia"/>
                <w:color w:val="auto"/>
                <w:szCs w:val="21"/>
                <w:highlight w:val="none"/>
              </w:rPr>
            </w:pPr>
          </w:p>
        </w:tc>
        <w:tc>
          <w:tcPr>
            <w:tcW w:w="1158" w:type="dxa"/>
            <w:vAlign w:val="center"/>
          </w:tcPr>
          <w:p w14:paraId="044FF330">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lang w:val="en-US" w:eastAsia="zh-CN"/>
              </w:rPr>
              <w:t>7</w:t>
            </w:r>
            <w:r>
              <w:rPr>
                <w:rFonts w:asciiTheme="minorEastAsia" w:hAnsiTheme="minorEastAsia" w:eastAsiaTheme="minorEastAsia"/>
                <w:color w:val="auto"/>
                <w:szCs w:val="21"/>
                <w:highlight w:val="none"/>
              </w:rPr>
              <w:t>.2</w:t>
            </w:r>
          </w:p>
        </w:tc>
      </w:tr>
      <w:tr w14:paraId="2A74F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51" w:type="dxa"/>
            <w:vAlign w:val="center"/>
          </w:tcPr>
          <w:p w14:paraId="59BF0142">
            <w:pPr>
              <w:pStyle w:val="299"/>
              <w:jc w:val="center"/>
              <w:rPr>
                <w:rFonts w:hint="default" w:asciiTheme="minorEastAsia" w:hAnsiTheme="minorEastAsia" w:eastAsiaTheme="minorEastAsia"/>
                <w:color w:val="auto"/>
                <w:szCs w:val="21"/>
                <w:highlight w:val="none"/>
                <w:lang w:val="en-US" w:eastAsia="zh-CN"/>
              </w:rPr>
            </w:pPr>
          </w:p>
        </w:tc>
        <w:tc>
          <w:tcPr>
            <w:tcW w:w="766" w:type="dxa"/>
            <w:tcMar>
              <w:top w:w="0" w:type="dxa"/>
              <w:left w:w="108" w:type="dxa"/>
              <w:bottom w:w="0" w:type="dxa"/>
              <w:right w:w="108" w:type="dxa"/>
            </w:tcMar>
            <w:vAlign w:val="center"/>
          </w:tcPr>
          <w:p w14:paraId="3917F331">
            <w:pPr>
              <w:pStyle w:val="299"/>
              <w:jc w:val="center"/>
              <w:rPr>
                <w:rFonts w:asciiTheme="minorEastAsia" w:hAnsiTheme="minorEastAsia" w:eastAsiaTheme="minorEastAsia"/>
                <w:color w:val="auto"/>
                <w:szCs w:val="21"/>
                <w:highlight w:val="none"/>
              </w:rPr>
            </w:pPr>
          </w:p>
        </w:tc>
        <w:tc>
          <w:tcPr>
            <w:tcW w:w="1320" w:type="dxa"/>
            <w:tcMar>
              <w:top w:w="0" w:type="dxa"/>
              <w:left w:w="108" w:type="dxa"/>
              <w:bottom w:w="0" w:type="dxa"/>
              <w:right w:w="108" w:type="dxa"/>
            </w:tcMar>
            <w:vAlign w:val="center"/>
          </w:tcPr>
          <w:p w14:paraId="21C45D25">
            <w:pPr>
              <w:pStyle w:val="299"/>
              <w:jc w:val="center"/>
              <w:rPr>
                <w:rFonts w:asciiTheme="minorEastAsia" w:hAnsiTheme="minorEastAsia" w:eastAsiaTheme="minorEastAsia"/>
                <w:color w:val="auto"/>
                <w:szCs w:val="21"/>
                <w:highlight w:val="none"/>
              </w:rPr>
            </w:pPr>
          </w:p>
        </w:tc>
        <w:tc>
          <w:tcPr>
            <w:tcW w:w="727" w:type="dxa"/>
            <w:tcMar>
              <w:top w:w="0" w:type="dxa"/>
              <w:left w:w="108" w:type="dxa"/>
              <w:bottom w:w="0" w:type="dxa"/>
              <w:right w:w="108" w:type="dxa"/>
            </w:tcMar>
            <w:vAlign w:val="center"/>
          </w:tcPr>
          <w:p w14:paraId="18EAA905">
            <w:pPr>
              <w:pStyle w:val="299"/>
              <w:jc w:val="center"/>
              <w:rPr>
                <w:rFonts w:asciiTheme="minorEastAsia" w:hAnsiTheme="minorEastAsia" w:eastAsiaTheme="minorEastAsia"/>
                <w:color w:val="auto"/>
                <w:szCs w:val="21"/>
                <w:highlight w:val="none"/>
              </w:rPr>
            </w:pPr>
          </w:p>
        </w:tc>
        <w:tc>
          <w:tcPr>
            <w:tcW w:w="1078" w:type="dxa"/>
            <w:vAlign w:val="center"/>
          </w:tcPr>
          <w:p w14:paraId="6E9ED823">
            <w:pPr>
              <w:pStyle w:val="299"/>
              <w:jc w:val="center"/>
              <w:rPr>
                <w:rFonts w:asciiTheme="minorEastAsia" w:hAnsiTheme="minorEastAsia" w:eastAsiaTheme="minorEastAsia"/>
                <w:color w:val="auto"/>
                <w:szCs w:val="21"/>
                <w:highlight w:val="none"/>
              </w:rPr>
            </w:pPr>
          </w:p>
        </w:tc>
        <w:tc>
          <w:tcPr>
            <w:tcW w:w="925" w:type="dxa"/>
            <w:tcMar>
              <w:top w:w="0" w:type="dxa"/>
              <w:left w:w="108" w:type="dxa"/>
              <w:bottom w:w="0" w:type="dxa"/>
              <w:right w:w="108" w:type="dxa"/>
            </w:tcMar>
            <w:vAlign w:val="center"/>
          </w:tcPr>
          <w:p w14:paraId="6A98F75F">
            <w:pPr>
              <w:pStyle w:val="299"/>
              <w:jc w:val="center"/>
              <w:rPr>
                <w:rFonts w:asciiTheme="minorEastAsia" w:hAnsiTheme="minorEastAsia" w:eastAsiaTheme="minorEastAsia"/>
                <w:color w:val="auto"/>
                <w:szCs w:val="21"/>
                <w:highlight w:val="none"/>
              </w:rPr>
            </w:pPr>
          </w:p>
        </w:tc>
        <w:tc>
          <w:tcPr>
            <w:tcW w:w="1078" w:type="dxa"/>
            <w:vAlign w:val="center"/>
          </w:tcPr>
          <w:p w14:paraId="52D0D611">
            <w:pPr>
              <w:pStyle w:val="299"/>
              <w:jc w:val="center"/>
              <w:rPr>
                <w:rFonts w:asciiTheme="minorEastAsia" w:hAnsiTheme="minorEastAsia" w:eastAsiaTheme="minorEastAsia"/>
                <w:color w:val="auto"/>
                <w:szCs w:val="21"/>
                <w:highlight w:val="none"/>
              </w:rPr>
            </w:pPr>
          </w:p>
        </w:tc>
        <w:tc>
          <w:tcPr>
            <w:tcW w:w="1078" w:type="dxa"/>
            <w:vAlign w:val="center"/>
          </w:tcPr>
          <w:p w14:paraId="33DB7DFB">
            <w:pPr>
              <w:pStyle w:val="299"/>
              <w:jc w:val="center"/>
              <w:rPr>
                <w:rFonts w:asciiTheme="minorEastAsia" w:hAnsiTheme="minorEastAsia" w:eastAsiaTheme="minorEastAsia"/>
                <w:color w:val="auto"/>
                <w:szCs w:val="21"/>
                <w:highlight w:val="none"/>
              </w:rPr>
            </w:pPr>
          </w:p>
        </w:tc>
        <w:tc>
          <w:tcPr>
            <w:tcW w:w="966" w:type="dxa"/>
            <w:vAlign w:val="center"/>
          </w:tcPr>
          <w:p w14:paraId="43C0A3A1">
            <w:pPr>
              <w:pStyle w:val="299"/>
              <w:jc w:val="center"/>
              <w:rPr>
                <w:rFonts w:asciiTheme="minorEastAsia" w:hAnsiTheme="minorEastAsia" w:eastAsiaTheme="minorEastAsia"/>
                <w:color w:val="auto"/>
                <w:szCs w:val="21"/>
                <w:highlight w:val="none"/>
              </w:rPr>
            </w:pPr>
          </w:p>
        </w:tc>
        <w:tc>
          <w:tcPr>
            <w:tcW w:w="1115" w:type="dxa"/>
            <w:vAlign w:val="center"/>
          </w:tcPr>
          <w:p w14:paraId="20C83813">
            <w:pPr>
              <w:pStyle w:val="299"/>
              <w:jc w:val="center"/>
              <w:rPr>
                <w:rFonts w:asciiTheme="minorEastAsia" w:hAnsiTheme="minorEastAsia" w:eastAsiaTheme="minorEastAsia"/>
                <w:color w:val="auto"/>
                <w:szCs w:val="21"/>
                <w:highlight w:val="none"/>
              </w:rPr>
            </w:pPr>
          </w:p>
        </w:tc>
        <w:tc>
          <w:tcPr>
            <w:tcW w:w="959" w:type="dxa"/>
            <w:vAlign w:val="center"/>
          </w:tcPr>
          <w:p w14:paraId="3B6C9BEA">
            <w:pPr>
              <w:pStyle w:val="299"/>
              <w:jc w:val="center"/>
              <w:rPr>
                <w:rFonts w:asciiTheme="minorEastAsia" w:hAnsiTheme="minorEastAsia" w:eastAsiaTheme="minorEastAsia"/>
                <w:color w:val="auto"/>
                <w:szCs w:val="21"/>
                <w:highlight w:val="none"/>
              </w:rPr>
            </w:pPr>
          </w:p>
        </w:tc>
        <w:tc>
          <w:tcPr>
            <w:tcW w:w="956" w:type="dxa"/>
            <w:vAlign w:val="center"/>
          </w:tcPr>
          <w:p w14:paraId="7076A730">
            <w:pPr>
              <w:pStyle w:val="299"/>
              <w:jc w:val="center"/>
              <w:rPr>
                <w:rFonts w:asciiTheme="minorEastAsia" w:hAnsiTheme="minorEastAsia" w:eastAsiaTheme="minorEastAsia"/>
                <w:color w:val="auto"/>
                <w:szCs w:val="21"/>
                <w:highlight w:val="none"/>
              </w:rPr>
            </w:pPr>
          </w:p>
        </w:tc>
        <w:tc>
          <w:tcPr>
            <w:tcW w:w="1116" w:type="dxa"/>
            <w:tcMar>
              <w:top w:w="0" w:type="dxa"/>
              <w:left w:w="108" w:type="dxa"/>
              <w:bottom w:w="0" w:type="dxa"/>
              <w:right w:w="108" w:type="dxa"/>
            </w:tcMar>
            <w:vAlign w:val="center"/>
          </w:tcPr>
          <w:p w14:paraId="260BBBDB">
            <w:pPr>
              <w:pStyle w:val="299"/>
              <w:jc w:val="center"/>
              <w:rPr>
                <w:rFonts w:asciiTheme="minorEastAsia" w:hAnsiTheme="minorEastAsia" w:eastAsiaTheme="minorEastAsia"/>
                <w:color w:val="auto"/>
                <w:szCs w:val="21"/>
                <w:highlight w:val="none"/>
              </w:rPr>
            </w:pPr>
          </w:p>
        </w:tc>
        <w:tc>
          <w:tcPr>
            <w:tcW w:w="1158" w:type="dxa"/>
            <w:vAlign w:val="center"/>
          </w:tcPr>
          <w:p w14:paraId="723132A7">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lang w:val="en-US" w:eastAsia="zh-CN"/>
              </w:rPr>
              <w:t>7</w:t>
            </w:r>
            <w:r>
              <w:rPr>
                <w:rFonts w:asciiTheme="minorEastAsia" w:hAnsiTheme="minorEastAsia" w:eastAsiaTheme="minorEastAsia"/>
                <w:color w:val="auto"/>
                <w:szCs w:val="21"/>
                <w:highlight w:val="none"/>
              </w:rPr>
              <w:t>.3</w:t>
            </w:r>
          </w:p>
        </w:tc>
      </w:tr>
      <w:tr w14:paraId="5E942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51" w:type="dxa"/>
            <w:vAlign w:val="center"/>
          </w:tcPr>
          <w:p w14:paraId="4694663C">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766" w:type="dxa"/>
            <w:tcMar>
              <w:top w:w="0" w:type="dxa"/>
              <w:left w:w="108" w:type="dxa"/>
              <w:bottom w:w="0" w:type="dxa"/>
              <w:right w:w="108" w:type="dxa"/>
            </w:tcMar>
            <w:vAlign w:val="center"/>
          </w:tcPr>
          <w:p w14:paraId="2AF8F87A">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320" w:type="dxa"/>
            <w:tcMar>
              <w:top w:w="0" w:type="dxa"/>
              <w:left w:w="108" w:type="dxa"/>
              <w:bottom w:w="0" w:type="dxa"/>
              <w:right w:w="108" w:type="dxa"/>
            </w:tcMar>
            <w:vAlign w:val="center"/>
          </w:tcPr>
          <w:p w14:paraId="29753CEF">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727" w:type="dxa"/>
            <w:tcMar>
              <w:top w:w="0" w:type="dxa"/>
              <w:left w:w="108" w:type="dxa"/>
              <w:bottom w:w="0" w:type="dxa"/>
              <w:right w:w="108" w:type="dxa"/>
            </w:tcMar>
            <w:vAlign w:val="center"/>
          </w:tcPr>
          <w:p w14:paraId="5D6C10FB">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078" w:type="dxa"/>
            <w:vAlign w:val="center"/>
          </w:tcPr>
          <w:p w14:paraId="631C926D">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925" w:type="dxa"/>
            <w:tcMar>
              <w:top w:w="0" w:type="dxa"/>
              <w:left w:w="108" w:type="dxa"/>
              <w:bottom w:w="0" w:type="dxa"/>
              <w:right w:w="108" w:type="dxa"/>
            </w:tcMar>
            <w:vAlign w:val="center"/>
          </w:tcPr>
          <w:p w14:paraId="383CFAB9">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078" w:type="dxa"/>
            <w:vAlign w:val="center"/>
          </w:tcPr>
          <w:p w14:paraId="5555B5FC">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078" w:type="dxa"/>
            <w:vAlign w:val="center"/>
          </w:tcPr>
          <w:p w14:paraId="65DAE54F">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966" w:type="dxa"/>
            <w:vAlign w:val="center"/>
          </w:tcPr>
          <w:p w14:paraId="5FBA0F03">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115" w:type="dxa"/>
            <w:vAlign w:val="center"/>
          </w:tcPr>
          <w:p w14:paraId="139AFC4E">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959" w:type="dxa"/>
            <w:vAlign w:val="center"/>
          </w:tcPr>
          <w:p w14:paraId="44D46E5B">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956" w:type="dxa"/>
            <w:vAlign w:val="center"/>
          </w:tcPr>
          <w:p w14:paraId="458519D4">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116" w:type="dxa"/>
            <w:tcMar>
              <w:top w:w="0" w:type="dxa"/>
              <w:left w:w="108" w:type="dxa"/>
              <w:bottom w:w="0" w:type="dxa"/>
              <w:right w:w="108" w:type="dxa"/>
            </w:tcMar>
            <w:vAlign w:val="center"/>
          </w:tcPr>
          <w:p w14:paraId="648368FC">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158" w:type="dxa"/>
            <w:vAlign w:val="center"/>
          </w:tcPr>
          <w:p w14:paraId="30DF69C9">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r>
    </w:tbl>
    <w:p w14:paraId="36B7029B">
      <w:pPr>
        <w:spacing w:line="320" w:lineRule="exact"/>
        <w:rPr>
          <w:rFonts w:ascii="宋体" w:hAnsi="宋体" w:cs="宋体"/>
          <w:color w:val="auto"/>
          <w:spacing w:val="-3"/>
          <w:highlight w:val="none"/>
        </w:rPr>
      </w:pPr>
      <w:r>
        <w:rPr>
          <w:rFonts w:hint="eastAsia" w:ascii="宋体" w:hAnsi="宋体" w:cs="宋体"/>
          <w:color w:val="auto"/>
          <w:highlight w:val="none"/>
        </w:rPr>
        <w:t>注：</w:t>
      </w:r>
      <w:r>
        <w:rPr>
          <w:rFonts w:ascii="宋体" w:hAnsi="宋体" w:cs="宋体"/>
          <w:color w:val="auto"/>
          <w:highlight w:val="none"/>
        </w:rPr>
        <w:t>1.投</w:t>
      </w:r>
      <w:r>
        <w:rPr>
          <w:rFonts w:hint="eastAsia" w:ascii="宋体" w:hAnsi="宋体" w:cs="宋体"/>
          <w:color w:val="auto"/>
          <w:spacing w:val="-3"/>
          <w:szCs w:val="21"/>
          <w:highlight w:val="none"/>
        </w:rPr>
        <w:t>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ascii="宋体" w:hAnsi="宋体" w:cs="宋体"/>
          <w:color w:val="auto"/>
          <w:highlight w:val="none"/>
        </w:rPr>
        <w:t>C</w:t>
      </w:r>
      <w:r>
        <w:rPr>
          <w:rFonts w:hint="eastAsia" w:ascii="宋体" w:hAnsi="宋体" w:cs="宋体"/>
          <w:color w:val="auto"/>
          <w:highlight w:val="none"/>
          <w:lang w:val="en-US" w:eastAsia="zh-CN"/>
        </w:rPr>
        <w:t>7</w:t>
      </w:r>
      <w:r>
        <w:rPr>
          <w:rFonts w:hint="eastAsia" w:ascii="宋体" w:hAnsi="宋体" w:cs="宋体"/>
          <w:color w:val="auto"/>
          <w:highlight w:val="none"/>
        </w:rPr>
        <w:t>系列（房建工程施工项目业绩）</w:t>
      </w:r>
      <w:r>
        <w:rPr>
          <w:rFonts w:hint="eastAsia" w:ascii="宋体" w:hAnsi="宋体" w:cs="宋体"/>
          <w:color w:val="auto"/>
          <w:spacing w:val="-3"/>
          <w:highlight w:val="none"/>
        </w:rPr>
        <w:t>：</w:t>
      </w:r>
    </w:p>
    <w:p w14:paraId="4E0308F7">
      <w:pPr>
        <w:spacing w:line="320" w:lineRule="exact"/>
        <w:ind w:left="1020" w:leftChars="285" w:hanging="422" w:hangingChars="200"/>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 xml:space="preserve"> 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bookmarkStart w:id="932" w:name="_Hlk93948027"/>
      <w:r>
        <w:rPr>
          <w:rStyle w:val="59"/>
          <w:rFonts w:ascii="宋体" w:hAnsi="宋体" w:cs="宋体"/>
          <w:color w:val="auto"/>
          <w:highlight w:val="none"/>
        </w:rPr>
        <w:footnoteReference w:id="300"/>
      </w:r>
      <w:bookmarkEnd w:id="932"/>
      <w:r>
        <w:rPr>
          <w:rFonts w:hint="eastAsia" w:ascii="宋体" w:hAnsi="宋体" w:cs="宋体"/>
          <w:color w:val="auto"/>
          <w:highlight w:val="none"/>
        </w:rPr>
        <w:t>。</w:t>
      </w:r>
      <w:r>
        <w:rPr>
          <w:rFonts w:hint="eastAsia" w:ascii="宋体" w:hAnsi="宋体" w:cs="宋体"/>
          <w:color w:val="auto"/>
          <w:highlight w:val="none"/>
        </w:rPr>
        <w:sym w:font="Wingdings 2" w:char="00A3"/>
      </w:r>
      <w:r>
        <w:rPr>
          <w:rFonts w:hint="eastAsia" w:ascii="宋体" w:hAnsi="宋体" w:cs="宋体"/>
          <w:color w:val="auto"/>
          <w:highlight w:val="none"/>
          <w:lang w:val="en-US" w:eastAsia="zh-CN"/>
        </w:rPr>
        <w:t>或</w:t>
      </w:r>
    </w:p>
    <w:p w14:paraId="4462AAC7">
      <w:pPr>
        <w:spacing w:line="320" w:lineRule="exact"/>
        <w:ind w:firstLine="632" w:firstLineChars="300"/>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 xml:space="preserve"> </w:t>
      </w:r>
      <w:r>
        <w:rPr>
          <w:rFonts w:hint="eastAsia" w:ascii="宋体" w:hAnsi="宋体" w:cs="宋体"/>
          <w:color w:val="auto"/>
          <w:spacing w:val="-3"/>
          <w:highlight w:val="none"/>
          <w:lang w:val="en-US" w:eastAsia="zh-CN"/>
        </w:rPr>
        <w:t>在</w:t>
      </w:r>
      <w:r>
        <w:rPr>
          <w:rFonts w:ascii="宋体" w:hAnsi="宋体" w:cs="宋体"/>
          <w:color w:val="auto"/>
          <w:spacing w:val="-3"/>
          <w:highlight w:val="none"/>
        </w:rPr>
        <w:t>“</w:t>
      </w:r>
      <w:r>
        <w:rPr>
          <w:rFonts w:hint="eastAsia" w:ascii="宋体" w:hAnsi="宋体" w:cs="宋体"/>
          <w:color w:val="auto"/>
          <w:spacing w:val="-3"/>
          <w:highlight w:val="none"/>
        </w:rPr>
        <w:t>全国建筑市场监管公共服务平台</w:t>
      </w:r>
      <w:r>
        <w:rPr>
          <w:rFonts w:ascii="宋体" w:hAnsi="宋体" w:cs="宋体"/>
          <w:color w:val="auto"/>
          <w:spacing w:val="-3"/>
          <w:highlight w:val="none"/>
        </w:rPr>
        <w:t>”</w:t>
      </w:r>
      <w:r>
        <w:rPr>
          <w:rFonts w:hint="eastAsia" w:ascii="宋体" w:hAnsi="宋体" w:cs="宋体"/>
          <w:color w:val="auto"/>
          <w:spacing w:val="-3"/>
          <w:highlight w:val="none"/>
        </w:rPr>
        <w:t>中查询到的企业数据</w:t>
      </w:r>
      <w:r>
        <w:rPr>
          <w:rFonts w:ascii="宋体" w:hAnsi="宋体" w:cs="宋体"/>
          <w:color w:val="auto"/>
          <w:spacing w:val="-3"/>
          <w:highlight w:val="none"/>
        </w:rPr>
        <w:t>“</w:t>
      </w:r>
      <w:r>
        <w:rPr>
          <w:rFonts w:hint="eastAsia" w:ascii="宋体" w:hAnsi="宋体" w:cs="宋体"/>
          <w:color w:val="auto"/>
          <w:spacing w:val="-3"/>
          <w:highlight w:val="none"/>
        </w:rPr>
        <w:t>工程项目</w:t>
      </w:r>
      <w:r>
        <w:rPr>
          <w:rFonts w:ascii="宋体" w:hAnsi="宋体" w:cs="宋体"/>
          <w:color w:val="auto"/>
          <w:spacing w:val="-3"/>
          <w:highlight w:val="none"/>
        </w:rPr>
        <w:t>”</w:t>
      </w:r>
      <w:r>
        <w:rPr>
          <w:rFonts w:hint="eastAsia" w:ascii="宋体" w:hAnsi="宋体" w:cs="宋体"/>
          <w:color w:val="auto"/>
          <w:highlight w:val="none"/>
        </w:rPr>
        <w:t>网页截图</w:t>
      </w:r>
      <w:r>
        <w:rPr>
          <w:rStyle w:val="59"/>
          <w:rFonts w:hint="eastAsia" w:ascii="宋体" w:hAnsi="宋体" w:cs="宋体"/>
          <w:color w:val="auto"/>
          <w:highlight w:val="none"/>
        </w:rPr>
        <w:footnoteReference w:id="301"/>
      </w:r>
      <w:r>
        <w:rPr>
          <w:rFonts w:hint="eastAsia" w:ascii="宋体" w:hAnsi="宋体" w:cs="宋体"/>
          <w:color w:val="auto"/>
          <w:highlight w:val="none"/>
        </w:rPr>
        <w:t>。</w:t>
      </w:r>
    </w:p>
    <w:p w14:paraId="6B7DC3E6">
      <w:pPr>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r>
        <w:rPr>
          <w:rFonts w:ascii="宋体" w:hAnsi="宋体" w:cs="宋体"/>
          <w:color w:val="auto"/>
          <w:highlight w:val="none"/>
        </w:rPr>
        <w:t xml:space="preserve"> </w:t>
      </w:r>
    </w:p>
    <w:p w14:paraId="56EB6AE9">
      <w:pPr>
        <w:pStyle w:val="299"/>
        <w:spacing w:line="32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.本表所列合同价格一般为项目结算价格，无结算价格的以签约合同价格为准。</w:t>
      </w:r>
    </w:p>
    <w:p w14:paraId="087982EE">
      <w:pPr>
        <w:pStyle w:val="299"/>
        <w:spacing w:line="32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color w:val="auto"/>
          <w:highlight w:val="none"/>
          <w:lang w:val="en-US" w:eastAsia="zh-CN"/>
        </w:rPr>
        <w:t>房建</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中包含的</w:t>
      </w:r>
      <w:r>
        <w:rPr>
          <w:rFonts w:hint="eastAsia" w:ascii="宋体" w:hAnsi="宋体" w:cs="宋体"/>
          <w:color w:val="auto"/>
          <w:spacing w:val="-3"/>
          <w:kern w:val="2"/>
          <w:sz w:val="21"/>
          <w:szCs w:val="24"/>
          <w:highlight w:val="none"/>
          <w:lang w:val="en-US" w:eastAsia="zh-CN" w:bidi="ar"/>
        </w:rPr>
        <w:t>施工内容</w:t>
      </w:r>
      <w:r>
        <w:rPr>
          <w:rFonts w:hint="eastAsia" w:ascii="宋体" w:hAnsi="宋体" w:eastAsia="宋体" w:cs="宋体"/>
          <w:color w:val="auto"/>
          <w:spacing w:val="-3"/>
          <w:kern w:val="2"/>
          <w:sz w:val="21"/>
          <w:szCs w:val="24"/>
          <w:highlight w:val="none"/>
          <w:lang w:val="en-US" w:eastAsia="zh-CN" w:bidi="ar"/>
        </w:rPr>
        <w:t>或单独</w:t>
      </w:r>
      <w:r>
        <w:rPr>
          <w:rFonts w:hint="eastAsia" w:ascii="宋体" w:hAnsi="宋体" w:cs="宋体"/>
          <w:color w:val="auto"/>
          <w:spacing w:val="-3"/>
          <w:kern w:val="2"/>
          <w:sz w:val="21"/>
          <w:szCs w:val="24"/>
          <w:highlight w:val="none"/>
          <w:lang w:val="en-US" w:eastAsia="zh-CN" w:bidi="ar"/>
        </w:rPr>
        <w:t>房建工程</w:t>
      </w:r>
      <w:r>
        <w:rPr>
          <w:rFonts w:hint="eastAsia" w:ascii="宋体" w:hAnsi="宋体" w:eastAsia="宋体" w:cs="宋体"/>
          <w:color w:val="auto"/>
          <w:spacing w:val="-3"/>
          <w:kern w:val="2"/>
          <w:sz w:val="21"/>
          <w:szCs w:val="24"/>
          <w:highlight w:val="none"/>
          <w:lang w:val="en-US" w:eastAsia="zh-CN" w:bidi="ar"/>
        </w:rPr>
        <w:t>合同的项目</w:t>
      </w:r>
      <w:r>
        <w:rPr>
          <w:rFonts w:hint="eastAsia" w:ascii="宋体" w:hAnsi="宋体" w:cs="宋体"/>
          <w:color w:val="auto"/>
          <w:spacing w:val="-3"/>
          <w:kern w:val="2"/>
          <w:sz w:val="21"/>
          <w:szCs w:val="24"/>
          <w:highlight w:val="none"/>
          <w:lang w:val="en-US" w:eastAsia="zh-CN" w:bidi="ar"/>
        </w:rPr>
        <w:t>。</w:t>
      </w:r>
    </w:p>
    <w:p w14:paraId="577C9844">
      <w:pPr>
        <w:pStyle w:val="299"/>
        <w:spacing w:line="320" w:lineRule="exact"/>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如近年来，投标人法人机构发生合法变更或重组或法人名称变更时，应提供相关部门的合法批件或其他相关证明材料来证明其所附业绩的继承性。</w:t>
      </w:r>
    </w:p>
    <w:p w14:paraId="1EBE2225">
      <w:pPr>
        <w:spacing w:line="32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w:t>
      </w:r>
      <w:r>
        <w:rPr>
          <w:rFonts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5月1日，填写为20</w:t>
      </w:r>
      <w:r>
        <w:rPr>
          <w:rFonts w:hint="eastAsia" w:ascii="宋体" w:hAnsi="宋体"/>
          <w:color w:val="auto"/>
          <w:szCs w:val="21"/>
          <w:highlight w:val="none"/>
          <w:lang w:val="en-US" w:eastAsia="zh-CN"/>
        </w:rPr>
        <w:t>21</w:t>
      </w:r>
      <w:r>
        <w:rPr>
          <w:rFonts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5月，填写为20</w:t>
      </w:r>
      <w:r>
        <w:rPr>
          <w:rFonts w:hint="eastAsia" w:ascii="宋体" w:hAnsi="宋体"/>
          <w:color w:val="auto"/>
          <w:szCs w:val="21"/>
          <w:highlight w:val="none"/>
          <w:lang w:val="en-US" w:eastAsia="zh-CN"/>
        </w:rPr>
        <w:t>21</w:t>
      </w:r>
      <w:r>
        <w:rPr>
          <w:rFonts w:ascii="宋体" w:hAnsi="宋体"/>
          <w:color w:val="auto"/>
          <w:szCs w:val="21"/>
          <w:highlight w:val="none"/>
        </w:rPr>
        <w:t>05。</w:t>
      </w:r>
    </w:p>
    <w:p w14:paraId="4931BCB6">
      <w:pPr>
        <w:spacing w:line="320" w:lineRule="exact"/>
        <w:ind w:left="609" w:leftChars="190" w:hanging="210" w:hangingChars="100"/>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ascii="宋体" w:hAnsi="宋体" w:cs="宋体"/>
          <w:color w:val="auto"/>
          <w:highlight w:val="none"/>
        </w:rPr>
        <w:t>.</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highlight w:val="none"/>
        </w:rPr>
        <w:t>以联合体形式投标的，联合体各成员应按照</w:t>
      </w:r>
      <w:r>
        <w:rPr>
          <w:rFonts w:hint="eastAsia" w:ascii="宋体" w:hAnsi="宋体" w:cs="宋体"/>
          <w:color w:val="auto"/>
          <w:highlight w:val="none"/>
          <w:lang w:val="en-US" w:eastAsia="zh-CN"/>
        </w:rPr>
        <w:t>第二章“</w:t>
      </w:r>
      <w:r>
        <w:rPr>
          <w:rFonts w:ascii="宋体" w:hAnsi="宋体" w:cs="宋体"/>
          <w:color w:val="auto"/>
          <w:highlight w:val="none"/>
        </w:rPr>
        <w:t>投标人须知</w:t>
      </w:r>
      <w:r>
        <w:rPr>
          <w:rFonts w:hint="eastAsia" w:ascii="宋体" w:hAnsi="宋体" w:cs="宋体"/>
          <w:color w:val="auto"/>
          <w:highlight w:val="none"/>
          <w:lang w:val="en-US" w:eastAsia="zh-CN"/>
        </w:rPr>
        <w:t>”</w:t>
      </w:r>
      <w:r>
        <w:rPr>
          <w:rFonts w:ascii="宋体" w:hAnsi="宋体" w:cs="宋体"/>
          <w:color w:val="auto"/>
          <w:highlight w:val="none"/>
        </w:rPr>
        <w:t>前附表附录3</w:t>
      </w:r>
      <w:r>
        <w:rPr>
          <w:rFonts w:hint="eastAsia" w:ascii="宋体" w:hAnsi="宋体" w:cs="宋体"/>
          <w:color w:val="auto"/>
          <w:highlight w:val="none"/>
        </w:rPr>
        <w:t>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5102BC98">
      <w:pPr>
        <w:spacing w:line="360" w:lineRule="auto"/>
        <w:ind w:firstLine="420" w:firstLineChars="0"/>
        <w:jc w:val="center"/>
        <w:rPr>
          <w:rFonts w:hint="eastAsia"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 xml:space="preserve">                      </w:t>
      </w:r>
    </w:p>
    <w:p w14:paraId="09AD5943">
      <w:pPr>
        <w:spacing w:line="240" w:lineRule="auto"/>
        <w:ind w:firstLine="0" w:firstLineChars="0"/>
        <w:jc w:val="left"/>
        <w:rPr>
          <w:rFonts w:hint="eastAsia"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br w:type="page"/>
      </w:r>
    </w:p>
    <w:p w14:paraId="1AB3F6C3">
      <w:pPr>
        <w:spacing w:line="360" w:lineRule="auto"/>
        <w:ind w:firstLine="420" w:firstLineChars="0"/>
        <w:jc w:val="center"/>
        <w:rPr>
          <w:rFonts w:ascii="黑体" w:hAnsi="黑体" w:eastAsia="黑体" w:cs="宋体"/>
          <w:color w:val="auto"/>
          <w:sz w:val="24"/>
          <w:highlight w:val="none"/>
        </w:rPr>
      </w:pPr>
      <w:r>
        <w:rPr>
          <w:rFonts w:hint="eastAsia" w:ascii="黑体" w:hAnsi="黑体" w:eastAsia="黑体" w:cs="宋体"/>
          <w:b/>
          <w:color w:val="auto"/>
          <w:sz w:val="24"/>
          <w:highlight w:val="none"/>
          <w:lang w:val="en-US" w:eastAsia="zh-CN"/>
        </w:rPr>
        <w:t xml:space="preserve">                           </w:t>
      </w:r>
      <w:r>
        <w:rPr>
          <w:rFonts w:hint="eastAsia" w:ascii="黑体" w:hAnsi="黑体" w:eastAsia="黑体" w:cs="宋体"/>
          <w:b/>
          <w:color w:val="auto"/>
          <w:sz w:val="24"/>
          <w:highlight w:val="none"/>
        </w:rPr>
        <w:t>□</w:t>
      </w:r>
      <w:r>
        <w:rPr>
          <w:rFonts w:ascii="黑体" w:hAnsi="黑体" w:eastAsia="黑体" w:cs="宋体"/>
          <w:color w:val="auto"/>
          <w:sz w:val="24"/>
          <w:highlight w:val="none"/>
        </w:rPr>
        <w:t xml:space="preserve"> 近年完成的</w:t>
      </w:r>
      <w:r>
        <w:rPr>
          <w:rFonts w:hint="eastAsia" w:ascii="黑体" w:hAnsi="黑体" w:eastAsia="黑体" w:cs="宋体"/>
          <w:color w:val="auto"/>
          <w:sz w:val="24"/>
          <w:highlight w:val="none"/>
        </w:rPr>
        <w:t>其他工程：</w:t>
      </w:r>
      <w:r>
        <w:rPr>
          <w:rFonts w:ascii="黑体" w:hAnsi="黑体" w:eastAsia="黑体" w:cs="宋体"/>
          <w:color w:val="auto"/>
          <w:sz w:val="24"/>
          <w:highlight w:val="none"/>
          <w:u w:val="single"/>
        </w:rPr>
        <w:t xml:space="preserve">        </w:t>
      </w:r>
      <w:r>
        <w:rPr>
          <w:rFonts w:hint="eastAsia" w:ascii="黑体" w:hAnsi="黑体" w:eastAsia="黑体" w:cs="宋体"/>
          <w:color w:val="auto"/>
          <w:sz w:val="24"/>
          <w:highlight w:val="none"/>
        </w:rPr>
        <w:t>施工情况</w:t>
      </w:r>
      <w:r>
        <w:rPr>
          <w:rStyle w:val="59"/>
          <w:rFonts w:ascii="黑体" w:hAnsi="黑体" w:eastAsia="黑体" w:cs="宋体"/>
          <w:color w:val="auto"/>
          <w:sz w:val="24"/>
          <w:highlight w:val="none"/>
        </w:rPr>
        <w:footnoteReference w:id="302"/>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4.</w:t>
      </w:r>
      <w:r>
        <w:rPr>
          <w:rFonts w:ascii="黑体" w:hAnsi="黑体" w:eastAsia="黑体" w:cs="宋体"/>
          <w:color w:val="auto"/>
          <w:sz w:val="24"/>
          <w:highlight w:val="none"/>
        </w:rPr>
        <w:t>8</w:t>
      </w:r>
    </w:p>
    <w:tbl>
      <w:tblPr>
        <w:tblStyle w:val="49"/>
        <w:tblW w:w="140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869"/>
        <w:gridCol w:w="1513"/>
        <w:gridCol w:w="638"/>
        <w:gridCol w:w="638"/>
        <w:gridCol w:w="976"/>
        <w:gridCol w:w="1063"/>
        <w:gridCol w:w="1062"/>
        <w:gridCol w:w="1062"/>
        <w:gridCol w:w="1314"/>
        <w:gridCol w:w="633"/>
        <w:gridCol w:w="1275"/>
        <w:gridCol w:w="1359"/>
        <w:gridCol w:w="1183"/>
      </w:tblGrid>
      <w:tr w14:paraId="24BF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17" w:type="dxa"/>
            <w:vAlign w:val="center"/>
          </w:tcPr>
          <w:p w14:paraId="41C01E99">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869" w:type="dxa"/>
            <w:tcMar>
              <w:top w:w="0" w:type="dxa"/>
              <w:left w:w="108" w:type="dxa"/>
              <w:bottom w:w="0" w:type="dxa"/>
              <w:right w:w="108" w:type="dxa"/>
            </w:tcMar>
            <w:vAlign w:val="center"/>
          </w:tcPr>
          <w:p w14:paraId="41BDC6C5">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p w14:paraId="18E42297">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业主</w:t>
            </w:r>
          </w:p>
        </w:tc>
        <w:tc>
          <w:tcPr>
            <w:tcW w:w="1513" w:type="dxa"/>
            <w:tcMar>
              <w:top w:w="0" w:type="dxa"/>
              <w:left w:w="108" w:type="dxa"/>
              <w:bottom w:w="0" w:type="dxa"/>
              <w:right w:w="108" w:type="dxa"/>
            </w:tcMar>
            <w:vAlign w:val="center"/>
          </w:tcPr>
          <w:p w14:paraId="11968B18">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638" w:type="dxa"/>
            <w:vAlign w:val="center"/>
          </w:tcPr>
          <w:p w14:paraId="6A8F0579">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公路</w:t>
            </w:r>
          </w:p>
          <w:p w14:paraId="16E648B0">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等级</w:t>
            </w:r>
          </w:p>
        </w:tc>
        <w:tc>
          <w:tcPr>
            <w:tcW w:w="638" w:type="dxa"/>
            <w:tcMar>
              <w:top w:w="0" w:type="dxa"/>
              <w:left w:w="108" w:type="dxa"/>
              <w:bottom w:w="0" w:type="dxa"/>
              <w:right w:w="108" w:type="dxa"/>
            </w:tcMar>
            <w:vAlign w:val="center"/>
          </w:tcPr>
          <w:p w14:paraId="3C57CEEC">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标段号</w:t>
            </w:r>
          </w:p>
        </w:tc>
        <w:tc>
          <w:tcPr>
            <w:tcW w:w="976" w:type="dxa"/>
            <w:vAlign w:val="center"/>
          </w:tcPr>
          <w:p w14:paraId="11A6E7F5">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标段长度</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km）</w:t>
            </w:r>
          </w:p>
        </w:tc>
        <w:tc>
          <w:tcPr>
            <w:tcW w:w="1063" w:type="dxa"/>
            <w:tcMar>
              <w:top w:w="0" w:type="dxa"/>
              <w:left w:w="108" w:type="dxa"/>
              <w:bottom w:w="0" w:type="dxa"/>
              <w:right w:w="108" w:type="dxa"/>
            </w:tcMar>
            <w:vAlign w:val="center"/>
          </w:tcPr>
          <w:p w14:paraId="4EFD9C34">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开工日期</w:t>
            </w:r>
          </w:p>
        </w:tc>
        <w:tc>
          <w:tcPr>
            <w:tcW w:w="1062" w:type="dxa"/>
            <w:vAlign w:val="center"/>
          </w:tcPr>
          <w:p w14:paraId="04FC7B3B">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完成（交工）日期</w:t>
            </w:r>
          </w:p>
        </w:tc>
        <w:tc>
          <w:tcPr>
            <w:tcW w:w="1062" w:type="dxa"/>
            <w:vAlign w:val="center"/>
          </w:tcPr>
          <w:p w14:paraId="2573B59B">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合同价格（元）</w:t>
            </w:r>
          </w:p>
        </w:tc>
        <w:tc>
          <w:tcPr>
            <w:tcW w:w="1314" w:type="dxa"/>
            <w:vAlign w:val="center"/>
          </w:tcPr>
          <w:p w14:paraId="3D01BE69">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建设规模</w:t>
            </w:r>
          </w:p>
        </w:tc>
        <w:tc>
          <w:tcPr>
            <w:tcW w:w="633" w:type="dxa"/>
            <w:vAlign w:val="center"/>
          </w:tcPr>
          <w:p w14:paraId="333EA0B9">
            <w:pPr>
              <w:pStyle w:val="299"/>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1275" w:type="dxa"/>
            <w:vAlign w:val="center"/>
          </w:tcPr>
          <w:p w14:paraId="0B1F6945">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项目经理</w:t>
            </w:r>
          </w:p>
        </w:tc>
        <w:tc>
          <w:tcPr>
            <w:tcW w:w="1359" w:type="dxa"/>
            <w:tcMar>
              <w:top w:w="0" w:type="dxa"/>
              <w:left w:w="108" w:type="dxa"/>
              <w:bottom w:w="0" w:type="dxa"/>
              <w:right w:w="108" w:type="dxa"/>
            </w:tcMar>
            <w:vAlign w:val="center"/>
          </w:tcPr>
          <w:p w14:paraId="7A3498C1">
            <w:pPr>
              <w:pStyle w:val="29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项目总工</w:t>
            </w:r>
          </w:p>
        </w:tc>
        <w:tc>
          <w:tcPr>
            <w:tcW w:w="1183" w:type="dxa"/>
            <w:vAlign w:val="center"/>
          </w:tcPr>
          <w:p w14:paraId="22599B18">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业绩证明材料附件</w:t>
            </w:r>
          </w:p>
        </w:tc>
      </w:tr>
      <w:tr w14:paraId="286A3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417" w:type="dxa"/>
            <w:vAlign w:val="center"/>
          </w:tcPr>
          <w:p w14:paraId="48E24DE9">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8</w:t>
            </w:r>
            <w:r>
              <w:rPr>
                <w:rFonts w:asciiTheme="minorEastAsia" w:hAnsiTheme="minorEastAsia" w:eastAsiaTheme="minorEastAsia"/>
                <w:color w:val="auto"/>
                <w:szCs w:val="21"/>
                <w:highlight w:val="none"/>
              </w:rPr>
              <w:t>.1</w:t>
            </w:r>
          </w:p>
        </w:tc>
        <w:tc>
          <w:tcPr>
            <w:tcW w:w="869" w:type="dxa"/>
            <w:tcMar>
              <w:top w:w="0" w:type="dxa"/>
              <w:left w:w="108" w:type="dxa"/>
              <w:bottom w:w="0" w:type="dxa"/>
              <w:right w:w="108" w:type="dxa"/>
            </w:tcMar>
            <w:vAlign w:val="center"/>
          </w:tcPr>
          <w:p w14:paraId="06123DE6">
            <w:pPr>
              <w:pStyle w:val="299"/>
              <w:jc w:val="center"/>
              <w:rPr>
                <w:rFonts w:asciiTheme="minorEastAsia" w:hAnsiTheme="minorEastAsia" w:eastAsiaTheme="minorEastAsia"/>
                <w:color w:val="auto"/>
                <w:szCs w:val="21"/>
                <w:highlight w:val="none"/>
              </w:rPr>
            </w:pPr>
          </w:p>
        </w:tc>
        <w:tc>
          <w:tcPr>
            <w:tcW w:w="1513" w:type="dxa"/>
            <w:tcMar>
              <w:top w:w="0" w:type="dxa"/>
              <w:left w:w="108" w:type="dxa"/>
              <w:bottom w:w="0" w:type="dxa"/>
              <w:right w:w="108" w:type="dxa"/>
            </w:tcMar>
            <w:vAlign w:val="center"/>
          </w:tcPr>
          <w:p w14:paraId="035F93FA">
            <w:pPr>
              <w:pStyle w:val="299"/>
              <w:jc w:val="center"/>
              <w:rPr>
                <w:rFonts w:asciiTheme="minorEastAsia" w:hAnsiTheme="minorEastAsia" w:eastAsiaTheme="minorEastAsia"/>
                <w:color w:val="auto"/>
                <w:szCs w:val="21"/>
                <w:highlight w:val="none"/>
              </w:rPr>
            </w:pPr>
          </w:p>
        </w:tc>
        <w:tc>
          <w:tcPr>
            <w:tcW w:w="638" w:type="dxa"/>
          </w:tcPr>
          <w:p w14:paraId="291CC20B">
            <w:pPr>
              <w:pStyle w:val="299"/>
              <w:jc w:val="center"/>
              <w:rPr>
                <w:rFonts w:asciiTheme="minorEastAsia" w:hAnsiTheme="minorEastAsia" w:eastAsiaTheme="minorEastAsia"/>
                <w:color w:val="auto"/>
                <w:szCs w:val="21"/>
                <w:highlight w:val="none"/>
              </w:rPr>
            </w:pPr>
          </w:p>
        </w:tc>
        <w:tc>
          <w:tcPr>
            <w:tcW w:w="638" w:type="dxa"/>
            <w:tcMar>
              <w:top w:w="0" w:type="dxa"/>
              <w:left w:w="108" w:type="dxa"/>
              <w:bottom w:w="0" w:type="dxa"/>
              <w:right w:w="108" w:type="dxa"/>
            </w:tcMar>
            <w:vAlign w:val="center"/>
          </w:tcPr>
          <w:p w14:paraId="58C9DB49">
            <w:pPr>
              <w:pStyle w:val="299"/>
              <w:jc w:val="center"/>
              <w:rPr>
                <w:rFonts w:asciiTheme="minorEastAsia" w:hAnsiTheme="minorEastAsia" w:eastAsiaTheme="minorEastAsia"/>
                <w:color w:val="auto"/>
                <w:szCs w:val="21"/>
                <w:highlight w:val="none"/>
              </w:rPr>
            </w:pPr>
          </w:p>
        </w:tc>
        <w:tc>
          <w:tcPr>
            <w:tcW w:w="976" w:type="dxa"/>
            <w:vAlign w:val="center"/>
          </w:tcPr>
          <w:p w14:paraId="27960155">
            <w:pPr>
              <w:pStyle w:val="299"/>
              <w:jc w:val="center"/>
              <w:rPr>
                <w:rFonts w:asciiTheme="minorEastAsia" w:hAnsiTheme="minorEastAsia" w:eastAsiaTheme="minorEastAsia"/>
                <w:color w:val="auto"/>
                <w:szCs w:val="21"/>
                <w:highlight w:val="none"/>
              </w:rPr>
            </w:pPr>
          </w:p>
        </w:tc>
        <w:tc>
          <w:tcPr>
            <w:tcW w:w="1063" w:type="dxa"/>
            <w:tcMar>
              <w:top w:w="0" w:type="dxa"/>
              <w:left w:w="108" w:type="dxa"/>
              <w:bottom w:w="0" w:type="dxa"/>
              <w:right w:w="108" w:type="dxa"/>
            </w:tcMar>
            <w:vAlign w:val="center"/>
          </w:tcPr>
          <w:p w14:paraId="42E134B6">
            <w:pPr>
              <w:pStyle w:val="299"/>
              <w:jc w:val="center"/>
              <w:rPr>
                <w:rFonts w:asciiTheme="minorEastAsia" w:hAnsiTheme="minorEastAsia" w:eastAsiaTheme="minorEastAsia"/>
                <w:color w:val="auto"/>
                <w:szCs w:val="21"/>
                <w:highlight w:val="none"/>
              </w:rPr>
            </w:pPr>
          </w:p>
        </w:tc>
        <w:tc>
          <w:tcPr>
            <w:tcW w:w="1062" w:type="dxa"/>
            <w:vAlign w:val="center"/>
          </w:tcPr>
          <w:p w14:paraId="2D7AD3EE">
            <w:pPr>
              <w:pStyle w:val="299"/>
              <w:jc w:val="center"/>
              <w:rPr>
                <w:rFonts w:asciiTheme="minorEastAsia" w:hAnsiTheme="minorEastAsia" w:eastAsiaTheme="minorEastAsia"/>
                <w:color w:val="auto"/>
                <w:szCs w:val="21"/>
                <w:highlight w:val="none"/>
              </w:rPr>
            </w:pPr>
          </w:p>
        </w:tc>
        <w:tc>
          <w:tcPr>
            <w:tcW w:w="1062" w:type="dxa"/>
            <w:vAlign w:val="center"/>
          </w:tcPr>
          <w:p w14:paraId="078ABF31">
            <w:pPr>
              <w:pStyle w:val="299"/>
              <w:jc w:val="center"/>
              <w:rPr>
                <w:rFonts w:asciiTheme="minorEastAsia" w:hAnsiTheme="minorEastAsia" w:eastAsiaTheme="minorEastAsia"/>
                <w:color w:val="auto"/>
                <w:szCs w:val="21"/>
                <w:highlight w:val="none"/>
              </w:rPr>
            </w:pPr>
          </w:p>
        </w:tc>
        <w:tc>
          <w:tcPr>
            <w:tcW w:w="1314" w:type="dxa"/>
            <w:vAlign w:val="center"/>
          </w:tcPr>
          <w:p w14:paraId="29D991C0">
            <w:pPr>
              <w:pStyle w:val="299"/>
              <w:jc w:val="center"/>
              <w:rPr>
                <w:rFonts w:asciiTheme="minorEastAsia" w:hAnsiTheme="minorEastAsia" w:eastAsiaTheme="minorEastAsia"/>
                <w:color w:val="auto"/>
                <w:szCs w:val="21"/>
                <w:highlight w:val="none"/>
              </w:rPr>
            </w:pPr>
          </w:p>
        </w:tc>
        <w:tc>
          <w:tcPr>
            <w:tcW w:w="633" w:type="dxa"/>
            <w:vAlign w:val="center"/>
          </w:tcPr>
          <w:p w14:paraId="23AA4198">
            <w:pPr>
              <w:pStyle w:val="299"/>
              <w:jc w:val="center"/>
              <w:rPr>
                <w:rFonts w:asciiTheme="minorEastAsia" w:hAnsiTheme="minorEastAsia" w:eastAsiaTheme="minorEastAsia"/>
                <w:color w:val="auto"/>
                <w:szCs w:val="21"/>
                <w:highlight w:val="none"/>
              </w:rPr>
            </w:pPr>
          </w:p>
        </w:tc>
        <w:tc>
          <w:tcPr>
            <w:tcW w:w="1275" w:type="dxa"/>
            <w:vAlign w:val="center"/>
          </w:tcPr>
          <w:p w14:paraId="01F938FF">
            <w:pPr>
              <w:pStyle w:val="299"/>
              <w:jc w:val="center"/>
              <w:rPr>
                <w:rFonts w:asciiTheme="minorEastAsia" w:hAnsiTheme="minorEastAsia" w:eastAsiaTheme="minorEastAsia"/>
                <w:color w:val="auto"/>
                <w:szCs w:val="21"/>
                <w:highlight w:val="none"/>
              </w:rPr>
            </w:pPr>
          </w:p>
        </w:tc>
        <w:tc>
          <w:tcPr>
            <w:tcW w:w="1359" w:type="dxa"/>
            <w:tcMar>
              <w:top w:w="0" w:type="dxa"/>
              <w:left w:w="108" w:type="dxa"/>
              <w:bottom w:w="0" w:type="dxa"/>
              <w:right w:w="108" w:type="dxa"/>
            </w:tcMar>
            <w:vAlign w:val="center"/>
          </w:tcPr>
          <w:p w14:paraId="4C5E7C1C">
            <w:pPr>
              <w:pStyle w:val="299"/>
              <w:jc w:val="center"/>
              <w:rPr>
                <w:rFonts w:asciiTheme="minorEastAsia" w:hAnsiTheme="minorEastAsia" w:eastAsiaTheme="minorEastAsia"/>
                <w:color w:val="auto"/>
                <w:szCs w:val="21"/>
                <w:highlight w:val="none"/>
              </w:rPr>
            </w:pPr>
          </w:p>
        </w:tc>
        <w:tc>
          <w:tcPr>
            <w:tcW w:w="1183" w:type="dxa"/>
            <w:vAlign w:val="center"/>
          </w:tcPr>
          <w:p w14:paraId="747BAF56">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C8.1</w:t>
            </w:r>
          </w:p>
        </w:tc>
      </w:tr>
      <w:tr w14:paraId="23D82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7" w:type="dxa"/>
            <w:vAlign w:val="center"/>
          </w:tcPr>
          <w:p w14:paraId="243A18D0">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8</w:t>
            </w:r>
            <w:r>
              <w:rPr>
                <w:rFonts w:asciiTheme="minorEastAsia" w:hAnsiTheme="minorEastAsia" w:eastAsiaTheme="minorEastAsia"/>
                <w:color w:val="auto"/>
                <w:szCs w:val="21"/>
                <w:highlight w:val="none"/>
              </w:rPr>
              <w:t>.2</w:t>
            </w:r>
          </w:p>
        </w:tc>
        <w:tc>
          <w:tcPr>
            <w:tcW w:w="869" w:type="dxa"/>
            <w:tcMar>
              <w:top w:w="0" w:type="dxa"/>
              <w:left w:w="108" w:type="dxa"/>
              <w:bottom w:w="0" w:type="dxa"/>
              <w:right w:w="108" w:type="dxa"/>
            </w:tcMar>
            <w:vAlign w:val="center"/>
          </w:tcPr>
          <w:p w14:paraId="59B0CB6A">
            <w:pPr>
              <w:pStyle w:val="299"/>
              <w:jc w:val="center"/>
              <w:rPr>
                <w:rFonts w:asciiTheme="minorEastAsia" w:hAnsiTheme="minorEastAsia" w:eastAsiaTheme="minorEastAsia"/>
                <w:color w:val="auto"/>
                <w:szCs w:val="21"/>
                <w:highlight w:val="none"/>
              </w:rPr>
            </w:pPr>
          </w:p>
        </w:tc>
        <w:tc>
          <w:tcPr>
            <w:tcW w:w="1513" w:type="dxa"/>
            <w:tcMar>
              <w:top w:w="0" w:type="dxa"/>
              <w:left w:w="108" w:type="dxa"/>
              <w:bottom w:w="0" w:type="dxa"/>
              <w:right w:w="108" w:type="dxa"/>
            </w:tcMar>
            <w:vAlign w:val="center"/>
          </w:tcPr>
          <w:p w14:paraId="46D6BB53">
            <w:pPr>
              <w:pStyle w:val="299"/>
              <w:jc w:val="center"/>
              <w:rPr>
                <w:rFonts w:asciiTheme="minorEastAsia" w:hAnsiTheme="minorEastAsia" w:eastAsiaTheme="minorEastAsia"/>
                <w:color w:val="auto"/>
                <w:szCs w:val="21"/>
                <w:highlight w:val="none"/>
              </w:rPr>
            </w:pPr>
          </w:p>
        </w:tc>
        <w:tc>
          <w:tcPr>
            <w:tcW w:w="638" w:type="dxa"/>
          </w:tcPr>
          <w:p w14:paraId="2E97B367">
            <w:pPr>
              <w:pStyle w:val="299"/>
              <w:jc w:val="center"/>
              <w:rPr>
                <w:rFonts w:asciiTheme="minorEastAsia" w:hAnsiTheme="minorEastAsia" w:eastAsiaTheme="minorEastAsia"/>
                <w:color w:val="auto"/>
                <w:szCs w:val="21"/>
                <w:highlight w:val="none"/>
              </w:rPr>
            </w:pPr>
          </w:p>
        </w:tc>
        <w:tc>
          <w:tcPr>
            <w:tcW w:w="638" w:type="dxa"/>
            <w:tcMar>
              <w:top w:w="0" w:type="dxa"/>
              <w:left w:w="108" w:type="dxa"/>
              <w:bottom w:w="0" w:type="dxa"/>
              <w:right w:w="108" w:type="dxa"/>
            </w:tcMar>
            <w:vAlign w:val="center"/>
          </w:tcPr>
          <w:p w14:paraId="56E34E4A">
            <w:pPr>
              <w:pStyle w:val="299"/>
              <w:jc w:val="center"/>
              <w:rPr>
                <w:rFonts w:asciiTheme="minorEastAsia" w:hAnsiTheme="minorEastAsia" w:eastAsiaTheme="minorEastAsia"/>
                <w:color w:val="auto"/>
                <w:szCs w:val="21"/>
                <w:highlight w:val="none"/>
              </w:rPr>
            </w:pPr>
          </w:p>
        </w:tc>
        <w:tc>
          <w:tcPr>
            <w:tcW w:w="976" w:type="dxa"/>
            <w:vAlign w:val="center"/>
          </w:tcPr>
          <w:p w14:paraId="66A0F238">
            <w:pPr>
              <w:pStyle w:val="299"/>
              <w:jc w:val="center"/>
              <w:rPr>
                <w:rFonts w:asciiTheme="minorEastAsia" w:hAnsiTheme="minorEastAsia" w:eastAsiaTheme="minorEastAsia"/>
                <w:color w:val="auto"/>
                <w:szCs w:val="21"/>
                <w:highlight w:val="none"/>
              </w:rPr>
            </w:pPr>
          </w:p>
        </w:tc>
        <w:tc>
          <w:tcPr>
            <w:tcW w:w="1063" w:type="dxa"/>
            <w:tcMar>
              <w:top w:w="0" w:type="dxa"/>
              <w:left w:w="108" w:type="dxa"/>
              <w:bottom w:w="0" w:type="dxa"/>
              <w:right w:w="108" w:type="dxa"/>
            </w:tcMar>
            <w:vAlign w:val="center"/>
          </w:tcPr>
          <w:p w14:paraId="5A931E13">
            <w:pPr>
              <w:pStyle w:val="299"/>
              <w:jc w:val="center"/>
              <w:rPr>
                <w:rFonts w:asciiTheme="minorEastAsia" w:hAnsiTheme="minorEastAsia" w:eastAsiaTheme="minorEastAsia"/>
                <w:color w:val="auto"/>
                <w:szCs w:val="21"/>
                <w:highlight w:val="none"/>
              </w:rPr>
            </w:pPr>
          </w:p>
        </w:tc>
        <w:tc>
          <w:tcPr>
            <w:tcW w:w="1062" w:type="dxa"/>
            <w:vAlign w:val="center"/>
          </w:tcPr>
          <w:p w14:paraId="6A73C2EB">
            <w:pPr>
              <w:pStyle w:val="299"/>
              <w:jc w:val="center"/>
              <w:rPr>
                <w:rFonts w:asciiTheme="minorEastAsia" w:hAnsiTheme="minorEastAsia" w:eastAsiaTheme="minorEastAsia"/>
                <w:color w:val="auto"/>
                <w:szCs w:val="21"/>
                <w:highlight w:val="none"/>
              </w:rPr>
            </w:pPr>
          </w:p>
        </w:tc>
        <w:tc>
          <w:tcPr>
            <w:tcW w:w="1062" w:type="dxa"/>
            <w:vAlign w:val="center"/>
          </w:tcPr>
          <w:p w14:paraId="4E36B142">
            <w:pPr>
              <w:pStyle w:val="299"/>
              <w:jc w:val="center"/>
              <w:rPr>
                <w:rFonts w:asciiTheme="minorEastAsia" w:hAnsiTheme="minorEastAsia" w:eastAsiaTheme="minorEastAsia"/>
                <w:color w:val="auto"/>
                <w:szCs w:val="21"/>
                <w:highlight w:val="none"/>
              </w:rPr>
            </w:pPr>
          </w:p>
        </w:tc>
        <w:tc>
          <w:tcPr>
            <w:tcW w:w="1314" w:type="dxa"/>
            <w:vAlign w:val="center"/>
          </w:tcPr>
          <w:p w14:paraId="3100E6F5">
            <w:pPr>
              <w:pStyle w:val="299"/>
              <w:jc w:val="center"/>
              <w:rPr>
                <w:rFonts w:asciiTheme="minorEastAsia" w:hAnsiTheme="minorEastAsia" w:eastAsiaTheme="minorEastAsia"/>
                <w:color w:val="auto"/>
                <w:szCs w:val="21"/>
                <w:highlight w:val="none"/>
              </w:rPr>
            </w:pPr>
          </w:p>
        </w:tc>
        <w:tc>
          <w:tcPr>
            <w:tcW w:w="633" w:type="dxa"/>
            <w:vAlign w:val="center"/>
          </w:tcPr>
          <w:p w14:paraId="534567C9">
            <w:pPr>
              <w:pStyle w:val="299"/>
              <w:jc w:val="center"/>
              <w:rPr>
                <w:rFonts w:asciiTheme="minorEastAsia" w:hAnsiTheme="minorEastAsia" w:eastAsiaTheme="minorEastAsia"/>
                <w:color w:val="auto"/>
                <w:szCs w:val="21"/>
                <w:highlight w:val="none"/>
              </w:rPr>
            </w:pPr>
          </w:p>
        </w:tc>
        <w:tc>
          <w:tcPr>
            <w:tcW w:w="1275" w:type="dxa"/>
            <w:vAlign w:val="center"/>
          </w:tcPr>
          <w:p w14:paraId="41DAC962">
            <w:pPr>
              <w:pStyle w:val="299"/>
              <w:jc w:val="center"/>
              <w:rPr>
                <w:rFonts w:asciiTheme="minorEastAsia" w:hAnsiTheme="minorEastAsia" w:eastAsiaTheme="minorEastAsia"/>
                <w:color w:val="auto"/>
                <w:szCs w:val="21"/>
                <w:highlight w:val="none"/>
              </w:rPr>
            </w:pPr>
          </w:p>
        </w:tc>
        <w:tc>
          <w:tcPr>
            <w:tcW w:w="1359" w:type="dxa"/>
            <w:tcMar>
              <w:top w:w="0" w:type="dxa"/>
              <w:left w:w="108" w:type="dxa"/>
              <w:bottom w:w="0" w:type="dxa"/>
              <w:right w:w="108" w:type="dxa"/>
            </w:tcMar>
            <w:vAlign w:val="center"/>
          </w:tcPr>
          <w:p w14:paraId="01535899">
            <w:pPr>
              <w:pStyle w:val="299"/>
              <w:jc w:val="center"/>
              <w:rPr>
                <w:rFonts w:asciiTheme="minorEastAsia" w:hAnsiTheme="minorEastAsia" w:eastAsiaTheme="minorEastAsia"/>
                <w:color w:val="auto"/>
                <w:szCs w:val="21"/>
                <w:highlight w:val="none"/>
              </w:rPr>
            </w:pPr>
          </w:p>
        </w:tc>
        <w:tc>
          <w:tcPr>
            <w:tcW w:w="1183" w:type="dxa"/>
            <w:vAlign w:val="center"/>
          </w:tcPr>
          <w:p w14:paraId="15AF731F">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C8.2</w:t>
            </w:r>
          </w:p>
        </w:tc>
      </w:tr>
      <w:tr w14:paraId="5953C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417" w:type="dxa"/>
            <w:vAlign w:val="center"/>
          </w:tcPr>
          <w:p w14:paraId="5541777B">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8</w:t>
            </w:r>
            <w:r>
              <w:rPr>
                <w:rFonts w:asciiTheme="minorEastAsia" w:hAnsiTheme="minorEastAsia" w:eastAsiaTheme="minorEastAsia"/>
                <w:color w:val="auto"/>
                <w:szCs w:val="21"/>
                <w:highlight w:val="none"/>
              </w:rPr>
              <w:t>.3</w:t>
            </w:r>
          </w:p>
        </w:tc>
        <w:tc>
          <w:tcPr>
            <w:tcW w:w="869" w:type="dxa"/>
            <w:tcMar>
              <w:top w:w="0" w:type="dxa"/>
              <w:left w:w="108" w:type="dxa"/>
              <w:bottom w:w="0" w:type="dxa"/>
              <w:right w:w="108" w:type="dxa"/>
            </w:tcMar>
            <w:vAlign w:val="center"/>
          </w:tcPr>
          <w:p w14:paraId="1A14A942">
            <w:pPr>
              <w:pStyle w:val="299"/>
              <w:jc w:val="center"/>
              <w:rPr>
                <w:rFonts w:asciiTheme="minorEastAsia" w:hAnsiTheme="minorEastAsia" w:eastAsiaTheme="minorEastAsia"/>
                <w:color w:val="auto"/>
                <w:szCs w:val="21"/>
                <w:highlight w:val="none"/>
              </w:rPr>
            </w:pPr>
          </w:p>
        </w:tc>
        <w:tc>
          <w:tcPr>
            <w:tcW w:w="1513" w:type="dxa"/>
            <w:tcMar>
              <w:top w:w="0" w:type="dxa"/>
              <w:left w:w="108" w:type="dxa"/>
              <w:bottom w:w="0" w:type="dxa"/>
              <w:right w:w="108" w:type="dxa"/>
            </w:tcMar>
            <w:vAlign w:val="center"/>
          </w:tcPr>
          <w:p w14:paraId="247DDF56">
            <w:pPr>
              <w:pStyle w:val="299"/>
              <w:jc w:val="center"/>
              <w:rPr>
                <w:rFonts w:asciiTheme="minorEastAsia" w:hAnsiTheme="minorEastAsia" w:eastAsiaTheme="minorEastAsia"/>
                <w:color w:val="auto"/>
                <w:szCs w:val="21"/>
                <w:highlight w:val="none"/>
              </w:rPr>
            </w:pPr>
          </w:p>
        </w:tc>
        <w:tc>
          <w:tcPr>
            <w:tcW w:w="638" w:type="dxa"/>
          </w:tcPr>
          <w:p w14:paraId="6DFC2EEC">
            <w:pPr>
              <w:pStyle w:val="299"/>
              <w:jc w:val="center"/>
              <w:rPr>
                <w:rFonts w:asciiTheme="minorEastAsia" w:hAnsiTheme="minorEastAsia" w:eastAsiaTheme="minorEastAsia"/>
                <w:color w:val="auto"/>
                <w:szCs w:val="21"/>
                <w:highlight w:val="none"/>
              </w:rPr>
            </w:pPr>
          </w:p>
        </w:tc>
        <w:tc>
          <w:tcPr>
            <w:tcW w:w="638" w:type="dxa"/>
            <w:tcMar>
              <w:top w:w="0" w:type="dxa"/>
              <w:left w:w="108" w:type="dxa"/>
              <w:bottom w:w="0" w:type="dxa"/>
              <w:right w:w="108" w:type="dxa"/>
            </w:tcMar>
            <w:vAlign w:val="center"/>
          </w:tcPr>
          <w:p w14:paraId="3F22FD89">
            <w:pPr>
              <w:pStyle w:val="299"/>
              <w:jc w:val="center"/>
              <w:rPr>
                <w:rFonts w:asciiTheme="minorEastAsia" w:hAnsiTheme="minorEastAsia" w:eastAsiaTheme="minorEastAsia"/>
                <w:color w:val="auto"/>
                <w:szCs w:val="21"/>
                <w:highlight w:val="none"/>
              </w:rPr>
            </w:pPr>
          </w:p>
        </w:tc>
        <w:tc>
          <w:tcPr>
            <w:tcW w:w="976" w:type="dxa"/>
            <w:vAlign w:val="center"/>
          </w:tcPr>
          <w:p w14:paraId="26FBB51F">
            <w:pPr>
              <w:pStyle w:val="299"/>
              <w:jc w:val="center"/>
              <w:rPr>
                <w:rFonts w:asciiTheme="minorEastAsia" w:hAnsiTheme="minorEastAsia" w:eastAsiaTheme="minorEastAsia"/>
                <w:color w:val="auto"/>
                <w:szCs w:val="21"/>
                <w:highlight w:val="none"/>
              </w:rPr>
            </w:pPr>
          </w:p>
        </w:tc>
        <w:tc>
          <w:tcPr>
            <w:tcW w:w="1063" w:type="dxa"/>
            <w:tcMar>
              <w:top w:w="0" w:type="dxa"/>
              <w:left w:w="108" w:type="dxa"/>
              <w:bottom w:w="0" w:type="dxa"/>
              <w:right w:w="108" w:type="dxa"/>
            </w:tcMar>
            <w:vAlign w:val="center"/>
          </w:tcPr>
          <w:p w14:paraId="6AAC6D81">
            <w:pPr>
              <w:pStyle w:val="299"/>
              <w:jc w:val="center"/>
              <w:rPr>
                <w:rFonts w:asciiTheme="minorEastAsia" w:hAnsiTheme="minorEastAsia" w:eastAsiaTheme="minorEastAsia"/>
                <w:color w:val="auto"/>
                <w:szCs w:val="21"/>
                <w:highlight w:val="none"/>
              </w:rPr>
            </w:pPr>
          </w:p>
        </w:tc>
        <w:tc>
          <w:tcPr>
            <w:tcW w:w="1062" w:type="dxa"/>
            <w:vAlign w:val="center"/>
          </w:tcPr>
          <w:p w14:paraId="6316150E">
            <w:pPr>
              <w:pStyle w:val="299"/>
              <w:jc w:val="center"/>
              <w:rPr>
                <w:rFonts w:asciiTheme="minorEastAsia" w:hAnsiTheme="minorEastAsia" w:eastAsiaTheme="minorEastAsia"/>
                <w:color w:val="auto"/>
                <w:szCs w:val="21"/>
                <w:highlight w:val="none"/>
              </w:rPr>
            </w:pPr>
          </w:p>
        </w:tc>
        <w:tc>
          <w:tcPr>
            <w:tcW w:w="1062" w:type="dxa"/>
            <w:vAlign w:val="center"/>
          </w:tcPr>
          <w:p w14:paraId="61C5AB37">
            <w:pPr>
              <w:pStyle w:val="299"/>
              <w:jc w:val="center"/>
              <w:rPr>
                <w:rFonts w:asciiTheme="minorEastAsia" w:hAnsiTheme="minorEastAsia" w:eastAsiaTheme="minorEastAsia"/>
                <w:color w:val="auto"/>
                <w:szCs w:val="21"/>
                <w:highlight w:val="none"/>
              </w:rPr>
            </w:pPr>
          </w:p>
        </w:tc>
        <w:tc>
          <w:tcPr>
            <w:tcW w:w="1314" w:type="dxa"/>
            <w:vAlign w:val="center"/>
          </w:tcPr>
          <w:p w14:paraId="367C1D17">
            <w:pPr>
              <w:pStyle w:val="299"/>
              <w:jc w:val="center"/>
              <w:rPr>
                <w:rFonts w:asciiTheme="minorEastAsia" w:hAnsiTheme="minorEastAsia" w:eastAsiaTheme="minorEastAsia"/>
                <w:color w:val="auto"/>
                <w:szCs w:val="21"/>
                <w:highlight w:val="none"/>
              </w:rPr>
            </w:pPr>
          </w:p>
        </w:tc>
        <w:tc>
          <w:tcPr>
            <w:tcW w:w="633" w:type="dxa"/>
            <w:vAlign w:val="center"/>
          </w:tcPr>
          <w:p w14:paraId="0FD03401">
            <w:pPr>
              <w:pStyle w:val="299"/>
              <w:jc w:val="center"/>
              <w:rPr>
                <w:rFonts w:asciiTheme="minorEastAsia" w:hAnsiTheme="minorEastAsia" w:eastAsiaTheme="minorEastAsia"/>
                <w:color w:val="auto"/>
                <w:szCs w:val="21"/>
                <w:highlight w:val="none"/>
              </w:rPr>
            </w:pPr>
          </w:p>
        </w:tc>
        <w:tc>
          <w:tcPr>
            <w:tcW w:w="1275" w:type="dxa"/>
            <w:vAlign w:val="center"/>
          </w:tcPr>
          <w:p w14:paraId="6736D06E">
            <w:pPr>
              <w:pStyle w:val="299"/>
              <w:jc w:val="center"/>
              <w:rPr>
                <w:rFonts w:asciiTheme="minorEastAsia" w:hAnsiTheme="minorEastAsia" w:eastAsiaTheme="minorEastAsia"/>
                <w:color w:val="auto"/>
                <w:szCs w:val="21"/>
                <w:highlight w:val="none"/>
              </w:rPr>
            </w:pPr>
          </w:p>
        </w:tc>
        <w:tc>
          <w:tcPr>
            <w:tcW w:w="1359" w:type="dxa"/>
            <w:tcMar>
              <w:top w:w="0" w:type="dxa"/>
              <w:left w:w="108" w:type="dxa"/>
              <w:bottom w:w="0" w:type="dxa"/>
              <w:right w:w="108" w:type="dxa"/>
            </w:tcMar>
            <w:vAlign w:val="center"/>
          </w:tcPr>
          <w:p w14:paraId="1820EE4F">
            <w:pPr>
              <w:pStyle w:val="299"/>
              <w:jc w:val="center"/>
              <w:rPr>
                <w:rFonts w:asciiTheme="minorEastAsia" w:hAnsiTheme="minorEastAsia" w:eastAsiaTheme="minorEastAsia"/>
                <w:color w:val="auto"/>
                <w:szCs w:val="21"/>
                <w:highlight w:val="none"/>
              </w:rPr>
            </w:pPr>
          </w:p>
        </w:tc>
        <w:tc>
          <w:tcPr>
            <w:tcW w:w="1183" w:type="dxa"/>
            <w:vAlign w:val="center"/>
          </w:tcPr>
          <w:p w14:paraId="3D490B04">
            <w:pPr>
              <w:pStyle w:val="299"/>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C8.3</w:t>
            </w:r>
          </w:p>
        </w:tc>
      </w:tr>
      <w:tr w14:paraId="438EF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17" w:type="dxa"/>
            <w:vAlign w:val="center"/>
          </w:tcPr>
          <w:p w14:paraId="2278E14D">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869" w:type="dxa"/>
            <w:tcMar>
              <w:top w:w="0" w:type="dxa"/>
              <w:left w:w="108" w:type="dxa"/>
              <w:bottom w:w="0" w:type="dxa"/>
              <w:right w:w="108" w:type="dxa"/>
            </w:tcMar>
            <w:vAlign w:val="center"/>
          </w:tcPr>
          <w:p w14:paraId="784DC94C">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513" w:type="dxa"/>
            <w:tcMar>
              <w:top w:w="0" w:type="dxa"/>
              <w:left w:w="108" w:type="dxa"/>
              <w:bottom w:w="0" w:type="dxa"/>
              <w:right w:w="108" w:type="dxa"/>
            </w:tcMar>
            <w:vAlign w:val="center"/>
          </w:tcPr>
          <w:p w14:paraId="7DDF361A">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638" w:type="dxa"/>
            <w:vAlign w:val="center"/>
          </w:tcPr>
          <w:p w14:paraId="21F8C7BB">
            <w:pPr>
              <w:pStyle w:val="299"/>
              <w:jc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w:t>
            </w:r>
          </w:p>
        </w:tc>
        <w:tc>
          <w:tcPr>
            <w:tcW w:w="638" w:type="dxa"/>
            <w:tcMar>
              <w:top w:w="0" w:type="dxa"/>
              <w:left w:w="108" w:type="dxa"/>
              <w:bottom w:w="0" w:type="dxa"/>
              <w:right w:w="108" w:type="dxa"/>
            </w:tcMar>
            <w:vAlign w:val="center"/>
          </w:tcPr>
          <w:p w14:paraId="60DA4821">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976" w:type="dxa"/>
            <w:vAlign w:val="center"/>
          </w:tcPr>
          <w:p w14:paraId="5553548C">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063" w:type="dxa"/>
            <w:tcMar>
              <w:top w:w="0" w:type="dxa"/>
              <w:left w:w="108" w:type="dxa"/>
              <w:bottom w:w="0" w:type="dxa"/>
              <w:right w:w="108" w:type="dxa"/>
            </w:tcMar>
            <w:vAlign w:val="center"/>
          </w:tcPr>
          <w:p w14:paraId="277B914A">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062" w:type="dxa"/>
            <w:vAlign w:val="center"/>
          </w:tcPr>
          <w:p w14:paraId="6FB7293E">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062" w:type="dxa"/>
            <w:vAlign w:val="center"/>
          </w:tcPr>
          <w:p w14:paraId="78079F7D">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314" w:type="dxa"/>
            <w:vAlign w:val="center"/>
          </w:tcPr>
          <w:p w14:paraId="247C2CB7">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633" w:type="dxa"/>
            <w:vAlign w:val="center"/>
          </w:tcPr>
          <w:p w14:paraId="705CD056">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275" w:type="dxa"/>
            <w:vAlign w:val="center"/>
          </w:tcPr>
          <w:p w14:paraId="4C54B6C5">
            <w:pPr>
              <w:pStyle w:val="299"/>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359" w:type="dxa"/>
            <w:tcMar>
              <w:top w:w="0" w:type="dxa"/>
              <w:left w:w="108" w:type="dxa"/>
              <w:bottom w:w="0" w:type="dxa"/>
              <w:right w:w="108" w:type="dxa"/>
            </w:tcMar>
            <w:vAlign w:val="center"/>
          </w:tcPr>
          <w:p w14:paraId="4F0497F7">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c>
          <w:tcPr>
            <w:tcW w:w="1183" w:type="dxa"/>
            <w:vAlign w:val="center"/>
          </w:tcPr>
          <w:p w14:paraId="279FA2BB">
            <w:pPr>
              <w:pStyle w:val="299"/>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w:t>
            </w:r>
          </w:p>
        </w:tc>
      </w:tr>
    </w:tbl>
    <w:p w14:paraId="5BF31FF1">
      <w:pPr>
        <w:spacing w:line="360" w:lineRule="auto"/>
        <w:rPr>
          <w:rFonts w:ascii="宋体" w:hAnsi="宋体" w:cs="宋体"/>
          <w:color w:val="auto"/>
          <w:spacing w:val="-3"/>
          <w:highlight w:val="none"/>
        </w:rPr>
      </w:pPr>
      <w:r>
        <w:rPr>
          <w:rFonts w:hint="eastAsia" w:ascii="宋体" w:hAnsi="宋体" w:cs="宋体"/>
          <w:color w:val="auto"/>
          <w:highlight w:val="none"/>
        </w:rPr>
        <w:t>注：</w:t>
      </w:r>
      <w:r>
        <w:rPr>
          <w:rFonts w:ascii="宋体" w:hAnsi="宋体" w:cs="宋体"/>
          <w:color w:val="auto"/>
          <w:highlight w:val="none"/>
        </w:rPr>
        <w:t>1.投</w:t>
      </w:r>
      <w:r>
        <w:rPr>
          <w:rFonts w:hint="eastAsia" w:ascii="宋体" w:hAnsi="宋体" w:cs="宋体"/>
          <w:color w:val="auto"/>
          <w:spacing w:val="-3"/>
          <w:szCs w:val="21"/>
          <w:highlight w:val="none"/>
        </w:rPr>
        <w:t>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ascii="宋体" w:hAnsi="宋体" w:cs="宋体"/>
          <w:color w:val="auto"/>
          <w:highlight w:val="none"/>
        </w:rPr>
        <w:t>C</w:t>
      </w:r>
      <w:r>
        <w:rPr>
          <w:rFonts w:hint="eastAsia" w:ascii="宋体" w:hAnsi="宋体" w:cs="宋体"/>
          <w:color w:val="auto"/>
          <w:highlight w:val="none"/>
          <w:lang w:val="en-US" w:eastAsia="zh-CN"/>
        </w:rPr>
        <w:t>8</w:t>
      </w:r>
      <w:r>
        <w:rPr>
          <w:rFonts w:hint="eastAsia" w:ascii="宋体" w:hAnsi="宋体" w:cs="宋体"/>
          <w:color w:val="auto"/>
          <w:highlight w:val="none"/>
        </w:rPr>
        <w:t>系列（其他工程：</w:t>
      </w:r>
      <w:r>
        <w:rPr>
          <w:rFonts w:ascii="宋体" w:hAnsi="宋体" w:cs="宋体"/>
          <w:color w:val="auto"/>
          <w:highlight w:val="none"/>
          <w:u w:val="single"/>
        </w:rPr>
        <w:t xml:space="preserve">      </w:t>
      </w:r>
      <w:r>
        <w:rPr>
          <w:rFonts w:hint="eastAsia" w:ascii="宋体" w:hAnsi="宋体" w:cs="宋体"/>
          <w:color w:val="auto"/>
          <w:highlight w:val="none"/>
        </w:rPr>
        <w:t>施工项目业绩）</w:t>
      </w:r>
      <w:r>
        <w:rPr>
          <w:rFonts w:hint="eastAsia" w:ascii="宋体" w:hAnsi="宋体" w:cs="宋体"/>
          <w:color w:val="auto"/>
          <w:spacing w:val="-3"/>
          <w:highlight w:val="none"/>
        </w:rPr>
        <w:t>：</w:t>
      </w:r>
    </w:p>
    <w:p w14:paraId="709F1F9E">
      <w:pPr>
        <w:spacing w:line="360" w:lineRule="auto"/>
        <w:ind w:left="1008" w:leftChars="285" w:hanging="410" w:hangingChars="200"/>
        <w:rPr>
          <w:rFonts w:ascii="宋体" w:hAnsi="宋体" w:cs="宋体"/>
          <w:color w:val="auto"/>
          <w:spacing w:val="-3"/>
          <w:highlight w:val="none"/>
        </w:rPr>
      </w:pPr>
      <w:r>
        <w:rPr>
          <w:rFonts w:hint="eastAsia" w:ascii="宋体" w:hAnsi="宋体" w:cs="宋体"/>
          <w:b/>
          <w:bCs/>
          <w:color w:val="auto"/>
          <w:spacing w:val="-3"/>
          <w:highlight w:val="none"/>
        </w:rPr>
        <w:t>□</w:t>
      </w:r>
      <w:r>
        <w:rPr>
          <w:rFonts w:ascii="宋体" w:hAnsi="宋体" w:cs="宋体"/>
          <w:color w:val="auto"/>
          <w:spacing w:val="-3"/>
          <w:highlight w:val="none"/>
        </w:rPr>
        <w:t xml:space="preserve"> </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9"/>
          <w:rFonts w:ascii="宋体" w:hAnsi="宋体" w:cs="宋体"/>
          <w:color w:val="auto"/>
          <w:highlight w:val="none"/>
        </w:rPr>
        <w:footnoteReference w:id="303"/>
      </w:r>
      <w:r>
        <w:rPr>
          <w:rFonts w:hint="eastAsia" w:ascii="宋体" w:hAnsi="宋体" w:cs="宋体"/>
          <w:color w:val="auto"/>
          <w:highlight w:val="none"/>
        </w:rPr>
        <w:t>。</w:t>
      </w:r>
      <w:bookmarkStart w:id="933" w:name="_Hlk99435441"/>
      <w:bookmarkStart w:id="934" w:name="_Hlk99435531"/>
      <w:r>
        <w:rPr>
          <w:rFonts w:hint="eastAsia" w:ascii="宋体" w:hAnsi="宋体" w:cs="宋体"/>
          <w:color w:val="auto"/>
          <w:highlight w:val="none"/>
        </w:rPr>
        <w:t>□和</w:t>
      </w:r>
      <w:bookmarkEnd w:id="933"/>
      <w:r>
        <w:rPr>
          <w:rFonts w:ascii="宋体" w:hAnsi="宋体" w:cs="宋体"/>
          <w:color w:val="auto"/>
          <w:highlight w:val="none"/>
        </w:rPr>
        <w:t xml:space="preserve">  </w:t>
      </w:r>
      <w:r>
        <w:rPr>
          <w:rFonts w:hint="eastAsia" w:ascii="宋体" w:hAnsi="宋体" w:cs="宋体"/>
          <w:color w:val="auto"/>
          <w:highlight w:val="none"/>
        </w:rPr>
        <w:t>□或</w:t>
      </w:r>
      <w:bookmarkEnd w:id="934"/>
    </w:p>
    <w:p w14:paraId="388D4842">
      <w:pPr>
        <w:spacing w:line="360" w:lineRule="auto"/>
        <w:ind w:firstLine="632" w:firstLineChars="300"/>
        <w:rPr>
          <w:rFonts w:ascii="宋体" w:hAnsi="宋体" w:cs="宋体"/>
          <w:color w:val="auto"/>
          <w:spacing w:val="-3"/>
          <w:highlight w:val="none"/>
        </w:rPr>
      </w:pPr>
      <w:r>
        <w:rPr>
          <w:rFonts w:hint="eastAsia" w:ascii="宋体" w:hAnsi="宋体" w:cs="宋体"/>
          <w:b/>
          <w:bCs/>
          <w:color w:val="auto"/>
          <w:highlight w:val="none"/>
        </w:rPr>
        <w:t>□</w:t>
      </w:r>
      <w:r>
        <w:rPr>
          <w:rFonts w:ascii="宋体" w:hAnsi="宋体" w:cs="宋体"/>
          <w:color w:val="auto"/>
          <w:highlight w:val="none"/>
        </w:rPr>
        <w:t xml:space="preserve"> 证明材料：</w:t>
      </w:r>
      <w:r>
        <w:rPr>
          <w:rFonts w:ascii="宋体" w:hAnsi="宋体" w:cs="宋体"/>
          <w:color w:val="auto"/>
          <w:highlight w:val="none"/>
          <w:u w:val="single"/>
        </w:rPr>
        <w:t xml:space="preserve">          </w:t>
      </w:r>
      <w:r>
        <w:rPr>
          <w:rFonts w:hint="eastAsia" w:ascii="宋体" w:hAnsi="宋体" w:cs="宋体"/>
          <w:color w:val="auto"/>
          <w:highlight w:val="none"/>
        </w:rPr>
        <w:t>。</w:t>
      </w:r>
      <w:r>
        <w:rPr>
          <w:rStyle w:val="59"/>
          <w:rFonts w:hint="eastAsia" w:ascii="宋体" w:hAnsi="宋体" w:cs="宋体"/>
          <w:color w:val="auto"/>
          <w:highlight w:val="none"/>
        </w:rPr>
        <w:footnoteReference w:id="304"/>
      </w:r>
    </w:p>
    <w:p w14:paraId="1D80135E">
      <w:pPr>
        <w:spacing w:line="360" w:lineRule="auto"/>
        <w:ind w:firstLine="408" w:firstLineChars="200"/>
        <w:rPr>
          <w:rFonts w:ascii="宋体" w:hAnsi="宋体" w:cs="宋体"/>
          <w:color w:val="auto"/>
          <w:highlight w:val="none"/>
        </w:rPr>
      </w:pPr>
      <w:r>
        <w:rPr>
          <w:rFonts w:ascii="宋体" w:hAnsi="宋体" w:cs="宋体"/>
          <w:color w:val="auto"/>
          <w:spacing w:val="-3"/>
          <w:highlight w:val="none"/>
        </w:rPr>
        <w:t>2.</w:t>
      </w:r>
      <w:bookmarkStart w:id="935" w:name="_Hlk101082473"/>
      <w:r>
        <w:rPr>
          <w:rFonts w:hint="eastAsia" w:ascii="宋体" w:hAnsi="宋体" w:cs="宋体"/>
          <w:color w:val="auto"/>
          <w:spacing w:val="-3"/>
          <w:highlight w:val="none"/>
        </w:rPr>
        <w:t>因投标人自身原因</w:t>
      </w:r>
      <w:bookmarkEnd w:id="935"/>
      <w:r>
        <w:rPr>
          <w:rFonts w:hint="eastAsia" w:ascii="宋体" w:hAnsi="宋体" w:cs="宋体"/>
          <w:color w:val="auto"/>
          <w:spacing w:val="-3"/>
          <w:highlight w:val="none"/>
        </w:rPr>
        <w:t>未提供附件或提供的附件不能与所证明的内容相匹配，造成业绩或其他内容不予认可时，投标人自行承担相关责任。</w:t>
      </w:r>
    </w:p>
    <w:p w14:paraId="484E315D">
      <w:pPr>
        <w:pStyle w:val="299"/>
        <w:spacing w:line="360" w:lineRule="auto"/>
        <w:ind w:firstLine="420" w:firstLineChars="200"/>
        <w:rPr>
          <w:rFonts w:ascii="宋体" w:hAnsi="宋体"/>
          <w:color w:val="auto"/>
          <w:highlight w:val="none"/>
        </w:rPr>
      </w:pPr>
      <w:r>
        <w:rPr>
          <w:rFonts w:ascii="宋体" w:hAnsi="宋体"/>
          <w:color w:val="auto"/>
          <w:highlight w:val="none"/>
        </w:rPr>
        <w:t>3.本表所列合同价格一般为项目结算价格，无结算价格的以签约合同价格为准。</w:t>
      </w:r>
    </w:p>
    <w:p w14:paraId="70E42088">
      <w:pPr>
        <w:pStyle w:val="299"/>
        <w:spacing w:line="360" w:lineRule="auto"/>
        <w:ind w:firstLine="42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如近年来，投标人法人机构发生合法变更或重组或法人名称变更时，应提供相关部门的合法批件或其他相关证明材料来证明其所附业绩的继承性。</w:t>
      </w:r>
    </w:p>
    <w:p w14:paraId="5C93D805">
      <w:pPr>
        <w:spacing w:line="360" w:lineRule="auto"/>
        <w:ind w:firstLine="420" w:firstLineChars="200"/>
        <w:rPr>
          <w:rFonts w:ascii="宋体" w:hAnsi="宋体" w:cs="宋体"/>
          <w:color w:val="auto"/>
          <w:highlight w:val="none"/>
        </w:rPr>
      </w:pPr>
      <w:r>
        <w:rPr>
          <w:rFonts w:ascii="宋体" w:hAnsi="宋体" w:cs="宋体"/>
          <w:color w:val="auto"/>
          <w:szCs w:val="21"/>
          <w:highlight w:val="none"/>
        </w:rPr>
        <w:t>5.</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w:t>
      </w:r>
      <w:r>
        <w:rPr>
          <w:rFonts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5月1日，填写为20</w:t>
      </w:r>
      <w:r>
        <w:rPr>
          <w:rFonts w:hint="eastAsia" w:ascii="宋体" w:hAnsi="宋体"/>
          <w:color w:val="auto"/>
          <w:szCs w:val="21"/>
          <w:highlight w:val="none"/>
          <w:lang w:val="en-US" w:eastAsia="zh-CN"/>
        </w:rPr>
        <w:t>21</w:t>
      </w:r>
      <w:r>
        <w:rPr>
          <w:rFonts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ascii="宋体" w:hAnsi="宋体"/>
          <w:color w:val="auto"/>
          <w:szCs w:val="21"/>
          <w:highlight w:val="none"/>
        </w:rPr>
        <w:t>5月，填写为20</w:t>
      </w:r>
      <w:r>
        <w:rPr>
          <w:rFonts w:hint="eastAsia" w:ascii="宋体" w:hAnsi="宋体"/>
          <w:color w:val="auto"/>
          <w:szCs w:val="21"/>
          <w:highlight w:val="none"/>
          <w:lang w:val="en-US" w:eastAsia="zh-CN"/>
        </w:rPr>
        <w:t>21</w:t>
      </w:r>
      <w:r>
        <w:rPr>
          <w:rFonts w:ascii="宋体" w:hAnsi="宋体"/>
          <w:color w:val="auto"/>
          <w:szCs w:val="21"/>
          <w:highlight w:val="none"/>
        </w:rPr>
        <w:t>05。</w:t>
      </w:r>
    </w:p>
    <w:p w14:paraId="00237535">
      <w:pPr>
        <w:spacing w:line="360" w:lineRule="auto"/>
        <w:ind w:left="609" w:leftChars="190" w:hanging="210" w:hangingChars="100"/>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szCs w:val="21"/>
          <w:highlight w:val="none"/>
        </w:rPr>
        <w:t>允许联合体投标时，</w:t>
      </w:r>
      <w:r>
        <w:rPr>
          <w:rFonts w:hint="eastAsia" w:ascii="宋体" w:hAnsi="宋体" w:cs="宋体"/>
          <w:color w:val="auto"/>
          <w:szCs w:val="21"/>
          <w:highlight w:val="none"/>
          <w:lang w:val="en-US" w:eastAsia="zh-CN"/>
        </w:rPr>
        <w:t>若</w:t>
      </w:r>
      <w:r>
        <w:rPr>
          <w:rFonts w:ascii="宋体" w:hAnsi="宋体" w:cs="宋体"/>
          <w:color w:val="auto"/>
          <w:highlight w:val="none"/>
        </w:rPr>
        <w:t>以联合体形式投标的，联合体各成员应按照</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前附表附录3</w:t>
      </w:r>
      <w:r>
        <w:rPr>
          <w:rFonts w:hint="eastAsia" w:ascii="宋体" w:hAnsi="宋体" w:cs="宋体"/>
          <w:color w:val="auto"/>
          <w:highlight w:val="none"/>
        </w:rPr>
        <w:t>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46907F64">
      <w:pPr>
        <w:pStyle w:val="22"/>
        <w:kinsoku w:val="0"/>
        <w:overflowPunct w:val="0"/>
        <w:spacing w:before="44" w:line="360" w:lineRule="auto"/>
        <w:rPr>
          <w:rFonts w:cs="黑体"/>
          <w:color w:val="auto"/>
          <w:highlight w:val="none"/>
        </w:rPr>
        <w:sectPr>
          <w:footnotePr>
            <w:numFmt w:val="decimalEnclosedCircleChinese"/>
            <w:numRestart w:val="eachPage"/>
          </w:footnotePr>
          <w:pgSz w:w="16838" w:h="11900" w:orient="landscape"/>
          <w:pgMar w:top="1701" w:right="1417" w:bottom="1417" w:left="1417" w:header="850" w:footer="624" w:gutter="0"/>
          <w:cols w:space="0" w:num="1"/>
          <w:rtlGutter w:val="0"/>
          <w:docGrid w:linePitch="286" w:charSpace="0"/>
        </w:sectPr>
      </w:pPr>
    </w:p>
    <w:p w14:paraId="5AADF488">
      <w:pPr>
        <w:pStyle w:val="6"/>
        <w:rPr>
          <w:rFonts w:ascii="黑体" w:hAnsi="黑体" w:eastAsia="黑体" w:cs="黑体"/>
          <w:color w:val="auto"/>
          <w:szCs w:val="28"/>
          <w:highlight w:val="none"/>
        </w:rPr>
      </w:pPr>
      <w:r>
        <w:rPr>
          <w:rFonts w:hint="eastAsia" w:ascii="黑体" w:hAnsi="黑体" w:eastAsia="黑体" w:cs="黑体"/>
          <w:b w:val="0"/>
          <w:bCs w:val="0"/>
          <w:color w:val="auto"/>
          <w:sz w:val="28"/>
          <w:szCs w:val="24"/>
          <w:highlight w:val="none"/>
        </w:rPr>
        <w:t>（五）投标人的信誉情况表</w:t>
      </w:r>
    </w:p>
    <w:p w14:paraId="4BA5F3B1">
      <w:pPr>
        <w:pStyle w:val="22"/>
        <w:kinsoku w:val="0"/>
        <w:overflowPunct w:val="0"/>
        <w:spacing w:before="26"/>
        <w:jc w:val="center"/>
        <w:rPr>
          <w:rFonts w:cs="黑体"/>
          <w:color w:val="auto"/>
          <w:highlight w:val="none"/>
        </w:rPr>
      </w:pPr>
    </w:p>
    <w:p w14:paraId="776F9CC6">
      <w:pPr>
        <w:pStyle w:val="299"/>
        <w:rPr>
          <w:color w:val="auto"/>
          <w:highlight w:val="none"/>
        </w:rPr>
      </w:pPr>
    </w:p>
    <w:tbl>
      <w:tblPr>
        <w:tblStyle w:val="4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961"/>
        <w:gridCol w:w="1192"/>
      </w:tblGrid>
      <w:tr w14:paraId="6469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34" w:type="dxa"/>
            <w:gridSpan w:val="3"/>
            <w:vAlign w:val="center"/>
          </w:tcPr>
          <w:p w14:paraId="555DF498">
            <w:pPr>
              <w:spacing w:line="400" w:lineRule="exact"/>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投标人名称</w:t>
            </w:r>
            <w:r>
              <w:rPr>
                <w:rStyle w:val="59"/>
                <w:rFonts w:cs="宋体" w:asciiTheme="minorEastAsia" w:hAnsiTheme="minorEastAsia" w:eastAsiaTheme="minorEastAsia"/>
                <w:color w:val="auto"/>
                <w:szCs w:val="21"/>
                <w:highlight w:val="none"/>
              </w:rPr>
              <w:footnoteReference w:id="305"/>
            </w:r>
            <w:r>
              <w:rPr>
                <w:rFonts w:hint="eastAsia" w:cs="宋体" w:asciiTheme="minorEastAsia" w:hAnsiTheme="minorEastAsia" w:eastAsiaTheme="minorEastAsia"/>
                <w:color w:val="auto"/>
                <w:szCs w:val="21"/>
                <w:highlight w:val="none"/>
              </w:rPr>
              <w:t>：</w:t>
            </w:r>
          </w:p>
        </w:tc>
      </w:tr>
      <w:tr w14:paraId="7C0C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681" w:type="dxa"/>
            <w:vAlign w:val="center"/>
          </w:tcPr>
          <w:p w14:paraId="78230D4F">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资料类型</w:t>
            </w:r>
          </w:p>
        </w:tc>
        <w:tc>
          <w:tcPr>
            <w:tcW w:w="3961" w:type="dxa"/>
            <w:vAlign w:val="center"/>
          </w:tcPr>
          <w:p w14:paraId="796E8CB8">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评价内容</w:t>
            </w:r>
          </w:p>
        </w:tc>
        <w:tc>
          <w:tcPr>
            <w:tcW w:w="1192" w:type="dxa"/>
            <w:vAlign w:val="center"/>
          </w:tcPr>
          <w:p w14:paraId="299423E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信誉情况</w:t>
            </w:r>
          </w:p>
          <w:p w14:paraId="0CB4BCFE">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p>
        </w:tc>
      </w:tr>
      <w:tr w14:paraId="3AC2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681" w:type="dxa"/>
            <w:vAlign w:val="center"/>
          </w:tcPr>
          <w:p w14:paraId="7B9314E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Cs w:val="21"/>
                <w:highlight w:val="none"/>
              </w:rPr>
              <w:t>四川省交通运输厅</w:t>
            </w:r>
            <w:r>
              <w:rPr>
                <w:rFonts w:hint="eastAsia" w:asciiTheme="minorEastAsia" w:hAnsiTheme="minorEastAsia" w:eastAsiaTheme="minorEastAsia"/>
                <w:color w:val="auto"/>
                <w:szCs w:val="21"/>
                <w:highlight w:val="none"/>
              </w:rPr>
              <w:t>网</w:t>
            </w:r>
            <w:r>
              <w:rPr>
                <w:rFonts w:hint="eastAsia" w:asciiTheme="minorEastAsia" w:hAnsiTheme="minorEastAsia" w:eastAsiaTheme="minorEastAsia"/>
                <w:color w:val="auto"/>
                <w:sz w:val="21"/>
                <w:szCs w:val="21"/>
                <w:highlight w:val="none"/>
              </w:rPr>
              <w:t>站公布的</w:t>
            </w:r>
            <w:r>
              <w:rPr>
                <w:rFonts w:hint="eastAsia" w:ascii="宋体" w:hAnsi="宋体"/>
                <w:color w:val="auto"/>
                <w:sz w:val="21"/>
                <w:szCs w:val="21"/>
                <w:highlight w:val="none"/>
                <w:lang w:val="en-US" w:eastAsia="zh-CN"/>
              </w:rPr>
              <w:t>下述</w:t>
            </w:r>
            <w:r>
              <w:rPr>
                <w:rFonts w:hint="eastAsia" w:ascii="宋体" w:hAnsi="宋体"/>
                <w:color w:val="auto"/>
                <w:sz w:val="21"/>
                <w:szCs w:val="21"/>
                <w:highlight w:val="none"/>
              </w:rPr>
              <w:t>信用评价等级</w:t>
            </w:r>
            <w:r>
              <w:rPr>
                <w:rFonts w:asciiTheme="minorEastAsia" w:hAnsiTheme="minorEastAsia" w:eastAsiaTheme="minorEastAsia"/>
                <w:color w:val="auto"/>
                <w:sz w:val="21"/>
                <w:szCs w:val="21"/>
                <w:highlight w:val="none"/>
              </w:rPr>
              <w:t>网页</w:t>
            </w:r>
            <w:r>
              <w:rPr>
                <w:rFonts w:hint="eastAsia" w:asciiTheme="minorEastAsia" w:hAnsiTheme="minorEastAsia" w:eastAsiaTheme="minorEastAsia"/>
                <w:color w:val="auto"/>
                <w:sz w:val="21"/>
                <w:szCs w:val="21"/>
                <w:highlight w:val="none"/>
              </w:rPr>
              <w:t>截图</w:t>
            </w:r>
            <w:r>
              <w:rPr>
                <w:rFonts w:hint="eastAsia" w:asciiTheme="minorEastAsia" w:hAnsiTheme="minorEastAsia" w:eastAsiaTheme="minorEastAsia"/>
                <w:color w:val="auto"/>
                <w:sz w:val="21"/>
                <w:szCs w:val="21"/>
                <w:highlight w:val="none"/>
                <w:lang w:eastAsia="zh-CN"/>
              </w:rPr>
              <w:t>：</w:t>
            </w:r>
          </w:p>
          <w:p w14:paraId="3214C730">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default" w:ascii="宋体" w:hAnsi="宋体" w:eastAsia="宋体"/>
                <w:color w:val="auto"/>
                <w:sz w:val="21"/>
                <w:szCs w:val="21"/>
                <w:highlight w:val="none"/>
                <w:lang w:val="en-US" w:eastAsia="zh-CN"/>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四川省重点公路建设从业单位信用评价等级</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 xml:space="preserve">  </w:t>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或</w:t>
            </w:r>
          </w:p>
          <w:p w14:paraId="2259105A">
            <w:pPr>
              <w:keepNext w:val="0"/>
              <w:keepLines w:val="0"/>
              <w:pageBreakBefore w:val="0"/>
              <w:kinsoku/>
              <w:wordWrap/>
              <w:overflowPunct/>
              <w:topLinePunct w:val="0"/>
              <w:autoSpaceDE/>
              <w:autoSpaceDN/>
              <w:bidi w:val="0"/>
              <w:adjustRightInd/>
              <w:snapToGrid/>
              <w:spacing w:line="400" w:lineRule="exact"/>
              <w:ind w:firstLine="210" w:firstLineChars="100"/>
              <w:jc w:val="left"/>
              <w:textAlignment w:val="auto"/>
              <w:rPr>
                <w:rFonts w:hint="eastAsia" w:asciiTheme="minorEastAsia" w:hAnsiTheme="minorEastAsia" w:eastAsiaTheme="minorEastAsia"/>
                <w:color w:val="auto"/>
                <w:sz w:val="21"/>
                <w:szCs w:val="21"/>
                <w:highlight w:val="none"/>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农村公路建设从业单位信用评价等级。</w:t>
            </w:r>
          </w:p>
        </w:tc>
        <w:tc>
          <w:tcPr>
            <w:tcW w:w="3961" w:type="dxa"/>
            <w:vAlign w:val="center"/>
          </w:tcPr>
          <w:p w14:paraId="3F692326">
            <w:pPr>
              <w:spacing w:line="4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信用等级：□</w:t>
            </w:r>
            <w:r>
              <w:rPr>
                <w:rFonts w:asciiTheme="minorEastAsia" w:hAnsiTheme="minorEastAsia" w:eastAsiaTheme="minorEastAsia"/>
                <w:color w:val="auto"/>
                <w:szCs w:val="21"/>
                <w:highlight w:val="none"/>
              </w:rPr>
              <w:t xml:space="preserve">AA+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AA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A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B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C</w:t>
            </w:r>
          </w:p>
        </w:tc>
        <w:tc>
          <w:tcPr>
            <w:tcW w:w="1192" w:type="dxa"/>
            <w:vAlign w:val="center"/>
          </w:tcPr>
          <w:p w14:paraId="3883C4F7">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H1</w:t>
            </w:r>
          </w:p>
        </w:tc>
      </w:tr>
      <w:tr w14:paraId="7BB6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3681" w:type="dxa"/>
            <w:vAlign w:val="center"/>
          </w:tcPr>
          <w:p w14:paraId="2F087048">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国家企业信用信息公示系统网页截图</w:t>
            </w:r>
          </w:p>
        </w:tc>
        <w:tc>
          <w:tcPr>
            <w:tcW w:w="3961" w:type="dxa"/>
            <w:vAlign w:val="center"/>
          </w:tcPr>
          <w:p w14:paraId="0952CC73">
            <w:pPr>
              <w:spacing w:line="4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未列入严重违法失信企业</w:t>
            </w:r>
          </w:p>
        </w:tc>
        <w:tc>
          <w:tcPr>
            <w:tcW w:w="1192" w:type="dxa"/>
            <w:vAlign w:val="center"/>
          </w:tcPr>
          <w:p w14:paraId="69E730FE">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H2</w:t>
            </w:r>
          </w:p>
        </w:tc>
      </w:tr>
      <w:tr w14:paraId="6DDC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681" w:type="dxa"/>
            <w:vAlign w:val="center"/>
          </w:tcPr>
          <w:p w14:paraId="7A3EE1FE">
            <w:pPr>
              <w:spacing w:line="4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4"/>
                <w:highlight w:val="none"/>
              </w:rPr>
              <w:t>通过“信用中国”</w:t>
            </w:r>
            <w:r>
              <w:rPr>
                <w:rFonts w:hint="eastAsia" w:asciiTheme="minorEastAsia" w:hAnsiTheme="minorEastAsia" w:eastAsiaTheme="minorEastAsia"/>
                <w:color w:val="auto"/>
                <w:highlight w:val="none"/>
              </w:rPr>
              <w:t>查询</w:t>
            </w:r>
            <w:r>
              <w:rPr>
                <w:rFonts w:asciiTheme="minorEastAsia" w:hAnsiTheme="minorEastAsia" w:eastAsiaTheme="minorEastAsia"/>
                <w:color w:val="auto"/>
                <w:highlight w:val="none"/>
              </w:rPr>
              <w:t>“失信被执行人”链接</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中国执行信息公开网</w:t>
            </w:r>
            <w:r>
              <w:rPr>
                <w:rFonts w:hint="eastAsia" w:asciiTheme="minorEastAsia" w:hAnsiTheme="minorEastAsia" w:eastAsiaTheme="minorEastAsia"/>
                <w:color w:val="auto"/>
                <w:szCs w:val="21"/>
                <w:highlight w:val="none"/>
              </w:rPr>
              <w:t>”网页截图</w:t>
            </w:r>
          </w:p>
        </w:tc>
        <w:tc>
          <w:tcPr>
            <w:tcW w:w="3961" w:type="dxa"/>
            <w:vAlign w:val="center"/>
          </w:tcPr>
          <w:p w14:paraId="2ED1EA1F">
            <w:pPr>
              <w:spacing w:line="4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未列入</w:t>
            </w:r>
            <w:r>
              <w:rPr>
                <w:rFonts w:hint="eastAsia" w:asciiTheme="minorEastAsia" w:hAnsiTheme="minorEastAsia" w:eastAsiaTheme="minorEastAsia"/>
                <w:color w:val="auto"/>
                <w:spacing w:val="-4"/>
                <w:szCs w:val="21"/>
                <w:highlight w:val="none"/>
              </w:rPr>
              <w:t>失信被执行人</w:t>
            </w:r>
            <w:r>
              <w:rPr>
                <w:rFonts w:hint="eastAsia" w:asciiTheme="minorEastAsia" w:hAnsiTheme="minorEastAsia" w:eastAsiaTheme="minorEastAsia"/>
                <w:color w:val="auto"/>
                <w:szCs w:val="21"/>
                <w:highlight w:val="none"/>
              </w:rPr>
              <w:t>名单</w:t>
            </w:r>
          </w:p>
        </w:tc>
        <w:tc>
          <w:tcPr>
            <w:tcW w:w="1192" w:type="dxa"/>
            <w:vAlign w:val="center"/>
          </w:tcPr>
          <w:p w14:paraId="5FD3B096">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H3</w:t>
            </w:r>
          </w:p>
        </w:tc>
      </w:tr>
      <w:tr w14:paraId="7989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3681" w:type="dxa"/>
            <w:vAlign w:val="center"/>
          </w:tcPr>
          <w:p w14:paraId="50D72461">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无行贿犯罪的承诺函</w:t>
            </w:r>
          </w:p>
        </w:tc>
        <w:tc>
          <w:tcPr>
            <w:tcW w:w="3961" w:type="dxa"/>
            <w:vAlign w:val="center"/>
          </w:tcPr>
          <w:p w14:paraId="579B9969">
            <w:pPr>
              <w:spacing w:line="400" w:lineRule="exact"/>
              <w:jc w:val="left"/>
              <w:rPr>
                <w:rFonts w:asciiTheme="minorEastAsia" w:hAnsiTheme="minorEastAsia" w:eastAsiaTheme="minorEastAsia"/>
                <w:color w:val="auto"/>
                <w:szCs w:val="21"/>
                <w:highlight w:val="none"/>
              </w:rPr>
            </w:pPr>
            <w:r>
              <w:rPr>
                <w:rFonts w:hint="eastAsia" w:ascii="宋体" w:hAnsi="宋体" w:cs="宋体"/>
                <w:color w:val="auto"/>
                <w:szCs w:val="21"/>
                <w:highlight w:val="none"/>
              </w:rPr>
              <w:t>没有被人民法院生效判决</w:t>
            </w:r>
            <w:r>
              <w:rPr>
                <w:rFonts w:hint="eastAsia" w:ascii="宋体" w:hAnsi="宋体" w:cs="宋体"/>
                <w:color w:val="auto"/>
                <w:szCs w:val="21"/>
                <w:highlight w:val="none"/>
                <w:lang w:val="en-US" w:eastAsia="zh-CN"/>
              </w:rPr>
              <w:t>或裁定认定</w:t>
            </w:r>
            <w:r>
              <w:rPr>
                <w:rFonts w:hint="eastAsia" w:ascii="宋体" w:hAnsi="宋体" w:cs="宋体"/>
                <w:color w:val="auto"/>
                <w:szCs w:val="21"/>
                <w:highlight w:val="none"/>
              </w:rPr>
              <w:t>为行贿犯罪（包括行贿罪、单位行贿罪、对单位行贿罪、介绍贿赂罪等）</w:t>
            </w:r>
          </w:p>
        </w:tc>
        <w:tc>
          <w:tcPr>
            <w:tcW w:w="1192" w:type="dxa"/>
            <w:vAlign w:val="center"/>
          </w:tcPr>
          <w:p w14:paraId="51BBA85E">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H4</w:t>
            </w:r>
          </w:p>
        </w:tc>
      </w:tr>
      <w:tr w14:paraId="7E69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681" w:type="dxa"/>
            <w:vAlign w:val="center"/>
          </w:tcPr>
          <w:p w14:paraId="687F4F31">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 xml:space="preserve"> </w:t>
            </w:r>
            <w:r>
              <w:rPr>
                <w:rFonts w:hint="eastAsia" w:asciiTheme="minorEastAsia" w:hAnsiTheme="minorEastAsia" w:eastAsiaTheme="minorEastAsia"/>
                <w:color w:val="auto"/>
                <w:szCs w:val="21"/>
                <w:highlight w:val="none"/>
              </w:rPr>
              <w:t>其他信誉条件</w:t>
            </w:r>
            <w:r>
              <w:rPr>
                <w:rStyle w:val="59"/>
                <w:rFonts w:ascii="宋体" w:hAnsi="宋体" w:cs="宋体"/>
                <w:color w:val="auto"/>
                <w:szCs w:val="21"/>
                <w:highlight w:val="none"/>
              </w:rPr>
              <w:footnoteReference w:id="306"/>
            </w:r>
          </w:p>
        </w:tc>
        <w:tc>
          <w:tcPr>
            <w:tcW w:w="3961" w:type="dxa"/>
            <w:vAlign w:val="center"/>
          </w:tcPr>
          <w:p w14:paraId="38769267">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p>
        </w:tc>
        <w:tc>
          <w:tcPr>
            <w:tcW w:w="1192" w:type="dxa"/>
            <w:vAlign w:val="center"/>
          </w:tcPr>
          <w:p w14:paraId="3BA10EA7">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H5</w:t>
            </w:r>
          </w:p>
        </w:tc>
      </w:tr>
    </w:tbl>
    <w:p w14:paraId="0047E25D">
      <w:pPr>
        <w:spacing w:line="360" w:lineRule="auto"/>
        <w:ind w:firstLine="480" w:firstLineChars="200"/>
        <w:jc w:val="left"/>
        <w:rPr>
          <w:rFonts w:ascii="宋体" w:hAnsi="宋体"/>
          <w:color w:val="auto"/>
          <w:sz w:val="24"/>
          <w:highlight w:val="none"/>
        </w:rPr>
      </w:pPr>
      <w:bookmarkStart w:id="936" w:name="_Toc513555610"/>
      <w:bookmarkStart w:id="937" w:name="_Toc519601517"/>
      <w:bookmarkStart w:id="938" w:name="_Toc513556694"/>
      <w:bookmarkStart w:id="939" w:name="_Toc519777844"/>
      <w:bookmarkStart w:id="940" w:name="_Toc513555854"/>
      <w:bookmarkStart w:id="941" w:name="_Toc519778509"/>
      <w:bookmarkStart w:id="942" w:name="_Toc519777896"/>
    </w:p>
    <w:p w14:paraId="536CC639">
      <w:pPr>
        <w:spacing w:line="360" w:lineRule="auto"/>
        <w:ind w:left="630" w:leftChars="0" w:hanging="630" w:hangingChars="300"/>
        <w:rPr>
          <w:rFonts w:ascii="宋体" w:hAnsi="宋体"/>
          <w:color w:val="auto"/>
          <w:sz w:val="24"/>
          <w:highlight w:val="none"/>
        </w:rPr>
      </w:pPr>
      <w:r>
        <w:rPr>
          <w:rFonts w:hint="eastAsia" w:ascii="宋体" w:hAnsi="宋体" w:cs="宋体"/>
          <w:color w:val="auto"/>
          <w:szCs w:val="21"/>
          <w:highlight w:val="none"/>
        </w:rPr>
        <w:t>注：1.投标人应按</w:t>
      </w:r>
      <w:r>
        <w:rPr>
          <w:rFonts w:hint="eastAsia" w:ascii="宋体" w:hAnsi="宋体" w:cs="宋体"/>
          <w:color w:val="auto"/>
          <w:szCs w:val="21"/>
          <w:highlight w:val="none"/>
          <w:lang w:val="en-US" w:eastAsia="zh-CN"/>
        </w:rPr>
        <w:t>第二章“</w:t>
      </w:r>
      <w:r>
        <w:rPr>
          <w:rFonts w:hint="eastAsia" w:ascii="宋体" w:hAnsi="宋体" w:cs="宋体"/>
          <w:color w:val="auto"/>
          <w:szCs w:val="21"/>
          <w:highlight w:val="none"/>
        </w:rPr>
        <w:t>投标人须知</w:t>
      </w:r>
      <w:r>
        <w:rPr>
          <w:rFonts w:hint="eastAsia" w:ascii="宋体" w:hAnsi="宋体" w:cs="宋体"/>
          <w:color w:val="auto"/>
          <w:szCs w:val="21"/>
          <w:highlight w:val="none"/>
          <w:lang w:val="en-US" w:eastAsia="zh-CN"/>
        </w:rPr>
        <w:t>”前附表</w:t>
      </w:r>
      <w:r>
        <w:rPr>
          <w:rFonts w:hint="eastAsia" w:ascii="宋体" w:hAnsi="宋体" w:cs="宋体"/>
          <w:color w:val="auto"/>
          <w:szCs w:val="21"/>
          <w:highlight w:val="none"/>
        </w:rPr>
        <w:t>附录</w:t>
      </w:r>
      <w:r>
        <w:rPr>
          <w:rFonts w:ascii="宋体" w:hAnsi="宋体" w:cs="宋体"/>
          <w:color w:val="auto"/>
          <w:szCs w:val="21"/>
          <w:highlight w:val="none"/>
        </w:rPr>
        <w:t>4</w:t>
      </w:r>
      <w:r>
        <w:rPr>
          <w:rFonts w:hint="eastAsia" w:ascii="宋体" w:hAnsi="宋体" w:cs="宋体"/>
          <w:color w:val="auto"/>
          <w:szCs w:val="21"/>
          <w:highlight w:val="none"/>
        </w:rPr>
        <w:t>资格审查条件（信誉最低要求）的要求</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信誉情况相关查询结果网页截图、承诺函等证明材料</w:t>
      </w:r>
      <w:r>
        <w:rPr>
          <w:rFonts w:hint="eastAsia" w:ascii="宋体" w:hAnsi="宋体" w:cs="宋体"/>
          <w:color w:val="auto"/>
          <w:szCs w:val="21"/>
          <w:highlight w:val="none"/>
          <w:lang w:val="en-US" w:eastAsia="zh-CN"/>
        </w:rPr>
        <w:t>附件H系列</w:t>
      </w:r>
      <w:r>
        <w:rPr>
          <w:rFonts w:hint="eastAsia" w:ascii="宋体" w:hAnsi="宋体" w:cs="宋体"/>
          <w:color w:val="auto"/>
          <w:szCs w:val="21"/>
          <w:highlight w:val="none"/>
        </w:rPr>
        <w:t>。</w:t>
      </w:r>
      <w:bookmarkEnd w:id="936"/>
      <w:bookmarkEnd w:id="937"/>
      <w:bookmarkEnd w:id="938"/>
      <w:bookmarkEnd w:id="939"/>
      <w:bookmarkEnd w:id="940"/>
      <w:bookmarkEnd w:id="941"/>
      <w:bookmarkEnd w:id="942"/>
      <w:r>
        <w:rPr>
          <w:rFonts w:hint="eastAsia" w:ascii="宋体" w:hAnsi="宋体" w:cs="宋体"/>
          <w:color w:val="auto"/>
          <w:szCs w:val="21"/>
          <w:highlight w:val="none"/>
        </w:rPr>
        <w:t>其中附件H4无行贿犯罪的承诺函格式附后。</w:t>
      </w:r>
      <w:r>
        <w:rPr>
          <w:rFonts w:ascii="宋体" w:hAnsi="宋体"/>
          <w:color w:val="auto"/>
          <w:sz w:val="24"/>
          <w:highlight w:val="none"/>
        </w:rPr>
        <w:t xml:space="preserve"> </w:t>
      </w:r>
    </w:p>
    <w:p w14:paraId="6E0E4219">
      <w:pPr>
        <w:spacing w:line="360" w:lineRule="auto"/>
        <w:ind w:left="609" w:leftChars="190" w:hanging="210" w:hangingChars="100"/>
        <w:jc w:val="left"/>
        <w:rPr>
          <w:rFonts w:hint="default" w:ascii="宋体" w:hAnsi="宋体" w:eastAsia="宋体"/>
          <w:color w:val="auto"/>
          <w:highlight w:val="none"/>
          <w:lang w:val="en-US" w:eastAsia="zh-CN"/>
        </w:rPr>
      </w:pPr>
      <w:r>
        <w:rPr>
          <w:rFonts w:hint="eastAsia" w:ascii="宋体" w:hAnsi="宋体" w:cs="宋体"/>
          <w:color w:val="auto"/>
          <w:szCs w:val="21"/>
          <w:highlight w:val="none"/>
        </w:rPr>
        <w:t>2.允许联合体投标时，</w:t>
      </w:r>
      <w:r>
        <w:rPr>
          <w:rFonts w:hint="eastAsia" w:ascii="宋体" w:hAnsi="宋体" w:cs="宋体"/>
          <w:color w:val="auto"/>
          <w:szCs w:val="21"/>
          <w:highlight w:val="none"/>
          <w:lang w:val="en-US" w:eastAsia="zh-CN"/>
        </w:rPr>
        <w:t>若</w:t>
      </w:r>
      <w:r>
        <w:rPr>
          <w:rFonts w:hint="eastAsia" w:ascii="宋体" w:hAnsi="宋体"/>
          <w:color w:val="auto"/>
          <w:highlight w:val="none"/>
        </w:rPr>
        <w:t>以联合体形式投标的，联合体牵头人及所有成员方均应提供上述信誉情况资料。</w:t>
      </w:r>
      <w:r>
        <w:rPr>
          <w:rFonts w:hint="eastAsia" w:ascii="宋体" w:hAnsi="宋体"/>
          <w:color w:val="auto"/>
          <w:highlight w:val="none"/>
          <w:lang w:val="en-US" w:eastAsia="zh-CN"/>
        </w:rPr>
        <w:t>无行贿犯罪的承诺函由联合体牵头人出具对联合体所有成员的共同承诺。</w:t>
      </w:r>
    </w:p>
    <w:p w14:paraId="4ECA09D6">
      <w:pPr>
        <w:spacing w:line="360" w:lineRule="auto"/>
        <w:ind w:firstLine="480" w:firstLineChars="200"/>
        <w:rPr>
          <w:rFonts w:ascii="宋体" w:hAnsi="宋体"/>
          <w:color w:val="auto"/>
          <w:sz w:val="24"/>
          <w:highlight w:val="none"/>
        </w:rPr>
      </w:pPr>
    </w:p>
    <w:p w14:paraId="2431DA7C">
      <w:pPr>
        <w:pStyle w:val="22"/>
        <w:kinsoku w:val="0"/>
        <w:overflowPunct w:val="0"/>
        <w:spacing w:before="189"/>
        <w:rPr>
          <w:rFonts w:cs="黑体"/>
          <w:b/>
          <w:color w:val="auto"/>
          <w:highlight w:val="none"/>
        </w:rPr>
      </w:pPr>
      <w:bookmarkStart w:id="943" w:name="bookmark316"/>
      <w:bookmarkEnd w:id="943"/>
    </w:p>
    <w:p w14:paraId="0DE64D73">
      <w:pPr>
        <w:jc w:val="center"/>
        <w:rPr>
          <w:rFonts w:ascii="黑体" w:hAnsi="黑体" w:eastAsia="黑体"/>
          <w:color w:val="auto"/>
          <w:sz w:val="24"/>
          <w:highlight w:val="none"/>
        </w:rPr>
      </w:pPr>
      <w:r>
        <w:rPr>
          <w:rFonts w:hint="eastAsia" w:ascii="黑体" w:hAnsi="黑体" w:eastAsia="黑体" w:cs="Arial"/>
          <w:color w:val="auto"/>
          <w:kern w:val="0"/>
          <w:sz w:val="24"/>
          <w:highlight w:val="none"/>
        </w:rPr>
        <w:t>附件</w:t>
      </w:r>
      <w:r>
        <w:rPr>
          <w:rFonts w:ascii="黑体" w:hAnsi="黑体" w:eastAsia="黑体" w:cs="Arial"/>
          <w:color w:val="auto"/>
          <w:kern w:val="0"/>
          <w:sz w:val="24"/>
          <w:highlight w:val="none"/>
        </w:rPr>
        <w:t>H4 无行贿犯罪的承诺函</w:t>
      </w:r>
    </w:p>
    <w:p w14:paraId="6277F8F4">
      <w:pPr>
        <w:ind w:firstLine="420" w:firstLineChars="200"/>
        <w:rPr>
          <w:rFonts w:ascii="宋体" w:hAnsi="宋体"/>
          <w:color w:val="auto"/>
          <w:szCs w:val="21"/>
          <w:highlight w:val="none"/>
        </w:rPr>
      </w:pPr>
    </w:p>
    <w:p w14:paraId="00604AFD">
      <w:pPr>
        <w:ind w:firstLine="420" w:firstLineChars="200"/>
        <w:rPr>
          <w:rFonts w:ascii="宋体" w:hAnsi="宋体"/>
          <w:color w:val="auto"/>
          <w:szCs w:val="21"/>
          <w:highlight w:val="none"/>
        </w:rPr>
      </w:pPr>
    </w:p>
    <w:p w14:paraId="0A988DD4">
      <w:pPr>
        <w:spacing w:line="360" w:lineRule="auto"/>
        <w:rPr>
          <w:rFonts w:ascii="宋体" w:hAnsi="宋体"/>
          <w:color w:val="auto"/>
          <w:sz w:val="24"/>
          <w:highlight w:val="none"/>
        </w:rPr>
      </w:pPr>
      <w:r>
        <w:rPr>
          <w:rFonts w:ascii="宋体" w:hAnsi="宋体"/>
          <w:color w:val="auto"/>
          <w:sz w:val="24"/>
          <w:highlight w:val="none"/>
          <w:u w:val="single"/>
        </w:rPr>
        <w:t xml:space="preserve">   （招标人名称）   </w:t>
      </w:r>
      <w:r>
        <w:rPr>
          <w:rFonts w:hint="eastAsia" w:ascii="宋体" w:hAnsi="宋体"/>
          <w:color w:val="auto"/>
          <w:sz w:val="24"/>
          <w:highlight w:val="none"/>
        </w:rPr>
        <w:t>：</w:t>
      </w:r>
    </w:p>
    <w:p w14:paraId="2D96C330">
      <w:pPr>
        <w:spacing w:line="360" w:lineRule="auto"/>
        <w:rPr>
          <w:rFonts w:ascii="宋体" w:hAnsi="宋体"/>
          <w:color w:val="auto"/>
          <w:sz w:val="24"/>
          <w:highlight w:val="none"/>
        </w:rPr>
      </w:pPr>
    </w:p>
    <w:p w14:paraId="7A8736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我公司</w:t>
      </w:r>
      <w:r>
        <w:rPr>
          <w:rFonts w:ascii="宋体" w:hAnsi="宋体"/>
          <w:color w:val="auto"/>
          <w:sz w:val="24"/>
          <w:highlight w:val="none"/>
          <w:u w:val="single"/>
        </w:rPr>
        <w:t xml:space="preserve">   （投标人名称）</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单位统一社会信用代码</w:t>
      </w:r>
      <w:r>
        <w:rPr>
          <w:rFonts w:hint="eastAsia" w:ascii="宋体" w:hAnsi="宋体"/>
          <w:color w:val="auto"/>
          <w:sz w:val="24"/>
          <w:highlight w:val="none"/>
          <w:u w:val="single"/>
          <w:lang w:eastAsia="zh-CN"/>
        </w:rPr>
        <w:t>）</w:t>
      </w:r>
      <w:r>
        <w:rPr>
          <w:rFonts w:ascii="宋体" w:hAnsi="宋体"/>
          <w:color w:val="auto"/>
          <w:sz w:val="24"/>
          <w:highlight w:val="none"/>
          <w:u w:val="single"/>
        </w:rPr>
        <w:t xml:space="preserve">   </w:t>
      </w:r>
      <w:r>
        <w:rPr>
          <w:rFonts w:hint="eastAsia" w:ascii="宋体" w:hAnsi="宋体"/>
          <w:color w:val="auto"/>
          <w:sz w:val="24"/>
          <w:highlight w:val="none"/>
        </w:rPr>
        <w:t>、法定代表人</w:t>
      </w:r>
      <w:r>
        <w:rPr>
          <w:rFonts w:ascii="宋体" w:hAnsi="宋体"/>
          <w:color w:val="auto"/>
          <w:sz w:val="24"/>
          <w:highlight w:val="none"/>
          <w:u w:val="single"/>
        </w:rPr>
        <w:t xml:space="preserve">  （姓名）（身份证号）</w:t>
      </w:r>
      <w:r>
        <w:rPr>
          <w:rStyle w:val="59"/>
          <w:rFonts w:ascii="宋体" w:hAnsi="宋体"/>
          <w:color w:val="auto"/>
          <w:sz w:val="24"/>
          <w:highlight w:val="none"/>
          <w:u w:val="single"/>
        </w:rPr>
        <w:footnoteReference w:id="307"/>
      </w:r>
      <w:r>
        <w:rPr>
          <w:rFonts w:hint="eastAsia" w:ascii="宋体" w:hAnsi="宋体"/>
          <w:color w:val="auto"/>
          <w:sz w:val="24"/>
          <w:highlight w:val="none"/>
        </w:rPr>
        <w:t>、</w:t>
      </w:r>
      <w:bookmarkStart w:id="944" w:name="_Hlk52813692"/>
      <w:r>
        <w:rPr>
          <w:rFonts w:hint="eastAsia" w:ascii="宋体" w:hAnsi="宋体"/>
          <w:color w:val="auto"/>
          <w:sz w:val="24"/>
          <w:highlight w:val="none"/>
          <w:lang w:val="en-US" w:eastAsia="zh-CN"/>
        </w:rPr>
        <w:t>主要人员（</w:t>
      </w:r>
      <w:r>
        <w:rPr>
          <w:rFonts w:hint="eastAsia"/>
          <w:color w:val="auto"/>
          <w:sz w:val="24"/>
          <w:highlight w:val="none"/>
        </w:rPr>
        <w:t>□</w:t>
      </w:r>
      <w:r>
        <w:rPr>
          <w:rFonts w:hint="eastAsia" w:ascii="宋体" w:hAnsi="宋体"/>
          <w:color w:val="auto"/>
          <w:sz w:val="24"/>
          <w:highlight w:val="none"/>
        </w:rPr>
        <w:t>项目</w:t>
      </w:r>
      <w:bookmarkEnd w:id="944"/>
      <w:r>
        <w:rPr>
          <w:rFonts w:hint="eastAsia" w:ascii="宋体" w:hAnsi="宋体"/>
          <w:color w:val="auto"/>
          <w:sz w:val="24"/>
          <w:highlight w:val="none"/>
        </w:rPr>
        <w:t>经理</w:t>
      </w:r>
      <w:r>
        <w:rPr>
          <w:rFonts w:ascii="宋体" w:hAnsi="宋体"/>
          <w:color w:val="auto"/>
          <w:sz w:val="24"/>
          <w:highlight w:val="none"/>
          <w:u w:val="single"/>
        </w:rPr>
        <w:t xml:space="preserve">  （姓名）（身份证号）</w:t>
      </w:r>
      <w:r>
        <w:rPr>
          <w:rFonts w:hint="eastAsia" w:ascii="宋体" w:hAnsi="宋体"/>
          <w:color w:val="auto"/>
          <w:sz w:val="24"/>
          <w:highlight w:val="none"/>
        </w:rPr>
        <w:t>、</w:t>
      </w:r>
      <w:r>
        <w:rPr>
          <w:rFonts w:hint="eastAsia"/>
          <w:color w:val="auto"/>
          <w:sz w:val="24"/>
          <w:highlight w:val="none"/>
        </w:rPr>
        <w:t>□</w:t>
      </w:r>
      <w:r>
        <w:rPr>
          <w:rFonts w:hint="eastAsia" w:ascii="宋体" w:hAnsi="宋体"/>
          <w:color w:val="auto"/>
          <w:sz w:val="24"/>
          <w:highlight w:val="none"/>
        </w:rPr>
        <w:t>项目总工</w:t>
      </w:r>
      <w:bookmarkStart w:id="945" w:name="_Hlk52813721"/>
      <w:r>
        <w:rPr>
          <w:rFonts w:ascii="宋体" w:hAnsi="宋体"/>
          <w:color w:val="auto"/>
          <w:sz w:val="24"/>
          <w:highlight w:val="none"/>
          <w:u w:val="single"/>
        </w:rPr>
        <w:t xml:space="preserve">  （姓名）（身份证号）</w:t>
      </w:r>
      <w:bookmarkEnd w:id="945"/>
      <w:bookmarkStart w:id="946" w:name="_Hlk52813741"/>
      <w:r>
        <w:rPr>
          <w:rFonts w:hint="eastAsia" w:ascii="宋体" w:hAnsi="宋体"/>
          <w:color w:val="auto"/>
          <w:sz w:val="24"/>
          <w:highlight w:val="none"/>
          <w:u w:val="none"/>
          <w:lang w:eastAsia="zh-CN"/>
        </w:rPr>
        <w:t>、</w:t>
      </w:r>
      <w:r>
        <w:rPr>
          <w:rFonts w:hint="eastAsia"/>
          <w:color w:val="auto"/>
          <w:sz w:val="24"/>
          <w:highlight w:val="none"/>
        </w:rPr>
        <w:t>□</w:t>
      </w:r>
      <w:r>
        <w:rPr>
          <w:rFonts w:hint="eastAsia" w:ascii="宋体" w:hAnsi="宋体"/>
          <w:color w:val="auto"/>
          <w:sz w:val="24"/>
          <w:highlight w:val="none"/>
        </w:rPr>
        <w:t>其他主要管理和技术人员</w:t>
      </w:r>
      <w:bookmarkEnd w:id="946"/>
      <w:r>
        <w:rPr>
          <w:rFonts w:ascii="宋体" w:hAnsi="宋体"/>
          <w:color w:val="auto"/>
          <w:sz w:val="24"/>
          <w:highlight w:val="none"/>
          <w:u w:val="single"/>
        </w:rPr>
        <w:t xml:space="preserve">  （姓名）（身份证号）</w:t>
      </w:r>
      <w:bookmarkStart w:id="947" w:name="_Hlk100757246"/>
      <w:r>
        <w:rPr>
          <w:rFonts w:hint="eastAsia" w:ascii="宋体" w:hAnsi="宋体"/>
          <w:color w:val="auto"/>
          <w:sz w:val="24"/>
          <w:highlight w:val="none"/>
          <w:lang w:val="en-US" w:eastAsia="zh-CN"/>
        </w:rPr>
        <w:t>）</w:t>
      </w:r>
      <w:r>
        <w:rPr>
          <w:rStyle w:val="59"/>
          <w:rFonts w:asciiTheme="minorEastAsia" w:hAnsiTheme="minorEastAsia" w:eastAsiaTheme="minorEastAsia"/>
          <w:color w:val="auto"/>
          <w:sz w:val="24"/>
          <w:highlight w:val="none"/>
        </w:rPr>
        <w:footnoteReference w:id="308"/>
      </w:r>
      <w:bookmarkEnd w:id="947"/>
      <w:r>
        <w:rPr>
          <w:rFonts w:hint="eastAsia" w:ascii="宋体" w:hAnsi="宋体"/>
          <w:color w:val="auto"/>
          <w:sz w:val="24"/>
          <w:highlight w:val="none"/>
        </w:rPr>
        <w:t>在</w:t>
      </w:r>
      <w:r>
        <w:rPr>
          <w:rFonts w:ascii="宋体" w:hAnsi="宋体"/>
          <w:color w:val="auto"/>
          <w:sz w:val="24"/>
          <w:highlight w:val="none"/>
          <w:u w:val="single"/>
        </w:rPr>
        <w:t xml:space="preserve">       </w:t>
      </w:r>
      <w:r>
        <w:rPr>
          <w:rFonts w:hint="eastAsia" w:ascii="宋体" w:hAnsi="宋体"/>
          <w:color w:val="auto"/>
          <w:sz w:val="24"/>
          <w:highlight w:val="none"/>
        </w:rPr>
        <w:t>年</w:t>
      </w:r>
    </w:p>
    <w:p w14:paraId="0519B860">
      <w:pPr>
        <w:spacing w:line="360" w:lineRule="auto"/>
        <w:ind w:firstLine="0" w:firstLineChars="0"/>
        <w:rPr>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日至本项目投标截止日期间，没有被人民法院生效判决</w:t>
      </w:r>
      <w:r>
        <w:rPr>
          <w:rFonts w:hint="eastAsia" w:ascii="宋体" w:hAnsi="宋体"/>
          <w:color w:val="auto"/>
          <w:sz w:val="24"/>
          <w:highlight w:val="none"/>
          <w:lang w:val="en-US" w:eastAsia="zh-CN"/>
        </w:rPr>
        <w:t>或裁定认定</w:t>
      </w:r>
      <w:r>
        <w:rPr>
          <w:rFonts w:hint="eastAsia" w:ascii="宋体" w:hAnsi="宋体"/>
          <w:color w:val="auto"/>
          <w:sz w:val="24"/>
          <w:highlight w:val="none"/>
        </w:rPr>
        <w:t>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ascii="宋体" w:hAnsi="宋体"/>
          <w:color w:val="auto"/>
          <w:sz w:val="24"/>
          <w:highlight w:val="none"/>
          <w:u w:val="single"/>
        </w:rPr>
        <w:t xml:space="preserve">    </w:t>
      </w:r>
      <w:r>
        <w:rPr>
          <w:rFonts w:ascii="宋体" w:hAnsi="宋体"/>
          <w:color w:val="auto"/>
          <w:sz w:val="24"/>
          <w:highlight w:val="none"/>
        </w:rPr>
        <w:t>%</w:t>
      </w:r>
      <w:r>
        <w:rPr>
          <w:rStyle w:val="59"/>
          <w:rFonts w:ascii="宋体" w:hAnsi="宋体"/>
          <w:color w:val="auto"/>
          <w:sz w:val="24"/>
          <w:highlight w:val="none"/>
        </w:rPr>
        <w:footnoteReference w:id="309"/>
      </w:r>
      <w:r>
        <w:rPr>
          <w:rFonts w:hint="eastAsia" w:ascii="宋体" w:hAnsi="宋体"/>
          <w:color w:val="auto"/>
          <w:sz w:val="24"/>
          <w:highlight w:val="none"/>
        </w:rPr>
        <w:t>作为违约金。</w:t>
      </w:r>
    </w:p>
    <w:p w14:paraId="7732C966">
      <w:pPr>
        <w:spacing w:line="360" w:lineRule="auto"/>
        <w:ind w:firstLine="480" w:firstLineChars="200"/>
        <w:rPr>
          <w:color w:val="auto"/>
          <w:sz w:val="24"/>
          <w:highlight w:val="none"/>
        </w:rPr>
      </w:pPr>
      <w:r>
        <w:rPr>
          <w:rFonts w:hint="eastAsia"/>
          <w:color w:val="auto"/>
          <w:sz w:val="24"/>
          <w:highlight w:val="none"/>
        </w:rPr>
        <w:t>特此承诺。</w:t>
      </w:r>
    </w:p>
    <w:p w14:paraId="0E7A9856">
      <w:pPr>
        <w:spacing w:line="360" w:lineRule="auto"/>
        <w:ind w:firstLine="420" w:firstLineChars="200"/>
        <w:rPr>
          <w:color w:val="auto"/>
          <w:highlight w:val="none"/>
        </w:rPr>
      </w:pPr>
    </w:p>
    <w:p w14:paraId="49EE8AD7">
      <w:pPr>
        <w:spacing w:line="360" w:lineRule="auto"/>
        <w:ind w:firstLine="420" w:firstLineChars="200"/>
        <w:rPr>
          <w:color w:val="auto"/>
          <w:highlight w:val="none"/>
        </w:rPr>
      </w:pPr>
    </w:p>
    <w:p w14:paraId="7812C2C1">
      <w:pPr>
        <w:spacing w:line="360" w:lineRule="auto"/>
        <w:ind w:firstLine="420" w:firstLineChars="200"/>
        <w:rPr>
          <w:color w:val="auto"/>
          <w:highlight w:val="none"/>
        </w:rPr>
      </w:pPr>
    </w:p>
    <w:p w14:paraId="651457C6">
      <w:pPr>
        <w:pStyle w:val="27"/>
        <w:spacing w:line="440" w:lineRule="exact"/>
        <w:ind w:firstLine="1200" w:firstLineChars="500"/>
        <w:rPr>
          <w:color w:val="auto"/>
          <w:sz w:val="24"/>
          <w:szCs w:val="24"/>
          <w:highlight w:val="none"/>
          <w:u w:val="single"/>
        </w:rPr>
      </w:pPr>
      <w:r>
        <w:rPr>
          <w:rFonts w:hint="eastAsia"/>
          <w:color w:val="auto"/>
          <w:sz w:val="24"/>
          <w:szCs w:val="24"/>
          <w:highlight w:val="none"/>
        </w:rPr>
        <w:t>投标人：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rPr>
        <w:t>（盖单位电子印章）</w:t>
      </w:r>
      <w:r>
        <w:rPr>
          <w:rStyle w:val="59"/>
          <w:color w:val="auto"/>
          <w:sz w:val="24"/>
          <w:szCs w:val="24"/>
          <w:highlight w:val="none"/>
        </w:rPr>
        <w:footnoteReference w:id="310"/>
      </w:r>
    </w:p>
    <w:p w14:paraId="1F923BB4">
      <w:pPr>
        <w:spacing w:line="480" w:lineRule="exact"/>
        <w:ind w:firstLine="1200" w:firstLineChars="500"/>
        <w:rPr>
          <w:rFonts w:ascii="宋体" w:hAnsi="宋体"/>
          <w:color w:val="auto"/>
          <w:sz w:val="24"/>
          <w:highlight w:val="none"/>
        </w:rPr>
      </w:pPr>
      <w:r>
        <w:rPr>
          <w:rFonts w:ascii="宋体" w:hAnsi="宋体"/>
          <w:color w:val="auto"/>
          <w:sz w:val="24"/>
          <w:highlight w:val="none"/>
        </w:rPr>
        <w:t>法定代表人</w:t>
      </w:r>
    </w:p>
    <w:p w14:paraId="47EAF7A0">
      <w:pPr>
        <w:spacing w:line="480" w:lineRule="exact"/>
        <w:ind w:firstLine="1200" w:firstLineChars="500"/>
        <w:rPr>
          <w:rFonts w:ascii="宋体" w:hAnsi="宋体"/>
          <w:color w:val="auto"/>
          <w:sz w:val="24"/>
          <w:highlight w:val="none"/>
        </w:rPr>
      </w:pPr>
      <w:r>
        <w:rPr>
          <w:rFonts w:ascii="宋体" w:hAnsi="宋体"/>
          <w:color w:val="auto"/>
          <w:sz w:val="24"/>
          <w:highlight w:val="none"/>
        </w:rPr>
        <w:t>或授权的代理人：</w:t>
      </w:r>
      <w:r>
        <w:rPr>
          <w:rFonts w:ascii="宋体" w:hAnsi="宋体"/>
          <w:color w:val="auto"/>
          <w:sz w:val="24"/>
          <w:highlight w:val="none"/>
          <w:u w:val="single"/>
        </w:rPr>
        <w:t>（职务、姓名）</w:t>
      </w:r>
      <w:r>
        <w:rPr>
          <w:rFonts w:ascii="宋体" w:hAnsi="宋体"/>
          <w:color w:val="auto"/>
          <w:sz w:val="24"/>
          <w:highlight w:val="none"/>
        </w:rPr>
        <w:t>（</w:t>
      </w:r>
      <w:r>
        <w:rPr>
          <w:rFonts w:hint="eastAsia" w:ascii="宋体" w:hAnsi="宋体"/>
          <w:color w:val="auto"/>
          <w:sz w:val="24"/>
          <w:highlight w:val="none"/>
        </w:rPr>
        <w:t>个人电子签名章或个人电子印章</w:t>
      </w:r>
      <w:r>
        <w:rPr>
          <w:rFonts w:ascii="宋体" w:hAnsi="宋体"/>
          <w:color w:val="auto"/>
          <w:sz w:val="24"/>
          <w:highlight w:val="none"/>
        </w:rPr>
        <w:t>）</w:t>
      </w:r>
      <w:r>
        <w:rPr>
          <w:rStyle w:val="59"/>
          <w:rFonts w:ascii="宋体" w:hAnsi="宋体"/>
          <w:color w:val="auto"/>
          <w:sz w:val="24"/>
          <w:highlight w:val="none"/>
        </w:rPr>
        <w:footnoteReference w:id="311"/>
      </w:r>
    </w:p>
    <w:p w14:paraId="36AAE646">
      <w:pPr>
        <w:pStyle w:val="27"/>
        <w:spacing w:line="440" w:lineRule="exact"/>
        <w:ind w:firstLine="1800" w:firstLineChars="750"/>
        <w:rPr>
          <w:color w:val="auto"/>
          <w:sz w:val="24"/>
          <w:szCs w:val="24"/>
          <w:highlight w:val="none"/>
        </w:rPr>
      </w:pPr>
    </w:p>
    <w:p w14:paraId="539A06C5">
      <w:pPr>
        <w:rPr>
          <w:color w:val="auto"/>
          <w:sz w:val="24"/>
          <w:highlight w:val="none"/>
        </w:rPr>
      </w:pP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p>
    <w:p w14:paraId="59E6B591">
      <w:pPr>
        <w:jc w:val="center"/>
        <w:rPr>
          <w:rFonts w:ascii="宋体" w:hAnsi="宋体"/>
          <w:b/>
          <w:color w:val="auto"/>
          <w:sz w:val="30"/>
          <w:szCs w:val="30"/>
          <w:highlight w:val="none"/>
        </w:rPr>
      </w:pPr>
    </w:p>
    <w:p w14:paraId="2E78D9C7">
      <w:pPr>
        <w:pStyle w:val="22"/>
        <w:kinsoku w:val="0"/>
        <w:overflowPunct w:val="0"/>
        <w:spacing w:before="189"/>
        <w:rPr>
          <w:rFonts w:cs="黑体"/>
          <w:b/>
          <w:color w:val="auto"/>
          <w:highlight w:val="none"/>
        </w:rPr>
        <w:sectPr>
          <w:footnotePr>
            <w:numFmt w:val="decimalEnclosedCircleChinese"/>
            <w:numRestart w:val="eachPage"/>
          </w:footnotePr>
          <w:pgSz w:w="11900" w:h="16838"/>
          <w:pgMar w:top="1417" w:right="1417" w:bottom="1417" w:left="1701" w:header="850" w:footer="624" w:gutter="0"/>
          <w:cols w:space="0" w:num="1"/>
          <w:rtlGutter w:val="0"/>
          <w:docGrid w:linePitch="286" w:charSpace="0"/>
        </w:sectPr>
      </w:pPr>
    </w:p>
    <w:p w14:paraId="136D3D02">
      <w:pPr>
        <w:pStyle w:val="6"/>
        <w:spacing w:line="240" w:lineRule="auto"/>
        <w:rPr>
          <w:b w:val="0"/>
          <w:bCs w:val="0"/>
          <w:color w:val="auto"/>
          <w:highlight w:val="none"/>
        </w:rPr>
      </w:pPr>
      <w:r>
        <w:rPr>
          <w:rFonts w:hint="eastAsia"/>
          <w:b w:val="0"/>
          <w:bCs w:val="0"/>
          <w:color w:val="auto"/>
          <w:highlight w:val="none"/>
        </w:rPr>
        <w:t>□（六）拟委任的主要人员资历表</w:t>
      </w:r>
      <w:r>
        <w:rPr>
          <w:rStyle w:val="59"/>
          <w:rFonts w:hint="eastAsia" w:ascii="黑体" w:hAnsi="黑体" w:eastAsia="黑体" w:cs="黑体"/>
          <w:b w:val="0"/>
          <w:bCs w:val="0"/>
          <w:color w:val="auto"/>
          <w:szCs w:val="28"/>
          <w:highlight w:val="none"/>
        </w:rPr>
        <w:footnoteReference w:id="312"/>
      </w:r>
    </w:p>
    <w:p w14:paraId="70164C7F">
      <w:pPr>
        <w:pStyle w:val="44"/>
        <w:shd w:val="clear" w:color="auto" w:fill="FFFFFF"/>
        <w:adjustRightInd w:val="0"/>
        <w:snapToGrid w:val="0"/>
        <w:spacing w:line="240" w:lineRule="auto"/>
        <w:ind w:left="360" w:firstLine="5662" w:firstLineChars="2350"/>
        <w:jc w:val="both"/>
        <w:rPr>
          <w:rFonts w:ascii="黑体" w:hAnsi="黑体" w:eastAsia="黑体"/>
          <w:bCs/>
          <w:color w:val="auto"/>
          <w:highlight w:val="none"/>
        </w:rPr>
      </w:pPr>
      <w:r>
        <w:rPr>
          <w:rFonts w:hint="eastAsia" w:ascii="黑体" w:hAnsi="黑体" w:eastAsia="黑体"/>
          <w:b/>
          <w:bCs w:val="0"/>
          <w:color w:val="auto"/>
          <w:highlight w:val="none"/>
        </w:rPr>
        <w:t>□</w:t>
      </w:r>
      <w:r>
        <w:rPr>
          <w:rFonts w:ascii="黑体" w:hAnsi="黑体" w:eastAsia="黑体"/>
          <w:b/>
          <w:bCs w:val="0"/>
          <w:color w:val="auto"/>
          <w:highlight w:val="none"/>
        </w:rPr>
        <w:t xml:space="preserve"> </w:t>
      </w:r>
      <w:r>
        <w:rPr>
          <w:rFonts w:ascii="黑体" w:hAnsi="黑体" w:eastAsia="黑体"/>
          <w:bCs/>
          <w:color w:val="auto"/>
          <w:highlight w:val="none"/>
        </w:rPr>
        <w:t xml:space="preserve"> 项目经理资历</w:t>
      </w:r>
      <w:r>
        <w:rPr>
          <w:rFonts w:hint="eastAsia" w:ascii="黑体" w:hAnsi="黑体" w:eastAsia="黑体"/>
          <w:bCs/>
          <w:color w:val="auto"/>
          <w:highlight w:val="none"/>
          <w:lang w:val="en-US" w:eastAsia="zh-CN"/>
        </w:rPr>
        <w:t>表</w:t>
      </w:r>
      <w:r>
        <w:rPr>
          <w:rFonts w:ascii="黑体" w:hAnsi="黑体" w:eastAsia="黑体"/>
          <w:bCs/>
          <w:color w:val="auto"/>
          <w:highlight w:val="none"/>
        </w:rPr>
        <w:t xml:space="preserve">                                           </w:t>
      </w:r>
      <w:r>
        <w:rPr>
          <w:rFonts w:hint="eastAsia" w:ascii="黑体" w:hAnsi="黑体" w:eastAsia="黑体"/>
          <w:bCs/>
          <w:color w:val="auto"/>
          <w:highlight w:val="none"/>
        </w:rPr>
        <w:t>表</w:t>
      </w:r>
      <w:r>
        <w:rPr>
          <w:rFonts w:hint="eastAsia" w:ascii="黑体" w:hAnsi="黑体" w:eastAsia="黑体"/>
          <w:bCs/>
          <w:color w:val="auto"/>
          <w:highlight w:val="none"/>
          <w:lang w:val="en-US" w:eastAsia="zh-CN"/>
        </w:rPr>
        <w:t>6.</w:t>
      </w:r>
      <w:r>
        <w:rPr>
          <w:rFonts w:ascii="黑体" w:hAnsi="黑体" w:eastAsia="黑体"/>
          <w:bCs/>
          <w:color w:val="auto"/>
          <w:highlight w:val="none"/>
        </w:rPr>
        <w:t>1</w:t>
      </w:r>
    </w:p>
    <w:tbl>
      <w:tblPr>
        <w:tblStyle w:val="49"/>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75"/>
        <w:gridCol w:w="658"/>
        <w:gridCol w:w="134"/>
        <w:gridCol w:w="1470"/>
        <w:gridCol w:w="525"/>
        <w:gridCol w:w="773"/>
        <w:gridCol w:w="851"/>
        <w:gridCol w:w="783"/>
        <w:gridCol w:w="785"/>
        <w:gridCol w:w="862"/>
        <w:gridCol w:w="621"/>
        <w:gridCol w:w="286"/>
        <w:gridCol w:w="939"/>
        <w:gridCol w:w="78"/>
        <w:gridCol w:w="856"/>
        <w:gridCol w:w="675"/>
        <w:gridCol w:w="702"/>
        <w:gridCol w:w="526"/>
        <w:gridCol w:w="1316"/>
        <w:gridCol w:w="6"/>
      </w:tblGrid>
      <w:tr w14:paraId="6318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37" w:type="dxa"/>
            <w:gridSpan w:val="19"/>
            <w:vAlign w:val="center"/>
          </w:tcPr>
          <w:p w14:paraId="403FDE7C">
            <w:pPr>
              <w:widowControl/>
              <w:jc w:val="center"/>
              <w:rPr>
                <w:rFonts w:ascii="宋体" w:hAnsi="宋体" w:cs="宋体"/>
                <w:bCs/>
                <w:color w:val="auto"/>
                <w:kern w:val="0"/>
                <w:sz w:val="18"/>
                <w:szCs w:val="18"/>
                <w:highlight w:val="none"/>
              </w:rPr>
            </w:pPr>
            <w:bookmarkStart w:id="948" w:name="_Hlk52814445"/>
            <w:r>
              <w:rPr>
                <w:rFonts w:hint="eastAsia" w:ascii="宋体" w:hAnsi="宋体" w:cs="宋体"/>
                <w:bCs/>
                <w:color w:val="auto"/>
                <w:kern w:val="0"/>
                <w:sz w:val="18"/>
                <w:szCs w:val="18"/>
                <w:highlight w:val="none"/>
              </w:rPr>
              <w:t>基本信息</w:t>
            </w:r>
          </w:p>
        </w:tc>
        <w:tc>
          <w:tcPr>
            <w:tcW w:w="1322" w:type="dxa"/>
            <w:gridSpan w:val="2"/>
            <w:vAlign w:val="center"/>
          </w:tcPr>
          <w:p w14:paraId="74D26548">
            <w:pPr>
              <w:widowControl/>
              <w:jc w:val="center"/>
              <w:rPr>
                <w:rFonts w:hint="eastAsia" w:ascii="宋体" w:hAnsi="宋体" w:eastAsia="宋体" w:cs="宋体"/>
                <w:bCs/>
                <w:color w:val="auto"/>
                <w:kern w:val="0"/>
                <w:sz w:val="18"/>
                <w:szCs w:val="18"/>
                <w:highlight w:val="none"/>
                <w:lang w:eastAsia="zh-CN"/>
              </w:rPr>
            </w:pPr>
            <w:r>
              <w:rPr>
                <w:rFonts w:hint="default" w:ascii="宋体" w:hAnsi="宋体" w:cs="宋体"/>
                <w:bCs/>
                <w:color w:val="auto"/>
                <w:kern w:val="0"/>
                <w:sz w:val="18"/>
                <w:szCs w:val="18"/>
                <w:highlight w:val="none"/>
              </w:rPr>
              <w:t>基本信息</w:t>
            </w:r>
            <w:r>
              <w:rPr>
                <w:rFonts w:hint="default" w:ascii="宋体" w:hAnsi="宋体" w:cs="宋体"/>
                <w:bCs/>
                <w:color w:val="auto"/>
                <w:kern w:val="0"/>
                <w:sz w:val="18"/>
                <w:szCs w:val="18"/>
                <w:highlight w:val="none"/>
                <w:lang w:val="en-US" w:eastAsia="zh-CN"/>
              </w:rPr>
              <w:t>附件</w:t>
            </w:r>
          </w:p>
        </w:tc>
      </w:tr>
      <w:tr w14:paraId="6259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2105" w:type="dxa"/>
            <w:gridSpan w:val="4"/>
            <w:vAlign w:val="center"/>
          </w:tcPr>
          <w:p w14:paraId="08E1B72A">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姓名</w:t>
            </w:r>
          </w:p>
        </w:tc>
        <w:tc>
          <w:tcPr>
            <w:tcW w:w="3619" w:type="dxa"/>
            <w:gridSpan w:val="4"/>
            <w:vAlign w:val="center"/>
          </w:tcPr>
          <w:p w14:paraId="4800408D">
            <w:pPr>
              <w:widowControl/>
              <w:jc w:val="center"/>
              <w:rPr>
                <w:rFonts w:ascii="宋体" w:hAnsi="宋体" w:cs="宋体"/>
                <w:bCs/>
                <w:color w:val="auto"/>
                <w:kern w:val="0"/>
                <w:sz w:val="18"/>
                <w:szCs w:val="18"/>
                <w:highlight w:val="none"/>
              </w:rPr>
            </w:pPr>
          </w:p>
        </w:tc>
        <w:tc>
          <w:tcPr>
            <w:tcW w:w="783" w:type="dxa"/>
            <w:vAlign w:val="center"/>
          </w:tcPr>
          <w:p w14:paraId="75426E07">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年龄</w:t>
            </w:r>
          </w:p>
        </w:tc>
        <w:tc>
          <w:tcPr>
            <w:tcW w:w="2268" w:type="dxa"/>
            <w:gridSpan w:val="3"/>
            <w:vAlign w:val="center"/>
          </w:tcPr>
          <w:p w14:paraId="20167E26">
            <w:pPr>
              <w:widowControl/>
              <w:jc w:val="center"/>
              <w:rPr>
                <w:rFonts w:ascii="宋体" w:hAnsi="宋体" w:cs="宋体"/>
                <w:bCs/>
                <w:color w:val="auto"/>
                <w:kern w:val="0"/>
                <w:sz w:val="18"/>
                <w:szCs w:val="18"/>
                <w:highlight w:val="none"/>
              </w:rPr>
            </w:pPr>
          </w:p>
        </w:tc>
        <w:tc>
          <w:tcPr>
            <w:tcW w:w="1303" w:type="dxa"/>
            <w:gridSpan w:val="3"/>
            <w:vAlign w:val="center"/>
          </w:tcPr>
          <w:p w14:paraId="2387AAB6">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身份证号码</w:t>
            </w:r>
          </w:p>
        </w:tc>
        <w:tc>
          <w:tcPr>
            <w:tcW w:w="2759" w:type="dxa"/>
            <w:gridSpan w:val="4"/>
            <w:vAlign w:val="center"/>
          </w:tcPr>
          <w:p w14:paraId="52C05E6F">
            <w:pPr>
              <w:widowControl/>
              <w:jc w:val="center"/>
              <w:rPr>
                <w:rFonts w:ascii="宋体" w:hAnsi="宋体" w:cs="宋体"/>
                <w:bCs/>
                <w:color w:val="auto"/>
                <w:kern w:val="0"/>
                <w:sz w:val="18"/>
                <w:szCs w:val="18"/>
                <w:highlight w:val="none"/>
              </w:rPr>
            </w:pPr>
          </w:p>
        </w:tc>
        <w:tc>
          <w:tcPr>
            <w:tcW w:w="1316" w:type="dxa"/>
            <w:vAlign w:val="center"/>
          </w:tcPr>
          <w:p w14:paraId="3D989A0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B1.1</w:t>
            </w:r>
          </w:p>
        </w:tc>
      </w:tr>
      <w:tr w14:paraId="4000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2105" w:type="dxa"/>
            <w:gridSpan w:val="4"/>
            <w:vAlign w:val="center"/>
          </w:tcPr>
          <w:p w14:paraId="69848FF0">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技术职称等级</w:t>
            </w:r>
          </w:p>
        </w:tc>
        <w:tc>
          <w:tcPr>
            <w:tcW w:w="3619" w:type="dxa"/>
            <w:gridSpan w:val="4"/>
            <w:vAlign w:val="center"/>
          </w:tcPr>
          <w:p w14:paraId="7B1BFB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□高级工程师</w:t>
            </w:r>
            <w:r>
              <w:rPr>
                <w:rFonts w:ascii="宋体" w:hAnsi="宋体" w:cs="宋体"/>
                <w:color w:val="auto"/>
                <w:kern w:val="0"/>
                <w:sz w:val="18"/>
                <w:szCs w:val="18"/>
                <w:highlight w:val="none"/>
              </w:rPr>
              <w:t xml:space="preserve"> </w:t>
            </w:r>
          </w:p>
          <w:p w14:paraId="52F57456">
            <w:pPr>
              <w:widowControl/>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□正（教授级或研究员级）高级工程师</w:t>
            </w:r>
          </w:p>
        </w:tc>
        <w:tc>
          <w:tcPr>
            <w:tcW w:w="783" w:type="dxa"/>
            <w:vAlign w:val="center"/>
          </w:tcPr>
          <w:p w14:paraId="4C8FB49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w:t>
            </w:r>
          </w:p>
        </w:tc>
        <w:tc>
          <w:tcPr>
            <w:tcW w:w="2268" w:type="dxa"/>
            <w:gridSpan w:val="3"/>
            <w:vAlign w:val="center"/>
          </w:tcPr>
          <w:p w14:paraId="1E0ED6FF">
            <w:pPr>
              <w:widowControl/>
              <w:jc w:val="center"/>
              <w:rPr>
                <w:rFonts w:ascii="宋体" w:hAnsi="宋体" w:cs="宋体"/>
                <w:bCs/>
                <w:color w:val="auto"/>
                <w:kern w:val="0"/>
                <w:sz w:val="18"/>
                <w:szCs w:val="18"/>
                <w:highlight w:val="none"/>
              </w:rPr>
            </w:pPr>
          </w:p>
        </w:tc>
        <w:tc>
          <w:tcPr>
            <w:tcW w:w="1303" w:type="dxa"/>
            <w:gridSpan w:val="3"/>
            <w:vAlign w:val="center"/>
          </w:tcPr>
          <w:p w14:paraId="5CBD6B04">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759" w:type="dxa"/>
            <w:gridSpan w:val="4"/>
            <w:vAlign w:val="center"/>
          </w:tcPr>
          <w:p w14:paraId="5C24A8B9">
            <w:pPr>
              <w:widowControl/>
              <w:jc w:val="center"/>
              <w:rPr>
                <w:rFonts w:ascii="宋体" w:hAnsi="宋体" w:cs="宋体"/>
                <w:bCs/>
                <w:color w:val="auto"/>
                <w:kern w:val="0"/>
                <w:sz w:val="18"/>
                <w:szCs w:val="18"/>
                <w:highlight w:val="none"/>
              </w:rPr>
            </w:pPr>
          </w:p>
        </w:tc>
        <w:tc>
          <w:tcPr>
            <w:tcW w:w="1316" w:type="dxa"/>
            <w:vAlign w:val="center"/>
          </w:tcPr>
          <w:p w14:paraId="6A489C17">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B1.2</w:t>
            </w:r>
          </w:p>
        </w:tc>
      </w:tr>
      <w:tr w14:paraId="2B8A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2105" w:type="dxa"/>
            <w:gridSpan w:val="4"/>
            <w:vAlign w:val="center"/>
          </w:tcPr>
          <w:p w14:paraId="705A2762">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执业资格证书</w:t>
            </w:r>
          </w:p>
        </w:tc>
        <w:tc>
          <w:tcPr>
            <w:tcW w:w="3619" w:type="dxa"/>
            <w:gridSpan w:val="4"/>
            <w:vAlign w:val="center"/>
          </w:tcPr>
          <w:p w14:paraId="1EC42CFE">
            <w:pPr>
              <w:widowControl/>
              <w:jc w:val="both"/>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□一级注册建造师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□二级注册建造师</w:t>
            </w:r>
          </w:p>
        </w:tc>
        <w:tc>
          <w:tcPr>
            <w:tcW w:w="783" w:type="dxa"/>
            <w:vAlign w:val="center"/>
          </w:tcPr>
          <w:p w14:paraId="06521C67">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专业</w:t>
            </w:r>
          </w:p>
        </w:tc>
        <w:tc>
          <w:tcPr>
            <w:tcW w:w="2268" w:type="dxa"/>
            <w:gridSpan w:val="3"/>
            <w:vAlign w:val="center"/>
          </w:tcPr>
          <w:p w14:paraId="257ED306">
            <w:pPr>
              <w:widowControl/>
              <w:jc w:val="center"/>
              <w:rPr>
                <w:rFonts w:ascii="宋体" w:hAnsi="宋体" w:cs="宋体"/>
                <w:bCs/>
                <w:color w:val="auto"/>
                <w:kern w:val="0"/>
                <w:sz w:val="18"/>
                <w:szCs w:val="18"/>
                <w:highlight w:val="none"/>
              </w:rPr>
            </w:pPr>
          </w:p>
        </w:tc>
        <w:tc>
          <w:tcPr>
            <w:tcW w:w="1303" w:type="dxa"/>
            <w:gridSpan w:val="3"/>
            <w:vAlign w:val="center"/>
          </w:tcPr>
          <w:p w14:paraId="3D53902B">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759" w:type="dxa"/>
            <w:gridSpan w:val="4"/>
            <w:vAlign w:val="center"/>
          </w:tcPr>
          <w:p w14:paraId="4A27DBCA">
            <w:pPr>
              <w:widowControl/>
              <w:jc w:val="center"/>
              <w:rPr>
                <w:rFonts w:ascii="宋体" w:hAnsi="宋体" w:cs="宋体"/>
                <w:bCs/>
                <w:color w:val="auto"/>
                <w:kern w:val="0"/>
                <w:sz w:val="18"/>
                <w:szCs w:val="18"/>
                <w:highlight w:val="none"/>
              </w:rPr>
            </w:pPr>
          </w:p>
        </w:tc>
        <w:tc>
          <w:tcPr>
            <w:tcW w:w="1316" w:type="dxa"/>
            <w:vAlign w:val="center"/>
          </w:tcPr>
          <w:p w14:paraId="7A04ECB6">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B1.3</w:t>
            </w:r>
          </w:p>
        </w:tc>
      </w:tr>
      <w:tr w14:paraId="1988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2105" w:type="dxa"/>
            <w:gridSpan w:val="4"/>
            <w:vAlign w:val="center"/>
          </w:tcPr>
          <w:p w14:paraId="5B8D814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安全生产考核合格证</w:t>
            </w:r>
          </w:p>
        </w:tc>
        <w:tc>
          <w:tcPr>
            <w:tcW w:w="3619" w:type="dxa"/>
            <w:gridSpan w:val="4"/>
            <w:vAlign w:val="center"/>
          </w:tcPr>
          <w:p w14:paraId="6C1F67A4">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□交安类</w:t>
            </w:r>
            <w:r>
              <w:rPr>
                <w:rFonts w:ascii="宋体" w:hAnsi="宋体" w:cs="宋体"/>
                <w:color w:val="auto"/>
                <w:kern w:val="0"/>
                <w:sz w:val="18"/>
                <w:szCs w:val="18"/>
                <w:highlight w:val="none"/>
              </w:rPr>
              <w:t xml:space="preserve">            　</w:t>
            </w:r>
          </w:p>
        </w:tc>
        <w:tc>
          <w:tcPr>
            <w:tcW w:w="783" w:type="dxa"/>
            <w:vAlign w:val="center"/>
          </w:tcPr>
          <w:p w14:paraId="267AEC0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类别</w:t>
            </w:r>
          </w:p>
        </w:tc>
        <w:tc>
          <w:tcPr>
            <w:tcW w:w="2268" w:type="dxa"/>
            <w:gridSpan w:val="3"/>
            <w:vAlign w:val="center"/>
          </w:tcPr>
          <w:p w14:paraId="140AF7D4">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B类</w:t>
            </w:r>
          </w:p>
        </w:tc>
        <w:tc>
          <w:tcPr>
            <w:tcW w:w="1303" w:type="dxa"/>
            <w:gridSpan w:val="3"/>
            <w:vAlign w:val="center"/>
          </w:tcPr>
          <w:p w14:paraId="35A2C528">
            <w:pPr>
              <w:widowControl/>
              <w:jc w:val="center"/>
              <w:rPr>
                <w:rFonts w:ascii="宋体" w:hAnsi="宋体" w:cs="宋体"/>
                <w:bCs/>
                <w:color w:val="auto"/>
                <w:kern w:val="0"/>
                <w:sz w:val="18"/>
                <w:szCs w:val="18"/>
                <w:highlight w:val="none"/>
                <w:u w:val="single"/>
              </w:rPr>
            </w:pPr>
            <w:r>
              <w:rPr>
                <w:rFonts w:hint="eastAsia" w:ascii="宋体" w:hAnsi="宋体" w:cs="宋体"/>
                <w:color w:val="auto"/>
                <w:kern w:val="0"/>
                <w:sz w:val="18"/>
                <w:szCs w:val="18"/>
                <w:highlight w:val="none"/>
              </w:rPr>
              <w:t>证书编号</w:t>
            </w:r>
          </w:p>
        </w:tc>
        <w:tc>
          <w:tcPr>
            <w:tcW w:w="2759" w:type="dxa"/>
            <w:gridSpan w:val="4"/>
            <w:vAlign w:val="center"/>
          </w:tcPr>
          <w:p w14:paraId="40E18CFA">
            <w:pPr>
              <w:widowControl/>
              <w:jc w:val="center"/>
              <w:rPr>
                <w:rFonts w:ascii="宋体" w:hAnsi="宋体" w:cs="宋体"/>
                <w:bCs/>
                <w:color w:val="auto"/>
                <w:kern w:val="0"/>
                <w:sz w:val="18"/>
                <w:szCs w:val="18"/>
                <w:highlight w:val="none"/>
                <w:u w:val="single"/>
              </w:rPr>
            </w:pPr>
          </w:p>
        </w:tc>
        <w:tc>
          <w:tcPr>
            <w:tcW w:w="1316" w:type="dxa"/>
            <w:vAlign w:val="center"/>
          </w:tcPr>
          <w:p w14:paraId="0F643A10">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B1.4</w:t>
            </w:r>
          </w:p>
        </w:tc>
      </w:tr>
      <w:tr w14:paraId="0DE2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05" w:type="dxa"/>
            <w:gridSpan w:val="4"/>
            <w:vAlign w:val="center"/>
          </w:tcPr>
          <w:p w14:paraId="30C1E5A3">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是否要求提供社保资料</w:t>
            </w:r>
          </w:p>
        </w:tc>
        <w:tc>
          <w:tcPr>
            <w:tcW w:w="3619" w:type="dxa"/>
            <w:gridSpan w:val="4"/>
            <w:vAlign w:val="center"/>
          </w:tcPr>
          <w:p w14:paraId="6C1A09E4">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□否</w:t>
            </w:r>
          </w:p>
        </w:tc>
        <w:tc>
          <w:tcPr>
            <w:tcW w:w="3051" w:type="dxa"/>
            <w:gridSpan w:val="4"/>
            <w:vAlign w:val="center"/>
          </w:tcPr>
          <w:p w14:paraId="0A3C613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提供社保时间段</w:t>
            </w:r>
          </w:p>
        </w:tc>
        <w:tc>
          <w:tcPr>
            <w:tcW w:w="4062" w:type="dxa"/>
            <w:gridSpan w:val="7"/>
            <w:vAlign w:val="center"/>
          </w:tcPr>
          <w:p w14:paraId="2AD66783">
            <w:pPr>
              <w:widowControl/>
              <w:ind w:firstLine="900" w:firstLineChars="500"/>
              <w:rPr>
                <w:rFonts w:ascii="宋体" w:hAnsi="宋体" w:cs="宋体"/>
                <w:bCs/>
                <w:color w:val="auto"/>
                <w:kern w:val="0"/>
                <w:sz w:val="18"/>
                <w:szCs w:val="18"/>
                <w:highlight w:val="none"/>
              </w:rPr>
            </w:pP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r>
              <w:rPr>
                <w:rFonts w:ascii="宋体" w:hAnsi="宋体" w:cs="宋体"/>
                <w:bCs/>
                <w:color w:val="auto"/>
                <w:kern w:val="0"/>
                <w:sz w:val="18"/>
                <w:szCs w:val="18"/>
                <w:highlight w:val="none"/>
              </w:rPr>
              <w:t xml:space="preserve"> </w:t>
            </w:r>
            <w:r>
              <w:rPr>
                <w:rFonts w:hint="eastAsia" w:ascii="宋体" w:hAnsi="宋体" w:cs="宋体"/>
                <w:bCs/>
                <w:color w:val="auto"/>
                <w:kern w:val="0"/>
                <w:sz w:val="18"/>
                <w:szCs w:val="18"/>
                <w:highlight w:val="none"/>
              </w:rPr>
              <w:t>～</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p>
        </w:tc>
        <w:tc>
          <w:tcPr>
            <w:tcW w:w="1322" w:type="dxa"/>
            <w:gridSpan w:val="2"/>
            <w:vAlign w:val="center"/>
          </w:tcPr>
          <w:p w14:paraId="3EDE5FBE">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B1.5</w:t>
            </w:r>
          </w:p>
        </w:tc>
      </w:tr>
      <w:tr w14:paraId="0E7A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05" w:type="dxa"/>
            <w:gridSpan w:val="4"/>
            <w:vAlign w:val="center"/>
          </w:tcPr>
          <w:p w14:paraId="2EC5D5DC">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是否在岗</w:t>
            </w:r>
          </w:p>
        </w:tc>
        <w:tc>
          <w:tcPr>
            <w:tcW w:w="10732" w:type="dxa"/>
            <w:gridSpan w:val="15"/>
            <w:vAlign w:val="center"/>
          </w:tcPr>
          <w:p w14:paraId="48596C0A">
            <w:pPr>
              <w:widowControl/>
              <w:jc w:val="center"/>
              <w:rPr>
                <w:rFonts w:ascii="宋体" w:hAnsi="宋体" w:cs="宋体"/>
                <w:bCs/>
                <w:color w:val="auto"/>
                <w:kern w:val="0"/>
                <w:sz w:val="18"/>
                <w:szCs w:val="18"/>
                <w:highlight w:val="none"/>
                <w:u w:val="single"/>
              </w:rPr>
            </w:pPr>
            <w:r>
              <w:rPr>
                <w:rFonts w:hint="eastAsia" w:ascii="宋体" w:hAnsi="宋体" w:cs="宋体"/>
                <w:color w:val="auto"/>
                <w:kern w:val="0"/>
                <w:sz w:val="18"/>
                <w:szCs w:val="18"/>
                <w:highlight w:val="none"/>
              </w:rPr>
              <w:t>□是</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□否</w:t>
            </w:r>
          </w:p>
        </w:tc>
        <w:tc>
          <w:tcPr>
            <w:tcW w:w="1322" w:type="dxa"/>
            <w:gridSpan w:val="2"/>
            <w:vAlign w:val="center"/>
          </w:tcPr>
          <w:p w14:paraId="6DD085A3">
            <w:pPr>
              <w:widowControl/>
              <w:jc w:val="both"/>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承诺</w:t>
            </w:r>
            <w:r>
              <w:rPr>
                <w:rFonts w:ascii="宋体" w:hAnsi="宋体" w:cs="宋体"/>
                <w:color w:val="auto"/>
                <w:kern w:val="0"/>
                <w:sz w:val="18"/>
                <w:szCs w:val="18"/>
                <w:highlight w:val="none"/>
              </w:rPr>
              <w:t>见投标函</w:t>
            </w:r>
          </w:p>
        </w:tc>
      </w:tr>
      <w:tr w14:paraId="0E04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12837" w:type="dxa"/>
            <w:gridSpan w:val="19"/>
            <w:vAlign w:val="center"/>
          </w:tcPr>
          <w:p w14:paraId="58C75EB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w:t>
            </w:r>
            <w:r>
              <w:rPr>
                <w:rFonts w:hint="eastAsia" w:ascii="宋体" w:hAnsi="宋体" w:cs="宋体"/>
                <w:bCs/>
                <w:color w:val="auto"/>
                <w:kern w:val="0"/>
                <w:sz w:val="18"/>
                <w:szCs w:val="18"/>
                <w:highlight w:val="none"/>
              </w:rPr>
              <w:t>担任相应职务完成业绩情况</w:t>
            </w:r>
          </w:p>
        </w:tc>
        <w:tc>
          <w:tcPr>
            <w:tcW w:w="1316" w:type="dxa"/>
            <w:vMerge w:val="restart"/>
            <w:vAlign w:val="center"/>
          </w:tcPr>
          <w:p w14:paraId="221939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业绩情况</w:t>
            </w:r>
          </w:p>
          <w:p w14:paraId="6244B3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p>
        </w:tc>
      </w:tr>
      <w:tr w14:paraId="5234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638" w:type="dxa"/>
            <w:vAlign w:val="center"/>
          </w:tcPr>
          <w:p w14:paraId="4EE83FB2">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项目业主</w:t>
            </w:r>
          </w:p>
        </w:tc>
        <w:tc>
          <w:tcPr>
            <w:tcW w:w="675" w:type="dxa"/>
            <w:vAlign w:val="center"/>
          </w:tcPr>
          <w:p w14:paraId="2AF5EB0A">
            <w:pPr>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项目名称</w:t>
            </w:r>
          </w:p>
        </w:tc>
        <w:tc>
          <w:tcPr>
            <w:tcW w:w="658" w:type="dxa"/>
            <w:vAlign w:val="center"/>
          </w:tcPr>
          <w:p w14:paraId="14C56A4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公路等级</w:t>
            </w:r>
          </w:p>
        </w:tc>
        <w:tc>
          <w:tcPr>
            <w:tcW w:w="1604" w:type="dxa"/>
            <w:gridSpan w:val="2"/>
            <w:vAlign w:val="center"/>
          </w:tcPr>
          <w:p w14:paraId="15B1D7CE">
            <w:pPr>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lang w:val="en-US" w:eastAsia="zh-CN"/>
              </w:rPr>
              <w:t>项目建设形式</w:t>
            </w:r>
          </w:p>
        </w:tc>
        <w:tc>
          <w:tcPr>
            <w:tcW w:w="525" w:type="dxa"/>
            <w:vAlign w:val="center"/>
          </w:tcPr>
          <w:p w14:paraId="20FA8FDF">
            <w:pPr>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标段号</w:t>
            </w:r>
          </w:p>
        </w:tc>
        <w:tc>
          <w:tcPr>
            <w:tcW w:w="773" w:type="dxa"/>
            <w:vAlign w:val="center"/>
          </w:tcPr>
          <w:p w14:paraId="2DA142AE">
            <w:pPr>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lang w:val="en-US" w:eastAsia="zh-CN"/>
              </w:rPr>
              <w:t>标段</w:t>
            </w:r>
            <w:r>
              <w:rPr>
                <w:rFonts w:hint="eastAsia" w:ascii="宋体" w:hAnsi="宋体" w:cs="宋体"/>
                <w:bCs/>
                <w:color w:val="auto"/>
                <w:kern w:val="0"/>
                <w:sz w:val="18"/>
                <w:szCs w:val="18"/>
                <w:highlight w:val="none"/>
              </w:rPr>
              <w:t>路线长度（</w:t>
            </w:r>
            <w:r>
              <w:rPr>
                <w:rFonts w:ascii="宋体" w:hAnsi="宋体" w:cs="宋体"/>
                <w:bCs/>
                <w:color w:val="auto"/>
                <w:kern w:val="0"/>
                <w:sz w:val="18"/>
                <w:szCs w:val="18"/>
                <w:highlight w:val="none"/>
              </w:rPr>
              <w:t>km）</w:t>
            </w:r>
          </w:p>
        </w:tc>
        <w:tc>
          <w:tcPr>
            <w:tcW w:w="851" w:type="dxa"/>
            <w:vAlign w:val="center"/>
          </w:tcPr>
          <w:p w14:paraId="1D168DD8">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特大桥梁名称</w:t>
            </w:r>
            <w:r>
              <w:rPr>
                <w:rFonts w:ascii="宋体" w:hAnsi="宋体" w:cs="宋体"/>
                <w:bCs/>
                <w:color w:val="auto"/>
                <w:kern w:val="0"/>
                <w:sz w:val="18"/>
                <w:szCs w:val="18"/>
                <w:highlight w:val="none"/>
              </w:rPr>
              <w:t>/类型</w:t>
            </w:r>
          </w:p>
        </w:tc>
        <w:tc>
          <w:tcPr>
            <w:tcW w:w="783" w:type="dxa"/>
            <w:vAlign w:val="center"/>
          </w:tcPr>
          <w:p w14:paraId="6A75D977">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桥梁主跨跨径（</w:t>
            </w:r>
            <w:r>
              <w:rPr>
                <w:rFonts w:ascii="宋体" w:hAnsi="宋体" w:cs="宋体"/>
                <w:bCs/>
                <w:color w:val="auto"/>
                <w:kern w:val="0"/>
                <w:sz w:val="18"/>
                <w:szCs w:val="18"/>
                <w:highlight w:val="none"/>
              </w:rPr>
              <w:t>m）</w:t>
            </w:r>
          </w:p>
        </w:tc>
        <w:tc>
          <w:tcPr>
            <w:tcW w:w="785" w:type="dxa"/>
            <w:vAlign w:val="center"/>
          </w:tcPr>
          <w:p w14:paraId="22EDFA56">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隧道名称</w:t>
            </w:r>
          </w:p>
        </w:tc>
        <w:tc>
          <w:tcPr>
            <w:tcW w:w="862" w:type="dxa"/>
            <w:vAlign w:val="center"/>
          </w:tcPr>
          <w:p w14:paraId="5C76824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隧道单洞长度（</w:t>
            </w:r>
            <w:r>
              <w:rPr>
                <w:rFonts w:ascii="宋体" w:hAnsi="宋体" w:cs="宋体"/>
                <w:bCs/>
                <w:color w:val="auto"/>
                <w:kern w:val="0"/>
                <w:sz w:val="18"/>
                <w:szCs w:val="18"/>
                <w:highlight w:val="none"/>
              </w:rPr>
              <w:t>m）</w:t>
            </w:r>
          </w:p>
        </w:tc>
        <w:tc>
          <w:tcPr>
            <w:tcW w:w="907" w:type="dxa"/>
            <w:gridSpan w:val="2"/>
            <w:vAlign w:val="center"/>
          </w:tcPr>
          <w:p w14:paraId="40F4FFC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路面结构形式</w:t>
            </w:r>
          </w:p>
        </w:tc>
        <w:tc>
          <w:tcPr>
            <w:tcW w:w="939" w:type="dxa"/>
            <w:vAlign w:val="center"/>
          </w:tcPr>
          <w:p w14:paraId="56207C63">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交安设施类型</w:t>
            </w:r>
          </w:p>
        </w:tc>
        <w:tc>
          <w:tcPr>
            <w:tcW w:w="934" w:type="dxa"/>
            <w:gridSpan w:val="2"/>
            <w:vAlign w:val="center"/>
          </w:tcPr>
          <w:p w14:paraId="7C7BB1D9">
            <w:pPr>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lang w:val="en-US" w:eastAsia="zh-CN"/>
              </w:rPr>
              <w:t>公路隧道机电类型</w:t>
            </w:r>
          </w:p>
        </w:tc>
        <w:tc>
          <w:tcPr>
            <w:tcW w:w="675" w:type="dxa"/>
            <w:vAlign w:val="center"/>
          </w:tcPr>
          <w:p w14:paraId="3225F808">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lang w:val="en-US" w:eastAsia="zh-CN"/>
              </w:rPr>
              <w:t>房建</w:t>
            </w:r>
            <w:r>
              <w:rPr>
                <w:rFonts w:hint="eastAsia" w:ascii="宋体" w:hAnsi="宋体" w:cs="宋体"/>
                <w:bCs/>
                <w:color w:val="auto"/>
                <w:kern w:val="0"/>
                <w:sz w:val="18"/>
                <w:szCs w:val="18"/>
                <w:highlight w:val="none"/>
              </w:rPr>
              <w:t>工程</w:t>
            </w:r>
          </w:p>
        </w:tc>
        <w:tc>
          <w:tcPr>
            <w:tcW w:w="702" w:type="dxa"/>
            <w:vAlign w:val="center"/>
          </w:tcPr>
          <w:p w14:paraId="34482852">
            <w:pPr>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其他工程</w:t>
            </w:r>
          </w:p>
        </w:tc>
        <w:tc>
          <w:tcPr>
            <w:tcW w:w="526" w:type="dxa"/>
            <w:vAlign w:val="center"/>
          </w:tcPr>
          <w:p w14:paraId="63321583">
            <w:pPr>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职务</w:t>
            </w:r>
          </w:p>
        </w:tc>
        <w:tc>
          <w:tcPr>
            <w:tcW w:w="1316" w:type="dxa"/>
            <w:vMerge w:val="continue"/>
            <w:vAlign w:val="center"/>
          </w:tcPr>
          <w:p w14:paraId="27C19B90">
            <w:pPr>
              <w:widowControl/>
              <w:jc w:val="center"/>
              <w:rPr>
                <w:rFonts w:ascii="宋体" w:hAnsi="宋体" w:cs="宋体"/>
                <w:color w:val="auto"/>
                <w:kern w:val="0"/>
                <w:sz w:val="18"/>
                <w:szCs w:val="18"/>
                <w:highlight w:val="none"/>
              </w:rPr>
            </w:pPr>
          </w:p>
        </w:tc>
      </w:tr>
      <w:tr w14:paraId="04DF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638" w:type="dxa"/>
            <w:vAlign w:val="center"/>
          </w:tcPr>
          <w:p w14:paraId="50039525">
            <w:pPr>
              <w:widowControl/>
              <w:jc w:val="center"/>
              <w:rPr>
                <w:rFonts w:ascii="宋体" w:hAnsi="宋体" w:cs="宋体"/>
                <w:color w:val="auto"/>
                <w:kern w:val="0"/>
                <w:sz w:val="18"/>
                <w:szCs w:val="18"/>
                <w:highlight w:val="none"/>
              </w:rPr>
            </w:pPr>
          </w:p>
        </w:tc>
        <w:tc>
          <w:tcPr>
            <w:tcW w:w="675" w:type="dxa"/>
            <w:vAlign w:val="center"/>
          </w:tcPr>
          <w:p w14:paraId="554634F1">
            <w:pPr>
              <w:jc w:val="center"/>
              <w:rPr>
                <w:rFonts w:ascii="宋体" w:hAnsi="宋体" w:cs="宋体"/>
                <w:color w:val="auto"/>
                <w:kern w:val="0"/>
                <w:sz w:val="18"/>
                <w:szCs w:val="18"/>
                <w:highlight w:val="none"/>
              </w:rPr>
            </w:pPr>
          </w:p>
        </w:tc>
        <w:tc>
          <w:tcPr>
            <w:tcW w:w="658" w:type="dxa"/>
            <w:vAlign w:val="center"/>
          </w:tcPr>
          <w:p w14:paraId="5C01CA23">
            <w:pPr>
              <w:jc w:val="center"/>
              <w:rPr>
                <w:rFonts w:ascii="宋体" w:hAnsi="宋体" w:cs="宋体"/>
                <w:color w:val="auto"/>
                <w:kern w:val="0"/>
                <w:sz w:val="18"/>
                <w:szCs w:val="18"/>
                <w:highlight w:val="none"/>
              </w:rPr>
            </w:pPr>
          </w:p>
        </w:tc>
        <w:tc>
          <w:tcPr>
            <w:tcW w:w="1604" w:type="dxa"/>
            <w:gridSpan w:val="2"/>
            <w:vAlign w:val="center"/>
          </w:tcPr>
          <w:p w14:paraId="1CEDED72">
            <w:pPr>
              <w:widowControl/>
              <w:jc w:val="left"/>
              <w:rPr>
                <w:rFonts w:cs="Times New Roman" w:asciiTheme="minorEastAsia" w:hAnsiTheme="minorEastAsia" w:eastAsiaTheme="minorEastAsia"/>
                <w:color w:val="auto"/>
                <w:kern w:val="2"/>
                <w:sz w:val="18"/>
                <w:szCs w:val="18"/>
                <w:highlight w:val="none"/>
                <w:lang w:val="en-US" w:eastAsia="zh-CN" w:bidi="ar-SA"/>
              </w:rPr>
            </w:pPr>
            <w:r>
              <w:rPr>
                <w:rFonts w:hint="eastAsia" w:ascii="宋体" w:hAnsi="宋体"/>
                <w:color w:val="auto"/>
                <w:sz w:val="18"/>
                <w:szCs w:val="18"/>
                <w:highlight w:val="none"/>
              </w:rPr>
              <w:t>□新建</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□改扩建</w:t>
            </w:r>
          </w:p>
        </w:tc>
        <w:tc>
          <w:tcPr>
            <w:tcW w:w="525" w:type="dxa"/>
            <w:vAlign w:val="center"/>
          </w:tcPr>
          <w:p w14:paraId="0099D409">
            <w:pPr>
              <w:jc w:val="center"/>
              <w:rPr>
                <w:rFonts w:ascii="宋体" w:hAnsi="宋体" w:cs="宋体"/>
                <w:color w:val="auto"/>
                <w:kern w:val="0"/>
                <w:sz w:val="18"/>
                <w:szCs w:val="18"/>
                <w:highlight w:val="none"/>
              </w:rPr>
            </w:pPr>
          </w:p>
        </w:tc>
        <w:tc>
          <w:tcPr>
            <w:tcW w:w="773" w:type="dxa"/>
            <w:vAlign w:val="center"/>
          </w:tcPr>
          <w:p w14:paraId="4E43D89E">
            <w:pPr>
              <w:jc w:val="center"/>
              <w:rPr>
                <w:rFonts w:ascii="宋体" w:hAnsi="宋体" w:cs="宋体"/>
                <w:color w:val="auto"/>
                <w:kern w:val="0"/>
                <w:sz w:val="18"/>
                <w:szCs w:val="18"/>
                <w:highlight w:val="none"/>
              </w:rPr>
            </w:pPr>
          </w:p>
        </w:tc>
        <w:tc>
          <w:tcPr>
            <w:tcW w:w="851" w:type="dxa"/>
            <w:vAlign w:val="center"/>
          </w:tcPr>
          <w:p w14:paraId="108A5F5D">
            <w:pPr>
              <w:jc w:val="center"/>
              <w:rPr>
                <w:rFonts w:ascii="宋体" w:hAnsi="宋体" w:cs="宋体"/>
                <w:color w:val="auto"/>
                <w:kern w:val="0"/>
                <w:sz w:val="18"/>
                <w:szCs w:val="18"/>
                <w:highlight w:val="none"/>
              </w:rPr>
            </w:pPr>
          </w:p>
        </w:tc>
        <w:tc>
          <w:tcPr>
            <w:tcW w:w="783" w:type="dxa"/>
            <w:vAlign w:val="center"/>
          </w:tcPr>
          <w:p w14:paraId="540D202A">
            <w:pPr>
              <w:jc w:val="center"/>
              <w:rPr>
                <w:rFonts w:ascii="宋体" w:hAnsi="宋体" w:cs="宋体"/>
                <w:color w:val="auto"/>
                <w:kern w:val="0"/>
                <w:sz w:val="18"/>
                <w:szCs w:val="18"/>
                <w:highlight w:val="none"/>
              </w:rPr>
            </w:pPr>
          </w:p>
        </w:tc>
        <w:tc>
          <w:tcPr>
            <w:tcW w:w="785" w:type="dxa"/>
            <w:vAlign w:val="center"/>
          </w:tcPr>
          <w:p w14:paraId="3A52667D">
            <w:pPr>
              <w:jc w:val="center"/>
              <w:rPr>
                <w:rFonts w:ascii="宋体" w:hAnsi="宋体" w:cs="宋体"/>
                <w:color w:val="auto"/>
                <w:kern w:val="0"/>
                <w:sz w:val="18"/>
                <w:szCs w:val="18"/>
                <w:highlight w:val="none"/>
              </w:rPr>
            </w:pPr>
          </w:p>
        </w:tc>
        <w:tc>
          <w:tcPr>
            <w:tcW w:w="862" w:type="dxa"/>
            <w:vAlign w:val="center"/>
          </w:tcPr>
          <w:p w14:paraId="6FFBA3E1">
            <w:pPr>
              <w:jc w:val="center"/>
              <w:rPr>
                <w:rFonts w:ascii="宋体" w:hAnsi="宋体" w:cs="宋体"/>
                <w:color w:val="auto"/>
                <w:kern w:val="0"/>
                <w:sz w:val="18"/>
                <w:szCs w:val="18"/>
                <w:highlight w:val="none"/>
              </w:rPr>
            </w:pPr>
          </w:p>
        </w:tc>
        <w:tc>
          <w:tcPr>
            <w:tcW w:w="907" w:type="dxa"/>
            <w:gridSpan w:val="2"/>
            <w:vAlign w:val="center"/>
          </w:tcPr>
          <w:p w14:paraId="02365D0A">
            <w:pPr>
              <w:jc w:val="center"/>
              <w:rPr>
                <w:rFonts w:ascii="宋体" w:hAnsi="宋体" w:cs="宋体"/>
                <w:color w:val="auto"/>
                <w:kern w:val="0"/>
                <w:sz w:val="18"/>
                <w:szCs w:val="18"/>
                <w:highlight w:val="none"/>
              </w:rPr>
            </w:pPr>
          </w:p>
        </w:tc>
        <w:tc>
          <w:tcPr>
            <w:tcW w:w="939" w:type="dxa"/>
            <w:vAlign w:val="center"/>
          </w:tcPr>
          <w:p w14:paraId="14A5FA9F">
            <w:pPr>
              <w:jc w:val="center"/>
              <w:rPr>
                <w:rFonts w:ascii="宋体" w:hAnsi="宋体" w:cs="宋体"/>
                <w:color w:val="auto"/>
                <w:kern w:val="0"/>
                <w:sz w:val="18"/>
                <w:szCs w:val="18"/>
                <w:highlight w:val="none"/>
              </w:rPr>
            </w:pPr>
          </w:p>
        </w:tc>
        <w:tc>
          <w:tcPr>
            <w:tcW w:w="934" w:type="dxa"/>
            <w:gridSpan w:val="2"/>
            <w:vAlign w:val="center"/>
          </w:tcPr>
          <w:p w14:paraId="4FC02299">
            <w:pPr>
              <w:jc w:val="center"/>
              <w:rPr>
                <w:rFonts w:ascii="宋体" w:hAnsi="宋体" w:cs="宋体"/>
                <w:color w:val="auto"/>
                <w:kern w:val="0"/>
                <w:sz w:val="18"/>
                <w:szCs w:val="18"/>
                <w:highlight w:val="none"/>
              </w:rPr>
            </w:pPr>
          </w:p>
        </w:tc>
        <w:tc>
          <w:tcPr>
            <w:tcW w:w="675" w:type="dxa"/>
          </w:tcPr>
          <w:p w14:paraId="61E20ABC">
            <w:pPr>
              <w:jc w:val="center"/>
              <w:rPr>
                <w:rFonts w:ascii="宋体" w:hAnsi="宋体" w:cs="宋体"/>
                <w:color w:val="auto"/>
                <w:kern w:val="0"/>
                <w:sz w:val="18"/>
                <w:szCs w:val="18"/>
                <w:highlight w:val="none"/>
              </w:rPr>
            </w:pPr>
          </w:p>
        </w:tc>
        <w:tc>
          <w:tcPr>
            <w:tcW w:w="702" w:type="dxa"/>
          </w:tcPr>
          <w:p w14:paraId="732F02DC">
            <w:pPr>
              <w:jc w:val="center"/>
              <w:rPr>
                <w:rFonts w:ascii="宋体" w:hAnsi="宋体" w:cs="宋体"/>
                <w:color w:val="auto"/>
                <w:kern w:val="0"/>
                <w:sz w:val="18"/>
                <w:szCs w:val="18"/>
                <w:highlight w:val="none"/>
              </w:rPr>
            </w:pPr>
          </w:p>
        </w:tc>
        <w:tc>
          <w:tcPr>
            <w:tcW w:w="526" w:type="dxa"/>
            <w:vAlign w:val="center"/>
          </w:tcPr>
          <w:p w14:paraId="2083C3A4">
            <w:pPr>
              <w:jc w:val="center"/>
              <w:rPr>
                <w:rFonts w:ascii="宋体" w:hAnsi="宋体" w:cs="宋体"/>
                <w:color w:val="auto"/>
                <w:kern w:val="0"/>
                <w:sz w:val="18"/>
                <w:szCs w:val="18"/>
                <w:highlight w:val="none"/>
              </w:rPr>
            </w:pPr>
          </w:p>
        </w:tc>
        <w:tc>
          <w:tcPr>
            <w:tcW w:w="1316" w:type="dxa"/>
            <w:vAlign w:val="center"/>
          </w:tcPr>
          <w:p w14:paraId="4E7C98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B1.6-1</w:t>
            </w:r>
          </w:p>
        </w:tc>
      </w:tr>
      <w:tr w14:paraId="7E34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638" w:type="dxa"/>
            <w:vAlign w:val="center"/>
          </w:tcPr>
          <w:p w14:paraId="2C31876B">
            <w:pPr>
              <w:widowControl/>
              <w:jc w:val="center"/>
              <w:rPr>
                <w:rFonts w:ascii="宋体" w:hAnsi="宋体" w:cs="宋体"/>
                <w:color w:val="auto"/>
                <w:kern w:val="0"/>
                <w:sz w:val="18"/>
                <w:szCs w:val="18"/>
                <w:highlight w:val="none"/>
              </w:rPr>
            </w:pPr>
          </w:p>
        </w:tc>
        <w:tc>
          <w:tcPr>
            <w:tcW w:w="675" w:type="dxa"/>
            <w:vAlign w:val="center"/>
          </w:tcPr>
          <w:p w14:paraId="3FB50E2D">
            <w:pPr>
              <w:jc w:val="center"/>
              <w:rPr>
                <w:rFonts w:ascii="宋体" w:hAnsi="宋体" w:cs="宋体"/>
                <w:color w:val="auto"/>
                <w:kern w:val="0"/>
                <w:sz w:val="18"/>
                <w:szCs w:val="18"/>
                <w:highlight w:val="none"/>
              </w:rPr>
            </w:pPr>
          </w:p>
        </w:tc>
        <w:tc>
          <w:tcPr>
            <w:tcW w:w="658" w:type="dxa"/>
            <w:vAlign w:val="center"/>
          </w:tcPr>
          <w:p w14:paraId="3786F32A">
            <w:pPr>
              <w:jc w:val="center"/>
              <w:rPr>
                <w:rFonts w:ascii="宋体" w:hAnsi="宋体" w:cs="宋体"/>
                <w:color w:val="auto"/>
                <w:kern w:val="0"/>
                <w:sz w:val="18"/>
                <w:szCs w:val="18"/>
                <w:highlight w:val="none"/>
              </w:rPr>
            </w:pPr>
          </w:p>
        </w:tc>
        <w:tc>
          <w:tcPr>
            <w:tcW w:w="1604" w:type="dxa"/>
            <w:gridSpan w:val="2"/>
            <w:vAlign w:val="center"/>
          </w:tcPr>
          <w:p w14:paraId="67AC95D7">
            <w:pPr>
              <w:widowControl/>
              <w:jc w:val="left"/>
              <w:rPr>
                <w:rFonts w:cs="Times New Roman" w:asciiTheme="minorEastAsia" w:hAnsiTheme="minorEastAsia" w:eastAsiaTheme="minorEastAsia"/>
                <w:color w:val="auto"/>
                <w:kern w:val="2"/>
                <w:sz w:val="18"/>
                <w:szCs w:val="18"/>
                <w:highlight w:val="none"/>
                <w:lang w:val="en-US" w:eastAsia="zh-CN" w:bidi="ar-SA"/>
              </w:rPr>
            </w:pPr>
            <w:r>
              <w:rPr>
                <w:rFonts w:hint="eastAsia" w:ascii="宋体" w:hAnsi="宋体"/>
                <w:color w:val="auto"/>
                <w:sz w:val="18"/>
                <w:szCs w:val="18"/>
                <w:highlight w:val="none"/>
              </w:rPr>
              <w:t>□新建</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□改扩建</w:t>
            </w:r>
          </w:p>
        </w:tc>
        <w:tc>
          <w:tcPr>
            <w:tcW w:w="525" w:type="dxa"/>
            <w:vAlign w:val="center"/>
          </w:tcPr>
          <w:p w14:paraId="2F6F6BF3">
            <w:pPr>
              <w:jc w:val="center"/>
              <w:rPr>
                <w:rFonts w:ascii="宋体" w:hAnsi="宋体" w:cs="宋体"/>
                <w:color w:val="auto"/>
                <w:kern w:val="0"/>
                <w:sz w:val="18"/>
                <w:szCs w:val="18"/>
                <w:highlight w:val="none"/>
              </w:rPr>
            </w:pPr>
          </w:p>
        </w:tc>
        <w:tc>
          <w:tcPr>
            <w:tcW w:w="773" w:type="dxa"/>
            <w:vAlign w:val="center"/>
          </w:tcPr>
          <w:p w14:paraId="6C508D21">
            <w:pPr>
              <w:jc w:val="center"/>
              <w:rPr>
                <w:rFonts w:ascii="宋体" w:hAnsi="宋体" w:cs="宋体"/>
                <w:color w:val="auto"/>
                <w:kern w:val="0"/>
                <w:sz w:val="18"/>
                <w:szCs w:val="18"/>
                <w:highlight w:val="none"/>
              </w:rPr>
            </w:pPr>
          </w:p>
        </w:tc>
        <w:tc>
          <w:tcPr>
            <w:tcW w:w="851" w:type="dxa"/>
            <w:vAlign w:val="center"/>
          </w:tcPr>
          <w:p w14:paraId="19124A20">
            <w:pPr>
              <w:jc w:val="center"/>
              <w:rPr>
                <w:rFonts w:ascii="宋体" w:hAnsi="宋体" w:cs="宋体"/>
                <w:color w:val="auto"/>
                <w:kern w:val="0"/>
                <w:sz w:val="18"/>
                <w:szCs w:val="18"/>
                <w:highlight w:val="none"/>
              </w:rPr>
            </w:pPr>
          </w:p>
        </w:tc>
        <w:tc>
          <w:tcPr>
            <w:tcW w:w="783" w:type="dxa"/>
            <w:vAlign w:val="center"/>
          </w:tcPr>
          <w:p w14:paraId="18EB66D6">
            <w:pPr>
              <w:jc w:val="center"/>
              <w:rPr>
                <w:rFonts w:ascii="宋体" w:hAnsi="宋体" w:cs="宋体"/>
                <w:color w:val="auto"/>
                <w:kern w:val="0"/>
                <w:sz w:val="18"/>
                <w:szCs w:val="18"/>
                <w:highlight w:val="none"/>
              </w:rPr>
            </w:pPr>
          </w:p>
        </w:tc>
        <w:tc>
          <w:tcPr>
            <w:tcW w:w="785" w:type="dxa"/>
            <w:vAlign w:val="center"/>
          </w:tcPr>
          <w:p w14:paraId="172EF7E2">
            <w:pPr>
              <w:jc w:val="center"/>
              <w:rPr>
                <w:rFonts w:ascii="宋体" w:hAnsi="宋体" w:cs="宋体"/>
                <w:color w:val="auto"/>
                <w:kern w:val="0"/>
                <w:sz w:val="18"/>
                <w:szCs w:val="18"/>
                <w:highlight w:val="none"/>
              </w:rPr>
            </w:pPr>
          </w:p>
        </w:tc>
        <w:tc>
          <w:tcPr>
            <w:tcW w:w="862" w:type="dxa"/>
            <w:vAlign w:val="center"/>
          </w:tcPr>
          <w:p w14:paraId="20B4385D">
            <w:pPr>
              <w:jc w:val="center"/>
              <w:rPr>
                <w:rFonts w:ascii="宋体" w:hAnsi="宋体" w:cs="宋体"/>
                <w:color w:val="auto"/>
                <w:kern w:val="0"/>
                <w:sz w:val="18"/>
                <w:szCs w:val="18"/>
                <w:highlight w:val="none"/>
              </w:rPr>
            </w:pPr>
          </w:p>
        </w:tc>
        <w:tc>
          <w:tcPr>
            <w:tcW w:w="907" w:type="dxa"/>
            <w:gridSpan w:val="2"/>
            <w:vAlign w:val="center"/>
          </w:tcPr>
          <w:p w14:paraId="5A1C17BF">
            <w:pPr>
              <w:jc w:val="center"/>
              <w:rPr>
                <w:rFonts w:ascii="宋体" w:hAnsi="宋体" w:cs="宋体"/>
                <w:color w:val="auto"/>
                <w:kern w:val="0"/>
                <w:sz w:val="18"/>
                <w:szCs w:val="18"/>
                <w:highlight w:val="none"/>
              </w:rPr>
            </w:pPr>
          </w:p>
        </w:tc>
        <w:tc>
          <w:tcPr>
            <w:tcW w:w="939" w:type="dxa"/>
            <w:vAlign w:val="center"/>
          </w:tcPr>
          <w:p w14:paraId="6B41B48A">
            <w:pPr>
              <w:jc w:val="center"/>
              <w:rPr>
                <w:rFonts w:ascii="宋体" w:hAnsi="宋体" w:cs="宋体"/>
                <w:color w:val="auto"/>
                <w:kern w:val="0"/>
                <w:sz w:val="18"/>
                <w:szCs w:val="18"/>
                <w:highlight w:val="none"/>
              </w:rPr>
            </w:pPr>
          </w:p>
        </w:tc>
        <w:tc>
          <w:tcPr>
            <w:tcW w:w="934" w:type="dxa"/>
            <w:gridSpan w:val="2"/>
            <w:vAlign w:val="center"/>
          </w:tcPr>
          <w:p w14:paraId="258B9D3D">
            <w:pPr>
              <w:jc w:val="center"/>
              <w:rPr>
                <w:rFonts w:ascii="宋体" w:hAnsi="宋体" w:cs="宋体"/>
                <w:color w:val="auto"/>
                <w:kern w:val="0"/>
                <w:sz w:val="18"/>
                <w:szCs w:val="18"/>
                <w:highlight w:val="none"/>
              </w:rPr>
            </w:pPr>
          </w:p>
        </w:tc>
        <w:tc>
          <w:tcPr>
            <w:tcW w:w="675" w:type="dxa"/>
          </w:tcPr>
          <w:p w14:paraId="5B82D208">
            <w:pPr>
              <w:jc w:val="center"/>
              <w:rPr>
                <w:rFonts w:ascii="宋体" w:hAnsi="宋体" w:cs="宋体"/>
                <w:color w:val="auto"/>
                <w:kern w:val="0"/>
                <w:sz w:val="18"/>
                <w:szCs w:val="18"/>
                <w:highlight w:val="none"/>
              </w:rPr>
            </w:pPr>
          </w:p>
        </w:tc>
        <w:tc>
          <w:tcPr>
            <w:tcW w:w="702" w:type="dxa"/>
          </w:tcPr>
          <w:p w14:paraId="24A9EEB1">
            <w:pPr>
              <w:jc w:val="center"/>
              <w:rPr>
                <w:rFonts w:ascii="宋体" w:hAnsi="宋体" w:cs="宋体"/>
                <w:color w:val="auto"/>
                <w:kern w:val="0"/>
                <w:sz w:val="18"/>
                <w:szCs w:val="18"/>
                <w:highlight w:val="none"/>
              </w:rPr>
            </w:pPr>
          </w:p>
        </w:tc>
        <w:tc>
          <w:tcPr>
            <w:tcW w:w="526" w:type="dxa"/>
            <w:vAlign w:val="center"/>
          </w:tcPr>
          <w:p w14:paraId="40F1ECED">
            <w:pPr>
              <w:jc w:val="center"/>
              <w:rPr>
                <w:rFonts w:ascii="宋体" w:hAnsi="宋体" w:cs="宋体"/>
                <w:color w:val="auto"/>
                <w:kern w:val="0"/>
                <w:sz w:val="18"/>
                <w:szCs w:val="18"/>
                <w:highlight w:val="none"/>
              </w:rPr>
            </w:pPr>
          </w:p>
        </w:tc>
        <w:tc>
          <w:tcPr>
            <w:tcW w:w="1316" w:type="dxa"/>
            <w:vAlign w:val="center"/>
          </w:tcPr>
          <w:p w14:paraId="154AD6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B1.6-2</w:t>
            </w:r>
          </w:p>
        </w:tc>
      </w:tr>
      <w:tr w14:paraId="690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638" w:type="dxa"/>
            <w:vAlign w:val="center"/>
          </w:tcPr>
          <w:p w14:paraId="55B3FA9A">
            <w:pPr>
              <w:widowControl/>
              <w:jc w:val="center"/>
              <w:rPr>
                <w:rFonts w:ascii="宋体" w:hAnsi="宋体" w:cs="宋体"/>
                <w:color w:val="auto"/>
                <w:kern w:val="0"/>
                <w:sz w:val="18"/>
                <w:szCs w:val="18"/>
                <w:highlight w:val="none"/>
              </w:rPr>
            </w:pPr>
          </w:p>
        </w:tc>
        <w:tc>
          <w:tcPr>
            <w:tcW w:w="675" w:type="dxa"/>
            <w:vAlign w:val="center"/>
          </w:tcPr>
          <w:p w14:paraId="07F80BFF">
            <w:pPr>
              <w:jc w:val="center"/>
              <w:rPr>
                <w:rFonts w:ascii="宋体" w:hAnsi="宋体" w:cs="宋体"/>
                <w:color w:val="auto"/>
                <w:kern w:val="0"/>
                <w:sz w:val="18"/>
                <w:szCs w:val="18"/>
                <w:highlight w:val="none"/>
              </w:rPr>
            </w:pPr>
          </w:p>
        </w:tc>
        <w:tc>
          <w:tcPr>
            <w:tcW w:w="658" w:type="dxa"/>
            <w:vAlign w:val="center"/>
          </w:tcPr>
          <w:p w14:paraId="3CE91B96">
            <w:pPr>
              <w:jc w:val="center"/>
              <w:rPr>
                <w:rFonts w:ascii="宋体" w:hAnsi="宋体" w:cs="宋体"/>
                <w:color w:val="auto"/>
                <w:kern w:val="0"/>
                <w:sz w:val="18"/>
                <w:szCs w:val="18"/>
                <w:highlight w:val="none"/>
              </w:rPr>
            </w:pPr>
          </w:p>
        </w:tc>
        <w:tc>
          <w:tcPr>
            <w:tcW w:w="1604" w:type="dxa"/>
            <w:gridSpan w:val="2"/>
            <w:vAlign w:val="center"/>
          </w:tcPr>
          <w:p w14:paraId="5046C948">
            <w:pPr>
              <w:widowControl/>
              <w:jc w:val="left"/>
              <w:rPr>
                <w:rFonts w:cs="宋体" w:asciiTheme="minorEastAsia" w:hAnsiTheme="minorEastAsia" w:eastAsiaTheme="minorEastAsia"/>
                <w:color w:val="auto"/>
                <w:kern w:val="2"/>
                <w:sz w:val="18"/>
                <w:szCs w:val="18"/>
                <w:highlight w:val="none"/>
                <w:lang w:val="en-US" w:eastAsia="zh-CN" w:bidi="ar-SA"/>
              </w:rPr>
            </w:pPr>
            <w:r>
              <w:rPr>
                <w:rFonts w:hint="eastAsia" w:ascii="宋体" w:hAnsi="宋体"/>
                <w:color w:val="auto"/>
                <w:sz w:val="18"/>
                <w:szCs w:val="18"/>
                <w:highlight w:val="none"/>
              </w:rPr>
              <w:t>□新建</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□改扩建</w:t>
            </w:r>
          </w:p>
        </w:tc>
        <w:tc>
          <w:tcPr>
            <w:tcW w:w="525" w:type="dxa"/>
            <w:vAlign w:val="center"/>
          </w:tcPr>
          <w:p w14:paraId="1ACA8080">
            <w:pPr>
              <w:jc w:val="center"/>
              <w:rPr>
                <w:rFonts w:ascii="宋体" w:hAnsi="宋体" w:cs="宋体"/>
                <w:color w:val="auto"/>
                <w:kern w:val="0"/>
                <w:sz w:val="18"/>
                <w:szCs w:val="18"/>
                <w:highlight w:val="none"/>
              </w:rPr>
            </w:pPr>
          </w:p>
        </w:tc>
        <w:tc>
          <w:tcPr>
            <w:tcW w:w="773" w:type="dxa"/>
            <w:vAlign w:val="center"/>
          </w:tcPr>
          <w:p w14:paraId="6D968E0C">
            <w:pPr>
              <w:jc w:val="center"/>
              <w:rPr>
                <w:rFonts w:ascii="宋体" w:hAnsi="宋体" w:cs="宋体"/>
                <w:color w:val="auto"/>
                <w:kern w:val="0"/>
                <w:sz w:val="18"/>
                <w:szCs w:val="18"/>
                <w:highlight w:val="none"/>
              </w:rPr>
            </w:pPr>
          </w:p>
        </w:tc>
        <w:tc>
          <w:tcPr>
            <w:tcW w:w="851" w:type="dxa"/>
            <w:vAlign w:val="center"/>
          </w:tcPr>
          <w:p w14:paraId="725E7F6F">
            <w:pPr>
              <w:jc w:val="center"/>
              <w:rPr>
                <w:rFonts w:ascii="宋体" w:hAnsi="宋体" w:cs="宋体"/>
                <w:color w:val="auto"/>
                <w:kern w:val="0"/>
                <w:sz w:val="18"/>
                <w:szCs w:val="18"/>
                <w:highlight w:val="none"/>
              </w:rPr>
            </w:pPr>
          </w:p>
        </w:tc>
        <w:tc>
          <w:tcPr>
            <w:tcW w:w="783" w:type="dxa"/>
            <w:vAlign w:val="center"/>
          </w:tcPr>
          <w:p w14:paraId="29DD287C">
            <w:pPr>
              <w:jc w:val="center"/>
              <w:rPr>
                <w:rFonts w:ascii="宋体" w:hAnsi="宋体" w:cs="宋体"/>
                <w:color w:val="auto"/>
                <w:kern w:val="0"/>
                <w:sz w:val="18"/>
                <w:szCs w:val="18"/>
                <w:highlight w:val="none"/>
              </w:rPr>
            </w:pPr>
          </w:p>
        </w:tc>
        <w:tc>
          <w:tcPr>
            <w:tcW w:w="785" w:type="dxa"/>
            <w:vAlign w:val="center"/>
          </w:tcPr>
          <w:p w14:paraId="3ECF3340">
            <w:pPr>
              <w:jc w:val="center"/>
              <w:rPr>
                <w:rFonts w:ascii="宋体" w:hAnsi="宋体" w:cs="宋体"/>
                <w:color w:val="auto"/>
                <w:kern w:val="0"/>
                <w:sz w:val="18"/>
                <w:szCs w:val="18"/>
                <w:highlight w:val="none"/>
              </w:rPr>
            </w:pPr>
          </w:p>
        </w:tc>
        <w:tc>
          <w:tcPr>
            <w:tcW w:w="862" w:type="dxa"/>
            <w:vAlign w:val="center"/>
          </w:tcPr>
          <w:p w14:paraId="3B6288FB">
            <w:pPr>
              <w:jc w:val="center"/>
              <w:rPr>
                <w:rFonts w:ascii="宋体" w:hAnsi="宋体" w:cs="宋体"/>
                <w:color w:val="auto"/>
                <w:kern w:val="0"/>
                <w:sz w:val="18"/>
                <w:szCs w:val="18"/>
                <w:highlight w:val="none"/>
              </w:rPr>
            </w:pPr>
          </w:p>
        </w:tc>
        <w:tc>
          <w:tcPr>
            <w:tcW w:w="907" w:type="dxa"/>
            <w:gridSpan w:val="2"/>
            <w:vAlign w:val="center"/>
          </w:tcPr>
          <w:p w14:paraId="6ECBEB3C">
            <w:pPr>
              <w:jc w:val="center"/>
              <w:rPr>
                <w:rFonts w:ascii="宋体" w:hAnsi="宋体" w:cs="宋体"/>
                <w:color w:val="auto"/>
                <w:kern w:val="0"/>
                <w:sz w:val="18"/>
                <w:szCs w:val="18"/>
                <w:highlight w:val="none"/>
              </w:rPr>
            </w:pPr>
          </w:p>
        </w:tc>
        <w:tc>
          <w:tcPr>
            <w:tcW w:w="939" w:type="dxa"/>
            <w:vAlign w:val="center"/>
          </w:tcPr>
          <w:p w14:paraId="07D29B5F">
            <w:pPr>
              <w:jc w:val="center"/>
              <w:rPr>
                <w:rFonts w:ascii="宋体" w:hAnsi="宋体" w:cs="宋体"/>
                <w:color w:val="auto"/>
                <w:kern w:val="0"/>
                <w:sz w:val="18"/>
                <w:szCs w:val="18"/>
                <w:highlight w:val="none"/>
              </w:rPr>
            </w:pPr>
          </w:p>
        </w:tc>
        <w:tc>
          <w:tcPr>
            <w:tcW w:w="934" w:type="dxa"/>
            <w:gridSpan w:val="2"/>
            <w:vAlign w:val="center"/>
          </w:tcPr>
          <w:p w14:paraId="313C0804">
            <w:pPr>
              <w:jc w:val="center"/>
              <w:rPr>
                <w:rFonts w:ascii="宋体" w:hAnsi="宋体" w:cs="宋体"/>
                <w:color w:val="auto"/>
                <w:kern w:val="0"/>
                <w:sz w:val="18"/>
                <w:szCs w:val="18"/>
                <w:highlight w:val="none"/>
              </w:rPr>
            </w:pPr>
          </w:p>
        </w:tc>
        <w:tc>
          <w:tcPr>
            <w:tcW w:w="675" w:type="dxa"/>
          </w:tcPr>
          <w:p w14:paraId="0B1EC1F5">
            <w:pPr>
              <w:jc w:val="center"/>
              <w:rPr>
                <w:rFonts w:ascii="宋体" w:hAnsi="宋体" w:cs="宋体"/>
                <w:color w:val="auto"/>
                <w:kern w:val="0"/>
                <w:sz w:val="18"/>
                <w:szCs w:val="18"/>
                <w:highlight w:val="none"/>
              </w:rPr>
            </w:pPr>
          </w:p>
        </w:tc>
        <w:tc>
          <w:tcPr>
            <w:tcW w:w="702" w:type="dxa"/>
          </w:tcPr>
          <w:p w14:paraId="6068A91D">
            <w:pPr>
              <w:jc w:val="center"/>
              <w:rPr>
                <w:rFonts w:ascii="宋体" w:hAnsi="宋体" w:cs="宋体"/>
                <w:color w:val="auto"/>
                <w:kern w:val="0"/>
                <w:sz w:val="18"/>
                <w:szCs w:val="18"/>
                <w:highlight w:val="none"/>
              </w:rPr>
            </w:pPr>
          </w:p>
        </w:tc>
        <w:tc>
          <w:tcPr>
            <w:tcW w:w="526" w:type="dxa"/>
            <w:vAlign w:val="center"/>
          </w:tcPr>
          <w:p w14:paraId="0C446E3F">
            <w:pPr>
              <w:jc w:val="center"/>
              <w:rPr>
                <w:rFonts w:ascii="宋体" w:hAnsi="宋体" w:cs="宋体"/>
                <w:color w:val="auto"/>
                <w:kern w:val="0"/>
                <w:sz w:val="18"/>
                <w:szCs w:val="18"/>
                <w:highlight w:val="none"/>
              </w:rPr>
            </w:pPr>
          </w:p>
        </w:tc>
        <w:tc>
          <w:tcPr>
            <w:tcW w:w="1316" w:type="dxa"/>
            <w:vAlign w:val="center"/>
          </w:tcPr>
          <w:p w14:paraId="22BD2C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B1.6-3</w:t>
            </w:r>
          </w:p>
        </w:tc>
      </w:tr>
      <w:tr w14:paraId="06BF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0" w:hRule="atLeast"/>
          <w:jc w:val="center"/>
        </w:trPr>
        <w:tc>
          <w:tcPr>
            <w:tcW w:w="638" w:type="dxa"/>
            <w:vAlign w:val="center"/>
          </w:tcPr>
          <w:p w14:paraId="6160D2B3">
            <w:pPr>
              <w:jc w:val="center"/>
              <w:rPr>
                <w:color w:val="auto"/>
                <w:sz w:val="18"/>
                <w:szCs w:val="18"/>
                <w:highlight w:val="none"/>
              </w:rPr>
            </w:pPr>
            <w:r>
              <w:rPr>
                <w:rFonts w:hint="eastAsia" w:ascii="宋体" w:hAnsi="宋体" w:cs="宋体"/>
                <w:color w:val="auto"/>
                <w:kern w:val="0"/>
                <w:sz w:val="18"/>
                <w:szCs w:val="18"/>
                <w:highlight w:val="none"/>
              </w:rPr>
              <w:t>……</w:t>
            </w:r>
          </w:p>
        </w:tc>
        <w:tc>
          <w:tcPr>
            <w:tcW w:w="675" w:type="dxa"/>
            <w:vAlign w:val="center"/>
          </w:tcPr>
          <w:p w14:paraId="048719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658" w:type="dxa"/>
            <w:vAlign w:val="center"/>
          </w:tcPr>
          <w:p w14:paraId="5AFCEB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04" w:type="dxa"/>
            <w:gridSpan w:val="2"/>
            <w:vAlign w:val="center"/>
          </w:tcPr>
          <w:p w14:paraId="5667EB27">
            <w:pPr>
              <w:pStyle w:val="299"/>
              <w:jc w:val="center"/>
              <w:rPr>
                <w:rFonts w:cs="宋体" w:asciiTheme="minorEastAsia" w:hAnsiTheme="minorEastAsia" w:eastAsiaTheme="minorEastAsia"/>
                <w:color w:val="auto"/>
                <w:kern w:val="0"/>
                <w:sz w:val="18"/>
                <w:szCs w:val="18"/>
                <w:highlight w:val="none"/>
                <w:lang w:val="en-US" w:eastAsia="zh-CN" w:bidi="ar-SA"/>
              </w:rPr>
            </w:pPr>
            <w:r>
              <w:rPr>
                <w:rFonts w:cs="宋体" w:asciiTheme="minorEastAsia" w:hAnsiTheme="minorEastAsia" w:eastAsiaTheme="minorEastAsia"/>
                <w:color w:val="auto"/>
                <w:kern w:val="0"/>
                <w:sz w:val="18"/>
                <w:szCs w:val="18"/>
                <w:highlight w:val="none"/>
              </w:rPr>
              <w:t>…</w:t>
            </w:r>
            <w:r>
              <w:rPr>
                <w:rFonts w:hint="eastAsia" w:ascii="宋体" w:hAnsi="宋体" w:cs="宋体"/>
                <w:color w:val="auto"/>
                <w:kern w:val="0"/>
                <w:sz w:val="18"/>
                <w:szCs w:val="18"/>
                <w:highlight w:val="none"/>
              </w:rPr>
              <w:t>…</w:t>
            </w:r>
          </w:p>
        </w:tc>
        <w:tc>
          <w:tcPr>
            <w:tcW w:w="525" w:type="dxa"/>
            <w:vAlign w:val="center"/>
          </w:tcPr>
          <w:p w14:paraId="7A00DF0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73" w:type="dxa"/>
            <w:vAlign w:val="center"/>
          </w:tcPr>
          <w:p w14:paraId="4BECB1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51" w:type="dxa"/>
            <w:vAlign w:val="center"/>
          </w:tcPr>
          <w:p w14:paraId="3B6F05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83" w:type="dxa"/>
            <w:vAlign w:val="center"/>
          </w:tcPr>
          <w:p w14:paraId="1212F3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85" w:type="dxa"/>
            <w:vAlign w:val="center"/>
          </w:tcPr>
          <w:p w14:paraId="7CF034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62" w:type="dxa"/>
            <w:vAlign w:val="center"/>
          </w:tcPr>
          <w:p w14:paraId="1C401E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07" w:type="dxa"/>
            <w:gridSpan w:val="2"/>
            <w:vAlign w:val="center"/>
          </w:tcPr>
          <w:p w14:paraId="765847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9" w:type="dxa"/>
            <w:vAlign w:val="center"/>
          </w:tcPr>
          <w:p w14:paraId="2A8254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4" w:type="dxa"/>
            <w:gridSpan w:val="2"/>
            <w:vAlign w:val="center"/>
          </w:tcPr>
          <w:p w14:paraId="3EEA1A7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675" w:type="dxa"/>
            <w:vAlign w:val="center"/>
          </w:tcPr>
          <w:p w14:paraId="62933E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02" w:type="dxa"/>
            <w:vAlign w:val="center"/>
          </w:tcPr>
          <w:p w14:paraId="3F103D5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6" w:type="dxa"/>
            <w:vAlign w:val="center"/>
          </w:tcPr>
          <w:p w14:paraId="384470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6" w:type="dxa"/>
            <w:vAlign w:val="center"/>
          </w:tcPr>
          <w:p w14:paraId="732C5A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7825C11B">
      <w:pPr>
        <w:keepNext/>
        <w:keepLines w:val="0"/>
        <w:pageBreakBefore w:val="0"/>
        <w:widowControl w:val="0"/>
        <w:kinsoku/>
        <w:wordWrap/>
        <w:overflowPunct/>
        <w:topLinePunct w:val="0"/>
        <w:autoSpaceDE/>
        <w:autoSpaceDN/>
        <w:bidi w:val="0"/>
        <w:adjustRightInd w:val="0"/>
        <w:snapToGrid w:val="0"/>
        <w:spacing w:line="230" w:lineRule="exact"/>
        <w:ind w:left="540" w:hanging="540" w:hangingChars="300"/>
        <w:textAlignment w:val="auto"/>
        <w:rPr>
          <w:rFonts w:hint="eastAsia" w:ascii="宋体" w:hAnsi="宋体" w:cs="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w:t>
      </w:r>
      <w:r>
        <w:rPr>
          <w:rFonts w:hint="eastAsia" w:ascii="宋体" w:hAnsi="宋体" w:cs="宋体"/>
          <w:color w:val="auto"/>
          <w:sz w:val="18"/>
          <w:szCs w:val="18"/>
          <w:highlight w:val="none"/>
        </w:rPr>
        <w:t>投标人</w:t>
      </w:r>
      <w:r>
        <w:rPr>
          <w:rFonts w:hint="eastAsia" w:ascii="宋体" w:hAnsi="宋体" w:cs="宋体"/>
          <w:color w:val="auto"/>
          <w:sz w:val="18"/>
          <w:szCs w:val="18"/>
          <w:highlight w:val="none"/>
          <w:lang w:val="en-US" w:eastAsia="zh-CN"/>
        </w:rPr>
        <w:t>应</w:t>
      </w:r>
      <w:r>
        <w:rPr>
          <w:rFonts w:hint="eastAsia" w:ascii="宋体" w:hAnsi="宋体" w:cs="宋体"/>
          <w:color w:val="auto"/>
          <w:sz w:val="18"/>
          <w:szCs w:val="18"/>
          <w:highlight w:val="none"/>
        </w:rPr>
        <w:t>在</w:t>
      </w:r>
      <w:r>
        <w:rPr>
          <w:rFonts w:hint="eastAsia" w:ascii="宋体" w:hAnsi="宋体" w:cs="宋体"/>
          <w:color w:val="auto"/>
          <w:sz w:val="18"/>
          <w:szCs w:val="18"/>
          <w:highlight w:val="none"/>
          <w:lang w:val="en-US" w:eastAsia="zh-CN"/>
        </w:rPr>
        <w:t>本</w:t>
      </w:r>
      <w:r>
        <w:rPr>
          <w:rFonts w:hint="eastAsia" w:ascii="宋体" w:hAnsi="宋体" w:cs="宋体"/>
          <w:color w:val="auto"/>
          <w:sz w:val="18"/>
          <w:szCs w:val="18"/>
          <w:highlight w:val="none"/>
        </w:rPr>
        <w:t>表后提供相关证明材料（原件原色扫描件）附件</w:t>
      </w:r>
      <w:r>
        <w:rPr>
          <w:rFonts w:ascii="宋体" w:hAnsi="宋体" w:cs="宋体"/>
          <w:color w:val="auto"/>
          <w:sz w:val="18"/>
          <w:szCs w:val="18"/>
          <w:highlight w:val="none"/>
        </w:rPr>
        <w:t>B1系列（身份证、职称证、执业资格证、</w:t>
      </w:r>
      <w:r>
        <w:rPr>
          <w:rFonts w:hint="eastAsia" w:ascii="宋体" w:hAnsi="宋体" w:cs="宋体"/>
          <w:color w:val="auto"/>
          <w:kern w:val="0"/>
          <w:sz w:val="18"/>
          <w:szCs w:val="18"/>
          <w:highlight w:val="none"/>
        </w:rPr>
        <w:t>安全生产考核合格证、社</w:t>
      </w:r>
      <w:r>
        <w:rPr>
          <w:rFonts w:hint="eastAsia" w:ascii="宋体" w:hAnsi="宋体" w:cs="宋体"/>
          <w:color w:val="auto"/>
          <w:sz w:val="18"/>
          <w:szCs w:val="18"/>
          <w:highlight w:val="none"/>
        </w:rPr>
        <w:t>保证明、个人业绩证明）。</w:t>
      </w:r>
      <w:r>
        <w:rPr>
          <w:rStyle w:val="59"/>
          <w:rFonts w:hint="eastAsia" w:ascii="宋体" w:hAnsi="宋体" w:cs="宋体"/>
          <w:color w:val="auto"/>
          <w:sz w:val="18"/>
          <w:szCs w:val="18"/>
          <w:highlight w:val="none"/>
        </w:rPr>
        <w:footnoteReference w:id="313"/>
      </w:r>
    </w:p>
    <w:p w14:paraId="5B6099A8">
      <w:pPr>
        <w:keepNext/>
        <w:keepLines w:val="0"/>
        <w:pageBreakBefore w:val="0"/>
        <w:widowControl w:val="0"/>
        <w:kinsoku/>
        <w:wordWrap/>
        <w:overflowPunct/>
        <w:topLinePunct w:val="0"/>
        <w:autoSpaceDE/>
        <w:autoSpaceDN/>
        <w:bidi w:val="0"/>
        <w:adjustRightInd w:val="0"/>
        <w:snapToGrid w:val="0"/>
        <w:spacing w:line="230" w:lineRule="exact"/>
        <w:ind w:left="537" w:leftChars="170" w:hanging="180" w:hangingChars="100"/>
        <w:textAlignment w:val="auto"/>
        <w:rPr>
          <w:rFonts w:ascii="宋体" w:hAnsi="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因投标人自身原因未提供附件或提供的附件不能与所证明的内容相匹配，造成业绩或其他内容不予认可时，投标人自行承担相关责任。</w:t>
      </w:r>
    </w:p>
    <w:p w14:paraId="64AD71F0">
      <w:pPr>
        <w:keepNext/>
        <w:keepLines w:val="0"/>
        <w:pageBreakBefore w:val="0"/>
        <w:widowControl w:val="0"/>
        <w:kinsoku/>
        <w:wordWrap/>
        <w:overflowPunct/>
        <w:topLinePunct w:val="0"/>
        <w:autoSpaceDE/>
        <w:autoSpaceDN/>
        <w:bidi w:val="0"/>
        <w:adjustRightInd w:val="0"/>
        <w:snapToGrid w:val="0"/>
        <w:spacing w:line="230" w:lineRule="exact"/>
        <w:ind w:firstLine="540" w:firstLineChars="300"/>
        <w:textAlignment w:val="auto"/>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ascii="宋体" w:hAnsi="宋体" w:cs="宋体"/>
          <w:color w:val="auto"/>
          <w:sz w:val="18"/>
          <w:szCs w:val="18"/>
          <w:highlight w:val="none"/>
        </w:rPr>
        <w:t>.个人业绩证明材料为：</w:t>
      </w:r>
    </w:p>
    <w:p w14:paraId="09A48717">
      <w:pPr>
        <w:keepNext/>
        <w:keepLines w:val="0"/>
        <w:pageBreakBefore w:val="0"/>
        <w:widowControl w:val="0"/>
        <w:kinsoku/>
        <w:wordWrap/>
        <w:overflowPunct/>
        <w:topLinePunct w:val="0"/>
        <w:autoSpaceDE/>
        <w:autoSpaceDN/>
        <w:bidi w:val="0"/>
        <w:adjustRightInd w:val="0"/>
        <w:snapToGrid w:val="0"/>
        <w:spacing w:line="230" w:lineRule="exact"/>
        <w:ind w:firstLine="542" w:firstLineChars="300"/>
        <w:textAlignment w:val="auto"/>
        <w:rPr>
          <w:rFonts w:ascii="宋体" w:hAnsi="宋体" w:cs="宋体"/>
          <w:color w:val="auto"/>
          <w:sz w:val="18"/>
          <w:szCs w:val="18"/>
          <w:highlight w:val="none"/>
        </w:rPr>
      </w:pPr>
      <w:r>
        <w:rPr>
          <w:rFonts w:hint="eastAsia" w:ascii="宋体" w:hAnsi="宋体" w:cs="宋体"/>
          <w:b/>
          <w:bCs/>
          <w:color w:val="auto"/>
          <w:sz w:val="18"/>
          <w:szCs w:val="18"/>
          <w:highlight w:val="none"/>
        </w:rPr>
        <w:t>□</w:t>
      </w:r>
      <w:r>
        <w:rPr>
          <w:rFonts w:ascii="宋体" w:hAnsi="宋体" w:cs="宋体"/>
          <w:b/>
          <w:bCs/>
          <w:color w:val="auto"/>
          <w:sz w:val="18"/>
          <w:szCs w:val="18"/>
          <w:highlight w:val="none"/>
        </w:rPr>
        <w:t xml:space="preserve"> </w:t>
      </w:r>
      <w:r>
        <w:rPr>
          <w:rFonts w:ascii="宋体" w:hAnsi="宋体" w:cs="宋体"/>
          <w:color w:val="auto"/>
          <w:sz w:val="18"/>
          <w:szCs w:val="18"/>
          <w:highlight w:val="none"/>
        </w:rPr>
        <w:t>交通运输部“</w:t>
      </w:r>
      <w:r>
        <w:rPr>
          <w:rFonts w:hint="eastAsia" w:ascii="宋体" w:hAnsi="宋体" w:cs="宋体"/>
          <w:color w:val="auto"/>
          <w:sz w:val="18"/>
          <w:szCs w:val="18"/>
          <w:highlight w:val="none"/>
        </w:rPr>
        <w:t>全国公路建设市场监督管理系统</w:t>
      </w:r>
      <w:r>
        <w:rPr>
          <w:rFonts w:ascii="宋体" w:hAnsi="宋体" w:cs="宋体"/>
          <w:color w:val="auto"/>
          <w:sz w:val="18"/>
          <w:szCs w:val="18"/>
          <w:highlight w:val="none"/>
        </w:rPr>
        <w:t>”</w:t>
      </w:r>
      <w:r>
        <w:rPr>
          <w:rFonts w:hint="eastAsia" w:ascii="宋体" w:hAnsi="宋体" w:cs="宋体"/>
          <w:color w:val="auto"/>
          <w:sz w:val="18"/>
          <w:szCs w:val="18"/>
          <w:highlight w:val="none"/>
        </w:rPr>
        <w:t>中载明的、能够证明该人员具有相关业绩的网页截图</w:t>
      </w:r>
      <w:bookmarkStart w:id="949" w:name="_Hlk94098037"/>
      <w:r>
        <w:rPr>
          <w:rStyle w:val="59"/>
          <w:rFonts w:ascii="宋体" w:hAnsi="宋体" w:cs="宋体"/>
          <w:color w:val="auto"/>
          <w:sz w:val="18"/>
          <w:szCs w:val="18"/>
          <w:highlight w:val="none"/>
        </w:rPr>
        <w:footnoteReference w:id="314"/>
      </w:r>
      <w:bookmarkEnd w:id="949"/>
      <w:r>
        <w:rPr>
          <w:rFonts w:hint="eastAsia" w:ascii="宋体" w:hAnsi="宋体" w:cs="宋体"/>
          <w:color w:val="auto"/>
          <w:sz w:val="18"/>
          <w:szCs w:val="18"/>
          <w:highlight w:val="none"/>
          <w:lang w:eastAsia="zh-CN"/>
        </w:rPr>
        <w:t>。</w:t>
      </w:r>
      <w:bookmarkStart w:id="950" w:name="_Hlk100330717"/>
      <w:r>
        <w:rPr>
          <w:rFonts w:hint="eastAsia" w:ascii="宋体" w:hAnsi="宋体" w:cs="宋体"/>
          <w:color w:val="auto"/>
          <w:sz w:val="18"/>
          <w:szCs w:val="18"/>
          <w:highlight w:val="none"/>
        </w:rPr>
        <w:t>□</w:t>
      </w:r>
      <w:bookmarkEnd w:id="950"/>
      <w:r>
        <w:rPr>
          <w:rFonts w:ascii="宋体" w:hAnsi="宋体" w:cs="宋体"/>
          <w:b/>
          <w:bCs/>
          <w:color w:val="auto"/>
          <w:sz w:val="18"/>
          <w:szCs w:val="18"/>
          <w:highlight w:val="none"/>
        </w:rPr>
        <w:t xml:space="preserve"> </w:t>
      </w:r>
      <w:r>
        <w:rPr>
          <w:rFonts w:ascii="宋体" w:hAnsi="宋体" w:cs="宋体"/>
          <w:color w:val="auto"/>
          <w:sz w:val="18"/>
          <w:szCs w:val="18"/>
          <w:highlight w:val="none"/>
        </w:rPr>
        <w:t>或</w:t>
      </w:r>
    </w:p>
    <w:p w14:paraId="2996EBF7">
      <w:pPr>
        <w:keepNext/>
        <w:keepLines w:val="0"/>
        <w:pageBreakBefore w:val="0"/>
        <w:widowControl w:val="0"/>
        <w:kinsoku/>
        <w:wordWrap/>
        <w:overflowPunct/>
        <w:topLinePunct w:val="0"/>
        <w:autoSpaceDE/>
        <w:autoSpaceDN/>
        <w:bidi w:val="0"/>
        <w:adjustRightInd w:val="0"/>
        <w:snapToGrid w:val="0"/>
        <w:spacing w:line="230" w:lineRule="exact"/>
        <w:ind w:firstLine="542" w:firstLineChars="300"/>
        <w:textAlignment w:val="auto"/>
        <w:rPr>
          <w:rFonts w:ascii="宋体" w:hAnsi="宋体" w:cs="宋体"/>
          <w:color w:val="auto"/>
          <w:sz w:val="18"/>
          <w:szCs w:val="18"/>
          <w:highlight w:val="none"/>
        </w:rPr>
      </w:pPr>
      <w:r>
        <w:rPr>
          <w:rFonts w:hint="eastAsia" w:ascii="宋体" w:hAnsi="宋体" w:cs="宋体"/>
          <w:b/>
          <w:bCs/>
          <w:color w:val="auto"/>
          <w:sz w:val="18"/>
          <w:szCs w:val="18"/>
          <w:highlight w:val="none"/>
        </w:rPr>
        <w:t>□</w:t>
      </w:r>
      <w:r>
        <w:rPr>
          <w:rFonts w:ascii="宋体" w:hAnsi="宋体" w:cs="宋体"/>
          <w:b/>
          <w:bCs/>
          <w:color w:val="auto"/>
          <w:sz w:val="18"/>
          <w:szCs w:val="18"/>
          <w:highlight w:val="none"/>
        </w:rPr>
        <w:t xml:space="preserve"> </w:t>
      </w:r>
      <w:r>
        <w:rPr>
          <w:rFonts w:hint="eastAsia" w:ascii="宋体" w:hAnsi="宋体" w:cs="宋体"/>
          <w:color w:val="auto"/>
          <w:sz w:val="18"/>
          <w:szCs w:val="18"/>
          <w:highlight w:val="none"/>
        </w:rPr>
        <w:t>合同协议书；和</w:t>
      </w:r>
    </w:p>
    <w:p w14:paraId="58EC167C">
      <w:pPr>
        <w:keepNext/>
        <w:keepLines w:val="0"/>
        <w:pageBreakBefore w:val="0"/>
        <w:widowControl w:val="0"/>
        <w:kinsoku/>
        <w:wordWrap/>
        <w:overflowPunct/>
        <w:topLinePunct w:val="0"/>
        <w:autoSpaceDE/>
        <w:autoSpaceDN/>
        <w:bidi w:val="0"/>
        <w:adjustRightInd w:val="0"/>
        <w:snapToGrid w:val="0"/>
        <w:spacing w:line="230" w:lineRule="exact"/>
        <w:ind w:firstLine="540" w:firstLineChars="300"/>
        <w:textAlignment w:val="auto"/>
        <w:rPr>
          <w:rFonts w:ascii="宋体" w:hAnsi="宋体" w:cs="宋体"/>
          <w:color w:val="auto"/>
          <w:sz w:val="18"/>
          <w:szCs w:val="18"/>
          <w:highlight w:val="none"/>
        </w:rPr>
      </w:pPr>
      <w:r>
        <w:rPr>
          <w:rFonts w:ascii="宋体" w:hAnsi="宋体" w:cs="宋体"/>
          <w:color w:val="auto"/>
          <w:sz w:val="18"/>
          <w:szCs w:val="18"/>
          <w:highlight w:val="none"/>
        </w:rPr>
        <w:t xml:space="preserve">   </w:t>
      </w:r>
      <w:r>
        <w:rPr>
          <w:rFonts w:hint="eastAsia" w:ascii="宋体" w:hAnsi="宋体" w:cs="宋体"/>
          <w:color w:val="auto"/>
          <w:sz w:val="18"/>
          <w:szCs w:val="18"/>
          <w:highlight w:val="none"/>
        </w:rPr>
        <w:t>项目评定书或交工验收证书或竣工验收委员会出具的公路工程竣工验收鉴定书或发包人出具的证明原件原色扫描件，其中应能够证明该人员具有相关业绩。</w:t>
      </w:r>
    </w:p>
    <w:p w14:paraId="38DD74D9">
      <w:pPr>
        <w:keepNext/>
        <w:keepLines w:val="0"/>
        <w:pageBreakBefore w:val="0"/>
        <w:widowControl w:val="0"/>
        <w:tabs>
          <w:tab w:val="left" w:pos="312"/>
        </w:tabs>
        <w:kinsoku/>
        <w:wordWrap/>
        <w:overflowPunct/>
        <w:topLinePunct w:val="0"/>
        <w:autoSpaceDE/>
        <w:autoSpaceDN/>
        <w:bidi w:val="0"/>
        <w:adjustRightInd w:val="0"/>
        <w:snapToGrid w:val="0"/>
        <w:spacing w:line="230" w:lineRule="exact"/>
        <w:ind w:firstLine="360" w:firstLineChars="200"/>
        <w:textAlignment w:val="auto"/>
        <w:rPr>
          <w:rFonts w:ascii="宋体" w:hAnsi="宋体" w:cs="宋体"/>
          <w:color w:val="auto"/>
          <w:sz w:val="18"/>
          <w:szCs w:val="18"/>
          <w:highlight w:val="none"/>
        </w:rPr>
      </w:pPr>
      <w:bookmarkStart w:id="951" w:name="_Hlk98436941"/>
      <w:r>
        <w:rPr>
          <w:rFonts w:hint="eastAsia" w:ascii="宋体" w:hAnsi="宋体" w:cs="宋体"/>
          <w:color w:val="auto"/>
          <w:sz w:val="18"/>
          <w:szCs w:val="18"/>
          <w:highlight w:val="none"/>
          <w:lang w:val="en-US" w:eastAsia="zh-CN"/>
        </w:rPr>
        <w:t>4</w:t>
      </w:r>
      <w:r>
        <w:rPr>
          <w:rFonts w:ascii="宋体" w:hAnsi="宋体" w:cs="宋体"/>
          <w:color w:val="auto"/>
          <w:sz w:val="18"/>
          <w:szCs w:val="18"/>
          <w:highlight w:val="none"/>
        </w:rPr>
        <w:t>.</w:t>
      </w:r>
      <w:r>
        <w:rPr>
          <w:rFonts w:hint="eastAsia" w:ascii="宋体" w:hAnsi="宋体" w:cs="宋体"/>
          <w:color w:val="auto"/>
          <w:sz w:val="18"/>
          <w:szCs w:val="18"/>
          <w:highlight w:val="none"/>
        </w:rPr>
        <w:t>提供社保时间段要求：例如投标截止日所在月为“</w:t>
      </w:r>
      <w:r>
        <w:rPr>
          <w:rFonts w:ascii="宋体" w:hAnsi="宋体" w:cs="宋体"/>
          <w:color w:val="auto"/>
          <w:sz w:val="18"/>
          <w:szCs w:val="18"/>
          <w:highlight w:val="none"/>
        </w:rPr>
        <w:t>2021</w:t>
      </w:r>
      <w:r>
        <w:rPr>
          <w:rFonts w:hint="eastAsia" w:ascii="宋体" w:hAnsi="宋体" w:cs="宋体"/>
          <w:color w:val="auto"/>
          <w:sz w:val="18"/>
          <w:szCs w:val="18"/>
          <w:highlight w:val="none"/>
        </w:rPr>
        <w:t>年</w:t>
      </w:r>
      <w:r>
        <w:rPr>
          <w:rFonts w:ascii="宋体" w:hAnsi="宋体" w:cs="宋体"/>
          <w:color w:val="auto"/>
          <w:sz w:val="18"/>
          <w:szCs w:val="18"/>
          <w:highlight w:val="none"/>
        </w:rPr>
        <w:t>12</w:t>
      </w:r>
      <w:r>
        <w:rPr>
          <w:rFonts w:hint="eastAsia" w:ascii="宋体" w:hAnsi="宋体" w:cs="宋体"/>
          <w:color w:val="auto"/>
          <w:sz w:val="18"/>
          <w:szCs w:val="18"/>
          <w:highlight w:val="none"/>
        </w:rPr>
        <w:t>月”，则提供</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w:t>
      </w:r>
      <w:r>
        <w:rPr>
          <w:rFonts w:ascii="宋体" w:hAnsi="宋体" w:cs="宋体"/>
          <w:color w:val="auto"/>
          <w:sz w:val="18"/>
          <w:szCs w:val="18"/>
          <w:highlight w:val="none"/>
        </w:rPr>
        <w:t>2021</w:t>
      </w:r>
      <w:r>
        <w:rPr>
          <w:rFonts w:hint="eastAsia" w:ascii="宋体" w:hAnsi="宋体" w:cs="宋体"/>
          <w:color w:val="auto"/>
          <w:sz w:val="18"/>
          <w:szCs w:val="18"/>
          <w:highlight w:val="none"/>
        </w:rPr>
        <w:t>年</w:t>
      </w:r>
      <w:r>
        <w:rPr>
          <w:rFonts w:ascii="宋体" w:hAnsi="宋体" w:cs="宋体"/>
          <w:color w:val="auto"/>
          <w:sz w:val="18"/>
          <w:szCs w:val="18"/>
          <w:highlight w:val="none"/>
        </w:rPr>
        <w:t>6</w:t>
      </w:r>
      <w:r>
        <w:rPr>
          <w:rFonts w:hint="eastAsia" w:ascii="宋体" w:hAnsi="宋体" w:cs="宋体"/>
          <w:color w:val="auto"/>
          <w:sz w:val="18"/>
          <w:szCs w:val="18"/>
          <w:highlight w:val="none"/>
        </w:rPr>
        <w:t>～</w:t>
      </w:r>
      <w:r>
        <w:rPr>
          <w:rFonts w:ascii="宋体" w:hAnsi="宋体" w:cs="宋体"/>
          <w:color w:val="auto"/>
          <w:sz w:val="18"/>
          <w:szCs w:val="18"/>
          <w:highlight w:val="none"/>
        </w:rPr>
        <w:t>11</w:t>
      </w:r>
      <w:r>
        <w:rPr>
          <w:rFonts w:hint="eastAsia" w:ascii="宋体" w:hAnsi="宋体" w:cs="宋体"/>
          <w:color w:val="auto"/>
          <w:sz w:val="18"/>
          <w:szCs w:val="18"/>
          <w:highlight w:val="none"/>
        </w:rPr>
        <w:t>月”或“</w:t>
      </w:r>
      <w:r>
        <w:rPr>
          <w:rFonts w:ascii="宋体" w:hAnsi="宋体" w:cs="宋体"/>
          <w:color w:val="auto"/>
          <w:sz w:val="18"/>
          <w:szCs w:val="18"/>
          <w:highlight w:val="none"/>
        </w:rPr>
        <w:t>2021</w:t>
      </w:r>
      <w:r>
        <w:rPr>
          <w:rFonts w:hint="eastAsia" w:ascii="宋体" w:hAnsi="宋体" w:cs="宋体"/>
          <w:color w:val="auto"/>
          <w:sz w:val="18"/>
          <w:szCs w:val="18"/>
          <w:highlight w:val="none"/>
        </w:rPr>
        <w:t>年</w:t>
      </w: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10</w:t>
      </w:r>
      <w:r>
        <w:rPr>
          <w:rFonts w:hint="eastAsia" w:ascii="宋体" w:hAnsi="宋体" w:cs="宋体"/>
          <w:color w:val="auto"/>
          <w:sz w:val="18"/>
          <w:szCs w:val="18"/>
          <w:highlight w:val="none"/>
        </w:rPr>
        <w:t>月”在其投标单位连续</w:t>
      </w:r>
      <w:r>
        <w:rPr>
          <w:rFonts w:ascii="宋体" w:hAnsi="宋体" w:cs="宋体"/>
          <w:color w:val="auto"/>
          <w:sz w:val="18"/>
          <w:szCs w:val="18"/>
          <w:highlight w:val="none"/>
        </w:rPr>
        <w:t>6</w:t>
      </w:r>
      <w:r>
        <w:rPr>
          <w:rFonts w:hint="eastAsia" w:ascii="宋体" w:hAnsi="宋体" w:cs="宋体"/>
          <w:color w:val="auto"/>
          <w:sz w:val="18"/>
          <w:szCs w:val="18"/>
          <w:highlight w:val="none"/>
        </w:rPr>
        <w:t>个月参加社保的证明材料。</w:t>
      </w:r>
      <w:bookmarkEnd w:id="951"/>
    </w:p>
    <w:p w14:paraId="0656F938">
      <w:pPr>
        <w:keepNext/>
        <w:keepLines w:val="0"/>
        <w:pageBreakBefore w:val="0"/>
        <w:widowControl w:val="0"/>
        <w:shd w:val="clear"/>
        <w:tabs>
          <w:tab w:val="left" w:pos="312"/>
        </w:tabs>
        <w:kinsoku/>
        <w:wordWrap/>
        <w:overflowPunct/>
        <w:topLinePunct w:val="0"/>
        <w:autoSpaceDE/>
        <w:autoSpaceDN/>
        <w:bidi w:val="0"/>
        <w:adjustRightInd w:val="0"/>
        <w:snapToGrid w:val="0"/>
        <w:spacing w:line="230" w:lineRule="exact"/>
        <w:ind w:firstLine="360" w:firstLineChars="200"/>
        <w:jc w:val="left"/>
        <w:textAlignment w:val="auto"/>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5</w:t>
      </w:r>
      <w:r>
        <w:rPr>
          <w:rFonts w:ascii="宋体" w:hAnsi="宋体" w:cs="宋体"/>
          <w:color w:val="auto"/>
          <w:sz w:val="18"/>
          <w:szCs w:val="18"/>
          <w:highlight w:val="none"/>
        </w:rPr>
        <w:t>.</w:t>
      </w:r>
      <w:r>
        <w:rPr>
          <w:rFonts w:hint="eastAsia" w:ascii="宋体" w:hAnsi="宋体" w:cs="宋体"/>
          <w:color w:val="auto"/>
          <w:sz w:val="18"/>
          <w:szCs w:val="18"/>
          <w:highlight w:val="none"/>
        </w:rPr>
        <w:t>桥梁类型应从“梁式桥、拱式桥、悬索桥、斜拉桥、刚构桥、组合体系桥、其他</w:t>
      </w:r>
      <w:r>
        <w:rPr>
          <w:rFonts w:ascii="宋体" w:hAnsi="宋体" w:cs="宋体"/>
          <w:color w:val="auto"/>
          <w:sz w:val="18"/>
          <w:szCs w:val="18"/>
          <w:highlight w:val="none"/>
        </w:rPr>
        <w:t>”</w:t>
      </w:r>
      <w:r>
        <w:rPr>
          <w:rFonts w:hint="eastAsia" w:ascii="宋体" w:hAnsi="宋体" w:cs="宋体"/>
          <w:color w:val="auto"/>
          <w:sz w:val="18"/>
          <w:szCs w:val="18"/>
          <w:highlight w:val="none"/>
        </w:rPr>
        <w:t>中选择填写</w:t>
      </w:r>
      <w:r>
        <w:rPr>
          <w:rFonts w:ascii="宋体" w:hAnsi="宋体" w:cs="宋体"/>
          <w:color w:val="auto"/>
          <w:sz w:val="18"/>
          <w:szCs w:val="18"/>
          <w:highlight w:val="none"/>
        </w:rPr>
        <w:t>。</w:t>
      </w:r>
      <w:bookmarkEnd w:id="948"/>
    </w:p>
    <w:p w14:paraId="701D1596">
      <w:pPr>
        <w:keepNext/>
        <w:keepLines w:val="0"/>
        <w:tabs>
          <w:tab w:val="left" w:pos="312"/>
        </w:tabs>
        <w:adjustRightInd w:val="0"/>
        <w:snapToGrid w:val="0"/>
        <w:spacing w:line="230" w:lineRule="exact"/>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对于左右幅桥长不相同的</w:t>
      </w:r>
      <w:r>
        <w:rPr>
          <w:rFonts w:hint="eastAsia" w:ascii="宋体" w:hAnsi="宋体" w:cs="宋体"/>
          <w:color w:val="auto"/>
          <w:sz w:val="18"/>
          <w:szCs w:val="18"/>
          <w:highlight w:val="none"/>
          <w:lang w:val="en-US" w:eastAsia="zh-CN"/>
        </w:rPr>
        <w:t>桥梁，其桥梁</w:t>
      </w:r>
      <w:r>
        <w:rPr>
          <w:rFonts w:hint="eastAsia" w:ascii="宋体" w:hAnsi="宋体" w:cs="宋体"/>
          <w:color w:val="auto"/>
          <w:sz w:val="18"/>
          <w:szCs w:val="18"/>
          <w:highlight w:val="none"/>
        </w:rPr>
        <w:t>长度</w:t>
      </w:r>
      <w:r>
        <w:rPr>
          <w:rFonts w:hint="eastAsia" w:ascii="宋体" w:hAnsi="宋体" w:cs="宋体"/>
          <w:color w:val="auto"/>
          <w:sz w:val="18"/>
          <w:szCs w:val="18"/>
          <w:highlight w:val="none"/>
          <w:lang w:val="en-US" w:eastAsia="zh-CN"/>
        </w:rPr>
        <w:t>以左右幅长度较</w:t>
      </w:r>
      <w:r>
        <w:rPr>
          <w:rFonts w:hint="eastAsia" w:ascii="宋体" w:hAnsi="宋体" w:cs="宋体"/>
          <w:color w:val="auto"/>
          <w:sz w:val="18"/>
          <w:szCs w:val="18"/>
          <w:highlight w:val="none"/>
        </w:rPr>
        <w:t>长的为准；若只有单幅的，则以单幅桥梁</w:t>
      </w:r>
      <w:r>
        <w:rPr>
          <w:rFonts w:hint="eastAsia" w:ascii="宋体" w:hAnsi="宋体" w:cs="宋体"/>
          <w:color w:val="auto"/>
          <w:sz w:val="18"/>
          <w:szCs w:val="18"/>
          <w:highlight w:val="none"/>
          <w:lang w:val="en-US" w:eastAsia="zh-CN"/>
        </w:rPr>
        <w:t>长度</w:t>
      </w:r>
      <w:r>
        <w:rPr>
          <w:rFonts w:hint="eastAsia" w:ascii="宋体" w:hAnsi="宋体" w:cs="宋体"/>
          <w:color w:val="auto"/>
          <w:sz w:val="18"/>
          <w:szCs w:val="18"/>
          <w:highlight w:val="none"/>
        </w:rPr>
        <w:t>数据为准。</w:t>
      </w:r>
    </w:p>
    <w:p w14:paraId="4C250D9F">
      <w:pPr>
        <w:keepNext/>
        <w:keepLines w:val="0"/>
        <w:tabs>
          <w:tab w:val="left" w:pos="312"/>
        </w:tabs>
        <w:adjustRightInd w:val="0"/>
        <w:snapToGrid w:val="0"/>
        <w:spacing w:line="230" w:lineRule="exact"/>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隧道机电工程施工系统类型应是隧道“监控系统、通风系统、供配电系统、照明系统、消防系统、其他”中的一种或多种。</w:t>
      </w:r>
    </w:p>
    <w:p w14:paraId="0A35F300">
      <w:pPr>
        <w:keepNext/>
        <w:keepLines w:val="0"/>
        <w:pageBreakBefore w:val="0"/>
        <w:widowControl w:val="0"/>
        <w:shd w:val="clear" w:color="auto" w:fill="FFFFFF"/>
        <w:tabs>
          <w:tab w:val="left" w:pos="312"/>
        </w:tabs>
        <w:kinsoku/>
        <w:wordWrap/>
        <w:overflowPunct/>
        <w:topLinePunct w:val="0"/>
        <w:autoSpaceDE/>
        <w:autoSpaceDN/>
        <w:bidi w:val="0"/>
        <w:adjustRightInd w:val="0"/>
        <w:snapToGrid w:val="0"/>
        <w:spacing w:line="230" w:lineRule="exact"/>
        <w:ind w:firstLine="360" w:firstLineChars="200"/>
        <w:jc w:val="lef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rPr>
        <w:t>对于具有双洞的隧道，其承担隧道长度以左右线隧道长度</w:t>
      </w:r>
      <w:r>
        <w:rPr>
          <w:rFonts w:hint="eastAsia" w:ascii="宋体" w:hAnsi="宋体" w:cs="宋体"/>
          <w:color w:val="auto"/>
          <w:sz w:val="18"/>
          <w:szCs w:val="18"/>
          <w:highlight w:val="none"/>
          <w:lang w:val="en-US" w:eastAsia="zh-CN"/>
        </w:rPr>
        <w:t>较</w:t>
      </w:r>
      <w:r>
        <w:rPr>
          <w:rFonts w:hint="eastAsia" w:ascii="宋体" w:hAnsi="宋体" w:cs="宋体"/>
          <w:color w:val="auto"/>
          <w:sz w:val="18"/>
          <w:szCs w:val="18"/>
          <w:highlight w:val="none"/>
        </w:rPr>
        <w:t>长的为准；若只有单洞的，则以承担单洞隧道长度数据为准。隧道单洞长度不含斜井、竖井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支洞</w:t>
      </w:r>
      <w:r>
        <w:rPr>
          <w:rFonts w:hint="eastAsia" w:ascii="宋体" w:hAnsi="宋体" w:cs="宋体"/>
          <w:color w:val="auto"/>
          <w:sz w:val="18"/>
          <w:szCs w:val="18"/>
          <w:highlight w:val="none"/>
        </w:rPr>
        <w:t>。</w:t>
      </w:r>
    </w:p>
    <w:p w14:paraId="7FF90DF8">
      <w:pPr>
        <w:keepNext/>
        <w:keepLines w:val="0"/>
        <w:pageBreakBefore w:val="0"/>
        <w:widowControl w:val="0"/>
        <w:shd w:val="clear" w:color="auto" w:fill="FFFFFF"/>
        <w:tabs>
          <w:tab w:val="left" w:pos="312"/>
        </w:tabs>
        <w:kinsoku/>
        <w:wordWrap/>
        <w:overflowPunct/>
        <w:topLinePunct w:val="0"/>
        <w:autoSpaceDE/>
        <w:autoSpaceDN/>
        <w:bidi w:val="0"/>
        <w:adjustRightInd w:val="0"/>
        <w:snapToGrid w:val="0"/>
        <w:spacing w:line="230" w:lineRule="exact"/>
        <w:ind w:left="537" w:leftChars="170" w:hanging="180" w:hangingChars="100"/>
        <w:jc w:val="both"/>
        <w:textAlignment w:val="auto"/>
        <w:rPr>
          <w:rFonts w:ascii="黑体" w:hAnsi="黑体" w:eastAsia="黑体"/>
          <w:bCs/>
          <w:color w:val="auto"/>
          <w:sz w:val="24"/>
          <w:highlight w:val="none"/>
        </w:rPr>
      </w:pPr>
      <w:r>
        <w:rPr>
          <w:rFonts w:hint="eastAsia" w:ascii="宋体" w:hAnsi="宋体" w:cs="宋体"/>
          <w:color w:val="auto"/>
          <w:sz w:val="18"/>
          <w:szCs w:val="18"/>
          <w:highlight w:val="none"/>
          <w:lang w:val="en-US" w:eastAsia="zh-CN"/>
        </w:rPr>
        <w:t>9.</w:t>
      </w:r>
      <w:r>
        <w:rPr>
          <w:rFonts w:hint="eastAsia" w:ascii="宋体" w:hAnsi="宋体" w:cs="宋体"/>
          <w:color w:val="auto"/>
          <w:sz w:val="18"/>
          <w:szCs w:val="18"/>
          <w:highlight w:val="none"/>
        </w:rPr>
        <w:t>允许联合体投标时，</w:t>
      </w:r>
      <w:r>
        <w:rPr>
          <w:rFonts w:hint="eastAsia" w:ascii="宋体" w:hAnsi="宋体" w:cs="宋体"/>
          <w:color w:val="auto"/>
          <w:sz w:val="18"/>
          <w:szCs w:val="18"/>
          <w:highlight w:val="none"/>
          <w:lang w:val="en-US" w:eastAsia="zh-CN"/>
        </w:rPr>
        <w:t>若</w:t>
      </w:r>
      <w:r>
        <w:rPr>
          <w:rFonts w:hint="eastAsia" w:ascii="宋体" w:hAnsi="宋体" w:cs="宋体"/>
          <w:color w:val="auto"/>
          <w:sz w:val="18"/>
          <w:szCs w:val="18"/>
          <w:highlight w:val="none"/>
        </w:rPr>
        <w:t>以联合体形式投标的，</w:t>
      </w:r>
      <w:r>
        <w:rPr>
          <w:rFonts w:hint="eastAsia" w:ascii="宋体" w:hAnsi="宋体" w:cs="宋体"/>
          <w:color w:val="auto"/>
          <w:sz w:val="18"/>
          <w:szCs w:val="18"/>
          <w:highlight w:val="none"/>
          <w:lang w:val="en-US" w:eastAsia="zh-CN"/>
        </w:rPr>
        <w:t>项目经理</w:t>
      </w:r>
      <w:r>
        <w:rPr>
          <w:rFonts w:hint="eastAsia" w:ascii="宋体" w:hAnsi="宋体" w:cs="宋体"/>
          <w:color w:val="auto"/>
          <w:sz w:val="18"/>
          <w:szCs w:val="18"/>
          <w:highlight w:val="none"/>
        </w:rPr>
        <w:t>应按照第二章“投标人须知”前附表附录</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资格审查条件</w:t>
      </w:r>
      <w:r>
        <w:rPr>
          <w:rFonts w:hint="eastAsia" w:ascii="宋体" w:hAnsi="宋体" w:cs="宋体"/>
          <w:color w:val="auto"/>
          <w:sz w:val="18"/>
          <w:szCs w:val="18"/>
          <w:highlight w:val="none"/>
          <w:lang w:val="en-US" w:eastAsia="zh-CN"/>
        </w:rPr>
        <w:t>的</w:t>
      </w:r>
      <w:r>
        <w:rPr>
          <w:rFonts w:hint="eastAsia" w:ascii="宋体" w:hAnsi="宋体" w:cs="宋体"/>
          <w:color w:val="auto"/>
          <w:sz w:val="18"/>
          <w:szCs w:val="18"/>
          <w:highlight w:val="none"/>
        </w:rPr>
        <w:t>要求及</w:t>
      </w:r>
      <w:r>
        <w:rPr>
          <w:rFonts w:hint="eastAsia" w:ascii="宋体" w:hAnsi="宋体" w:cs="宋体"/>
          <w:color w:val="auto"/>
          <w:sz w:val="18"/>
          <w:szCs w:val="18"/>
          <w:highlight w:val="none"/>
          <w:lang w:val="en-US" w:eastAsia="zh-CN"/>
        </w:rPr>
        <w:t>第三章“评标办法”</w:t>
      </w:r>
      <w:r>
        <w:rPr>
          <w:rFonts w:hint="eastAsia" w:ascii="宋体" w:hAnsi="宋体" w:cs="宋体"/>
          <w:color w:val="auto"/>
          <w:sz w:val="18"/>
          <w:szCs w:val="18"/>
          <w:highlight w:val="none"/>
        </w:rPr>
        <w:t>详细评审打分条件（如有）填写</w:t>
      </w:r>
      <w:r>
        <w:rPr>
          <w:rFonts w:hint="eastAsia" w:ascii="宋体" w:hAnsi="宋体" w:cs="宋体"/>
          <w:color w:val="auto"/>
          <w:sz w:val="18"/>
          <w:szCs w:val="18"/>
          <w:highlight w:val="none"/>
          <w:lang w:val="en-US" w:eastAsia="zh-CN"/>
        </w:rPr>
        <w:t>本表</w:t>
      </w:r>
      <w:r>
        <w:rPr>
          <w:rFonts w:hint="eastAsia" w:ascii="宋体" w:hAnsi="宋体" w:cs="宋体"/>
          <w:color w:val="auto"/>
          <w:sz w:val="18"/>
          <w:szCs w:val="18"/>
          <w:highlight w:val="none"/>
        </w:rPr>
        <w:t>。</w:t>
      </w:r>
      <w:r>
        <w:rPr>
          <w:rFonts w:ascii="宋体" w:hAnsi="宋体" w:cs="宋体"/>
          <w:color w:val="auto"/>
          <w:sz w:val="18"/>
          <w:szCs w:val="18"/>
          <w:highlight w:val="none"/>
        </w:rPr>
        <w:br w:type="page"/>
      </w:r>
      <w:r>
        <w:rPr>
          <w:rFonts w:hint="eastAsia" w:ascii="宋体" w:hAnsi="宋体" w:cs="宋体"/>
          <w:bCs w:val="0"/>
          <w:color w:val="auto"/>
          <w:sz w:val="18"/>
          <w:szCs w:val="18"/>
          <w:highlight w:val="none"/>
          <w:lang w:val="en-US" w:eastAsia="zh-CN"/>
        </w:rPr>
        <w:t xml:space="preserve">                                                           </w:t>
      </w:r>
      <w:r>
        <w:rPr>
          <w:rFonts w:hint="eastAsia" w:ascii="黑体" w:hAnsi="黑体" w:eastAsia="黑体"/>
          <w:b/>
          <w:bCs w:val="0"/>
          <w:color w:val="auto"/>
          <w:sz w:val="24"/>
          <w:highlight w:val="none"/>
        </w:rPr>
        <w:t>□</w:t>
      </w:r>
      <w:r>
        <w:rPr>
          <w:rFonts w:ascii="黑体" w:hAnsi="黑体" w:eastAsia="黑体"/>
          <w:bCs/>
          <w:color w:val="auto"/>
          <w:sz w:val="24"/>
          <w:highlight w:val="none"/>
        </w:rPr>
        <w:t xml:space="preserve">  项目总工资历</w:t>
      </w:r>
      <w:r>
        <w:rPr>
          <w:rFonts w:hint="eastAsia" w:ascii="黑体" w:hAnsi="黑体" w:eastAsia="黑体"/>
          <w:bCs/>
          <w:color w:val="auto"/>
          <w:sz w:val="24"/>
          <w:highlight w:val="none"/>
          <w:lang w:val="en-US" w:eastAsia="zh-CN"/>
        </w:rPr>
        <w:t>表</w:t>
      </w:r>
      <w:r>
        <w:rPr>
          <w:rFonts w:ascii="黑体" w:hAnsi="黑体" w:eastAsia="黑体"/>
          <w:bCs/>
          <w:color w:val="auto"/>
          <w:sz w:val="24"/>
          <w:highlight w:val="none"/>
        </w:rPr>
        <w:t xml:space="preserve">                                            </w:t>
      </w:r>
      <w:r>
        <w:rPr>
          <w:rFonts w:hint="eastAsia" w:ascii="黑体" w:hAnsi="黑体" w:eastAsia="黑体"/>
          <w:bCs/>
          <w:color w:val="auto"/>
          <w:sz w:val="24"/>
          <w:highlight w:val="none"/>
        </w:rPr>
        <w:t>表</w:t>
      </w:r>
      <w:r>
        <w:rPr>
          <w:rFonts w:hint="eastAsia" w:ascii="黑体" w:hAnsi="黑体" w:eastAsia="黑体"/>
          <w:bCs/>
          <w:color w:val="auto"/>
          <w:sz w:val="24"/>
          <w:highlight w:val="none"/>
          <w:lang w:val="en-US" w:eastAsia="zh-CN"/>
        </w:rPr>
        <w:t>6.</w:t>
      </w:r>
      <w:r>
        <w:rPr>
          <w:rFonts w:ascii="黑体" w:hAnsi="黑体" w:eastAsia="黑体"/>
          <w:bCs/>
          <w:color w:val="auto"/>
          <w:sz w:val="24"/>
          <w:highlight w:val="none"/>
        </w:rPr>
        <w:t>2</w:t>
      </w:r>
    </w:p>
    <w:tbl>
      <w:tblPr>
        <w:tblStyle w:val="49"/>
        <w:tblW w:w="14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02"/>
        <w:gridCol w:w="636"/>
        <w:gridCol w:w="976"/>
        <w:gridCol w:w="374"/>
        <w:gridCol w:w="784"/>
        <w:gridCol w:w="954"/>
        <w:gridCol w:w="288"/>
        <w:gridCol w:w="472"/>
        <w:gridCol w:w="354"/>
        <w:gridCol w:w="407"/>
        <w:gridCol w:w="886"/>
        <w:gridCol w:w="786"/>
        <w:gridCol w:w="54"/>
        <w:gridCol w:w="861"/>
        <w:gridCol w:w="470"/>
        <w:gridCol w:w="415"/>
        <w:gridCol w:w="809"/>
        <w:gridCol w:w="798"/>
        <w:gridCol w:w="499"/>
        <w:gridCol w:w="1347"/>
      </w:tblGrid>
      <w:tr w14:paraId="578B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92" w:type="dxa"/>
            <w:gridSpan w:val="20"/>
            <w:vAlign w:val="center"/>
          </w:tcPr>
          <w:p w14:paraId="6E7F7033">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w:t>
            </w:r>
          </w:p>
        </w:tc>
        <w:tc>
          <w:tcPr>
            <w:tcW w:w="1347" w:type="dxa"/>
            <w:vAlign w:val="top"/>
          </w:tcPr>
          <w:p w14:paraId="5CD79B1E">
            <w:pPr>
              <w:widowControl/>
              <w:adjustRightInd/>
              <w:snapToGrid/>
              <w:spacing w:line="240" w:lineRule="exact"/>
              <w:jc w:val="left"/>
              <w:rPr>
                <w:rFonts w:ascii="Times New Roman" w:hAnsi="Times New Roman" w:cs="Times New Roman"/>
                <w:bCs w:val="0"/>
                <w:color w:val="auto"/>
                <w:kern w:val="2"/>
                <w:sz w:val="18"/>
                <w:szCs w:val="18"/>
                <w:highlight w:val="none"/>
              </w:rPr>
            </w:pPr>
            <w:r>
              <w:rPr>
                <w:rFonts w:hint="eastAsia" w:cs="Times New Roman"/>
                <w:bCs w:val="0"/>
                <w:color w:val="auto"/>
                <w:kern w:val="2"/>
                <w:sz w:val="18"/>
                <w:szCs w:val="18"/>
                <w:highlight w:val="none"/>
                <w:lang w:val="en-US" w:eastAsia="zh-CN"/>
              </w:rPr>
              <w:t>基本信息附件</w:t>
            </w:r>
          </w:p>
        </w:tc>
      </w:tr>
      <w:tr w14:paraId="56E0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9" w:type="dxa"/>
            <w:gridSpan w:val="2"/>
            <w:vAlign w:val="center"/>
          </w:tcPr>
          <w:p w14:paraId="2EA4BBF1">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姓名</w:t>
            </w:r>
          </w:p>
        </w:tc>
        <w:tc>
          <w:tcPr>
            <w:tcW w:w="4012" w:type="dxa"/>
            <w:gridSpan w:val="6"/>
            <w:vAlign w:val="center"/>
          </w:tcPr>
          <w:p w14:paraId="46F6D999">
            <w:pPr>
              <w:widowControl/>
              <w:spacing w:line="240" w:lineRule="exact"/>
              <w:jc w:val="center"/>
              <w:rPr>
                <w:rFonts w:ascii="宋体" w:hAnsi="宋体" w:cs="宋体"/>
                <w:bCs/>
                <w:color w:val="auto"/>
                <w:kern w:val="0"/>
                <w:sz w:val="18"/>
                <w:szCs w:val="18"/>
                <w:highlight w:val="none"/>
              </w:rPr>
            </w:pPr>
          </w:p>
        </w:tc>
        <w:tc>
          <w:tcPr>
            <w:tcW w:w="826" w:type="dxa"/>
            <w:gridSpan w:val="2"/>
            <w:vAlign w:val="center"/>
          </w:tcPr>
          <w:p w14:paraId="436FDF1F">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年龄</w:t>
            </w:r>
          </w:p>
        </w:tc>
        <w:tc>
          <w:tcPr>
            <w:tcW w:w="2079" w:type="dxa"/>
            <w:gridSpan w:val="3"/>
            <w:vAlign w:val="center"/>
          </w:tcPr>
          <w:p w14:paraId="1B85C16C">
            <w:pPr>
              <w:widowControl/>
              <w:spacing w:line="240" w:lineRule="exact"/>
              <w:jc w:val="center"/>
              <w:rPr>
                <w:rFonts w:ascii="宋体" w:hAnsi="宋体" w:cs="宋体"/>
                <w:bCs/>
                <w:color w:val="auto"/>
                <w:kern w:val="0"/>
                <w:sz w:val="18"/>
                <w:szCs w:val="18"/>
                <w:highlight w:val="none"/>
              </w:rPr>
            </w:pPr>
          </w:p>
        </w:tc>
        <w:tc>
          <w:tcPr>
            <w:tcW w:w="1385" w:type="dxa"/>
            <w:gridSpan w:val="3"/>
            <w:vAlign w:val="center"/>
          </w:tcPr>
          <w:p w14:paraId="2E6C5F78">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身份证号码</w:t>
            </w:r>
          </w:p>
        </w:tc>
        <w:tc>
          <w:tcPr>
            <w:tcW w:w="2521" w:type="dxa"/>
            <w:gridSpan w:val="4"/>
            <w:vAlign w:val="center"/>
          </w:tcPr>
          <w:p w14:paraId="1F005D7F">
            <w:pPr>
              <w:widowControl/>
              <w:spacing w:line="240" w:lineRule="exact"/>
              <w:jc w:val="center"/>
              <w:rPr>
                <w:rFonts w:ascii="宋体" w:hAnsi="宋体" w:cs="宋体"/>
                <w:bCs/>
                <w:color w:val="auto"/>
                <w:kern w:val="0"/>
                <w:sz w:val="18"/>
                <w:szCs w:val="18"/>
                <w:highlight w:val="none"/>
              </w:rPr>
            </w:pPr>
          </w:p>
        </w:tc>
        <w:tc>
          <w:tcPr>
            <w:tcW w:w="1347" w:type="dxa"/>
            <w:vAlign w:val="center"/>
          </w:tcPr>
          <w:p w14:paraId="151B56D1">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B2.1</w:t>
            </w:r>
          </w:p>
        </w:tc>
      </w:tr>
      <w:tr w14:paraId="194C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9" w:type="dxa"/>
            <w:gridSpan w:val="2"/>
            <w:vAlign w:val="center"/>
          </w:tcPr>
          <w:p w14:paraId="4CCC4988">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技术职称等级</w:t>
            </w:r>
          </w:p>
        </w:tc>
        <w:tc>
          <w:tcPr>
            <w:tcW w:w="4012" w:type="dxa"/>
            <w:gridSpan w:val="6"/>
            <w:vAlign w:val="center"/>
          </w:tcPr>
          <w:p w14:paraId="1E98461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□高级工程师</w:t>
            </w:r>
            <w:r>
              <w:rPr>
                <w:rFonts w:ascii="宋体" w:hAnsi="宋体" w:cs="宋体"/>
                <w:color w:val="auto"/>
                <w:kern w:val="0"/>
                <w:sz w:val="18"/>
                <w:szCs w:val="18"/>
                <w:highlight w:val="none"/>
              </w:rPr>
              <w:t xml:space="preserve">  </w:t>
            </w:r>
          </w:p>
          <w:p w14:paraId="05FCC68C">
            <w:pPr>
              <w:widowControl/>
              <w:spacing w:line="240" w:lineRule="exact"/>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□正（教授级或研究员级）高级工程师</w:t>
            </w:r>
          </w:p>
        </w:tc>
        <w:tc>
          <w:tcPr>
            <w:tcW w:w="826" w:type="dxa"/>
            <w:gridSpan w:val="2"/>
            <w:vAlign w:val="center"/>
          </w:tcPr>
          <w:p w14:paraId="2155A669">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w:t>
            </w:r>
          </w:p>
        </w:tc>
        <w:tc>
          <w:tcPr>
            <w:tcW w:w="2079" w:type="dxa"/>
            <w:gridSpan w:val="3"/>
            <w:vAlign w:val="center"/>
          </w:tcPr>
          <w:p w14:paraId="0D522D1E">
            <w:pPr>
              <w:widowControl/>
              <w:spacing w:line="240" w:lineRule="exact"/>
              <w:jc w:val="center"/>
              <w:rPr>
                <w:rFonts w:ascii="宋体" w:hAnsi="宋体" w:cs="宋体"/>
                <w:bCs/>
                <w:color w:val="auto"/>
                <w:kern w:val="0"/>
                <w:sz w:val="18"/>
                <w:szCs w:val="18"/>
                <w:highlight w:val="none"/>
              </w:rPr>
            </w:pPr>
          </w:p>
        </w:tc>
        <w:tc>
          <w:tcPr>
            <w:tcW w:w="1385" w:type="dxa"/>
            <w:gridSpan w:val="3"/>
            <w:vAlign w:val="center"/>
          </w:tcPr>
          <w:p w14:paraId="03D0E81B">
            <w:pPr>
              <w:widowControl/>
              <w:spacing w:line="24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521" w:type="dxa"/>
            <w:gridSpan w:val="4"/>
            <w:vAlign w:val="center"/>
          </w:tcPr>
          <w:p w14:paraId="155D43A1">
            <w:pPr>
              <w:widowControl/>
              <w:spacing w:line="240" w:lineRule="exact"/>
              <w:jc w:val="center"/>
              <w:rPr>
                <w:rFonts w:ascii="宋体" w:hAnsi="宋体" w:cs="宋体"/>
                <w:bCs/>
                <w:color w:val="auto"/>
                <w:kern w:val="0"/>
                <w:sz w:val="18"/>
                <w:szCs w:val="18"/>
                <w:highlight w:val="none"/>
              </w:rPr>
            </w:pPr>
          </w:p>
        </w:tc>
        <w:tc>
          <w:tcPr>
            <w:tcW w:w="1347" w:type="dxa"/>
            <w:vAlign w:val="center"/>
          </w:tcPr>
          <w:p w14:paraId="40E52F90">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B2.2</w:t>
            </w:r>
          </w:p>
        </w:tc>
      </w:tr>
      <w:tr w14:paraId="100F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9" w:type="dxa"/>
            <w:gridSpan w:val="2"/>
            <w:vAlign w:val="center"/>
          </w:tcPr>
          <w:p w14:paraId="2EE668DB">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执业资格证书等级</w:t>
            </w:r>
          </w:p>
        </w:tc>
        <w:tc>
          <w:tcPr>
            <w:tcW w:w="4012" w:type="dxa"/>
            <w:gridSpan w:val="6"/>
            <w:vAlign w:val="center"/>
          </w:tcPr>
          <w:p w14:paraId="6BE82E09">
            <w:pPr>
              <w:widowControl/>
              <w:spacing w:line="240" w:lineRule="exact"/>
              <w:jc w:val="both"/>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□一级注册建造师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□二级注册建造师</w:t>
            </w:r>
          </w:p>
        </w:tc>
        <w:tc>
          <w:tcPr>
            <w:tcW w:w="826" w:type="dxa"/>
            <w:gridSpan w:val="2"/>
            <w:vAlign w:val="center"/>
          </w:tcPr>
          <w:p w14:paraId="304639E7">
            <w:pPr>
              <w:widowControl/>
              <w:spacing w:line="24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专业</w:t>
            </w:r>
          </w:p>
        </w:tc>
        <w:tc>
          <w:tcPr>
            <w:tcW w:w="2079" w:type="dxa"/>
            <w:gridSpan w:val="3"/>
            <w:vAlign w:val="center"/>
          </w:tcPr>
          <w:p w14:paraId="33328B18">
            <w:pPr>
              <w:widowControl/>
              <w:spacing w:line="240" w:lineRule="exact"/>
              <w:jc w:val="center"/>
              <w:rPr>
                <w:rFonts w:ascii="宋体" w:hAnsi="宋体" w:cs="宋体"/>
                <w:bCs/>
                <w:color w:val="auto"/>
                <w:kern w:val="0"/>
                <w:sz w:val="18"/>
                <w:szCs w:val="18"/>
                <w:highlight w:val="none"/>
              </w:rPr>
            </w:pPr>
          </w:p>
        </w:tc>
        <w:tc>
          <w:tcPr>
            <w:tcW w:w="1385" w:type="dxa"/>
            <w:gridSpan w:val="3"/>
            <w:vAlign w:val="center"/>
          </w:tcPr>
          <w:p w14:paraId="3E5673D5">
            <w:pPr>
              <w:widowControl/>
              <w:spacing w:line="24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521" w:type="dxa"/>
            <w:gridSpan w:val="4"/>
            <w:vAlign w:val="center"/>
          </w:tcPr>
          <w:p w14:paraId="4BF5A535">
            <w:pPr>
              <w:widowControl/>
              <w:spacing w:line="240" w:lineRule="exact"/>
              <w:jc w:val="center"/>
              <w:rPr>
                <w:rFonts w:ascii="宋体" w:hAnsi="宋体" w:cs="宋体"/>
                <w:bCs/>
                <w:color w:val="auto"/>
                <w:kern w:val="0"/>
                <w:sz w:val="18"/>
                <w:szCs w:val="18"/>
                <w:highlight w:val="none"/>
              </w:rPr>
            </w:pPr>
          </w:p>
        </w:tc>
        <w:tc>
          <w:tcPr>
            <w:tcW w:w="1347" w:type="dxa"/>
            <w:vAlign w:val="center"/>
          </w:tcPr>
          <w:p w14:paraId="47D28D64">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B2.3</w:t>
            </w:r>
          </w:p>
        </w:tc>
      </w:tr>
      <w:tr w14:paraId="1818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9" w:type="dxa"/>
            <w:gridSpan w:val="2"/>
            <w:vAlign w:val="center"/>
          </w:tcPr>
          <w:p w14:paraId="64B5E328">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安全生产考核合格证</w:t>
            </w:r>
          </w:p>
        </w:tc>
        <w:tc>
          <w:tcPr>
            <w:tcW w:w="4012" w:type="dxa"/>
            <w:gridSpan w:val="6"/>
            <w:vAlign w:val="center"/>
          </w:tcPr>
          <w:p w14:paraId="1E7458A7">
            <w:pPr>
              <w:widowControl/>
              <w:spacing w:line="24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□交安</w:t>
            </w:r>
            <w:r>
              <w:rPr>
                <w:rFonts w:ascii="宋体" w:hAnsi="宋体" w:cs="宋体"/>
                <w:color w:val="auto"/>
                <w:kern w:val="0"/>
                <w:sz w:val="18"/>
                <w:szCs w:val="18"/>
                <w:highlight w:val="none"/>
              </w:rPr>
              <w:t xml:space="preserve">          　</w:t>
            </w:r>
          </w:p>
        </w:tc>
        <w:tc>
          <w:tcPr>
            <w:tcW w:w="826" w:type="dxa"/>
            <w:gridSpan w:val="2"/>
            <w:vAlign w:val="center"/>
          </w:tcPr>
          <w:p w14:paraId="24D5E8F1">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类别</w:t>
            </w:r>
          </w:p>
        </w:tc>
        <w:tc>
          <w:tcPr>
            <w:tcW w:w="2079" w:type="dxa"/>
            <w:gridSpan w:val="3"/>
            <w:vAlign w:val="center"/>
          </w:tcPr>
          <w:p w14:paraId="35467F0F">
            <w:pPr>
              <w:widowControl/>
              <w:spacing w:line="240" w:lineRule="exact"/>
              <w:jc w:val="center"/>
              <w:rPr>
                <w:rFonts w:ascii="宋体" w:hAnsi="宋体" w:cs="宋体"/>
                <w:bCs/>
                <w:color w:val="auto"/>
                <w:kern w:val="0"/>
                <w:sz w:val="18"/>
                <w:szCs w:val="18"/>
                <w:highlight w:val="none"/>
                <w:u w:val="single"/>
              </w:rPr>
            </w:pP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B类</w:t>
            </w:r>
          </w:p>
        </w:tc>
        <w:tc>
          <w:tcPr>
            <w:tcW w:w="1385" w:type="dxa"/>
            <w:gridSpan w:val="3"/>
            <w:vAlign w:val="center"/>
          </w:tcPr>
          <w:p w14:paraId="5DB1C35E">
            <w:pPr>
              <w:widowControl/>
              <w:spacing w:line="240" w:lineRule="exact"/>
              <w:jc w:val="center"/>
              <w:rPr>
                <w:rFonts w:ascii="宋体" w:hAnsi="宋体" w:cs="宋体"/>
                <w:bCs/>
                <w:color w:val="auto"/>
                <w:kern w:val="0"/>
                <w:sz w:val="18"/>
                <w:szCs w:val="18"/>
                <w:highlight w:val="none"/>
                <w:u w:val="single"/>
              </w:rPr>
            </w:pPr>
            <w:r>
              <w:rPr>
                <w:rFonts w:hint="eastAsia" w:ascii="宋体" w:hAnsi="宋体" w:cs="宋体"/>
                <w:color w:val="auto"/>
                <w:kern w:val="0"/>
                <w:sz w:val="18"/>
                <w:szCs w:val="18"/>
                <w:highlight w:val="none"/>
              </w:rPr>
              <w:t>证书编号</w:t>
            </w:r>
          </w:p>
        </w:tc>
        <w:tc>
          <w:tcPr>
            <w:tcW w:w="2521" w:type="dxa"/>
            <w:gridSpan w:val="4"/>
            <w:vAlign w:val="center"/>
          </w:tcPr>
          <w:p w14:paraId="778A2E11">
            <w:pPr>
              <w:widowControl/>
              <w:spacing w:line="240" w:lineRule="exact"/>
              <w:jc w:val="center"/>
              <w:rPr>
                <w:rFonts w:ascii="宋体" w:hAnsi="宋体" w:cs="宋体"/>
                <w:bCs/>
                <w:color w:val="auto"/>
                <w:kern w:val="0"/>
                <w:sz w:val="18"/>
                <w:szCs w:val="18"/>
                <w:highlight w:val="none"/>
                <w:u w:val="single"/>
              </w:rPr>
            </w:pPr>
          </w:p>
        </w:tc>
        <w:tc>
          <w:tcPr>
            <w:tcW w:w="1347" w:type="dxa"/>
            <w:vAlign w:val="center"/>
          </w:tcPr>
          <w:p w14:paraId="55976746">
            <w:pPr>
              <w:widowControl/>
              <w:spacing w:line="240" w:lineRule="exact"/>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B2.4</w:t>
            </w:r>
          </w:p>
        </w:tc>
      </w:tr>
      <w:tr w14:paraId="5DCA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9" w:type="dxa"/>
            <w:gridSpan w:val="2"/>
            <w:vAlign w:val="center"/>
          </w:tcPr>
          <w:p w14:paraId="72846756">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是否要求提供社保资料</w:t>
            </w:r>
          </w:p>
        </w:tc>
        <w:tc>
          <w:tcPr>
            <w:tcW w:w="4012" w:type="dxa"/>
            <w:gridSpan w:val="6"/>
            <w:vAlign w:val="center"/>
          </w:tcPr>
          <w:p w14:paraId="6607D111">
            <w:pPr>
              <w:widowControl/>
              <w:spacing w:line="24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□否</w:t>
            </w:r>
          </w:p>
        </w:tc>
        <w:tc>
          <w:tcPr>
            <w:tcW w:w="2905" w:type="dxa"/>
            <w:gridSpan w:val="5"/>
            <w:vAlign w:val="center"/>
          </w:tcPr>
          <w:p w14:paraId="0BE99E5C">
            <w:pPr>
              <w:widowControl/>
              <w:spacing w:line="240" w:lineRule="exact"/>
              <w:jc w:val="center"/>
              <w:rPr>
                <w:rFonts w:ascii="宋体" w:hAnsi="宋体" w:cs="宋体"/>
                <w:bCs/>
                <w:color w:val="auto"/>
                <w:kern w:val="0"/>
                <w:sz w:val="18"/>
                <w:szCs w:val="18"/>
                <w:highlight w:val="none"/>
                <w:u w:val="single"/>
              </w:rPr>
            </w:pPr>
            <w:r>
              <w:rPr>
                <w:rFonts w:hint="eastAsia" w:ascii="宋体" w:hAnsi="宋体" w:cs="宋体"/>
                <w:bCs/>
                <w:color w:val="auto"/>
                <w:kern w:val="0"/>
                <w:sz w:val="18"/>
                <w:szCs w:val="18"/>
                <w:highlight w:val="none"/>
              </w:rPr>
              <w:t>提供社保时间段</w:t>
            </w:r>
          </w:p>
        </w:tc>
        <w:tc>
          <w:tcPr>
            <w:tcW w:w="3906" w:type="dxa"/>
            <w:gridSpan w:val="7"/>
            <w:vAlign w:val="center"/>
          </w:tcPr>
          <w:p w14:paraId="36D2BCB1">
            <w:pPr>
              <w:widowControl/>
              <w:spacing w:line="240" w:lineRule="exact"/>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r>
              <w:rPr>
                <w:rFonts w:ascii="宋体" w:hAnsi="宋体" w:cs="宋体"/>
                <w:bCs/>
                <w:color w:val="auto"/>
                <w:kern w:val="0"/>
                <w:sz w:val="18"/>
                <w:szCs w:val="18"/>
                <w:highlight w:val="none"/>
              </w:rPr>
              <w:t xml:space="preserve"> </w:t>
            </w:r>
            <w:r>
              <w:rPr>
                <w:rFonts w:hint="eastAsia" w:ascii="宋体" w:hAnsi="宋体" w:cs="宋体"/>
                <w:bCs/>
                <w:color w:val="auto"/>
                <w:kern w:val="0"/>
                <w:sz w:val="18"/>
                <w:szCs w:val="18"/>
                <w:highlight w:val="none"/>
              </w:rPr>
              <w:t>～</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p>
        </w:tc>
        <w:tc>
          <w:tcPr>
            <w:tcW w:w="1347" w:type="dxa"/>
            <w:vAlign w:val="center"/>
          </w:tcPr>
          <w:p w14:paraId="0BADFB0B">
            <w:pPr>
              <w:widowControl/>
              <w:spacing w:line="24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B2.5</w:t>
            </w:r>
          </w:p>
        </w:tc>
      </w:tr>
      <w:tr w14:paraId="1E15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9" w:type="dxa"/>
            <w:gridSpan w:val="2"/>
            <w:vAlign w:val="center"/>
          </w:tcPr>
          <w:p w14:paraId="33412FE3">
            <w:pPr>
              <w:widowControl/>
              <w:spacing w:line="24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是否在岗</w:t>
            </w:r>
          </w:p>
        </w:tc>
        <w:tc>
          <w:tcPr>
            <w:tcW w:w="10823" w:type="dxa"/>
            <w:gridSpan w:val="18"/>
            <w:vAlign w:val="center"/>
          </w:tcPr>
          <w:p w14:paraId="0387BE15">
            <w:pPr>
              <w:widowControl/>
              <w:spacing w:line="240" w:lineRule="exact"/>
              <w:jc w:val="center"/>
              <w:rPr>
                <w:rFonts w:ascii="宋体" w:hAnsi="宋体" w:cs="宋体"/>
                <w:bCs/>
                <w:color w:val="auto"/>
                <w:kern w:val="0"/>
                <w:sz w:val="18"/>
                <w:szCs w:val="18"/>
                <w:highlight w:val="none"/>
                <w:u w:val="single"/>
              </w:rPr>
            </w:pPr>
            <w:r>
              <w:rPr>
                <w:rFonts w:hint="eastAsia" w:ascii="宋体" w:hAnsi="宋体" w:cs="宋体"/>
                <w:color w:val="auto"/>
                <w:kern w:val="0"/>
                <w:sz w:val="18"/>
                <w:szCs w:val="18"/>
                <w:highlight w:val="none"/>
              </w:rPr>
              <w:t>□是</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□否</w:t>
            </w:r>
          </w:p>
        </w:tc>
        <w:tc>
          <w:tcPr>
            <w:tcW w:w="1347" w:type="dxa"/>
            <w:vAlign w:val="center"/>
          </w:tcPr>
          <w:p w14:paraId="0A8D82B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承诺</w:t>
            </w:r>
            <w:r>
              <w:rPr>
                <w:rFonts w:ascii="宋体" w:hAnsi="宋体" w:cs="宋体"/>
                <w:color w:val="auto"/>
                <w:kern w:val="0"/>
                <w:sz w:val="18"/>
                <w:szCs w:val="18"/>
                <w:highlight w:val="none"/>
              </w:rPr>
              <w:t>见投标函</w:t>
            </w:r>
          </w:p>
        </w:tc>
      </w:tr>
      <w:tr w14:paraId="7751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92" w:type="dxa"/>
            <w:gridSpan w:val="20"/>
            <w:vAlign w:val="center"/>
          </w:tcPr>
          <w:p w14:paraId="1243BD6F">
            <w:pP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w:t>
            </w:r>
            <w:r>
              <w:rPr>
                <w:rFonts w:hint="eastAsia" w:ascii="宋体" w:hAnsi="宋体" w:cs="宋体"/>
                <w:bCs/>
                <w:color w:val="auto"/>
                <w:kern w:val="0"/>
                <w:sz w:val="18"/>
                <w:szCs w:val="18"/>
                <w:highlight w:val="none"/>
              </w:rPr>
              <w:t>担任相应职务完成业绩情况</w:t>
            </w:r>
          </w:p>
        </w:tc>
        <w:tc>
          <w:tcPr>
            <w:tcW w:w="1347" w:type="dxa"/>
            <w:vMerge w:val="restart"/>
            <w:vAlign w:val="center"/>
          </w:tcPr>
          <w:p w14:paraId="465385D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业绩情况</w:t>
            </w:r>
          </w:p>
          <w:p w14:paraId="7F89B15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p>
        </w:tc>
      </w:tr>
      <w:tr w14:paraId="1646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 w:type="dxa"/>
            <w:vAlign w:val="center"/>
          </w:tcPr>
          <w:p w14:paraId="25A9D896">
            <w:pPr>
              <w:widowControl/>
              <w:spacing w:line="240" w:lineRule="exact"/>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项目业主</w:t>
            </w:r>
          </w:p>
        </w:tc>
        <w:tc>
          <w:tcPr>
            <w:tcW w:w="1102" w:type="dxa"/>
            <w:vAlign w:val="center"/>
          </w:tcPr>
          <w:p w14:paraId="534C7544">
            <w:pPr>
              <w:spacing w:line="240" w:lineRule="exact"/>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项目名称</w:t>
            </w:r>
          </w:p>
        </w:tc>
        <w:tc>
          <w:tcPr>
            <w:tcW w:w="636" w:type="dxa"/>
            <w:vAlign w:val="center"/>
          </w:tcPr>
          <w:p w14:paraId="1919B2AD">
            <w:pPr>
              <w:spacing w:line="24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公路等级</w:t>
            </w:r>
          </w:p>
        </w:tc>
        <w:tc>
          <w:tcPr>
            <w:tcW w:w="976" w:type="dxa"/>
            <w:vAlign w:val="center"/>
          </w:tcPr>
          <w:p w14:paraId="58473CD1">
            <w:pPr>
              <w:spacing w:line="240" w:lineRule="exact"/>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lang w:val="en-US" w:eastAsia="zh-CN"/>
              </w:rPr>
              <w:t>项目建设形式</w:t>
            </w:r>
          </w:p>
        </w:tc>
        <w:tc>
          <w:tcPr>
            <w:tcW w:w="374" w:type="dxa"/>
            <w:vAlign w:val="center"/>
          </w:tcPr>
          <w:p w14:paraId="43826675">
            <w:pPr>
              <w:spacing w:line="240" w:lineRule="exact"/>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标段号</w:t>
            </w:r>
          </w:p>
        </w:tc>
        <w:tc>
          <w:tcPr>
            <w:tcW w:w="784" w:type="dxa"/>
            <w:vAlign w:val="center"/>
          </w:tcPr>
          <w:p w14:paraId="54FBF075">
            <w:pPr>
              <w:spacing w:line="240" w:lineRule="exact"/>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标段路线长度（</w:t>
            </w:r>
            <w:r>
              <w:rPr>
                <w:rFonts w:ascii="宋体" w:hAnsi="宋体" w:cs="宋体"/>
                <w:bCs/>
                <w:color w:val="auto"/>
                <w:kern w:val="0"/>
                <w:sz w:val="18"/>
                <w:szCs w:val="18"/>
                <w:highlight w:val="none"/>
              </w:rPr>
              <w:t>km）</w:t>
            </w:r>
          </w:p>
        </w:tc>
        <w:tc>
          <w:tcPr>
            <w:tcW w:w="954" w:type="dxa"/>
            <w:vAlign w:val="center"/>
          </w:tcPr>
          <w:p w14:paraId="361782C1">
            <w:pP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特大桥梁名称</w:t>
            </w:r>
            <w:r>
              <w:rPr>
                <w:rFonts w:ascii="宋体" w:hAnsi="宋体" w:cs="宋体"/>
                <w:bCs/>
                <w:color w:val="auto"/>
                <w:kern w:val="0"/>
                <w:sz w:val="18"/>
                <w:szCs w:val="18"/>
                <w:highlight w:val="none"/>
              </w:rPr>
              <w:t>/类型</w:t>
            </w:r>
          </w:p>
        </w:tc>
        <w:tc>
          <w:tcPr>
            <w:tcW w:w="760" w:type="dxa"/>
            <w:gridSpan w:val="2"/>
            <w:vAlign w:val="center"/>
          </w:tcPr>
          <w:p w14:paraId="44941C90">
            <w:pP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桥梁主跨跨径（</w:t>
            </w:r>
            <w:r>
              <w:rPr>
                <w:rFonts w:ascii="宋体" w:hAnsi="宋体" w:cs="宋体"/>
                <w:bCs/>
                <w:color w:val="auto"/>
                <w:kern w:val="0"/>
                <w:sz w:val="18"/>
                <w:szCs w:val="18"/>
                <w:highlight w:val="none"/>
              </w:rPr>
              <w:t>m）</w:t>
            </w:r>
          </w:p>
        </w:tc>
        <w:tc>
          <w:tcPr>
            <w:tcW w:w="761" w:type="dxa"/>
            <w:gridSpan w:val="2"/>
            <w:vAlign w:val="center"/>
          </w:tcPr>
          <w:p w14:paraId="3696CE1B">
            <w:pP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隧道名称</w:t>
            </w:r>
          </w:p>
        </w:tc>
        <w:tc>
          <w:tcPr>
            <w:tcW w:w="886" w:type="dxa"/>
            <w:vAlign w:val="center"/>
          </w:tcPr>
          <w:p w14:paraId="3ECC0E57">
            <w:pP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隧道单洞长度（</w:t>
            </w:r>
            <w:r>
              <w:rPr>
                <w:rFonts w:ascii="宋体" w:hAnsi="宋体" w:cs="宋体"/>
                <w:bCs/>
                <w:color w:val="auto"/>
                <w:kern w:val="0"/>
                <w:sz w:val="18"/>
                <w:szCs w:val="18"/>
                <w:highlight w:val="none"/>
              </w:rPr>
              <w:t>m）</w:t>
            </w:r>
          </w:p>
        </w:tc>
        <w:tc>
          <w:tcPr>
            <w:tcW w:w="840" w:type="dxa"/>
            <w:gridSpan w:val="2"/>
            <w:vAlign w:val="center"/>
          </w:tcPr>
          <w:p w14:paraId="42784264">
            <w:pP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路面结构形式</w:t>
            </w:r>
          </w:p>
        </w:tc>
        <w:tc>
          <w:tcPr>
            <w:tcW w:w="861" w:type="dxa"/>
            <w:vAlign w:val="center"/>
          </w:tcPr>
          <w:p w14:paraId="664D781B">
            <w:pP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交安设施类型</w:t>
            </w:r>
          </w:p>
        </w:tc>
        <w:tc>
          <w:tcPr>
            <w:tcW w:w="885" w:type="dxa"/>
            <w:gridSpan w:val="2"/>
            <w:vAlign w:val="center"/>
          </w:tcPr>
          <w:p w14:paraId="66C7F6E4">
            <w:pPr>
              <w:spacing w:line="24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lang w:val="en-US" w:eastAsia="zh-CN"/>
              </w:rPr>
              <w:t>隧道机电类型</w:t>
            </w:r>
          </w:p>
        </w:tc>
        <w:tc>
          <w:tcPr>
            <w:tcW w:w="809" w:type="dxa"/>
            <w:vAlign w:val="center"/>
          </w:tcPr>
          <w:p w14:paraId="03B40EF7">
            <w:pPr>
              <w:spacing w:line="24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lang w:val="en-US" w:eastAsia="zh-CN"/>
              </w:rPr>
              <w:t>房建工程</w:t>
            </w:r>
          </w:p>
        </w:tc>
        <w:tc>
          <w:tcPr>
            <w:tcW w:w="798" w:type="dxa"/>
            <w:vAlign w:val="center"/>
          </w:tcPr>
          <w:p w14:paraId="4BDA7E40">
            <w:pP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其他工程</w:t>
            </w:r>
          </w:p>
        </w:tc>
        <w:tc>
          <w:tcPr>
            <w:tcW w:w="499" w:type="dxa"/>
            <w:vAlign w:val="center"/>
          </w:tcPr>
          <w:p w14:paraId="3E337BDC">
            <w:pPr>
              <w:spacing w:line="240" w:lineRule="exact"/>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职务</w:t>
            </w:r>
          </w:p>
        </w:tc>
        <w:tc>
          <w:tcPr>
            <w:tcW w:w="1347" w:type="dxa"/>
            <w:vMerge w:val="continue"/>
            <w:vAlign w:val="center"/>
          </w:tcPr>
          <w:p w14:paraId="4EE1FD99">
            <w:pPr>
              <w:widowControl/>
              <w:spacing w:line="240" w:lineRule="exact"/>
              <w:jc w:val="center"/>
              <w:rPr>
                <w:rFonts w:ascii="宋体" w:hAnsi="宋体" w:cs="宋体"/>
                <w:color w:val="auto"/>
                <w:kern w:val="0"/>
                <w:sz w:val="18"/>
                <w:szCs w:val="18"/>
                <w:highlight w:val="none"/>
              </w:rPr>
            </w:pPr>
          </w:p>
        </w:tc>
      </w:tr>
      <w:tr w14:paraId="69FF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 w:type="dxa"/>
            <w:vAlign w:val="center"/>
          </w:tcPr>
          <w:p w14:paraId="14286C7D">
            <w:pPr>
              <w:widowControl/>
              <w:spacing w:line="240" w:lineRule="exact"/>
              <w:jc w:val="center"/>
              <w:rPr>
                <w:rFonts w:ascii="宋体" w:hAnsi="宋体" w:cs="宋体"/>
                <w:color w:val="auto"/>
                <w:kern w:val="0"/>
                <w:sz w:val="18"/>
                <w:szCs w:val="18"/>
                <w:highlight w:val="none"/>
              </w:rPr>
            </w:pPr>
          </w:p>
        </w:tc>
        <w:tc>
          <w:tcPr>
            <w:tcW w:w="1102" w:type="dxa"/>
            <w:vAlign w:val="center"/>
          </w:tcPr>
          <w:p w14:paraId="3140A3E2">
            <w:pPr>
              <w:spacing w:line="240" w:lineRule="exact"/>
              <w:jc w:val="center"/>
              <w:rPr>
                <w:rFonts w:ascii="宋体" w:hAnsi="宋体" w:cs="宋体"/>
                <w:color w:val="auto"/>
                <w:kern w:val="0"/>
                <w:sz w:val="18"/>
                <w:szCs w:val="18"/>
                <w:highlight w:val="none"/>
              </w:rPr>
            </w:pPr>
          </w:p>
        </w:tc>
        <w:tc>
          <w:tcPr>
            <w:tcW w:w="636" w:type="dxa"/>
            <w:vAlign w:val="center"/>
          </w:tcPr>
          <w:p w14:paraId="3C818F72">
            <w:pPr>
              <w:spacing w:line="240" w:lineRule="exact"/>
              <w:jc w:val="center"/>
              <w:rPr>
                <w:rFonts w:ascii="宋体" w:hAnsi="宋体" w:cs="宋体"/>
                <w:color w:val="auto"/>
                <w:kern w:val="0"/>
                <w:sz w:val="18"/>
                <w:szCs w:val="18"/>
                <w:highlight w:val="none"/>
              </w:rPr>
            </w:pPr>
          </w:p>
        </w:tc>
        <w:tc>
          <w:tcPr>
            <w:tcW w:w="976" w:type="dxa"/>
            <w:vAlign w:val="center"/>
          </w:tcPr>
          <w:p w14:paraId="64DCF81B">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□新建</w:t>
            </w:r>
          </w:p>
          <w:p w14:paraId="554BC470">
            <w:pPr>
              <w:spacing w:line="240" w:lineRule="exact"/>
              <w:jc w:val="left"/>
              <w:rPr>
                <w:rFonts w:cs="Times New Roman" w:asciiTheme="minorEastAsia" w:hAnsiTheme="minorEastAsia" w:eastAsiaTheme="minorEastAsia"/>
                <w:color w:val="auto"/>
                <w:kern w:val="2"/>
                <w:sz w:val="18"/>
                <w:szCs w:val="18"/>
                <w:highlight w:val="none"/>
                <w:lang w:val="en-US" w:eastAsia="zh-CN" w:bidi="ar-SA"/>
              </w:rPr>
            </w:pPr>
            <w:r>
              <w:rPr>
                <w:rFonts w:hint="eastAsia" w:ascii="宋体" w:hAnsi="宋体"/>
                <w:color w:val="auto"/>
                <w:sz w:val="18"/>
                <w:szCs w:val="18"/>
                <w:highlight w:val="none"/>
              </w:rPr>
              <w:t>□改扩建</w:t>
            </w:r>
          </w:p>
        </w:tc>
        <w:tc>
          <w:tcPr>
            <w:tcW w:w="374" w:type="dxa"/>
            <w:vAlign w:val="center"/>
          </w:tcPr>
          <w:p w14:paraId="78F56EF1">
            <w:pPr>
              <w:spacing w:line="240" w:lineRule="exact"/>
              <w:jc w:val="center"/>
              <w:rPr>
                <w:rFonts w:ascii="宋体" w:hAnsi="宋体" w:cs="宋体"/>
                <w:color w:val="auto"/>
                <w:kern w:val="0"/>
                <w:sz w:val="18"/>
                <w:szCs w:val="18"/>
                <w:highlight w:val="none"/>
              </w:rPr>
            </w:pPr>
          </w:p>
        </w:tc>
        <w:tc>
          <w:tcPr>
            <w:tcW w:w="784" w:type="dxa"/>
            <w:vAlign w:val="center"/>
          </w:tcPr>
          <w:p w14:paraId="79D6CED6">
            <w:pPr>
              <w:spacing w:line="240" w:lineRule="exact"/>
              <w:jc w:val="center"/>
              <w:rPr>
                <w:rFonts w:ascii="宋体" w:hAnsi="宋体" w:cs="宋体"/>
                <w:color w:val="auto"/>
                <w:kern w:val="0"/>
                <w:sz w:val="18"/>
                <w:szCs w:val="18"/>
                <w:highlight w:val="none"/>
              </w:rPr>
            </w:pPr>
          </w:p>
        </w:tc>
        <w:tc>
          <w:tcPr>
            <w:tcW w:w="954" w:type="dxa"/>
            <w:vAlign w:val="center"/>
          </w:tcPr>
          <w:p w14:paraId="3A588F53">
            <w:pPr>
              <w:spacing w:line="240" w:lineRule="exact"/>
              <w:jc w:val="center"/>
              <w:rPr>
                <w:rFonts w:ascii="宋体" w:hAnsi="宋体" w:cs="宋体"/>
                <w:color w:val="auto"/>
                <w:kern w:val="0"/>
                <w:sz w:val="18"/>
                <w:szCs w:val="18"/>
                <w:highlight w:val="none"/>
              </w:rPr>
            </w:pPr>
          </w:p>
        </w:tc>
        <w:tc>
          <w:tcPr>
            <w:tcW w:w="760" w:type="dxa"/>
            <w:gridSpan w:val="2"/>
            <w:vAlign w:val="center"/>
          </w:tcPr>
          <w:p w14:paraId="01119EE0">
            <w:pPr>
              <w:spacing w:line="240" w:lineRule="exact"/>
              <w:jc w:val="center"/>
              <w:rPr>
                <w:rFonts w:ascii="宋体" w:hAnsi="宋体" w:cs="宋体"/>
                <w:color w:val="auto"/>
                <w:kern w:val="0"/>
                <w:sz w:val="18"/>
                <w:szCs w:val="18"/>
                <w:highlight w:val="none"/>
              </w:rPr>
            </w:pPr>
          </w:p>
        </w:tc>
        <w:tc>
          <w:tcPr>
            <w:tcW w:w="761" w:type="dxa"/>
            <w:gridSpan w:val="2"/>
            <w:vAlign w:val="center"/>
          </w:tcPr>
          <w:p w14:paraId="0C480B9E">
            <w:pPr>
              <w:spacing w:line="240" w:lineRule="exact"/>
              <w:jc w:val="center"/>
              <w:rPr>
                <w:rFonts w:ascii="宋体" w:hAnsi="宋体" w:cs="宋体"/>
                <w:color w:val="auto"/>
                <w:kern w:val="0"/>
                <w:sz w:val="18"/>
                <w:szCs w:val="18"/>
                <w:highlight w:val="none"/>
              </w:rPr>
            </w:pPr>
          </w:p>
        </w:tc>
        <w:tc>
          <w:tcPr>
            <w:tcW w:w="886" w:type="dxa"/>
            <w:vAlign w:val="center"/>
          </w:tcPr>
          <w:p w14:paraId="6091852D">
            <w:pPr>
              <w:spacing w:line="240" w:lineRule="exact"/>
              <w:jc w:val="center"/>
              <w:rPr>
                <w:rFonts w:ascii="宋体" w:hAnsi="宋体" w:cs="宋体"/>
                <w:color w:val="auto"/>
                <w:kern w:val="0"/>
                <w:sz w:val="18"/>
                <w:szCs w:val="18"/>
                <w:highlight w:val="none"/>
              </w:rPr>
            </w:pPr>
          </w:p>
        </w:tc>
        <w:tc>
          <w:tcPr>
            <w:tcW w:w="840" w:type="dxa"/>
            <w:gridSpan w:val="2"/>
            <w:vAlign w:val="center"/>
          </w:tcPr>
          <w:p w14:paraId="41C95106">
            <w:pPr>
              <w:spacing w:line="240" w:lineRule="exact"/>
              <w:jc w:val="center"/>
              <w:rPr>
                <w:rFonts w:ascii="宋体" w:hAnsi="宋体" w:cs="宋体"/>
                <w:color w:val="auto"/>
                <w:kern w:val="0"/>
                <w:sz w:val="18"/>
                <w:szCs w:val="18"/>
                <w:highlight w:val="none"/>
              </w:rPr>
            </w:pPr>
          </w:p>
        </w:tc>
        <w:tc>
          <w:tcPr>
            <w:tcW w:w="861" w:type="dxa"/>
            <w:vAlign w:val="center"/>
          </w:tcPr>
          <w:p w14:paraId="55C1B33A">
            <w:pPr>
              <w:spacing w:line="240" w:lineRule="exact"/>
              <w:jc w:val="center"/>
              <w:rPr>
                <w:rFonts w:ascii="宋体" w:hAnsi="宋体" w:cs="宋体"/>
                <w:color w:val="auto"/>
                <w:kern w:val="0"/>
                <w:sz w:val="18"/>
                <w:szCs w:val="18"/>
                <w:highlight w:val="none"/>
              </w:rPr>
            </w:pPr>
          </w:p>
        </w:tc>
        <w:tc>
          <w:tcPr>
            <w:tcW w:w="885" w:type="dxa"/>
            <w:gridSpan w:val="2"/>
          </w:tcPr>
          <w:p w14:paraId="6AD0BECF">
            <w:pPr>
              <w:spacing w:line="240" w:lineRule="exact"/>
              <w:jc w:val="center"/>
              <w:rPr>
                <w:rFonts w:ascii="宋体" w:hAnsi="宋体" w:cs="宋体"/>
                <w:color w:val="auto"/>
                <w:kern w:val="0"/>
                <w:sz w:val="18"/>
                <w:szCs w:val="18"/>
                <w:highlight w:val="none"/>
              </w:rPr>
            </w:pPr>
          </w:p>
        </w:tc>
        <w:tc>
          <w:tcPr>
            <w:tcW w:w="809" w:type="dxa"/>
            <w:vAlign w:val="center"/>
          </w:tcPr>
          <w:p w14:paraId="03069003">
            <w:pPr>
              <w:spacing w:line="240" w:lineRule="exact"/>
              <w:jc w:val="center"/>
              <w:rPr>
                <w:rFonts w:ascii="宋体" w:hAnsi="宋体" w:cs="宋体"/>
                <w:color w:val="auto"/>
                <w:kern w:val="0"/>
                <w:sz w:val="18"/>
                <w:szCs w:val="18"/>
                <w:highlight w:val="none"/>
              </w:rPr>
            </w:pPr>
          </w:p>
        </w:tc>
        <w:tc>
          <w:tcPr>
            <w:tcW w:w="798" w:type="dxa"/>
            <w:vAlign w:val="center"/>
          </w:tcPr>
          <w:p w14:paraId="68782A99">
            <w:pPr>
              <w:spacing w:line="240" w:lineRule="exact"/>
              <w:jc w:val="center"/>
              <w:rPr>
                <w:rFonts w:ascii="宋体" w:hAnsi="宋体" w:cs="宋体"/>
                <w:color w:val="auto"/>
                <w:kern w:val="0"/>
                <w:sz w:val="18"/>
                <w:szCs w:val="18"/>
                <w:highlight w:val="none"/>
              </w:rPr>
            </w:pPr>
          </w:p>
        </w:tc>
        <w:tc>
          <w:tcPr>
            <w:tcW w:w="499" w:type="dxa"/>
            <w:vAlign w:val="center"/>
          </w:tcPr>
          <w:p w14:paraId="12E8BDBA">
            <w:pPr>
              <w:spacing w:line="240" w:lineRule="exact"/>
              <w:jc w:val="center"/>
              <w:rPr>
                <w:rFonts w:ascii="宋体" w:hAnsi="宋体" w:cs="宋体"/>
                <w:color w:val="auto"/>
                <w:kern w:val="0"/>
                <w:sz w:val="18"/>
                <w:szCs w:val="18"/>
                <w:highlight w:val="none"/>
              </w:rPr>
            </w:pPr>
          </w:p>
        </w:tc>
        <w:tc>
          <w:tcPr>
            <w:tcW w:w="1347" w:type="dxa"/>
            <w:vAlign w:val="center"/>
          </w:tcPr>
          <w:p w14:paraId="03534EE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B2.6-1</w:t>
            </w:r>
          </w:p>
        </w:tc>
      </w:tr>
      <w:tr w14:paraId="33F2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 w:type="dxa"/>
            <w:vAlign w:val="center"/>
          </w:tcPr>
          <w:p w14:paraId="27728CCB">
            <w:pPr>
              <w:widowControl/>
              <w:spacing w:line="240" w:lineRule="exact"/>
              <w:jc w:val="center"/>
              <w:rPr>
                <w:rFonts w:ascii="宋体" w:hAnsi="宋体" w:cs="宋体"/>
                <w:color w:val="auto"/>
                <w:kern w:val="0"/>
                <w:sz w:val="18"/>
                <w:szCs w:val="18"/>
                <w:highlight w:val="none"/>
              </w:rPr>
            </w:pPr>
          </w:p>
        </w:tc>
        <w:tc>
          <w:tcPr>
            <w:tcW w:w="1102" w:type="dxa"/>
            <w:vAlign w:val="center"/>
          </w:tcPr>
          <w:p w14:paraId="68ADA0F8">
            <w:pPr>
              <w:spacing w:line="240" w:lineRule="exact"/>
              <w:jc w:val="center"/>
              <w:rPr>
                <w:rFonts w:ascii="宋体" w:hAnsi="宋体" w:cs="宋体"/>
                <w:color w:val="auto"/>
                <w:kern w:val="0"/>
                <w:sz w:val="18"/>
                <w:szCs w:val="18"/>
                <w:highlight w:val="none"/>
              </w:rPr>
            </w:pPr>
          </w:p>
        </w:tc>
        <w:tc>
          <w:tcPr>
            <w:tcW w:w="636" w:type="dxa"/>
            <w:vAlign w:val="center"/>
          </w:tcPr>
          <w:p w14:paraId="79A42B8D">
            <w:pPr>
              <w:spacing w:line="240" w:lineRule="exact"/>
              <w:jc w:val="center"/>
              <w:rPr>
                <w:rFonts w:ascii="宋体" w:hAnsi="宋体" w:cs="宋体"/>
                <w:color w:val="auto"/>
                <w:kern w:val="0"/>
                <w:sz w:val="18"/>
                <w:szCs w:val="18"/>
                <w:highlight w:val="none"/>
              </w:rPr>
            </w:pPr>
          </w:p>
        </w:tc>
        <w:tc>
          <w:tcPr>
            <w:tcW w:w="976" w:type="dxa"/>
            <w:vAlign w:val="center"/>
          </w:tcPr>
          <w:p w14:paraId="3E274BC2">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□新建</w:t>
            </w:r>
          </w:p>
          <w:p w14:paraId="4E1C1A63">
            <w:pPr>
              <w:spacing w:line="240" w:lineRule="exact"/>
              <w:jc w:val="left"/>
              <w:rPr>
                <w:rFonts w:cs="Times New Roman" w:asciiTheme="minorEastAsia" w:hAnsiTheme="minorEastAsia" w:eastAsiaTheme="minorEastAsia"/>
                <w:color w:val="auto"/>
                <w:kern w:val="2"/>
                <w:sz w:val="18"/>
                <w:szCs w:val="18"/>
                <w:highlight w:val="none"/>
                <w:lang w:val="en-US" w:eastAsia="zh-CN" w:bidi="ar-SA"/>
              </w:rPr>
            </w:pPr>
            <w:r>
              <w:rPr>
                <w:rFonts w:hint="eastAsia" w:ascii="宋体" w:hAnsi="宋体"/>
                <w:color w:val="auto"/>
                <w:sz w:val="18"/>
                <w:szCs w:val="18"/>
                <w:highlight w:val="none"/>
              </w:rPr>
              <w:t>□改扩建</w:t>
            </w:r>
          </w:p>
        </w:tc>
        <w:tc>
          <w:tcPr>
            <w:tcW w:w="374" w:type="dxa"/>
            <w:vAlign w:val="center"/>
          </w:tcPr>
          <w:p w14:paraId="7F562155">
            <w:pPr>
              <w:spacing w:line="240" w:lineRule="exact"/>
              <w:jc w:val="center"/>
              <w:rPr>
                <w:rFonts w:ascii="宋体" w:hAnsi="宋体" w:cs="宋体"/>
                <w:color w:val="auto"/>
                <w:kern w:val="0"/>
                <w:sz w:val="18"/>
                <w:szCs w:val="18"/>
                <w:highlight w:val="none"/>
              </w:rPr>
            </w:pPr>
          </w:p>
        </w:tc>
        <w:tc>
          <w:tcPr>
            <w:tcW w:w="784" w:type="dxa"/>
            <w:vAlign w:val="center"/>
          </w:tcPr>
          <w:p w14:paraId="09BAB90A">
            <w:pPr>
              <w:spacing w:line="240" w:lineRule="exact"/>
              <w:jc w:val="center"/>
              <w:rPr>
                <w:rFonts w:ascii="宋体" w:hAnsi="宋体" w:cs="宋体"/>
                <w:color w:val="auto"/>
                <w:kern w:val="0"/>
                <w:sz w:val="18"/>
                <w:szCs w:val="18"/>
                <w:highlight w:val="none"/>
              </w:rPr>
            </w:pPr>
          </w:p>
        </w:tc>
        <w:tc>
          <w:tcPr>
            <w:tcW w:w="954" w:type="dxa"/>
            <w:vAlign w:val="center"/>
          </w:tcPr>
          <w:p w14:paraId="37AA5845">
            <w:pPr>
              <w:spacing w:line="240" w:lineRule="exact"/>
              <w:jc w:val="center"/>
              <w:rPr>
                <w:rFonts w:ascii="宋体" w:hAnsi="宋体" w:cs="宋体"/>
                <w:color w:val="auto"/>
                <w:kern w:val="0"/>
                <w:sz w:val="18"/>
                <w:szCs w:val="18"/>
                <w:highlight w:val="none"/>
              </w:rPr>
            </w:pPr>
          </w:p>
        </w:tc>
        <w:tc>
          <w:tcPr>
            <w:tcW w:w="760" w:type="dxa"/>
            <w:gridSpan w:val="2"/>
            <w:vAlign w:val="center"/>
          </w:tcPr>
          <w:p w14:paraId="563C61D7">
            <w:pPr>
              <w:spacing w:line="240" w:lineRule="exact"/>
              <w:jc w:val="center"/>
              <w:rPr>
                <w:rFonts w:ascii="宋体" w:hAnsi="宋体" w:cs="宋体"/>
                <w:color w:val="auto"/>
                <w:kern w:val="0"/>
                <w:sz w:val="18"/>
                <w:szCs w:val="18"/>
                <w:highlight w:val="none"/>
              </w:rPr>
            </w:pPr>
          </w:p>
        </w:tc>
        <w:tc>
          <w:tcPr>
            <w:tcW w:w="761" w:type="dxa"/>
            <w:gridSpan w:val="2"/>
            <w:vAlign w:val="center"/>
          </w:tcPr>
          <w:p w14:paraId="19B0C18C">
            <w:pPr>
              <w:spacing w:line="240" w:lineRule="exact"/>
              <w:jc w:val="center"/>
              <w:rPr>
                <w:rFonts w:ascii="宋体" w:hAnsi="宋体" w:cs="宋体"/>
                <w:color w:val="auto"/>
                <w:kern w:val="0"/>
                <w:sz w:val="18"/>
                <w:szCs w:val="18"/>
                <w:highlight w:val="none"/>
              </w:rPr>
            </w:pPr>
          </w:p>
        </w:tc>
        <w:tc>
          <w:tcPr>
            <w:tcW w:w="886" w:type="dxa"/>
            <w:vAlign w:val="center"/>
          </w:tcPr>
          <w:p w14:paraId="66D364CB">
            <w:pPr>
              <w:spacing w:line="240" w:lineRule="exact"/>
              <w:jc w:val="center"/>
              <w:rPr>
                <w:rFonts w:ascii="宋体" w:hAnsi="宋体" w:cs="宋体"/>
                <w:color w:val="auto"/>
                <w:kern w:val="0"/>
                <w:sz w:val="18"/>
                <w:szCs w:val="18"/>
                <w:highlight w:val="none"/>
              </w:rPr>
            </w:pPr>
          </w:p>
        </w:tc>
        <w:tc>
          <w:tcPr>
            <w:tcW w:w="840" w:type="dxa"/>
            <w:gridSpan w:val="2"/>
            <w:vAlign w:val="center"/>
          </w:tcPr>
          <w:p w14:paraId="13996085">
            <w:pPr>
              <w:spacing w:line="240" w:lineRule="exact"/>
              <w:jc w:val="center"/>
              <w:rPr>
                <w:rFonts w:ascii="宋体" w:hAnsi="宋体" w:cs="宋体"/>
                <w:color w:val="auto"/>
                <w:kern w:val="0"/>
                <w:sz w:val="18"/>
                <w:szCs w:val="18"/>
                <w:highlight w:val="none"/>
              </w:rPr>
            </w:pPr>
          </w:p>
        </w:tc>
        <w:tc>
          <w:tcPr>
            <w:tcW w:w="861" w:type="dxa"/>
            <w:vAlign w:val="center"/>
          </w:tcPr>
          <w:p w14:paraId="4C0B3DFC">
            <w:pPr>
              <w:spacing w:line="240" w:lineRule="exact"/>
              <w:jc w:val="center"/>
              <w:rPr>
                <w:rFonts w:ascii="宋体" w:hAnsi="宋体" w:cs="宋体"/>
                <w:color w:val="auto"/>
                <w:kern w:val="0"/>
                <w:sz w:val="18"/>
                <w:szCs w:val="18"/>
                <w:highlight w:val="none"/>
              </w:rPr>
            </w:pPr>
          </w:p>
        </w:tc>
        <w:tc>
          <w:tcPr>
            <w:tcW w:w="885" w:type="dxa"/>
            <w:gridSpan w:val="2"/>
          </w:tcPr>
          <w:p w14:paraId="03036A32">
            <w:pPr>
              <w:spacing w:line="240" w:lineRule="exact"/>
              <w:jc w:val="center"/>
              <w:rPr>
                <w:rFonts w:ascii="宋体" w:hAnsi="宋体" w:cs="宋体"/>
                <w:color w:val="auto"/>
                <w:kern w:val="0"/>
                <w:sz w:val="18"/>
                <w:szCs w:val="18"/>
                <w:highlight w:val="none"/>
              </w:rPr>
            </w:pPr>
          </w:p>
        </w:tc>
        <w:tc>
          <w:tcPr>
            <w:tcW w:w="809" w:type="dxa"/>
            <w:vAlign w:val="center"/>
          </w:tcPr>
          <w:p w14:paraId="6CBC1B17">
            <w:pPr>
              <w:spacing w:line="240" w:lineRule="exact"/>
              <w:jc w:val="center"/>
              <w:rPr>
                <w:rFonts w:ascii="宋体" w:hAnsi="宋体" w:cs="宋体"/>
                <w:color w:val="auto"/>
                <w:kern w:val="0"/>
                <w:sz w:val="18"/>
                <w:szCs w:val="18"/>
                <w:highlight w:val="none"/>
              </w:rPr>
            </w:pPr>
          </w:p>
        </w:tc>
        <w:tc>
          <w:tcPr>
            <w:tcW w:w="798" w:type="dxa"/>
            <w:vAlign w:val="center"/>
          </w:tcPr>
          <w:p w14:paraId="09B9A2EE">
            <w:pPr>
              <w:spacing w:line="240" w:lineRule="exact"/>
              <w:jc w:val="center"/>
              <w:rPr>
                <w:rFonts w:ascii="宋体" w:hAnsi="宋体" w:cs="宋体"/>
                <w:color w:val="auto"/>
                <w:kern w:val="0"/>
                <w:sz w:val="18"/>
                <w:szCs w:val="18"/>
                <w:highlight w:val="none"/>
              </w:rPr>
            </w:pPr>
          </w:p>
        </w:tc>
        <w:tc>
          <w:tcPr>
            <w:tcW w:w="499" w:type="dxa"/>
            <w:vAlign w:val="center"/>
          </w:tcPr>
          <w:p w14:paraId="1943B9D2">
            <w:pPr>
              <w:spacing w:line="240" w:lineRule="exact"/>
              <w:jc w:val="center"/>
              <w:rPr>
                <w:rFonts w:ascii="宋体" w:hAnsi="宋体" w:cs="宋体"/>
                <w:color w:val="auto"/>
                <w:kern w:val="0"/>
                <w:sz w:val="18"/>
                <w:szCs w:val="18"/>
                <w:highlight w:val="none"/>
              </w:rPr>
            </w:pPr>
          </w:p>
        </w:tc>
        <w:tc>
          <w:tcPr>
            <w:tcW w:w="1347" w:type="dxa"/>
            <w:vAlign w:val="center"/>
          </w:tcPr>
          <w:p w14:paraId="291AD51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B2.6-2</w:t>
            </w:r>
          </w:p>
        </w:tc>
      </w:tr>
      <w:tr w14:paraId="35A4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 w:type="dxa"/>
            <w:vAlign w:val="center"/>
          </w:tcPr>
          <w:p w14:paraId="47040CFB">
            <w:pPr>
              <w:widowControl/>
              <w:spacing w:line="240" w:lineRule="exact"/>
              <w:jc w:val="center"/>
              <w:rPr>
                <w:rFonts w:ascii="宋体" w:hAnsi="宋体" w:cs="宋体"/>
                <w:color w:val="auto"/>
                <w:kern w:val="0"/>
                <w:sz w:val="18"/>
                <w:szCs w:val="18"/>
                <w:highlight w:val="none"/>
              </w:rPr>
            </w:pPr>
          </w:p>
        </w:tc>
        <w:tc>
          <w:tcPr>
            <w:tcW w:w="1102" w:type="dxa"/>
            <w:vAlign w:val="center"/>
          </w:tcPr>
          <w:p w14:paraId="29CCA3CA">
            <w:pPr>
              <w:spacing w:line="240" w:lineRule="exact"/>
              <w:jc w:val="center"/>
              <w:rPr>
                <w:rFonts w:ascii="宋体" w:hAnsi="宋体" w:cs="宋体"/>
                <w:color w:val="auto"/>
                <w:kern w:val="0"/>
                <w:sz w:val="18"/>
                <w:szCs w:val="18"/>
                <w:highlight w:val="none"/>
              </w:rPr>
            </w:pPr>
          </w:p>
        </w:tc>
        <w:tc>
          <w:tcPr>
            <w:tcW w:w="636" w:type="dxa"/>
            <w:vAlign w:val="center"/>
          </w:tcPr>
          <w:p w14:paraId="464E7F08">
            <w:pPr>
              <w:spacing w:line="240" w:lineRule="exact"/>
              <w:jc w:val="center"/>
              <w:rPr>
                <w:rFonts w:ascii="宋体" w:hAnsi="宋体" w:cs="宋体"/>
                <w:color w:val="auto"/>
                <w:kern w:val="0"/>
                <w:sz w:val="18"/>
                <w:szCs w:val="18"/>
                <w:highlight w:val="none"/>
              </w:rPr>
            </w:pPr>
          </w:p>
        </w:tc>
        <w:tc>
          <w:tcPr>
            <w:tcW w:w="976" w:type="dxa"/>
            <w:vAlign w:val="center"/>
          </w:tcPr>
          <w:p w14:paraId="781B905A">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□新建</w:t>
            </w:r>
          </w:p>
          <w:p w14:paraId="75067094">
            <w:pPr>
              <w:spacing w:line="240" w:lineRule="exact"/>
              <w:jc w:val="left"/>
              <w:rPr>
                <w:rFonts w:cs="宋体" w:asciiTheme="minorEastAsia" w:hAnsiTheme="minorEastAsia" w:eastAsiaTheme="minorEastAsia"/>
                <w:color w:val="auto"/>
                <w:kern w:val="2"/>
                <w:sz w:val="18"/>
                <w:szCs w:val="18"/>
                <w:highlight w:val="none"/>
                <w:lang w:val="en-US" w:eastAsia="zh-CN" w:bidi="ar-SA"/>
              </w:rPr>
            </w:pPr>
            <w:r>
              <w:rPr>
                <w:rFonts w:hint="eastAsia" w:ascii="宋体" w:hAnsi="宋体"/>
                <w:color w:val="auto"/>
                <w:sz w:val="18"/>
                <w:szCs w:val="18"/>
                <w:highlight w:val="none"/>
              </w:rPr>
              <w:t>□改扩建</w:t>
            </w:r>
          </w:p>
        </w:tc>
        <w:tc>
          <w:tcPr>
            <w:tcW w:w="374" w:type="dxa"/>
            <w:vAlign w:val="center"/>
          </w:tcPr>
          <w:p w14:paraId="7DDBE6ED">
            <w:pPr>
              <w:spacing w:line="240" w:lineRule="exact"/>
              <w:jc w:val="center"/>
              <w:rPr>
                <w:rFonts w:ascii="宋体" w:hAnsi="宋体" w:cs="宋体"/>
                <w:color w:val="auto"/>
                <w:kern w:val="0"/>
                <w:sz w:val="18"/>
                <w:szCs w:val="18"/>
                <w:highlight w:val="none"/>
              </w:rPr>
            </w:pPr>
          </w:p>
        </w:tc>
        <w:tc>
          <w:tcPr>
            <w:tcW w:w="784" w:type="dxa"/>
            <w:vAlign w:val="center"/>
          </w:tcPr>
          <w:p w14:paraId="33D7A01C">
            <w:pPr>
              <w:spacing w:line="240" w:lineRule="exact"/>
              <w:jc w:val="center"/>
              <w:rPr>
                <w:rFonts w:ascii="宋体" w:hAnsi="宋体" w:cs="宋体"/>
                <w:color w:val="auto"/>
                <w:kern w:val="0"/>
                <w:sz w:val="18"/>
                <w:szCs w:val="18"/>
                <w:highlight w:val="none"/>
              </w:rPr>
            </w:pPr>
          </w:p>
        </w:tc>
        <w:tc>
          <w:tcPr>
            <w:tcW w:w="954" w:type="dxa"/>
            <w:vAlign w:val="center"/>
          </w:tcPr>
          <w:p w14:paraId="37C97DAE">
            <w:pPr>
              <w:spacing w:line="240" w:lineRule="exact"/>
              <w:jc w:val="center"/>
              <w:rPr>
                <w:rFonts w:ascii="宋体" w:hAnsi="宋体" w:cs="宋体"/>
                <w:color w:val="auto"/>
                <w:kern w:val="0"/>
                <w:sz w:val="18"/>
                <w:szCs w:val="18"/>
                <w:highlight w:val="none"/>
              </w:rPr>
            </w:pPr>
          </w:p>
        </w:tc>
        <w:tc>
          <w:tcPr>
            <w:tcW w:w="760" w:type="dxa"/>
            <w:gridSpan w:val="2"/>
            <w:vAlign w:val="center"/>
          </w:tcPr>
          <w:p w14:paraId="5D1617D3">
            <w:pPr>
              <w:spacing w:line="240" w:lineRule="exact"/>
              <w:jc w:val="center"/>
              <w:rPr>
                <w:rFonts w:ascii="宋体" w:hAnsi="宋体" w:cs="宋体"/>
                <w:color w:val="auto"/>
                <w:kern w:val="0"/>
                <w:sz w:val="18"/>
                <w:szCs w:val="18"/>
                <w:highlight w:val="none"/>
              </w:rPr>
            </w:pPr>
          </w:p>
        </w:tc>
        <w:tc>
          <w:tcPr>
            <w:tcW w:w="761" w:type="dxa"/>
            <w:gridSpan w:val="2"/>
            <w:vAlign w:val="center"/>
          </w:tcPr>
          <w:p w14:paraId="17B9087B">
            <w:pPr>
              <w:spacing w:line="240" w:lineRule="exact"/>
              <w:jc w:val="center"/>
              <w:rPr>
                <w:rFonts w:ascii="宋体" w:hAnsi="宋体" w:cs="宋体"/>
                <w:color w:val="auto"/>
                <w:kern w:val="0"/>
                <w:sz w:val="18"/>
                <w:szCs w:val="18"/>
                <w:highlight w:val="none"/>
              </w:rPr>
            </w:pPr>
          </w:p>
        </w:tc>
        <w:tc>
          <w:tcPr>
            <w:tcW w:w="886" w:type="dxa"/>
            <w:vAlign w:val="center"/>
          </w:tcPr>
          <w:p w14:paraId="0B8ED7F9">
            <w:pPr>
              <w:spacing w:line="240" w:lineRule="exact"/>
              <w:jc w:val="center"/>
              <w:rPr>
                <w:rFonts w:ascii="宋体" w:hAnsi="宋体" w:cs="宋体"/>
                <w:color w:val="auto"/>
                <w:kern w:val="0"/>
                <w:sz w:val="18"/>
                <w:szCs w:val="18"/>
                <w:highlight w:val="none"/>
              </w:rPr>
            </w:pPr>
          </w:p>
        </w:tc>
        <w:tc>
          <w:tcPr>
            <w:tcW w:w="840" w:type="dxa"/>
            <w:gridSpan w:val="2"/>
            <w:vAlign w:val="center"/>
          </w:tcPr>
          <w:p w14:paraId="59AAFB6B">
            <w:pPr>
              <w:spacing w:line="240" w:lineRule="exact"/>
              <w:jc w:val="center"/>
              <w:rPr>
                <w:rFonts w:ascii="宋体" w:hAnsi="宋体" w:cs="宋体"/>
                <w:color w:val="auto"/>
                <w:kern w:val="0"/>
                <w:sz w:val="18"/>
                <w:szCs w:val="18"/>
                <w:highlight w:val="none"/>
              </w:rPr>
            </w:pPr>
          </w:p>
        </w:tc>
        <w:tc>
          <w:tcPr>
            <w:tcW w:w="861" w:type="dxa"/>
            <w:vAlign w:val="center"/>
          </w:tcPr>
          <w:p w14:paraId="0AFBA37B">
            <w:pPr>
              <w:spacing w:line="240" w:lineRule="exact"/>
              <w:jc w:val="center"/>
              <w:rPr>
                <w:rFonts w:ascii="宋体" w:hAnsi="宋体" w:cs="宋体"/>
                <w:color w:val="auto"/>
                <w:kern w:val="0"/>
                <w:sz w:val="18"/>
                <w:szCs w:val="18"/>
                <w:highlight w:val="none"/>
              </w:rPr>
            </w:pPr>
          </w:p>
        </w:tc>
        <w:tc>
          <w:tcPr>
            <w:tcW w:w="885" w:type="dxa"/>
            <w:gridSpan w:val="2"/>
          </w:tcPr>
          <w:p w14:paraId="27D34864">
            <w:pPr>
              <w:spacing w:line="240" w:lineRule="exact"/>
              <w:jc w:val="center"/>
              <w:rPr>
                <w:rFonts w:ascii="宋体" w:hAnsi="宋体" w:cs="宋体"/>
                <w:color w:val="auto"/>
                <w:kern w:val="0"/>
                <w:sz w:val="18"/>
                <w:szCs w:val="18"/>
                <w:highlight w:val="none"/>
              </w:rPr>
            </w:pPr>
          </w:p>
        </w:tc>
        <w:tc>
          <w:tcPr>
            <w:tcW w:w="809" w:type="dxa"/>
            <w:vAlign w:val="center"/>
          </w:tcPr>
          <w:p w14:paraId="76C03A89">
            <w:pPr>
              <w:spacing w:line="240" w:lineRule="exact"/>
              <w:jc w:val="center"/>
              <w:rPr>
                <w:rFonts w:ascii="宋体" w:hAnsi="宋体" w:cs="宋体"/>
                <w:color w:val="auto"/>
                <w:kern w:val="0"/>
                <w:sz w:val="18"/>
                <w:szCs w:val="18"/>
                <w:highlight w:val="none"/>
              </w:rPr>
            </w:pPr>
          </w:p>
        </w:tc>
        <w:tc>
          <w:tcPr>
            <w:tcW w:w="798" w:type="dxa"/>
            <w:vAlign w:val="center"/>
          </w:tcPr>
          <w:p w14:paraId="2C51F0AC">
            <w:pPr>
              <w:spacing w:line="240" w:lineRule="exact"/>
              <w:jc w:val="center"/>
              <w:rPr>
                <w:rFonts w:ascii="宋体" w:hAnsi="宋体" w:cs="宋体"/>
                <w:color w:val="auto"/>
                <w:kern w:val="0"/>
                <w:sz w:val="18"/>
                <w:szCs w:val="18"/>
                <w:highlight w:val="none"/>
              </w:rPr>
            </w:pPr>
          </w:p>
        </w:tc>
        <w:tc>
          <w:tcPr>
            <w:tcW w:w="499" w:type="dxa"/>
            <w:vAlign w:val="center"/>
          </w:tcPr>
          <w:p w14:paraId="4CEA46A2">
            <w:pPr>
              <w:spacing w:line="240" w:lineRule="exact"/>
              <w:jc w:val="center"/>
              <w:rPr>
                <w:rFonts w:ascii="宋体" w:hAnsi="宋体" w:cs="宋体"/>
                <w:color w:val="auto"/>
                <w:kern w:val="0"/>
                <w:sz w:val="18"/>
                <w:szCs w:val="18"/>
                <w:highlight w:val="none"/>
              </w:rPr>
            </w:pPr>
          </w:p>
        </w:tc>
        <w:tc>
          <w:tcPr>
            <w:tcW w:w="1347" w:type="dxa"/>
            <w:vAlign w:val="center"/>
          </w:tcPr>
          <w:p w14:paraId="546133B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B2.6-3</w:t>
            </w:r>
          </w:p>
        </w:tc>
      </w:tr>
      <w:tr w14:paraId="3DB4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 w:type="dxa"/>
            <w:vAlign w:val="center"/>
          </w:tcPr>
          <w:p w14:paraId="3750352B">
            <w:pPr>
              <w:spacing w:line="240" w:lineRule="exact"/>
              <w:jc w:val="center"/>
              <w:rPr>
                <w:color w:val="auto"/>
                <w:sz w:val="18"/>
                <w:szCs w:val="18"/>
                <w:highlight w:val="none"/>
              </w:rPr>
            </w:pPr>
            <w:r>
              <w:rPr>
                <w:rFonts w:hint="eastAsia" w:ascii="宋体" w:hAnsi="宋体" w:cs="宋体"/>
                <w:color w:val="auto"/>
                <w:kern w:val="0"/>
                <w:sz w:val="18"/>
                <w:szCs w:val="18"/>
                <w:highlight w:val="none"/>
              </w:rPr>
              <w:t>……</w:t>
            </w:r>
          </w:p>
        </w:tc>
        <w:tc>
          <w:tcPr>
            <w:tcW w:w="1102" w:type="dxa"/>
            <w:vAlign w:val="center"/>
          </w:tcPr>
          <w:p w14:paraId="25E1806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636" w:type="dxa"/>
            <w:vAlign w:val="center"/>
          </w:tcPr>
          <w:p w14:paraId="466E761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76" w:type="dxa"/>
            <w:vAlign w:val="center"/>
          </w:tcPr>
          <w:p w14:paraId="6979F5E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74" w:type="dxa"/>
            <w:vAlign w:val="center"/>
          </w:tcPr>
          <w:p w14:paraId="2D366ED7">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84" w:type="dxa"/>
            <w:vAlign w:val="center"/>
          </w:tcPr>
          <w:p w14:paraId="0DEE0A7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54" w:type="dxa"/>
            <w:vAlign w:val="center"/>
          </w:tcPr>
          <w:p w14:paraId="464DB2C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60" w:type="dxa"/>
            <w:gridSpan w:val="2"/>
            <w:vAlign w:val="center"/>
          </w:tcPr>
          <w:p w14:paraId="02FC515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61" w:type="dxa"/>
            <w:gridSpan w:val="2"/>
            <w:vAlign w:val="center"/>
          </w:tcPr>
          <w:p w14:paraId="53562D1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86" w:type="dxa"/>
            <w:vAlign w:val="center"/>
          </w:tcPr>
          <w:p w14:paraId="75559BC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40" w:type="dxa"/>
            <w:gridSpan w:val="2"/>
            <w:vAlign w:val="center"/>
          </w:tcPr>
          <w:p w14:paraId="117DFE6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61" w:type="dxa"/>
            <w:vAlign w:val="center"/>
          </w:tcPr>
          <w:p w14:paraId="539C928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85" w:type="dxa"/>
            <w:gridSpan w:val="2"/>
            <w:vAlign w:val="center"/>
          </w:tcPr>
          <w:p w14:paraId="0809296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09" w:type="dxa"/>
            <w:vAlign w:val="center"/>
          </w:tcPr>
          <w:p w14:paraId="012F7287">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98" w:type="dxa"/>
            <w:vAlign w:val="center"/>
          </w:tcPr>
          <w:p w14:paraId="5535E00B">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99" w:type="dxa"/>
            <w:vAlign w:val="center"/>
          </w:tcPr>
          <w:p w14:paraId="5B1CE17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47" w:type="dxa"/>
            <w:vAlign w:val="center"/>
          </w:tcPr>
          <w:p w14:paraId="3545D30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49A02C0A">
      <w:pPr>
        <w:spacing w:line="200" w:lineRule="exact"/>
        <w:ind w:left="540" w:hanging="540" w:hangingChars="300"/>
        <w:rPr>
          <w:rFonts w:hint="eastAsia" w:ascii="宋体" w:hAnsi="宋体" w:cs="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w:t>
      </w:r>
      <w:r>
        <w:rPr>
          <w:rFonts w:hint="eastAsia" w:ascii="宋体" w:hAnsi="宋体" w:cs="宋体"/>
          <w:color w:val="auto"/>
          <w:sz w:val="18"/>
          <w:szCs w:val="18"/>
          <w:highlight w:val="none"/>
        </w:rPr>
        <w:t>投标人</w:t>
      </w:r>
      <w:r>
        <w:rPr>
          <w:rFonts w:hint="eastAsia" w:ascii="宋体" w:hAnsi="宋体" w:cs="宋体"/>
          <w:color w:val="auto"/>
          <w:sz w:val="18"/>
          <w:szCs w:val="18"/>
          <w:highlight w:val="none"/>
          <w:lang w:val="en-US" w:eastAsia="zh-CN"/>
        </w:rPr>
        <w:t>应</w:t>
      </w:r>
      <w:r>
        <w:rPr>
          <w:rFonts w:hint="eastAsia" w:ascii="宋体" w:hAnsi="宋体" w:cs="宋体"/>
          <w:color w:val="auto"/>
          <w:sz w:val="18"/>
          <w:szCs w:val="18"/>
          <w:highlight w:val="none"/>
        </w:rPr>
        <w:t>在</w:t>
      </w:r>
      <w:r>
        <w:rPr>
          <w:rFonts w:hint="eastAsia" w:ascii="宋体" w:hAnsi="宋体" w:cs="宋体"/>
          <w:color w:val="auto"/>
          <w:sz w:val="18"/>
          <w:szCs w:val="18"/>
          <w:highlight w:val="none"/>
          <w:lang w:val="en-US" w:eastAsia="zh-CN"/>
        </w:rPr>
        <w:t>本</w:t>
      </w:r>
      <w:r>
        <w:rPr>
          <w:rFonts w:hint="eastAsia" w:ascii="宋体" w:hAnsi="宋体" w:cs="宋体"/>
          <w:color w:val="auto"/>
          <w:sz w:val="18"/>
          <w:szCs w:val="18"/>
          <w:highlight w:val="none"/>
        </w:rPr>
        <w:t>表后提供相关证明材料（原件原色扫描件）附件</w:t>
      </w:r>
      <w:r>
        <w:rPr>
          <w:rFonts w:ascii="宋体" w:hAnsi="宋体" w:cs="宋体"/>
          <w:color w:val="auto"/>
          <w:sz w:val="18"/>
          <w:szCs w:val="18"/>
          <w:highlight w:val="none"/>
        </w:rPr>
        <w:t>B2</w:t>
      </w:r>
      <w:r>
        <w:rPr>
          <w:rFonts w:hint="eastAsia" w:ascii="宋体" w:hAnsi="宋体" w:cs="宋体"/>
          <w:color w:val="auto"/>
          <w:sz w:val="18"/>
          <w:szCs w:val="18"/>
          <w:highlight w:val="none"/>
        </w:rPr>
        <w:t>系列（身份证、职称证、执业资格证、</w:t>
      </w:r>
      <w:r>
        <w:rPr>
          <w:rFonts w:hint="eastAsia" w:ascii="宋体" w:hAnsi="宋体" w:cs="宋体"/>
          <w:color w:val="auto"/>
          <w:kern w:val="0"/>
          <w:sz w:val="18"/>
          <w:szCs w:val="18"/>
          <w:highlight w:val="none"/>
        </w:rPr>
        <w:t>安全生产考核合格证、</w:t>
      </w:r>
      <w:r>
        <w:rPr>
          <w:rFonts w:hint="eastAsia" w:ascii="宋体" w:hAnsi="宋体" w:cs="宋体"/>
          <w:color w:val="auto"/>
          <w:sz w:val="18"/>
          <w:szCs w:val="18"/>
          <w:highlight w:val="none"/>
        </w:rPr>
        <w:t>社保证明、个人业绩证明）。</w:t>
      </w:r>
      <w:r>
        <w:rPr>
          <w:rStyle w:val="59"/>
          <w:rFonts w:hint="eastAsia" w:ascii="宋体" w:hAnsi="宋体" w:cs="宋体"/>
          <w:color w:val="auto"/>
          <w:szCs w:val="21"/>
          <w:highlight w:val="none"/>
        </w:rPr>
        <w:footnoteReference w:id="315"/>
      </w:r>
    </w:p>
    <w:p w14:paraId="7BC6305A">
      <w:pPr>
        <w:spacing w:line="200" w:lineRule="exact"/>
        <w:ind w:left="537" w:leftChars="170" w:hanging="180" w:hangingChars="100"/>
        <w:rPr>
          <w:rFonts w:ascii="宋体" w:hAnsi="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因投标人自身原因未提供附件或提供的附件不能与所证明的内容相匹配，造成业绩或其他内容不予认可时，投标人自行承担相关责任。</w:t>
      </w:r>
    </w:p>
    <w:p w14:paraId="67DB6EBE">
      <w:pPr>
        <w:spacing w:line="20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ascii="宋体" w:hAnsi="宋体" w:cs="宋体"/>
          <w:color w:val="auto"/>
          <w:sz w:val="18"/>
          <w:szCs w:val="18"/>
          <w:highlight w:val="none"/>
        </w:rPr>
        <w:t>.个人业绩证明材料为：</w:t>
      </w:r>
    </w:p>
    <w:p w14:paraId="640E39E8">
      <w:pPr>
        <w:spacing w:line="200" w:lineRule="exact"/>
        <w:ind w:left="896" w:leftChars="255" w:hanging="361" w:hangingChars="200"/>
        <w:rPr>
          <w:rFonts w:hint="eastAsia" w:ascii="宋体" w:hAnsi="宋体" w:cs="宋体"/>
          <w:color w:val="auto"/>
          <w:spacing w:val="-3"/>
          <w:sz w:val="18"/>
          <w:szCs w:val="18"/>
          <w:highlight w:val="none"/>
        </w:rPr>
      </w:pPr>
      <w:r>
        <w:rPr>
          <w:rFonts w:hint="eastAsia" w:ascii="宋体" w:hAnsi="宋体" w:cs="宋体"/>
          <w:b/>
          <w:bCs/>
          <w:color w:val="auto"/>
          <w:sz w:val="18"/>
          <w:szCs w:val="18"/>
          <w:highlight w:val="none"/>
        </w:rPr>
        <w:t>□</w:t>
      </w:r>
      <w:r>
        <w:rPr>
          <w:rFonts w:ascii="宋体" w:hAnsi="宋体" w:cs="宋体"/>
          <w:b/>
          <w:bCs/>
          <w:color w:val="auto"/>
          <w:sz w:val="18"/>
          <w:szCs w:val="18"/>
          <w:highlight w:val="none"/>
        </w:rPr>
        <w:t xml:space="preserve"> </w:t>
      </w:r>
      <w:r>
        <w:rPr>
          <w:rFonts w:ascii="宋体" w:hAnsi="宋体" w:cs="宋体"/>
          <w:color w:val="auto"/>
          <w:sz w:val="18"/>
          <w:szCs w:val="18"/>
          <w:highlight w:val="none"/>
        </w:rPr>
        <w:t>交通运输部“</w:t>
      </w:r>
      <w:r>
        <w:rPr>
          <w:rFonts w:hint="eastAsia" w:ascii="宋体" w:hAnsi="宋体" w:cs="宋体"/>
          <w:color w:val="auto"/>
          <w:kern w:val="2"/>
          <w:sz w:val="18"/>
          <w:szCs w:val="18"/>
          <w:highlight w:val="none"/>
          <w:lang w:eastAsia="zh-CN"/>
        </w:rPr>
        <w:t>全国公路建设市场监督管理系统</w:t>
      </w:r>
      <w:r>
        <w:rPr>
          <w:rFonts w:ascii="宋体" w:hAnsi="宋体" w:cs="宋体"/>
          <w:color w:val="auto"/>
          <w:sz w:val="18"/>
          <w:szCs w:val="18"/>
          <w:highlight w:val="none"/>
        </w:rPr>
        <w:t>”</w:t>
      </w:r>
      <w:r>
        <w:rPr>
          <w:rFonts w:hint="eastAsia" w:ascii="宋体" w:hAnsi="宋体" w:cs="宋体"/>
          <w:color w:val="auto"/>
          <w:sz w:val="18"/>
          <w:szCs w:val="18"/>
          <w:highlight w:val="none"/>
        </w:rPr>
        <w:t>中载明的、能够证明该人员具有相关业绩的网页截图</w:t>
      </w:r>
      <w:r>
        <w:rPr>
          <w:rStyle w:val="59"/>
          <w:rFonts w:ascii="宋体" w:hAnsi="宋体" w:cs="宋体"/>
          <w:color w:val="auto"/>
          <w:sz w:val="18"/>
          <w:szCs w:val="18"/>
          <w:highlight w:val="none"/>
        </w:rPr>
        <w:footnoteReference w:id="316"/>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除网页截图</w:t>
      </w:r>
      <w:r>
        <w:rPr>
          <w:rFonts w:hint="eastAsia" w:ascii="宋体" w:hAnsi="宋体" w:cs="宋体"/>
          <w:color w:val="auto"/>
          <w:spacing w:val="-3"/>
          <w:sz w:val="18"/>
          <w:szCs w:val="18"/>
          <w:highlight w:val="none"/>
        </w:rPr>
        <w:t>外，投</w:t>
      </w:r>
    </w:p>
    <w:p w14:paraId="33CF93D9">
      <w:pPr>
        <w:spacing w:line="200" w:lineRule="exact"/>
        <w:ind w:left="883" w:leftChars="255" w:hanging="348" w:hangingChars="200"/>
        <w:rPr>
          <w:rFonts w:ascii="宋体" w:hAnsi="宋体" w:cs="宋体"/>
          <w:color w:val="auto"/>
          <w:sz w:val="18"/>
          <w:szCs w:val="18"/>
          <w:highlight w:val="none"/>
        </w:rPr>
      </w:pPr>
      <w:r>
        <w:rPr>
          <w:rFonts w:hint="eastAsia" w:ascii="宋体" w:hAnsi="宋体" w:cs="宋体"/>
          <w:color w:val="auto"/>
          <w:spacing w:val="-3"/>
          <w:sz w:val="18"/>
          <w:szCs w:val="18"/>
          <w:highlight w:val="none"/>
          <w:lang w:val="en-US" w:eastAsia="zh-CN"/>
        </w:rPr>
        <w:t xml:space="preserve">   </w:t>
      </w:r>
      <w:r>
        <w:rPr>
          <w:rFonts w:hint="eastAsia" w:ascii="宋体" w:hAnsi="宋体" w:cs="宋体"/>
          <w:color w:val="auto"/>
          <w:spacing w:val="-3"/>
          <w:sz w:val="18"/>
          <w:szCs w:val="18"/>
          <w:highlight w:val="none"/>
        </w:rPr>
        <w:t>标人无</w:t>
      </w:r>
      <w:r>
        <w:rPr>
          <w:rFonts w:hint="eastAsia" w:ascii="宋体" w:hAnsi="宋体" w:cs="宋体"/>
          <w:color w:val="auto"/>
          <w:spacing w:val="-3"/>
          <w:sz w:val="18"/>
          <w:szCs w:val="18"/>
          <w:highlight w:val="none"/>
          <w:lang w:val="en-US" w:eastAsia="zh-CN"/>
        </w:rPr>
        <w:t>须</w:t>
      </w:r>
      <w:r>
        <w:rPr>
          <w:rFonts w:hint="eastAsia" w:ascii="宋体" w:hAnsi="宋体" w:cs="宋体"/>
          <w:color w:val="auto"/>
          <w:spacing w:val="-3"/>
          <w:sz w:val="18"/>
          <w:szCs w:val="18"/>
          <w:highlight w:val="none"/>
        </w:rPr>
        <w:t>再提供任何证明材料</w:t>
      </w:r>
      <w:r>
        <w:rPr>
          <w:rFonts w:hint="eastAsia" w:ascii="宋体" w:hAnsi="宋体" w:cs="宋体"/>
          <w:color w:val="auto"/>
          <w:sz w:val="18"/>
          <w:szCs w:val="18"/>
          <w:highlight w:val="none"/>
        </w:rPr>
        <w:t>。□</w:t>
      </w:r>
      <w:r>
        <w:rPr>
          <w:rFonts w:ascii="宋体" w:hAnsi="宋体" w:cs="宋体"/>
          <w:b/>
          <w:bCs/>
          <w:color w:val="auto"/>
          <w:sz w:val="18"/>
          <w:szCs w:val="18"/>
          <w:highlight w:val="none"/>
        </w:rPr>
        <w:t xml:space="preserve"> </w:t>
      </w:r>
      <w:r>
        <w:rPr>
          <w:rFonts w:ascii="宋体" w:hAnsi="宋体" w:cs="宋体"/>
          <w:color w:val="auto"/>
          <w:sz w:val="18"/>
          <w:szCs w:val="18"/>
          <w:highlight w:val="none"/>
        </w:rPr>
        <w:t>或</w:t>
      </w:r>
    </w:p>
    <w:p w14:paraId="6A2AD539">
      <w:pPr>
        <w:spacing w:line="20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w:t>
      </w:r>
      <w:r>
        <w:rPr>
          <w:rFonts w:ascii="宋体" w:hAnsi="宋体" w:cs="宋体"/>
          <w:b/>
          <w:bCs/>
          <w:color w:val="auto"/>
          <w:sz w:val="18"/>
          <w:szCs w:val="18"/>
          <w:highlight w:val="none"/>
        </w:rPr>
        <w:t xml:space="preserve"> </w:t>
      </w:r>
      <w:r>
        <w:rPr>
          <w:rFonts w:hint="eastAsia" w:ascii="宋体" w:hAnsi="宋体" w:cs="宋体"/>
          <w:color w:val="auto"/>
          <w:sz w:val="18"/>
          <w:szCs w:val="18"/>
          <w:highlight w:val="none"/>
        </w:rPr>
        <w:t>合同协议书；和</w:t>
      </w:r>
    </w:p>
    <w:p w14:paraId="7E3AFFEF">
      <w:pPr>
        <w:spacing w:line="200" w:lineRule="exact"/>
        <w:ind w:firstLine="540" w:firstLineChars="300"/>
        <w:rPr>
          <w:rFonts w:ascii="宋体" w:hAnsi="宋体" w:cs="宋体"/>
          <w:color w:val="auto"/>
          <w:sz w:val="18"/>
          <w:szCs w:val="18"/>
          <w:highlight w:val="none"/>
        </w:rPr>
      </w:pPr>
      <w:r>
        <w:rPr>
          <w:rFonts w:ascii="宋体" w:hAnsi="宋体" w:cs="宋体"/>
          <w:color w:val="auto"/>
          <w:sz w:val="18"/>
          <w:szCs w:val="18"/>
          <w:highlight w:val="none"/>
        </w:rPr>
        <w:t xml:space="preserve">   </w:t>
      </w:r>
      <w:r>
        <w:rPr>
          <w:rFonts w:hint="eastAsia" w:ascii="宋体" w:hAnsi="宋体" w:cs="宋体"/>
          <w:color w:val="auto"/>
          <w:sz w:val="18"/>
          <w:szCs w:val="18"/>
          <w:highlight w:val="none"/>
        </w:rPr>
        <w:t>项目评定书或交工验收证书或竣工验收委员会出具的公路工程竣工验收鉴定书或发包人出具的证明原件原色扫描件，其中应能够证明该人员具有相关业绩。</w:t>
      </w:r>
    </w:p>
    <w:p w14:paraId="4C35FAB7">
      <w:pPr>
        <w:numPr>
          <w:ilvl w:val="-1"/>
          <w:numId w:val="0"/>
        </w:numPr>
        <w:spacing w:line="20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提供社保时间段要求：例如投标截止日所在月为“</w:t>
      </w:r>
      <w:r>
        <w:rPr>
          <w:rFonts w:ascii="宋体" w:hAnsi="宋体" w:cs="宋体"/>
          <w:color w:val="auto"/>
          <w:sz w:val="18"/>
          <w:szCs w:val="18"/>
          <w:highlight w:val="none"/>
        </w:rPr>
        <w:t>2021</w:t>
      </w:r>
      <w:r>
        <w:rPr>
          <w:rFonts w:hint="eastAsia" w:ascii="宋体" w:hAnsi="宋体" w:cs="宋体"/>
          <w:color w:val="auto"/>
          <w:sz w:val="18"/>
          <w:szCs w:val="18"/>
          <w:highlight w:val="none"/>
        </w:rPr>
        <w:t>年</w:t>
      </w:r>
      <w:r>
        <w:rPr>
          <w:rFonts w:ascii="宋体" w:hAnsi="宋体" w:cs="宋体"/>
          <w:color w:val="auto"/>
          <w:sz w:val="18"/>
          <w:szCs w:val="18"/>
          <w:highlight w:val="none"/>
        </w:rPr>
        <w:t>12</w:t>
      </w:r>
      <w:r>
        <w:rPr>
          <w:rFonts w:hint="eastAsia" w:ascii="宋体" w:hAnsi="宋体" w:cs="宋体"/>
          <w:color w:val="auto"/>
          <w:sz w:val="18"/>
          <w:szCs w:val="18"/>
          <w:highlight w:val="none"/>
        </w:rPr>
        <w:t>月”，则提供“</w:t>
      </w:r>
      <w:r>
        <w:rPr>
          <w:rFonts w:ascii="宋体" w:hAnsi="宋体" w:cs="宋体"/>
          <w:color w:val="auto"/>
          <w:sz w:val="18"/>
          <w:szCs w:val="18"/>
          <w:highlight w:val="none"/>
        </w:rPr>
        <w:t>2021</w:t>
      </w:r>
      <w:r>
        <w:rPr>
          <w:rFonts w:hint="eastAsia" w:ascii="宋体" w:hAnsi="宋体" w:cs="宋体"/>
          <w:color w:val="auto"/>
          <w:sz w:val="18"/>
          <w:szCs w:val="18"/>
          <w:highlight w:val="none"/>
        </w:rPr>
        <w:t>年</w:t>
      </w:r>
      <w:r>
        <w:rPr>
          <w:rFonts w:ascii="宋体" w:hAnsi="宋体" w:cs="宋体"/>
          <w:color w:val="auto"/>
          <w:sz w:val="18"/>
          <w:szCs w:val="18"/>
          <w:highlight w:val="none"/>
        </w:rPr>
        <w:t>6～11</w:t>
      </w:r>
      <w:r>
        <w:rPr>
          <w:rFonts w:hint="eastAsia" w:ascii="宋体" w:hAnsi="宋体" w:cs="宋体"/>
          <w:color w:val="auto"/>
          <w:sz w:val="18"/>
          <w:szCs w:val="18"/>
          <w:highlight w:val="none"/>
        </w:rPr>
        <w:t>月”或“</w:t>
      </w:r>
      <w:r>
        <w:rPr>
          <w:rFonts w:ascii="宋体" w:hAnsi="宋体" w:cs="宋体"/>
          <w:color w:val="auto"/>
          <w:sz w:val="18"/>
          <w:szCs w:val="18"/>
          <w:highlight w:val="none"/>
        </w:rPr>
        <w:t>2021</w:t>
      </w:r>
      <w:r>
        <w:rPr>
          <w:rFonts w:hint="eastAsia" w:ascii="宋体" w:hAnsi="宋体" w:cs="宋体"/>
          <w:color w:val="auto"/>
          <w:sz w:val="18"/>
          <w:szCs w:val="18"/>
          <w:highlight w:val="none"/>
        </w:rPr>
        <w:t>年</w:t>
      </w: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10</w:t>
      </w:r>
      <w:r>
        <w:rPr>
          <w:rFonts w:hint="eastAsia" w:ascii="宋体" w:hAnsi="宋体" w:cs="宋体"/>
          <w:color w:val="auto"/>
          <w:sz w:val="18"/>
          <w:szCs w:val="18"/>
          <w:highlight w:val="none"/>
        </w:rPr>
        <w:t>月”在其投标单位连续</w:t>
      </w:r>
      <w:r>
        <w:rPr>
          <w:rFonts w:ascii="宋体" w:hAnsi="宋体" w:cs="宋体"/>
          <w:color w:val="auto"/>
          <w:sz w:val="18"/>
          <w:szCs w:val="18"/>
          <w:highlight w:val="none"/>
        </w:rPr>
        <w:t>6个月参加社保的证明材料。</w:t>
      </w:r>
    </w:p>
    <w:p w14:paraId="61F52B5B">
      <w:pPr>
        <w:spacing w:line="20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5</w:t>
      </w:r>
      <w:r>
        <w:rPr>
          <w:rFonts w:ascii="宋体" w:hAnsi="宋体" w:cs="宋体"/>
          <w:color w:val="auto"/>
          <w:sz w:val="18"/>
          <w:szCs w:val="18"/>
          <w:highlight w:val="none"/>
        </w:rPr>
        <w:t>.</w:t>
      </w:r>
      <w:r>
        <w:rPr>
          <w:rFonts w:hint="eastAsia" w:ascii="宋体" w:hAnsi="宋体" w:cs="宋体"/>
          <w:color w:val="auto"/>
          <w:sz w:val="18"/>
          <w:szCs w:val="18"/>
          <w:highlight w:val="none"/>
        </w:rPr>
        <w:t>桥梁类型应从“梁式桥、拱式桥、悬索桥、斜拉桥、刚构桥、组合体系桥、其他</w:t>
      </w:r>
      <w:r>
        <w:rPr>
          <w:rFonts w:ascii="宋体" w:hAnsi="宋体" w:cs="宋体"/>
          <w:color w:val="auto"/>
          <w:sz w:val="18"/>
          <w:szCs w:val="18"/>
          <w:highlight w:val="none"/>
        </w:rPr>
        <w:t>”中</w:t>
      </w:r>
      <w:r>
        <w:rPr>
          <w:rFonts w:hint="eastAsia" w:ascii="宋体" w:hAnsi="宋体" w:cs="宋体"/>
          <w:color w:val="auto"/>
          <w:sz w:val="18"/>
          <w:szCs w:val="18"/>
          <w:highlight w:val="none"/>
        </w:rPr>
        <w:t>选择填写</w:t>
      </w:r>
      <w:r>
        <w:rPr>
          <w:rFonts w:ascii="宋体" w:hAnsi="宋体" w:cs="宋体"/>
          <w:color w:val="auto"/>
          <w:sz w:val="18"/>
          <w:szCs w:val="18"/>
          <w:highlight w:val="none"/>
        </w:rPr>
        <w:t>。</w:t>
      </w:r>
    </w:p>
    <w:p w14:paraId="181E6698">
      <w:pPr>
        <w:numPr>
          <w:ilvl w:val="-1"/>
          <w:numId w:val="0"/>
        </w:numPr>
        <w:spacing w:line="200" w:lineRule="exact"/>
        <w:ind w:left="0"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对于左右幅桥长不相同的</w:t>
      </w:r>
      <w:r>
        <w:rPr>
          <w:rFonts w:hint="eastAsia" w:ascii="宋体" w:hAnsi="宋体" w:cs="宋体"/>
          <w:color w:val="auto"/>
          <w:sz w:val="18"/>
          <w:szCs w:val="18"/>
          <w:highlight w:val="none"/>
          <w:lang w:val="en-US" w:eastAsia="zh-CN"/>
        </w:rPr>
        <w:t>桥梁，其桥梁</w:t>
      </w:r>
      <w:r>
        <w:rPr>
          <w:rFonts w:hint="eastAsia" w:ascii="宋体" w:hAnsi="宋体" w:cs="宋体"/>
          <w:color w:val="auto"/>
          <w:sz w:val="18"/>
          <w:szCs w:val="18"/>
          <w:highlight w:val="none"/>
        </w:rPr>
        <w:t>长度</w:t>
      </w:r>
      <w:r>
        <w:rPr>
          <w:rFonts w:hint="eastAsia" w:ascii="宋体" w:hAnsi="宋体" w:cs="宋体"/>
          <w:color w:val="auto"/>
          <w:sz w:val="18"/>
          <w:szCs w:val="18"/>
          <w:highlight w:val="none"/>
          <w:lang w:val="en-US" w:eastAsia="zh-CN"/>
        </w:rPr>
        <w:t>以左右幅长度较</w:t>
      </w:r>
      <w:r>
        <w:rPr>
          <w:rFonts w:hint="eastAsia" w:ascii="宋体" w:hAnsi="宋体" w:cs="宋体"/>
          <w:color w:val="auto"/>
          <w:sz w:val="18"/>
          <w:szCs w:val="18"/>
          <w:highlight w:val="none"/>
        </w:rPr>
        <w:t>长的为准；若只有单幅的，则以单幅桥梁</w:t>
      </w:r>
      <w:r>
        <w:rPr>
          <w:rFonts w:hint="eastAsia" w:ascii="宋体" w:hAnsi="宋体" w:cs="宋体"/>
          <w:color w:val="auto"/>
          <w:sz w:val="18"/>
          <w:szCs w:val="18"/>
          <w:highlight w:val="none"/>
          <w:lang w:val="en-US" w:eastAsia="zh-CN"/>
        </w:rPr>
        <w:t>长度</w:t>
      </w:r>
      <w:r>
        <w:rPr>
          <w:rFonts w:hint="eastAsia" w:ascii="宋体" w:hAnsi="宋体" w:cs="宋体"/>
          <w:color w:val="auto"/>
          <w:sz w:val="18"/>
          <w:szCs w:val="18"/>
          <w:highlight w:val="none"/>
        </w:rPr>
        <w:t>数据为准。</w:t>
      </w:r>
    </w:p>
    <w:p w14:paraId="638490E0">
      <w:pPr>
        <w:numPr>
          <w:ilvl w:val="-1"/>
          <w:numId w:val="0"/>
        </w:numPr>
        <w:spacing w:line="200" w:lineRule="exact"/>
        <w:ind w:lef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隧道机电工程施工系统类型应是隧道“监控系统、通风系统、供配电系统、照明系统、消防系统、其他”中的一种或多种。</w:t>
      </w:r>
    </w:p>
    <w:p w14:paraId="413572EA">
      <w:pPr>
        <w:shd w:val="clear" w:color="auto" w:fill="FFFFFF"/>
        <w:tabs>
          <w:tab w:val="left" w:pos="312"/>
        </w:tabs>
        <w:adjustRightInd w:val="0"/>
        <w:snapToGrid w:val="0"/>
        <w:spacing w:line="200" w:lineRule="exact"/>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rPr>
        <w:t>对于具有双洞的隧道，其承担隧道长度以左右线隧道长度</w:t>
      </w:r>
      <w:r>
        <w:rPr>
          <w:rFonts w:hint="eastAsia" w:ascii="宋体" w:hAnsi="宋体" w:cs="宋体"/>
          <w:color w:val="auto"/>
          <w:sz w:val="18"/>
          <w:szCs w:val="18"/>
          <w:highlight w:val="none"/>
          <w:lang w:val="en-US" w:eastAsia="zh-CN"/>
        </w:rPr>
        <w:t>较</w:t>
      </w:r>
      <w:r>
        <w:rPr>
          <w:rFonts w:hint="eastAsia" w:ascii="宋体" w:hAnsi="宋体" w:cs="宋体"/>
          <w:color w:val="auto"/>
          <w:sz w:val="18"/>
          <w:szCs w:val="18"/>
          <w:highlight w:val="none"/>
        </w:rPr>
        <w:t>长的为准；若只有单洞的，则以承担单洞隧道长度数据为准。隧道单洞长度不含斜井、竖井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支洞</w:t>
      </w:r>
      <w:r>
        <w:rPr>
          <w:rFonts w:hint="eastAsia" w:ascii="宋体" w:hAnsi="宋体" w:cs="宋体"/>
          <w:color w:val="auto"/>
          <w:sz w:val="18"/>
          <w:szCs w:val="18"/>
          <w:highlight w:val="none"/>
        </w:rPr>
        <w:t>。</w:t>
      </w:r>
    </w:p>
    <w:p w14:paraId="6BEABBDE">
      <w:pPr>
        <w:shd w:val="clear" w:color="auto" w:fill="FFFFFF"/>
        <w:tabs>
          <w:tab w:val="left" w:pos="312"/>
        </w:tabs>
        <w:adjustRightInd w:val="0"/>
        <w:snapToGrid w:val="0"/>
        <w:spacing w:line="200" w:lineRule="exact"/>
        <w:ind w:left="537" w:leftChars="170" w:hanging="180" w:hangingChars="1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9.</w:t>
      </w:r>
      <w:r>
        <w:rPr>
          <w:rFonts w:hint="eastAsia" w:ascii="宋体" w:hAnsi="宋体" w:cs="宋体"/>
          <w:color w:val="auto"/>
          <w:sz w:val="18"/>
          <w:szCs w:val="18"/>
          <w:highlight w:val="none"/>
        </w:rPr>
        <w:t>允许联合体投标时，</w:t>
      </w:r>
      <w:r>
        <w:rPr>
          <w:rFonts w:hint="eastAsia" w:ascii="宋体" w:hAnsi="宋体" w:cs="宋体"/>
          <w:color w:val="auto"/>
          <w:sz w:val="18"/>
          <w:szCs w:val="18"/>
          <w:highlight w:val="none"/>
          <w:lang w:val="en-US" w:eastAsia="zh-CN"/>
        </w:rPr>
        <w:t>若</w:t>
      </w:r>
      <w:r>
        <w:rPr>
          <w:rFonts w:hint="eastAsia" w:ascii="宋体" w:hAnsi="宋体" w:cs="宋体"/>
          <w:color w:val="auto"/>
          <w:sz w:val="18"/>
          <w:szCs w:val="18"/>
          <w:highlight w:val="none"/>
        </w:rPr>
        <w:t>以联合体形式投标的，</w:t>
      </w:r>
      <w:r>
        <w:rPr>
          <w:rFonts w:hint="eastAsia" w:ascii="宋体" w:hAnsi="宋体" w:cs="宋体"/>
          <w:color w:val="auto"/>
          <w:sz w:val="18"/>
          <w:szCs w:val="18"/>
          <w:highlight w:val="none"/>
          <w:lang w:val="en-US" w:eastAsia="zh-CN"/>
        </w:rPr>
        <w:t>项目总工</w:t>
      </w:r>
      <w:r>
        <w:rPr>
          <w:rFonts w:hint="eastAsia" w:ascii="宋体" w:hAnsi="宋体" w:cs="宋体"/>
          <w:color w:val="auto"/>
          <w:sz w:val="18"/>
          <w:szCs w:val="18"/>
          <w:highlight w:val="none"/>
        </w:rPr>
        <w:t>应按照第二章“投标人须知”前附表附录</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资格审查条件</w:t>
      </w:r>
      <w:r>
        <w:rPr>
          <w:rFonts w:hint="eastAsia" w:ascii="宋体" w:hAnsi="宋体" w:cs="宋体"/>
          <w:color w:val="auto"/>
          <w:sz w:val="18"/>
          <w:szCs w:val="18"/>
          <w:highlight w:val="none"/>
          <w:lang w:val="en-US" w:eastAsia="zh-CN"/>
        </w:rPr>
        <w:t>的</w:t>
      </w:r>
      <w:r>
        <w:rPr>
          <w:rFonts w:hint="eastAsia" w:ascii="宋体" w:hAnsi="宋体" w:cs="宋体"/>
          <w:color w:val="auto"/>
          <w:sz w:val="18"/>
          <w:szCs w:val="18"/>
          <w:highlight w:val="none"/>
        </w:rPr>
        <w:t>要求及</w:t>
      </w:r>
      <w:r>
        <w:rPr>
          <w:rFonts w:hint="eastAsia" w:ascii="宋体" w:hAnsi="宋体" w:cs="宋体"/>
          <w:color w:val="auto"/>
          <w:sz w:val="18"/>
          <w:szCs w:val="18"/>
          <w:highlight w:val="none"/>
          <w:lang w:val="en-US" w:eastAsia="zh-CN"/>
        </w:rPr>
        <w:t>第三章“评标办法”</w:t>
      </w:r>
      <w:r>
        <w:rPr>
          <w:rFonts w:hint="eastAsia" w:ascii="宋体" w:hAnsi="宋体" w:cs="宋体"/>
          <w:color w:val="auto"/>
          <w:sz w:val="18"/>
          <w:szCs w:val="18"/>
          <w:highlight w:val="none"/>
        </w:rPr>
        <w:t>详细评审打分条件（如有）填写</w:t>
      </w:r>
      <w:r>
        <w:rPr>
          <w:rFonts w:hint="eastAsia" w:ascii="宋体" w:hAnsi="宋体" w:cs="宋体"/>
          <w:color w:val="auto"/>
          <w:sz w:val="18"/>
          <w:szCs w:val="18"/>
          <w:highlight w:val="none"/>
          <w:lang w:val="en-US" w:eastAsia="zh-CN"/>
        </w:rPr>
        <w:t>本表</w:t>
      </w:r>
      <w:r>
        <w:rPr>
          <w:rFonts w:hint="eastAsia" w:ascii="宋体" w:hAnsi="宋体" w:cs="宋体"/>
          <w:color w:val="auto"/>
          <w:sz w:val="18"/>
          <w:szCs w:val="18"/>
          <w:highlight w:val="none"/>
        </w:rPr>
        <w:t>。</w:t>
      </w:r>
    </w:p>
    <w:p w14:paraId="37A9FA16">
      <w:pPr>
        <w:spacing w:line="200" w:lineRule="exact"/>
        <w:ind w:firstLine="360" w:firstLineChars="200"/>
        <w:rPr>
          <w:rFonts w:hint="eastAsia" w:ascii="宋体" w:hAnsi="宋体" w:cs="宋体"/>
          <w:color w:val="auto"/>
          <w:sz w:val="18"/>
          <w:szCs w:val="18"/>
          <w:highlight w:val="none"/>
        </w:rPr>
        <w:sectPr>
          <w:footnotePr>
            <w:numFmt w:val="decimalEnclosedCircleChinese"/>
            <w:numRestart w:val="eachPage"/>
          </w:footnotePr>
          <w:type w:val="continuous"/>
          <w:pgSz w:w="16838" w:h="11900" w:orient="landscape"/>
          <w:pgMar w:top="1701" w:right="1417" w:bottom="1417" w:left="1417" w:header="850" w:footer="624" w:gutter="0"/>
          <w:cols w:space="0" w:num="1"/>
          <w:rtlGutter w:val="0"/>
          <w:docGrid w:linePitch="286" w:charSpace="0"/>
        </w:sectPr>
      </w:pPr>
    </w:p>
    <w:p w14:paraId="18599FAB">
      <w:pPr>
        <w:pStyle w:val="6"/>
        <w:rPr>
          <w:rFonts w:ascii="黑体" w:hAnsi="黑体" w:eastAsia="黑体"/>
          <w:color w:val="auto"/>
          <w:szCs w:val="30"/>
          <w:highlight w:val="none"/>
        </w:rPr>
      </w:pPr>
      <w:r>
        <w:rPr>
          <w:rFonts w:hint="eastAsia"/>
          <w:b w:val="0"/>
          <w:bCs w:val="0"/>
          <w:color w:val="auto"/>
          <w:highlight w:val="none"/>
        </w:rPr>
        <w:t>□（七）拟委任的其他管理和技术</w:t>
      </w:r>
      <w:r>
        <w:rPr>
          <w:b w:val="0"/>
          <w:bCs w:val="0"/>
          <w:color w:val="auto"/>
          <w:highlight w:val="none"/>
        </w:rPr>
        <w:t>人员</w:t>
      </w:r>
      <w:r>
        <w:rPr>
          <w:rFonts w:hint="eastAsia"/>
          <w:b w:val="0"/>
          <w:bCs w:val="0"/>
          <w:color w:val="auto"/>
          <w:highlight w:val="none"/>
        </w:rPr>
        <w:t>资历表</w:t>
      </w:r>
    </w:p>
    <w:p w14:paraId="3C35ED79">
      <w:pPr>
        <w:rPr>
          <w:rFonts w:ascii="宋体" w:hAnsi="宋体"/>
          <w:b/>
          <w:color w:val="auto"/>
          <w:sz w:val="30"/>
          <w:szCs w:val="30"/>
          <w:highlight w:val="none"/>
        </w:rPr>
      </w:pPr>
    </w:p>
    <w:p w14:paraId="3756C6B0">
      <w:pPr>
        <w:rPr>
          <w:rFonts w:ascii="宋体" w:hAnsi="宋体"/>
          <w:b/>
          <w:color w:val="auto"/>
          <w:sz w:val="30"/>
          <w:szCs w:val="30"/>
          <w:highlight w:val="none"/>
        </w:rPr>
      </w:pPr>
    </w:p>
    <w:p w14:paraId="21F724F3">
      <w:pPr>
        <w:spacing w:line="360" w:lineRule="auto"/>
        <w:rPr>
          <w:rFonts w:ascii="宋体" w:hAnsi="宋体"/>
          <w:color w:val="auto"/>
          <w:sz w:val="24"/>
          <w:highlight w:val="none"/>
        </w:rPr>
      </w:pPr>
    </w:p>
    <w:p w14:paraId="2A3D5EE7">
      <w:pPr>
        <w:spacing w:line="360" w:lineRule="auto"/>
        <w:rPr>
          <w:rFonts w:ascii="宋体" w:hAnsi="宋体"/>
          <w:color w:val="auto"/>
          <w:sz w:val="24"/>
          <w:highlight w:val="none"/>
        </w:rPr>
      </w:pPr>
    </w:p>
    <w:p w14:paraId="66A588D3">
      <w:pPr>
        <w:spacing w:line="360" w:lineRule="auto"/>
        <w:ind w:firstLine="420" w:firstLineChars="200"/>
        <w:rPr>
          <w:rFonts w:hint="eastAsia" w:ascii="宋体" w:hAnsi="宋体"/>
          <w:color w:val="auto"/>
          <w:szCs w:val="21"/>
          <w:highlight w:val="none"/>
        </w:rPr>
      </w:pPr>
    </w:p>
    <w:p w14:paraId="33D7170A">
      <w:pPr>
        <w:spacing w:line="360" w:lineRule="auto"/>
        <w:ind w:firstLine="420" w:firstLineChars="200"/>
        <w:rPr>
          <w:rFonts w:hint="eastAsia" w:ascii="宋体" w:hAnsi="宋体"/>
          <w:color w:val="auto"/>
          <w:szCs w:val="21"/>
          <w:highlight w:val="none"/>
        </w:rPr>
      </w:pPr>
    </w:p>
    <w:p w14:paraId="31D4A9C6">
      <w:pPr>
        <w:spacing w:line="360" w:lineRule="auto"/>
        <w:ind w:firstLine="420" w:firstLineChars="200"/>
        <w:rPr>
          <w:rFonts w:hint="eastAsia" w:ascii="宋体" w:hAnsi="宋体"/>
          <w:color w:val="auto"/>
          <w:szCs w:val="21"/>
          <w:highlight w:val="none"/>
        </w:rPr>
      </w:pPr>
    </w:p>
    <w:p w14:paraId="621F8CFB">
      <w:pPr>
        <w:spacing w:line="360" w:lineRule="auto"/>
        <w:ind w:firstLine="420" w:firstLineChars="200"/>
        <w:rPr>
          <w:rFonts w:hint="eastAsia" w:ascii="宋体" w:hAnsi="宋体"/>
          <w:color w:val="auto"/>
          <w:szCs w:val="21"/>
          <w:highlight w:val="none"/>
        </w:rPr>
      </w:pPr>
    </w:p>
    <w:p w14:paraId="36AFA73E">
      <w:pPr>
        <w:spacing w:line="360" w:lineRule="auto"/>
        <w:ind w:firstLine="420" w:firstLineChars="200"/>
        <w:rPr>
          <w:rFonts w:hint="eastAsia" w:ascii="宋体" w:hAnsi="宋体"/>
          <w:color w:val="auto"/>
          <w:szCs w:val="21"/>
          <w:highlight w:val="none"/>
        </w:rPr>
      </w:pPr>
    </w:p>
    <w:p w14:paraId="4A1135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：招标人</w:t>
      </w:r>
      <w:r>
        <w:rPr>
          <w:rFonts w:hint="eastAsia" w:ascii="宋体" w:hAnsi="宋体"/>
          <w:color w:val="auto"/>
          <w:szCs w:val="21"/>
          <w:highlight w:val="none"/>
        </w:rPr>
        <w:t>可参照</w:t>
      </w:r>
      <w:r>
        <w:rPr>
          <w:rFonts w:ascii="宋体" w:hAnsi="宋体"/>
          <w:color w:val="auto"/>
          <w:szCs w:val="21"/>
          <w:highlight w:val="none"/>
        </w:rPr>
        <w:t>项目经理或项目总工资历表格式，并根据</w:t>
      </w:r>
      <w:r>
        <w:rPr>
          <w:rFonts w:hint="eastAsia" w:ascii="宋体" w:hAnsi="宋体"/>
          <w:color w:val="auto"/>
          <w:szCs w:val="21"/>
          <w:highlight w:val="none"/>
        </w:rPr>
        <w:t>项目情况</w:t>
      </w:r>
      <w:r>
        <w:rPr>
          <w:rFonts w:ascii="宋体" w:hAnsi="宋体"/>
          <w:color w:val="auto"/>
          <w:szCs w:val="21"/>
          <w:highlight w:val="none"/>
        </w:rPr>
        <w:t>自行设定表格形式，但应反映第二章</w:t>
      </w:r>
      <w:r>
        <w:rPr>
          <w:rFonts w:hint="eastAsia" w:ascii="宋体" w:hAnsi="宋体"/>
          <w:color w:val="auto"/>
          <w:szCs w:val="21"/>
          <w:highlight w:val="none"/>
        </w:rPr>
        <w:t>“投标人须知”附录</w:t>
      </w:r>
      <w:r>
        <w:rPr>
          <w:rFonts w:ascii="宋体" w:hAnsi="宋体"/>
          <w:color w:val="auto"/>
          <w:szCs w:val="21"/>
          <w:highlight w:val="none"/>
        </w:rPr>
        <w:t>6资格审查条件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其他管理和技术人员最低要求</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val="en-US" w:eastAsia="zh-CN"/>
        </w:rPr>
        <w:t>第三章“评标办法”</w:t>
      </w:r>
      <w:r>
        <w:rPr>
          <w:rFonts w:ascii="宋体" w:hAnsi="宋体"/>
          <w:color w:val="auto"/>
          <w:szCs w:val="21"/>
          <w:highlight w:val="none"/>
        </w:rPr>
        <w:t>详细评审</w:t>
      </w:r>
      <w:r>
        <w:rPr>
          <w:rFonts w:hint="eastAsia" w:ascii="宋体" w:hAnsi="宋体"/>
          <w:color w:val="auto"/>
          <w:szCs w:val="21"/>
          <w:highlight w:val="none"/>
          <w:lang w:val="en-US" w:eastAsia="zh-CN"/>
        </w:rPr>
        <w:t>打</w:t>
      </w:r>
      <w:r>
        <w:rPr>
          <w:rFonts w:ascii="宋体" w:hAnsi="宋体"/>
          <w:color w:val="auto"/>
          <w:szCs w:val="21"/>
          <w:highlight w:val="none"/>
        </w:rPr>
        <w:t>分</w:t>
      </w:r>
      <w:r>
        <w:rPr>
          <w:rFonts w:hint="eastAsia" w:ascii="宋体" w:hAnsi="宋体"/>
          <w:color w:val="auto"/>
          <w:szCs w:val="21"/>
          <w:highlight w:val="none"/>
        </w:rPr>
        <w:t>（如有）</w:t>
      </w:r>
      <w:r>
        <w:rPr>
          <w:rFonts w:ascii="宋体" w:hAnsi="宋体"/>
          <w:color w:val="auto"/>
          <w:szCs w:val="21"/>
          <w:highlight w:val="none"/>
        </w:rPr>
        <w:t>要求</w:t>
      </w:r>
      <w:r>
        <w:rPr>
          <w:rFonts w:hint="eastAsia" w:ascii="宋体" w:hAnsi="宋体"/>
          <w:color w:val="auto"/>
          <w:szCs w:val="21"/>
          <w:highlight w:val="none"/>
        </w:rPr>
        <w:t>的</w:t>
      </w:r>
      <w:r>
        <w:rPr>
          <w:rFonts w:ascii="宋体" w:hAnsi="宋体"/>
          <w:color w:val="auto"/>
          <w:szCs w:val="21"/>
          <w:highlight w:val="none"/>
        </w:rPr>
        <w:t>内容</w:t>
      </w:r>
      <w:r>
        <w:rPr>
          <w:rFonts w:hint="eastAsia" w:ascii="宋体" w:hAnsi="宋体"/>
          <w:color w:val="auto"/>
          <w:szCs w:val="21"/>
          <w:highlight w:val="none"/>
          <w:lang w:val="en-US" w:eastAsia="zh-CN"/>
        </w:rPr>
        <w:t>并提供相应的证明材料（如要求）</w:t>
      </w:r>
      <w:r>
        <w:rPr>
          <w:rFonts w:ascii="宋体" w:hAnsi="宋体"/>
          <w:color w:val="auto"/>
          <w:szCs w:val="21"/>
          <w:highlight w:val="none"/>
        </w:rPr>
        <w:t>。</w:t>
      </w:r>
    </w:p>
    <w:p w14:paraId="3F4B23E5">
      <w:pPr>
        <w:spacing w:line="360" w:lineRule="auto"/>
        <w:rPr>
          <w:rFonts w:ascii="宋体" w:hAnsi="宋体"/>
          <w:color w:val="auto"/>
          <w:sz w:val="24"/>
          <w:highlight w:val="none"/>
        </w:rPr>
      </w:pPr>
    </w:p>
    <w:p w14:paraId="6D925E15">
      <w:pPr>
        <w:spacing w:line="360" w:lineRule="auto"/>
        <w:rPr>
          <w:rFonts w:ascii="宋体" w:hAnsi="宋体"/>
          <w:color w:val="auto"/>
          <w:sz w:val="24"/>
          <w:highlight w:val="none"/>
        </w:rPr>
      </w:pPr>
    </w:p>
    <w:p w14:paraId="6F54EC55">
      <w:pPr>
        <w:spacing w:line="360" w:lineRule="auto"/>
        <w:rPr>
          <w:rFonts w:ascii="宋体" w:hAnsi="宋体"/>
          <w:color w:val="auto"/>
          <w:sz w:val="24"/>
          <w:highlight w:val="none"/>
        </w:rPr>
      </w:pPr>
    </w:p>
    <w:p w14:paraId="3AF17CA3">
      <w:pPr>
        <w:spacing w:line="360" w:lineRule="auto"/>
        <w:rPr>
          <w:rFonts w:ascii="宋体" w:hAnsi="宋体"/>
          <w:color w:val="auto"/>
          <w:sz w:val="24"/>
          <w:highlight w:val="none"/>
        </w:rPr>
      </w:pPr>
    </w:p>
    <w:p w14:paraId="425E3F8B">
      <w:pPr>
        <w:spacing w:line="360" w:lineRule="auto"/>
        <w:rPr>
          <w:rFonts w:ascii="宋体" w:hAnsi="宋体"/>
          <w:color w:val="auto"/>
          <w:sz w:val="24"/>
          <w:highlight w:val="none"/>
        </w:rPr>
      </w:pPr>
    </w:p>
    <w:p w14:paraId="6AEA4C24">
      <w:pPr>
        <w:spacing w:line="360" w:lineRule="auto"/>
        <w:rPr>
          <w:rFonts w:ascii="宋体" w:hAnsi="宋体"/>
          <w:color w:val="auto"/>
          <w:sz w:val="24"/>
          <w:highlight w:val="none"/>
        </w:rPr>
      </w:pPr>
    </w:p>
    <w:p w14:paraId="26DCEBA2">
      <w:pPr>
        <w:spacing w:line="360" w:lineRule="auto"/>
        <w:rPr>
          <w:rFonts w:ascii="宋体" w:hAnsi="宋体"/>
          <w:color w:val="auto"/>
          <w:sz w:val="24"/>
          <w:highlight w:val="none"/>
        </w:rPr>
      </w:pPr>
    </w:p>
    <w:p w14:paraId="3119B44D">
      <w:pPr>
        <w:spacing w:line="360" w:lineRule="auto"/>
        <w:rPr>
          <w:rFonts w:ascii="宋体" w:hAnsi="宋体"/>
          <w:color w:val="auto"/>
          <w:sz w:val="24"/>
          <w:highlight w:val="none"/>
        </w:rPr>
      </w:pPr>
    </w:p>
    <w:p w14:paraId="44FFB7CB">
      <w:pPr>
        <w:spacing w:line="360" w:lineRule="auto"/>
        <w:rPr>
          <w:rFonts w:ascii="宋体" w:hAnsi="宋体"/>
          <w:color w:val="auto"/>
          <w:sz w:val="24"/>
          <w:highlight w:val="none"/>
        </w:rPr>
      </w:pPr>
    </w:p>
    <w:p w14:paraId="674D8C3A">
      <w:pPr>
        <w:spacing w:line="360" w:lineRule="auto"/>
        <w:rPr>
          <w:rFonts w:ascii="宋体" w:hAnsi="宋体"/>
          <w:color w:val="auto"/>
          <w:sz w:val="24"/>
          <w:highlight w:val="none"/>
        </w:rPr>
      </w:pPr>
    </w:p>
    <w:p w14:paraId="1994B767">
      <w:pPr>
        <w:spacing w:line="360" w:lineRule="auto"/>
        <w:rPr>
          <w:rFonts w:ascii="宋体" w:hAnsi="宋体"/>
          <w:color w:val="auto"/>
          <w:sz w:val="24"/>
          <w:highlight w:val="none"/>
        </w:rPr>
      </w:pPr>
    </w:p>
    <w:p w14:paraId="6804F390">
      <w:pPr>
        <w:spacing w:line="360" w:lineRule="auto"/>
        <w:rPr>
          <w:rFonts w:ascii="宋体" w:hAnsi="宋体"/>
          <w:color w:val="auto"/>
          <w:sz w:val="24"/>
          <w:highlight w:val="none"/>
        </w:rPr>
      </w:pPr>
    </w:p>
    <w:p w14:paraId="1F3D1ABD">
      <w:pPr>
        <w:spacing w:line="360" w:lineRule="auto"/>
        <w:rPr>
          <w:rFonts w:ascii="宋体" w:hAnsi="宋体"/>
          <w:color w:val="auto"/>
          <w:sz w:val="24"/>
          <w:highlight w:val="none"/>
        </w:rPr>
      </w:pPr>
    </w:p>
    <w:p w14:paraId="5B4FA04C">
      <w:pPr>
        <w:spacing w:line="360" w:lineRule="auto"/>
        <w:rPr>
          <w:rFonts w:ascii="宋体" w:hAnsi="宋体"/>
          <w:color w:val="auto"/>
          <w:sz w:val="24"/>
          <w:highlight w:val="none"/>
        </w:rPr>
      </w:pPr>
    </w:p>
    <w:p w14:paraId="1C46BA73">
      <w:pPr>
        <w:rPr>
          <w:rFonts w:ascii="宋体" w:hAnsi="宋体"/>
          <w:b/>
          <w:color w:val="auto"/>
          <w:sz w:val="30"/>
          <w:szCs w:val="30"/>
          <w:highlight w:val="none"/>
        </w:rPr>
      </w:pPr>
    </w:p>
    <w:p w14:paraId="44865188">
      <w:pPr>
        <w:rPr>
          <w:rFonts w:ascii="宋体" w:hAnsi="宋体"/>
          <w:b/>
          <w:color w:val="auto"/>
          <w:sz w:val="30"/>
          <w:szCs w:val="30"/>
          <w:highlight w:val="none"/>
        </w:rPr>
      </w:pPr>
    </w:p>
    <w:p w14:paraId="2720A513">
      <w:pPr>
        <w:rPr>
          <w:rFonts w:ascii="宋体" w:hAnsi="宋体"/>
          <w:b/>
          <w:color w:val="auto"/>
          <w:sz w:val="30"/>
          <w:szCs w:val="30"/>
          <w:highlight w:val="none"/>
        </w:rPr>
      </w:pPr>
    </w:p>
    <w:p w14:paraId="56604075">
      <w:pPr>
        <w:rPr>
          <w:rFonts w:ascii="宋体" w:hAnsi="宋体"/>
          <w:b/>
          <w:color w:val="auto"/>
          <w:szCs w:val="30"/>
          <w:highlight w:val="none"/>
        </w:rPr>
      </w:pPr>
    </w:p>
    <w:p w14:paraId="54F0FD19">
      <w:pPr>
        <w:jc w:val="left"/>
        <w:rPr>
          <w:rFonts w:hint="eastAsia" w:ascii="黑体" w:hAnsi="黑体" w:eastAsia="黑体" w:cs="黑体"/>
          <w:b/>
          <w:color w:val="auto"/>
          <w:szCs w:val="28"/>
          <w:highlight w:val="none"/>
        </w:rPr>
      </w:pPr>
      <w:r>
        <w:rPr>
          <w:rFonts w:hint="eastAsia" w:ascii="黑体" w:hAnsi="黑体" w:eastAsia="黑体" w:cs="黑体"/>
          <w:b/>
          <w:color w:val="auto"/>
          <w:szCs w:val="28"/>
          <w:highlight w:val="none"/>
        </w:rPr>
        <w:br w:type="page"/>
      </w:r>
    </w:p>
    <w:p w14:paraId="72DC4C28">
      <w:pPr>
        <w:pStyle w:val="6"/>
        <w:rPr>
          <w:rFonts w:ascii="黑体" w:hAnsi="黑体" w:eastAsia="黑体"/>
          <w:color w:val="auto"/>
          <w:szCs w:val="30"/>
          <w:highlight w:val="none"/>
        </w:rPr>
      </w:pPr>
      <w:r>
        <w:rPr>
          <w:rFonts w:hint="eastAsia"/>
          <w:b w:val="0"/>
          <w:bCs w:val="0"/>
          <w:color w:val="auto"/>
          <w:highlight w:val="none"/>
        </w:rPr>
        <w:t>□（八）拟投入本标段的</w:t>
      </w:r>
      <w:r>
        <w:rPr>
          <w:b w:val="0"/>
          <w:bCs w:val="0"/>
          <w:color w:val="auto"/>
          <w:highlight w:val="none"/>
        </w:rPr>
        <w:t>主要施工机械</w:t>
      </w:r>
      <w:r>
        <w:rPr>
          <w:rFonts w:hint="eastAsia"/>
          <w:b w:val="0"/>
          <w:bCs w:val="0"/>
          <w:color w:val="auto"/>
          <w:highlight w:val="none"/>
        </w:rPr>
        <w:t>表</w:t>
      </w:r>
    </w:p>
    <w:p w14:paraId="0C02E2D0">
      <w:pPr>
        <w:rPr>
          <w:rFonts w:ascii="宋体" w:hAnsi="宋体"/>
          <w:b/>
          <w:color w:val="auto"/>
          <w:sz w:val="30"/>
          <w:szCs w:val="30"/>
          <w:highlight w:val="none"/>
        </w:rPr>
      </w:pPr>
    </w:p>
    <w:tbl>
      <w:tblPr>
        <w:tblStyle w:val="4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645"/>
        <w:gridCol w:w="1247"/>
        <w:gridCol w:w="2138"/>
      </w:tblGrid>
      <w:tr w14:paraId="0748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C3BAEE7">
            <w:pPr>
              <w:spacing w:line="4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4645" w:type="dxa"/>
            <w:vAlign w:val="center"/>
          </w:tcPr>
          <w:p w14:paraId="067E3081">
            <w:pPr>
              <w:spacing w:line="40" w:lineRule="atLeast"/>
              <w:jc w:val="center"/>
              <w:rPr>
                <w:rFonts w:ascii="宋体" w:hAnsi="宋体"/>
                <w:color w:val="auto"/>
                <w:szCs w:val="21"/>
                <w:highlight w:val="none"/>
              </w:rPr>
            </w:pPr>
            <w:r>
              <w:rPr>
                <w:rFonts w:hint="eastAsia" w:ascii="宋体" w:hAnsi="宋体"/>
                <w:color w:val="auto"/>
                <w:szCs w:val="21"/>
                <w:highlight w:val="none"/>
              </w:rPr>
              <w:t>机械设备名称及规格</w:t>
            </w:r>
          </w:p>
        </w:tc>
        <w:tc>
          <w:tcPr>
            <w:tcW w:w="1247" w:type="dxa"/>
            <w:vAlign w:val="center"/>
          </w:tcPr>
          <w:p w14:paraId="422E55CA">
            <w:pPr>
              <w:spacing w:line="40" w:lineRule="atLeast"/>
              <w:jc w:val="center"/>
              <w:rPr>
                <w:rFonts w:ascii="宋体" w:hAnsi="宋体"/>
                <w:color w:val="auto"/>
                <w:szCs w:val="21"/>
                <w:highlight w:val="none"/>
              </w:rPr>
            </w:pPr>
            <w:r>
              <w:rPr>
                <w:rFonts w:hint="eastAsia" w:ascii="宋体" w:hAnsi="宋体"/>
                <w:color w:val="auto"/>
                <w:szCs w:val="21"/>
                <w:highlight w:val="none"/>
              </w:rPr>
              <w:t>单位</w:t>
            </w:r>
          </w:p>
        </w:tc>
        <w:tc>
          <w:tcPr>
            <w:tcW w:w="2138" w:type="dxa"/>
            <w:vAlign w:val="center"/>
          </w:tcPr>
          <w:p w14:paraId="10C1705C">
            <w:pPr>
              <w:widowControl/>
              <w:spacing w:line="40" w:lineRule="atLeast"/>
              <w:jc w:val="center"/>
              <w:rPr>
                <w:rFonts w:ascii="宋体" w:hAnsi="宋体"/>
                <w:color w:val="auto"/>
                <w:szCs w:val="21"/>
                <w:highlight w:val="none"/>
              </w:rPr>
            </w:pPr>
            <w:r>
              <w:rPr>
                <w:rFonts w:hint="eastAsia" w:ascii="宋体" w:hAnsi="宋体"/>
                <w:color w:val="auto"/>
                <w:szCs w:val="21"/>
                <w:highlight w:val="none"/>
              </w:rPr>
              <w:t>数量</w:t>
            </w:r>
          </w:p>
        </w:tc>
      </w:tr>
      <w:tr w14:paraId="6601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200496CB">
            <w:pPr>
              <w:spacing w:line="40" w:lineRule="atLeast"/>
              <w:jc w:val="center"/>
              <w:rPr>
                <w:rFonts w:ascii="宋体" w:hAnsi="宋体"/>
                <w:color w:val="auto"/>
                <w:szCs w:val="21"/>
                <w:highlight w:val="none"/>
              </w:rPr>
            </w:pPr>
          </w:p>
        </w:tc>
        <w:tc>
          <w:tcPr>
            <w:tcW w:w="4645" w:type="dxa"/>
            <w:vAlign w:val="center"/>
          </w:tcPr>
          <w:p w14:paraId="2623857C">
            <w:pPr>
              <w:widowControl/>
              <w:rPr>
                <w:rFonts w:ascii="宋体" w:hAnsi="宋体"/>
                <w:color w:val="auto"/>
                <w:szCs w:val="21"/>
                <w:highlight w:val="none"/>
              </w:rPr>
            </w:pPr>
          </w:p>
        </w:tc>
        <w:tc>
          <w:tcPr>
            <w:tcW w:w="1247" w:type="dxa"/>
            <w:vAlign w:val="center"/>
          </w:tcPr>
          <w:p w14:paraId="30CF0887">
            <w:pPr>
              <w:widowControl/>
              <w:jc w:val="center"/>
              <w:rPr>
                <w:rFonts w:ascii="宋体" w:hAnsi="宋体" w:cs="宋体"/>
                <w:color w:val="auto"/>
                <w:kern w:val="0"/>
                <w:szCs w:val="21"/>
                <w:highlight w:val="none"/>
              </w:rPr>
            </w:pPr>
          </w:p>
        </w:tc>
        <w:tc>
          <w:tcPr>
            <w:tcW w:w="2138" w:type="dxa"/>
            <w:vAlign w:val="center"/>
          </w:tcPr>
          <w:p w14:paraId="744579A9">
            <w:pPr>
              <w:jc w:val="center"/>
              <w:rPr>
                <w:rFonts w:ascii="宋体" w:hAnsi="宋体" w:cs="宋体"/>
                <w:color w:val="auto"/>
                <w:kern w:val="0"/>
                <w:szCs w:val="21"/>
                <w:highlight w:val="none"/>
              </w:rPr>
            </w:pPr>
          </w:p>
        </w:tc>
      </w:tr>
      <w:tr w14:paraId="0A3D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21B530B">
            <w:pPr>
              <w:spacing w:line="40" w:lineRule="atLeast"/>
              <w:jc w:val="center"/>
              <w:rPr>
                <w:rFonts w:ascii="宋体" w:hAnsi="宋体"/>
                <w:color w:val="auto"/>
                <w:szCs w:val="21"/>
                <w:highlight w:val="none"/>
              </w:rPr>
            </w:pPr>
          </w:p>
        </w:tc>
        <w:tc>
          <w:tcPr>
            <w:tcW w:w="4645" w:type="dxa"/>
            <w:vAlign w:val="center"/>
          </w:tcPr>
          <w:p w14:paraId="0C26E732">
            <w:pPr>
              <w:widowControl/>
              <w:rPr>
                <w:rFonts w:ascii="宋体" w:hAnsi="宋体"/>
                <w:color w:val="auto"/>
                <w:szCs w:val="21"/>
                <w:highlight w:val="none"/>
              </w:rPr>
            </w:pPr>
          </w:p>
        </w:tc>
        <w:tc>
          <w:tcPr>
            <w:tcW w:w="1247" w:type="dxa"/>
            <w:vAlign w:val="center"/>
          </w:tcPr>
          <w:p w14:paraId="704AFA13">
            <w:pPr>
              <w:widowControl/>
              <w:jc w:val="center"/>
              <w:rPr>
                <w:rFonts w:ascii="宋体" w:hAnsi="宋体" w:cs="宋体"/>
                <w:color w:val="auto"/>
                <w:kern w:val="0"/>
                <w:szCs w:val="21"/>
                <w:highlight w:val="none"/>
              </w:rPr>
            </w:pPr>
          </w:p>
        </w:tc>
        <w:tc>
          <w:tcPr>
            <w:tcW w:w="2138" w:type="dxa"/>
            <w:vAlign w:val="center"/>
          </w:tcPr>
          <w:p w14:paraId="1B95A441">
            <w:pPr>
              <w:jc w:val="center"/>
              <w:rPr>
                <w:rFonts w:ascii="宋体" w:hAnsi="宋体" w:cs="宋体"/>
                <w:color w:val="auto"/>
                <w:kern w:val="0"/>
                <w:szCs w:val="21"/>
                <w:highlight w:val="none"/>
              </w:rPr>
            </w:pPr>
          </w:p>
        </w:tc>
      </w:tr>
      <w:tr w14:paraId="4A77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F25D1DF">
            <w:pPr>
              <w:spacing w:line="40" w:lineRule="atLeast"/>
              <w:jc w:val="center"/>
              <w:rPr>
                <w:rFonts w:ascii="宋体" w:hAnsi="宋体"/>
                <w:color w:val="auto"/>
                <w:szCs w:val="21"/>
                <w:highlight w:val="none"/>
              </w:rPr>
            </w:pPr>
          </w:p>
        </w:tc>
        <w:tc>
          <w:tcPr>
            <w:tcW w:w="4645" w:type="dxa"/>
            <w:vAlign w:val="center"/>
          </w:tcPr>
          <w:p w14:paraId="3C2469E6">
            <w:pPr>
              <w:widowControl/>
              <w:rPr>
                <w:rFonts w:ascii="宋体" w:hAnsi="宋体" w:cs="宋体"/>
                <w:color w:val="auto"/>
                <w:kern w:val="0"/>
                <w:szCs w:val="21"/>
                <w:highlight w:val="none"/>
              </w:rPr>
            </w:pPr>
          </w:p>
        </w:tc>
        <w:tc>
          <w:tcPr>
            <w:tcW w:w="1247" w:type="dxa"/>
            <w:vAlign w:val="center"/>
          </w:tcPr>
          <w:p w14:paraId="4F020154">
            <w:pPr>
              <w:widowControl/>
              <w:jc w:val="center"/>
              <w:rPr>
                <w:rFonts w:ascii="宋体" w:hAnsi="宋体" w:cs="宋体"/>
                <w:color w:val="auto"/>
                <w:kern w:val="0"/>
                <w:szCs w:val="21"/>
                <w:highlight w:val="none"/>
              </w:rPr>
            </w:pPr>
          </w:p>
        </w:tc>
        <w:tc>
          <w:tcPr>
            <w:tcW w:w="2138" w:type="dxa"/>
            <w:vAlign w:val="center"/>
          </w:tcPr>
          <w:p w14:paraId="45314372">
            <w:pPr>
              <w:jc w:val="center"/>
              <w:rPr>
                <w:rFonts w:ascii="宋体" w:hAnsi="宋体" w:cs="宋体"/>
                <w:color w:val="auto"/>
                <w:kern w:val="0"/>
                <w:szCs w:val="21"/>
                <w:highlight w:val="none"/>
              </w:rPr>
            </w:pPr>
          </w:p>
        </w:tc>
      </w:tr>
      <w:tr w14:paraId="6548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6CBAC54">
            <w:pPr>
              <w:spacing w:line="40" w:lineRule="atLeast"/>
              <w:jc w:val="center"/>
              <w:rPr>
                <w:rFonts w:ascii="宋体" w:hAnsi="宋体"/>
                <w:color w:val="auto"/>
                <w:szCs w:val="21"/>
                <w:highlight w:val="none"/>
              </w:rPr>
            </w:pPr>
          </w:p>
        </w:tc>
        <w:tc>
          <w:tcPr>
            <w:tcW w:w="4645" w:type="dxa"/>
            <w:vAlign w:val="center"/>
          </w:tcPr>
          <w:p w14:paraId="3E668846">
            <w:pPr>
              <w:widowControl/>
              <w:rPr>
                <w:rFonts w:ascii="宋体" w:hAnsi="宋体" w:cs="宋体"/>
                <w:color w:val="auto"/>
                <w:kern w:val="0"/>
                <w:szCs w:val="21"/>
                <w:highlight w:val="none"/>
              </w:rPr>
            </w:pPr>
          </w:p>
        </w:tc>
        <w:tc>
          <w:tcPr>
            <w:tcW w:w="1247" w:type="dxa"/>
            <w:vAlign w:val="center"/>
          </w:tcPr>
          <w:p w14:paraId="36DC2B69">
            <w:pPr>
              <w:widowControl/>
              <w:jc w:val="center"/>
              <w:rPr>
                <w:rFonts w:ascii="宋体" w:hAnsi="宋体"/>
                <w:color w:val="auto"/>
                <w:kern w:val="0"/>
                <w:szCs w:val="21"/>
                <w:highlight w:val="none"/>
              </w:rPr>
            </w:pPr>
          </w:p>
        </w:tc>
        <w:tc>
          <w:tcPr>
            <w:tcW w:w="2138" w:type="dxa"/>
            <w:vAlign w:val="center"/>
          </w:tcPr>
          <w:p w14:paraId="3801D6FA">
            <w:pPr>
              <w:jc w:val="center"/>
              <w:rPr>
                <w:rFonts w:ascii="宋体" w:hAnsi="宋体" w:cs="宋体"/>
                <w:color w:val="auto"/>
                <w:kern w:val="0"/>
                <w:szCs w:val="21"/>
                <w:highlight w:val="none"/>
              </w:rPr>
            </w:pPr>
          </w:p>
        </w:tc>
      </w:tr>
      <w:tr w14:paraId="34B9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1029821B">
            <w:pPr>
              <w:spacing w:line="40" w:lineRule="atLeast"/>
              <w:jc w:val="center"/>
              <w:rPr>
                <w:rFonts w:ascii="宋体" w:hAnsi="宋体"/>
                <w:color w:val="auto"/>
                <w:szCs w:val="21"/>
                <w:highlight w:val="none"/>
              </w:rPr>
            </w:pPr>
          </w:p>
        </w:tc>
        <w:tc>
          <w:tcPr>
            <w:tcW w:w="4645" w:type="dxa"/>
            <w:vAlign w:val="center"/>
          </w:tcPr>
          <w:p w14:paraId="5D4F5E5D">
            <w:pPr>
              <w:widowControl/>
              <w:rPr>
                <w:rFonts w:ascii="宋体" w:hAnsi="宋体" w:cs="宋体"/>
                <w:color w:val="auto"/>
                <w:kern w:val="0"/>
                <w:szCs w:val="21"/>
                <w:highlight w:val="none"/>
              </w:rPr>
            </w:pPr>
          </w:p>
        </w:tc>
        <w:tc>
          <w:tcPr>
            <w:tcW w:w="1247" w:type="dxa"/>
            <w:vAlign w:val="center"/>
          </w:tcPr>
          <w:p w14:paraId="1BDBC0C9">
            <w:pPr>
              <w:widowControl/>
              <w:jc w:val="center"/>
              <w:rPr>
                <w:rFonts w:ascii="宋体" w:hAnsi="宋体"/>
                <w:color w:val="auto"/>
                <w:kern w:val="0"/>
                <w:szCs w:val="21"/>
                <w:highlight w:val="none"/>
              </w:rPr>
            </w:pPr>
          </w:p>
        </w:tc>
        <w:tc>
          <w:tcPr>
            <w:tcW w:w="2138" w:type="dxa"/>
            <w:vAlign w:val="center"/>
          </w:tcPr>
          <w:p w14:paraId="39F21DDB">
            <w:pPr>
              <w:jc w:val="center"/>
              <w:rPr>
                <w:rFonts w:ascii="宋体" w:hAnsi="宋体" w:cs="宋体"/>
                <w:color w:val="auto"/>
                <w:kern w:val="0"/>
                <w:szCs w:val="21"/>
                <w:highlight w:val="none"/>
              </w:rPr>
            </w:pPr>
          </w:p>
        </w:tc>
      </w:tr>
      <w:tr w14:paraId="1BE1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3E1EA209">
            <w:pPr>
              <w:spacing w:line="40" w:lineRule="atLeast"/>
              <w:jc w:val="center"/>
              <w:rPr>
                <w:rFonts w:ascii="宋体" w:hAnsi="宋体"/>
                <w:color w:val="auto"/>
                <w:szCs w:val="21"/>
                <w:highlight w:val="none"/>
              </w:rPr>
            </w:pPr>
          </w:p>
        </w:tc>
        <w:tc>
          <w:tcPr>
            <w:tcW w:w="4645" w:type="dxa"/>
            <w:vAlign w:val="center"/>
          </w:tcPr>
          <w:p w14:paraId="6D1754DB">
            <w:pPr>
              <w:widowControl/>
              <w:rPr>
                <w:rFonts w:ascii="宋体" w:hAnsi="宋体" w:cs="宋体"/>
                <w:color w:val="auto"/>
                <w:kern w:val="0"/>
                <w:szCs w:val="21"/>
                <w:highlight w:val="none"/>
              </w:rPr>
            </w:pPr>
          </w:p>
        </w:tc>
        <w:tc>
          <w:tcPr>
            <w:tcW w:w="1247" w:type="dxa"/>
            <w:vAlign w:val="center"/>
          </w:tcPr>
          <w:p w14:paraId="7884C65A">
            <w:pPr>
              <w:widowControl/>
              <w:jc w:val="center"/>
              <w:rPr>
                <w:rFonts w:ascii="宋体" w:hAnsi="宋体" w:cs="宋体"/>
                <w:color w:val="auto"/>
                <w:kern w:val="0"/>
                <w:szCs w:val="21"/>
                <w:highlight w:val="none"/>
              </w:rPr>
            </w:pPr>
          </w:p>
        </w:tc>
        <w:tc>
          <w:tcPr>
            <w:tcW w:w="2138" w:type="dxa"/>
            <w:vAlign w:val="center"/>
          </w:tcPr>
          <w:p w14:paraId="385D0CCC">
            <w:pPr>
              <w:jc w:val="center"/>
              <w:rPr>
                <w:rFonts w:ascii="宋体" w:hAnsi="宋体" w:cs="宋体"/>
                <w:color w:val="auto"/>
                <w:kern w:val="0"/>
                <w:szCs w:val="21"/>
                <w:highlight w:val="none"/>
              </w:rPr>
            </w:pPr>
          </w:p>
        </w:tc>
      </w:tr>
      <w:tr w14:paraId="70DC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3B15990">
            <w:pPr>
              <w:spacing w:line="40" w:lineRule="atLeast"/>
              <w:jc w:val="center"/>
              <w:rPr>
                <w:rFonts w:ascii="宋体" w:hAnsi="宋体"/>
                <w:color w:val="auto"/>
                <w:szCs w:val="21"/>
                <w:highlight w:val="none"/>
              </w:rPr>
            </w:pPr>
          </w:p>
        </w:tc>
        <w:tc>
          <w:tcPr>
            <w:tcW w:w="4645" w:type="dxa"/>
            <w:vAlign w:val="center"/>
          </w:tcPr>
          <w:p w14:paraId="2B63E0FD">
            <w:pPr>
              <w:widowControl/>
              <w:rPr>
                <w:rFonts w:ascii="宋体" w:hAnsi="宋体" w:cs="宋体"/>
                <w:color w:val="auto"/>
                <w:kern w:val="0"/>
                <w:szCs w:val="21"/>
                <w:highlight w:val="none"/>
              </w:rPr>
            </w:pPr>
          </w:p>
        </w:tc>
        <w:tc>
          <w:tcPr>
            <w:tcW w:w="1247" w:type="dxa"/>
            <w:vAlign w:val="center"/>
          </w:tcPr>
          <w:p w14:paraId="1A66DC83">
            <w:pPr>
              <w:widowControl/>
              <w:jc w:val="center"/>
              <w:rPr>
                <w:rFonts w:ascii="宋体" w:hAnsi="宋体" w:cs="宋体"/>
                <w:color w:val="auto"/>
                <w:kern w:val="0"/>
                <w:szCs w:val="21"/>
                <w:highlight w:val="none"/>
              </w:rPr>
            </w:pPr>
          </w:p>
        </w:tc>
        <w:tc>
          <w:tcPr>
            <w:tcW w:w="2138" w:type="dxa"/>
            <w:vAlign w:val="center"/>
          </w:tcPr>
          <w:p w14:paraId="21609E93">
            <w:pPr>
              <w:jc w:val="center"/>
              <w:rPr>
                <w:rFonts w:ascii="宋体" w:hAnsi="宋体" w:cs="宋体"/>
                <w:color w:val="auto"/>
                <w:kern w:val="0"/>
                <w:szCs w:val="21"/>
                <w:highlight w:val="none"/>
              </w:rPr>
            </w:pPr>
          </w:p>
        </w:tc>
      </w:tr>
      <w:tr w14:paraId="44BC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2F0ED451">
            <w:pPr>
              <w:spacing w:line="40" w:lineRule="atLeast"/>
              <w:jc w:val="center"/>
              <w:rPr>
                <w:rFonts w:ascii="宋体" w:hAnsi="宋体"/>
                <w:color w:val="auto"/>
                <w:szCs w:val="21"/>
                <w:highlight w:val="none"/>
              </w:rPr>
            </w:pPr>
          </w:p>
        </w:tc>
        <w:tc>
          <w:tcPr>
            <w:tcW w:w="4645" w:type="dxa"/>
            <w:vAlign w:val="center"/>
          </w:tcPr>
          <w:p w14:paraId="607C411E">
            <w:pPr>
              <w:widowControl/>
              <w:rPr>
                <w:rFonts w:ascii="宋体" w:hAnsi="宋体" w:cs="宋体"/>
                <w:color w:val="auto"/>
                <w:kern w:val="0"/>
                <w:szCs w:val="21"/>
                <w:highlight w:val="none"/>
              </w:rPr>
            </w:pPr>
          </w:p>
        </w:tc>
        <w:tc>
          <w:tcPr>
            <w:tcW w:w="1247" w:type="dxa"/>
            <w:vAlign w:val="center"/>
          </w:tcPr>
          <w:p w14:paraId="30E9A2A6">
            <w:pPr>
              <w:widowControl/>
              <w:jc w:val="center"/>
              <w:rPr>
                <w:rFonts w:ascii="宋体" w:hAnsi="宋体" w:cs="宋体"/>
                <w:color w:val="auto"/>
                <w:kern w:val="0"/>
                <w:szCs w:val="21"/>
                <w:highlight w:val="none"/>
              </w:rPr>
            </w:pPr>
          </w:p>
        </w:tc>
        <w:tc>
          <w:tcPr>
            <w:tcW w:w="2138" w:type="dxa"/>
            <w:vAlign w:val="center"/>
          </w:tcPr>
          <w:p w14:paraId="1DBBAC1D">
            <w:pPr>
              <w:jc w:val="center"/>
              <w:rPr>
                <w:rFonts w:ascii="宋体" w:hAnsi="宋体" w:cs="宋体"/>
                <w:color w:val="auto"/>
                <w:kern w:val="0"/>
                <w:szCs w:val="21"/>
                <w:highlight w:val="none"/>
              </w:rPr>
            </w:pPr>
          </w:p>
        </w:tc>
      </w:tr>
      <w:tr w14:paraId="0AF2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1957F0BB">
            <w:pPr>
              <w:spacing w:line="40" w:lineRule="atLeast"/>
              <w:jc w:val="center"/>
              <w:rPr>
                <w:rFonts w:ascii="宋体" w:hAnsi="宋体"/>
                <w:color w:val="auto"/>
                <w:szCs w:val="21"/>
                <w:highlight w:val="none"/>
              </w:rPr>
            </w:pPr>
          </w:p>
        </w:tc>
        <w:tc>
          <w:tcPr>
            <w:tcW w:w="4645" w:type="dxa"/>
            <w:vAlign w:val="center"/>
          </w:tcPr>
          <w:p w14:paraId="74F41D56">
            <w:pPr>
              <w:widowControl/>
              <w:rPr>
                <w:rFonts w:ascii="宋体" w:hAnsi="宋体" w:cs="宋体"/>
                <w:color w:val="auto"/>
                <w:kern w:val="0"/>
                <w:szCs w:val="21"/>
                <w:highlight w:val="none"/>
              </w:rPr>
            </w:pPr>
          </w:p>
        </w:tc>
        <w:tc>
          <w:tcPr>
            <w:tcW w:w="1247" w:type="dxa"/>
            <w:vAlign w:val="center"/>
          </w:tcPr>
          <w:p w14:paraId="44634D92">
            <w:pPr>
              <w:widowControl/>
              <w:jc w:val="center"/>
              <w:rPr>
                <w:rFonts w:ascii="宋体" w:hAnsi="宋体" w:cs="宋体"/>
                <w:color w:val="auto"/>
                <w:kern w:val="0"/>
                <w:szCs w:val="21"/>
                <w:highlight w:val="none"/>
              </w:rPr>
            </w:pPr>
          </w:p>
        </w:tc>
        <w:tc>
          <w:tcPr>
            <w:tcW w:w="2138" w:type="dxa"/>
            <w:vAlign w:val="center"/>
          </w:tcPr>
          <w:p w14:paraId="1B915512">
            <w:pPr>
              <w:jc w:val="center"/>
              <w:rPr>
                <w:rFonts w:ascii="宋体" w:hAnsi="宋体" w:cs="宋体"/>
                <w:color w:val="auto"/>
                <w:kern w:val="0"/>
                <w:szCs w:val="21"/>
                <w:highlight w:val="none"/>
              </w:rPr>
            </w:pPr>
          </w:p>
        </w:tc>
      </w:tr>
      <w:tr w14:paraId="40B5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7C9C6452">
            <w:pPr>
              <w:spacing w:line="40" w:lineRule="atLeast"/>
              <w:jc w:val="center"/>
              <w:rPr>
                <w:rFonts w:ascii="宋体" w:hAnsi="宋体"/>
                <w:color w:val="auto"/>
                <w:szCs w:val="21"/>
                <w:highlight w:val="none"/>
              </w:rPr>
            </w:pPr>
          </w:p>
        </w:tc>
        <w:tc>
          <w:tcPr>
            <w:tcW w:w="4645" w:type="dxa"/>
            <w:vAlign w:val="center"/>
          </w:tcPr>
          <w:p w14:paraId="0ACB779E">
            <w:pPr>
              <w:widowControl/>
              <w:rPr>
                <w:rFonts w:ascii="宋体" w:hAnsi="宋体" w:cs="宋体"/>
                <w:color w:val="auto"/>
                <w:kern w:val="0"/>
                <w:szCs w:val="21"/>
                <w:highlight w:val="none"/>
              </w:rPr>
            </w:pPr>
          </w:p>
        </w:tc>
        <w:tc>
          <w:tcPr>
            <w:tcW w:w="1247" w:type="dxa"/>
            <w:vAlign w:val="center"/>
          </w:tcPr>
          <w:p w14:paraId="4F2109D3">
            <w:pPr>
              <w:widowControl/>
              <w:jc w:val="center"/>
              <w:rPr>
                <w:rFonts w:ascii="宋体" w:hAnsi="宋体" w:cs="宋体"/>
                <w:color w:val="auto"/>
                <w:kern w:val="0"/>
                <w:szCs w:val="21"/>
                <w:highlight w:val="none"/>
              </w:rPr>
            </w:pPr>
          </w:p>
        </w:tc>
        <w:tc>
          <w:tcPr>
            <w:tcW w:w="2138" w:type="dxa"/>
            <w:vAlign w:val="center"/>
          </w:tcPr>
          <w:p w14:paraId="1E5534DA">
            <w:pPr>
              <w:jc w:val="center"/>
              <w:rPr>
                <w:rFonts w:ascii="宋体" w:hAnsi="宋体" w:cs="宋体"/>
                <w:color w:val="auto"/>
                <w:kern w:val="0"/>
                <w:szCs w:val="21"/>
                <w:highlight w:val="none"/>
              </w:rPr>
            </w:pPr>
          </w:p>
        </w:tc>
      </w:tr>
      <w:tr w14:paraId="442F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3BF272E">
            <w:pPr>
              <w:spacing w:line="40" w:lineRule="atLeast"/>
              <w:jc w:val="center"/>
              <w:rPr>
                <w:rFonts w:ascii="宋体" w:hAnsi="宋体"/>
                <w:color w:val="auto"/>
                <w:szCs w:val="21"/>
                <w:highlight w:val="none"/>
              </w:rPr>
            </w:pPr>
          </w:p>
        </w:tc>
        <w:tc>
          <w:tcPr>
            <w:tcW w:w="4645" w:type="dxa"/>
            <w:vAlign w:val="center"/>
          </w:tcPr>
          <w:p w14:paraId="6F098EE3">
            <w:pPr>
              <w:widowControl/>
              <w:rPr>
                <w:rFonts w:ascii="宋体" w:hAnsi="宋体" w:cs="宋体"/>
                <w:color w:val="auto"/>
                <w:kern w:val="0"/>
                <w:szCs w:val="21"/>
                <w:highlight w:val="none"/>
              </w:rPr>
            </w:pPr>
          </w:p>
        </w:tc>
        <w:tc>
          <w:tcPr>
            <w:tcW w:w="1247" w:type="dxa"/>
            <w:vAlign w:val="center"/>
          </w:tcPr>
          <w:p w14:paraId="6A8E4053">
            <w:pPr>
              <w:widowControl/>
              <w:jc w:val="center"/>
              <w:rPr>
                <w:rFonts w:ascii="宋体" w:hAnsi="宋体" w:cs="宋体"/>
                <w:color w:val="auto"/>
                <w:kern w:val="0"/>
                <w:szCs w:val="21"/>
                <w:highlight w:val="none"/>
              </w:rPr>
            </w:pPr>
          </w:p>
        </w:tc>
        <w:tc>
          <w:tcPr>
            <w:tcW w:w="2138" w:type="dxa"/>
            <w:vAlign w:val="center"/>
          </w:tcPr>
          <w:p w14:paraId="7DC94A1C">
            <w:pPr>
              <w:jc w:val="center"/>
              <w:rPr>
                <w:rFonts w:ascii="宋体" w:hAnsi="宋体" w:cs="宋体"/>
                <w:color w:val="auto"/>
                <w:kern w:val="0"/>
                <w:szCs w:val="21"/>
                <w:highlight w:val="none"/>
              </w:rPr>
            </w:pPr>
          </w:p>
        </w:tc>
      </w:tr>
      <w:tr w14:paraId="1C9F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BFA0BCD">
            <w:pPr>
              <w:spacing w:line="40" w:lineRule="atLeast"/>
              <w:jc w:val="center"/>
              <w:rPr>
                <w:rFonts w:ascii="宋体" w:hAnsi="宋体"/>
                <w:color w:val="auto"/>
                <w:szCs w:val="21"/>
                <w:highlight w:val="none"/>
              </w:rPr>
            </w:pPr>
          </w:p>
        </w:tc>
        <w:tc>
          <w:tcPr>
            <w:tcW w:w="4645" w:type="dxa"/>
            <w:vAlign w:val="center"/>
          </w:tcPr>
          <w:p w14:paraId="5145616D">
            <w:pPr>
              <w:widowControl/>
              <w:rPr>
                <w:rFonts w:ascii="宋体" w:hAnsi="宋体" w:cs="宋体"/>
                <w:color w:val="auto"/>
                <w:kern w:val="0"/>
                <w:szCs w:val="21"/>
                <w:highlight w:val="none"/>
              </w:rPr>
            </w:pPr>
          </w:p>
        </w:tc>
        <w:tc>
          <w:tcPr>
            <w:tcW w:w="1247" w:type="dxa"/>
            <w:vAlign w:val="center"/>
          </w:tcPr>
          <w:p w14:paraId="13050A02">
            <w:pPr>
              <w:widowControl/>
              <w:jc w:val="center"/>
              <w:rPr>
                <w:rFonts w:ascii="宋体" w:hAnsi="宋体" w:cs="宋体"/>
                <w:color w:val="auto"/>
                <w:kern w:val="0"/>
                <w:szCs w:val="21"/>
                <w:highlight w:val="none"/>
              </w:rPr>
            </w:pPr>
          </w:p>
        </w:tc>
        <w:tc>
          <w:tcPr>
            <w:tcW w:w="2138" w:type="dxa"/>
            <w:vAlign w:val="center"/>
          </w:tcPr>
          <w:p w14:paraId="60F39170">
            <w:pPr>
              <w:jc w:val="center"/>
              <w:rPr>
                <w:rFonts w:ascii="宋体" w:hAnsi="宋体" w:cs="宋体"/>
                <w:color w:val="auto"/>
                <w:kern w:val="0"/>
                <w:szCs w:val="21"/>
                <w:highlight w:val="none"/>
              </w:rPr>
            </w:pPr>
          </w:p>
        </w:tc>
      </w:tr>
    </w:tbl>
    <w:p w14:paraId="5B05AFC0">
      <w:pPr>
        <w:rPr>
          <w:rFonts w:ascii="宋体" w:hAnsi="宋体"/>
          <w:b/>
          <w:color w:val="auto"/>
          <w:sz w:val="30"/>
          <w:szCs w:val="30"/>
          <w:highlight w:val="none"/>
        </w:rPr>
      </w:pPr>
    </w:p>
    <w:p w14:paraId="3EA6FE21">
      <w:pPr>
        <w:spacing w:line="360" w:lineRule="auto"/>
        <w:ind w:left="420" w:hanging="420" w:hangingChars="200"/>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：招标人</w:t>
      </w:r>
      <w:r>
        <w:rPr>
          <w:rFonts w:hint="eastAsia" w:ascii="宋体" w:hAnsi="宋体"/>
          <w:color w:val="auto"/>
          <w:szCs w:val="21"/>
          <w:highlight w:val="none"/>
        </w:rPr>
        <w:t>可</w:t>
      </w:r>
      <w:r>
        <w:rPr>
          <w:rFonts w:ascii="宋体" w:hAnsi="宋体"/>
          <w:color w:val="auto"/>
          <w:szCs w:val="21"/>
          <w:highlight w:val="none"/>
        </w:rPr>
        <w:t>根据</w:t>
      </w:r>
      <w:r>
        <w:rPr>
          <w:rFonts w:hint="eastAsia" w:ascii="宋体" w:hAnsi="宋体"/>
          <w:color w:val="auto"/>
          <w:szCs w:val="21"/>
          <w:highlight w:val="none"/>
        </w:rPr>
        <w:t>项目情况</w:t>
      </w:r>
      <w:r>
        <w:rPr>
          <w:rFonts w:ascii="宋体" w:hAnsi="宋体"/>
          <w:color w:val="auto"/>
          <w:szCs w:val="21"/>
          <w:highlight w:val="none"/>
        </w:rPr>
        <w:t>自行设定表格形式，但应反映</w:t>
      </w:r>
      <w:r>
        <w:rPr>
          <w:rFonts w:hint="eastAsia" w:ascii="宋体" w:hAnsi="宋体"/>
          <w:color w:val="auto"/>
          <w:szCs w:val="21"/>
          <w:highlight w:val="none"/>
        </w:rPr>
        <w:t>第二章“投标人须知”附录</w:t>
      </w:r>
      <w:r>
        <w:rPr>
          <w:rFonts w:ascii="宋体" w:hAnsi="宋体"/>
          <w:color w:val="auto"/>
          <w:szCs w:val="21"/>
          <w:highlight w:val="none"/>
        </w:rPr>
        <w:t>7</w:t>
      </w:r>
      <w:r>
        <w:rPr>
          <w:rFonts w:hint="eastAsia" w:ascii="宋体" w:hAnsi="宋体"/>
          <w:color w:val="auto"/>
          <w:szCs w:val="21"/>
          <w:highlight w:val="none"/>
        </w:rPr>
        <w:t>资格审查条件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主要机械设备和试验检测设备最低要求</w:t>
      </w:r>
      <w:r>
        <w:rPr>
          <w:rFonts w:hint="eastAsia" w:ascii="宋体" w:hAnsi="宋体"/>
          <w:color w:val="auto"/>
          <w:szCs w:val="21"/>
          <w:highlight w:val="none"/>
          <w:lang w:eastAsia="zh-CN"/>
        </w:rPr>
        <w:t>）</w:t>
      </w:r>
      <w:r>
        <w:rPr>
          <w:rFonts w:ascii="宋体" w:hAnsi="宋体"/>
          <w:color w:val="auto"/>
          <w:szCs w:val="21"/>
          <w:highlight w:val="none"/>
        </w:rPr>
        <w:t>要求的内容</w:t>
      </w:r>
      <w:r>
        <w:rPr>
          <w:rFonts w:hint="eastAsia" w:ascii="宋体" w:hAnsi="宋体"/>
          <w:color w:val="auto"/>
          <w:szCs w:val="21"/>
          <w:highlight w:val="none"/>
          <w:lang w:val="en-US" w:eastAsia="zh-CN"/>
        </w:rPr>
        <w:t>并提供相应的证明材料（如要求）</w:t>
      </w:r>
      <w:r>
        <w:rPr>
          <w:rFonts w:ascii="宋体" w:hAnsi="宋体"/>
          <w:color w:val="auto"/>
          <w:szCs w:val="21"/>
          <w:highlight w:val="none"/>
        </w:rPr>
        <w:t>。</w:t>
      </w:r>
    </w:p>
    <w:p w14:paraId="2C8F3DE1">
      <w:pPr>
        <w:rPr>
          <w:rFonts w:ascii="宋体" w:hAnsi="宋体"/>
          <w:b/>
          <w:color w:val="auto"/>
          <w:sz w:val="30"/>
          <w:szCs w:val="30"/>
          <w:highlight w:val="none"/>
        </w:rPr>
      </w:pPr>
    </w:p>
    <w:p w14:paraId="0C5CA0C4">
      <w:pPr>
        <w:rPr>
          <w:rFonts w:ascii="宋体" w:hAnsi="宋体"/>
          <w:b/>
          <w:color w:val="auto"/>
          <w:sz w:val="30"/>
          <w:szCs w:val="30"/>
          <w:highlight w:val="none"/>
        </w:rPr>
      </w:pPr>
    </w:p>
    <w:p w14:paraId="034BF284">
      <w:pPr>
        <w:rPr>
          <w:rFonts w:ascii="宋体" w:hAnsi="宋体"/>
          <w:b/>
          <w:color w:val="auto"/>
          <w:sz w:val="30"/>
          <w:szCs w:val="30"/>
          <w:highlight w:val="none"/>
        </w:rPr>
      </w:pPr>
    </w:p>
    <w:p w14:paraId="0CB41599">
      <w:pPr>
        <w:rPr>
          <w:rFonts w:ascii="宋体" w:hAnsi="宋体"/>
          <w:b/>
          <w:color w:val="auto"/>
          <w:sz w:val="30"/>
          <w:szCs w:val="30"/>
          <w:highlight w:val="none"/>
        </w:rPr>
      </w:pPr>
    </w:p>
    <w:p w14:paraId="129C099F">
      <w:pPr>
        <w:rPr>
          <w:rFonts w:ascii="宋体" w:hAnsi="宋体"/>
          <w:b/>
          <w:color w:val="auto"/>
          <w:sz w:val="30"/>
          <w:szCs w:val="30"/>
          <w:highlight w:val="none"/>
        </w:rPr>
      </w:pPr>
    </w:p>
    <w:p w14:paraId="345D3438">
      <w:pPr>
        <w:rPr>
          <w:rFonts w:ascii="宋体" w:hAnsi="宋体"/>
          <w:b/>
          <w:color w:val="auto"/>
          <w:sz w:val="30"/>
          <w:szCs w:val="30"/>
          <w:highlight w:val="none"/>
        </w:rPr>
      </w:pPr>
    </w:p>
    <w:p w14:paraId="74B8727E">
      <w:pPr>
        <w:rPr>
          <w:rFonts w:ascii="宋体" w:hAnsi="宋体"/>
          <w:b/>
          <w:color w:val="auto"/>
          <w:sz w:val="30"/>
          <w:szCs w:val="30"/>
          <w:highlight w:val="none"/>
        </w:rPr>
      </w:pPr>
    </w:p>
    <w:p w14:paraId="782AC9CF">
      <w:pPr>
        <w:rPr>
          <w:rFonts w:ascii="宋体" w:hAnsi="宋体"/>
          <w:b/>
          <w:color w:val="auto"/>
          <w:sz w:val="30"/>
          <w:szCs w:val="30"/>
          <w:highlight w:val="none"/>
        </w:rPr>
      </w:pPr>
    </w:p>
    <w:p w14:paraId="7D6240A4">
      <w:pPr>
        <w:rPr>
          <w:rFonts w:ascii="宋体" w:hAnsi="宋体"/>
          <w:b/>
          <w:color w:val="auto"/>
          <w:sz w:val="30"/>
          <w:szCs w:val="30"/>
          <w:highlight w:val="none"/>
        </w:rPr>
      </w:pPr>
    </w:p>
    <w:p w14:paraId="7BA2B02B">
      <w:pPr>
        <w:rPr>
          <w:rFonts w:ascii="宋体" w:hAnsi="宋体"/>
          <w:b/>
          <w:color w:val="auto"/>
          <w:sz w:val="30"/>
          <w:szCs w:val="30"/>
          <w:highlight w:val="none"/>
        </w:rPr>
      </w:pPr>
    </w:p>
    <w:p w14:paraId="637CF549">
      <w:pPr>
        <w:rPr>
          <w:rFonts w:ascii="宋体" w:hAnsi="宋体"/>
          <w:b/>
          <w:color w:val="auto"/>
          <w:sz w:val="30"/>
          <w:szCs w:val="30"/>
          <w:highlight w:val="none"/>
        </w:rPr>
      </w:pPr>
    </w:p>
    <w:p w14:paraId="68641DEF">
      <w:pPr>
        <w:rPr>
          <w:rFonts w:ascii="宋体" w:hAnsi="宋体"/>
          <w:b/>
          <w:color w:val="auto"/>
          <w:sz w:val="30"/>
          <w:szCs w:val="30"/>
          <w:highlight w:val="none"/>
        </w:rPr>
      </w:pPr>
    </w:p>
    <w:p w14:paraId="65B007A5">
      <w:pPr>
        <w:rPr>
          <w:rFonts w:ascii="宋体" w:hAnsi="宋体"/>
          <w:b/>
          <w:color w:val="auto"/>
          <w:sz w:val="30"/>
          <w:szCs w:val="30"/>
          <w:highlight w:val="none"/>
        </w:rPr>
      </w:pPr>
    </w:p>
    <w:p w14:paraId="0C2344C0">
      <w:pPr>
        <w:rPr>
          <w:rFonts w:ascii="宋体" w:hAnsi="宋体"/>
          <w:b/>
          <w:color w:val="auto"/>
          <w:sz w:val="30"/>
          <w:szCs w:val="30"/>
          <w:highlight w:val="none"/>
        </w:rPr>
      </w:pPr>
    </w:p>
    <w:p w14:paraId="464B9ECD">
      <w:pPr>
        <w:jc w:val="left"/>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br w:type="page"/>
      </w:r>
    </w:p>
    <w:p w14:paraId="231BF83F">
      <w:pPr>
        <w:pStyle w:val="6"/>
        <w:rPr>
          <w:b w:val="0"/>
          <w:bCs w:val="0"/>
          <w:color w:val="auto"/>
          <w:highlight w:val="none"/>
        </w:rPr>
      </w:pPr>
      <w:r>
        <w:rPr>
          <w:rFonts w:hint="eastAsia"/>
          <w:b w:val="0"/>
          <w:bCs w:val="0"/>
          <w:color w:val="auto"/>
          <w:highlight w:val="none"/>
        </w:rPr>
        <w:t>□（九）拟配备本标段的</w:t>
      </w:r>
      <w:r>
        <w:rPr>
          <w:b w:val="0"/>
          <w:bCs w:val="0"/>
          <w:color w:val="auto"/>
          <w:highlight w:val="none"/>
        </w:rPr>
        <w:t>主要</w:t>
      </w:r>
      <w:r>
        <w:rPr>
          <w:rFonts w:hint="eastAsia"/>
          <w:b w:val="0"/>
          <w:bCs w:val="0"/>
          <w:color w:val="auto"/>
          <w:highlight w:val="none"/>
        </w:rPr>
        <w:t>材料试验、</w:t>
      </w:r>
      <w:r>
        <w:rPr>
          <w:b w:val="0"/>
          <w:bCs w:val="0"/>
          <w:color w:val="auto"/>
          <w:highlight w:val="none"/>
        </w:rPr>
        <w:t>测量、</w:t>
      </w:r>
      <w:r>
        <w:rPr>
          <w:rFonts w:hint="eastAsia"/>
          <w:b w:val="0"/>
          <w:bCs w:val="0"/>
          <w:color w:val="auto"/>
          <w:highlight w:val="none"/>
        </w:rPr>
        <w:t>质检</w:t>
      </w:r>
      <w:r>
        <w:rPr>
          <w:b w:val="0"/>
          <w:bCs w:val="0"/>
          <w:color w:val="auto"/>
          <w:highlight w:val="none"/>
        </w:rPr>
        <w:t>仪器设备</w:t>
      </w:r>
      <w:r>
        <w:rPr>
          <w:rFonts w:hint="eastAsia"/>
          <w:b w:val="0"/>
          <w:bCs w:val="0"/>
          <w:color w:val="auto"/>
          <w:highlight w:val="none"/>
        </w:rPr>
        <w:t>表</w:t>
      </w:r>
    </w:p>
    <w:p w14:paraId="7361EC34">
      <w:pPr>
        <w:rPr>
          <w:rFonts w:ascii="宋体" w:hAnsi="宋体"/>
          <w:b/>
          <w:color w:val="auto"/>
          <w:sz w:val="30"/>
          <w:szCs w:val="30"/>
          <w:highlight w:val="none"/>
        </w:rPr>
      </w:pPr>
    </w:p>
    <w:tbl>
      <w:tblPr>
        <w:tblStyle w:val="4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645"/>
        <w:gridCol w:w="1247"/>
        <w:gridCol w:w="2138"/>
      </w:tblGrid>
      <w:tr w14:paraId="3C11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2D59E81C">
            <w:pPr>
              <w:spacing w:line="4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4645" w:type="dxa"/>
            <w:vAlign w:val="center"/>
          </w:tcPr>
          <w:p w14:paraId="4E429579">
            <w:pPr>
              <w:spacing w:line="40" w:lineRule="atLeast"/>
              <w:jc w:val="center"/>
              <w:rPr>
                <w:rFonts w:ascii="宋体" w:hAnsi="宋体"/>
                <w:color w:val="auto"/>
                <w:szCs w:val="21"/>
                <w:highlight w:val="none"/>
              </w:rPr>
            </w:pPr>
            <w:r>
              <w:rPr>
                <w:rFonts w:hint="eastAsia" w:ascii="宋体" w:hAnsi="宋体"/>
                <w:color w:val="auto"/>
                <w:szCs w:val="21"/>
                <w:highlight w:val="none"/>
              </w:rPr>
              <w:t>仪器设备名称及规格</w:t>
            </w:r>
          </w:p>
        </w:tc>
        <w:tc>
          <w:tcPr>
            <w:tcW w:w="1247" w:type="dxa"/>
            <w:vAlign w:val="center"/>
          </w:tcPr>
          <w:p w14:paraId="71D98233">
            <w:pPr>
              <w:spacing w:line="40" w:lineRule="atLeast"/>
              <w:jc w:val="center"/>
              <w:rPr>
                <w:rFonts w:ascii="宋体" w:hAnsi="宋体"/>
                <w:color w:val="auto"/>
                <w:szCs w:val="21"/>
                <w:highlight w:val="none"/>
              </w:rPr>
            </w:pPr>
            <w:r>
              <w:rPr>
                <w:rFonts w:hint="eastAsia" w:ascii="宋体" w:hAnsi="宋体"/>
                <w:color w:val="auto"/>
                <w:szCs w:val="21"/>
                <w:highlight w:val="none"/>
              </w:rPr>
              <w:t>单位</w:t>
            </w:r>
          </w:p>
        </w:tc>
        <w:tc>
          <w:tcPr>
            <w:tcW w:w="2138" w:type="dxa"/>
            <w:vAlign w:val="center"/>
          </w:tcPr>
          <w:p w14:paraId="1BCA6421">
            <w:pPr>
              <w:widowControl/>
              <w:spacing w:line="40" w:lineRule="atLeast"/>
              <w:jc w:val="center"/>
              <w:rPr>
                <w:rFonts w:ascii="宋体" w:hAnsi="宋体"/>
                <w:color w:val="auto"/>
                <w:szCs w:val="21"/>
                <w:highlight w:val="none"/>
              </w:rPr>
            </w:pPr>
            <w:r>
              <w:rPr>
                <w:rFonts w:hint="eastAsia" w:ascii="宋体" w:hAnsi="宋体"/>
                <w:color w:val="auto"/>
                <w:szCs w:val="21"/>
                <w:highlight w:val="none"/>
              </w:rPr>
              <w:t>数量</w:t>
            </w:r>
          </w:p>
        </w:tc>
      </w:tr>
      <w:tr w14:paraId="155A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4471B9E">
            <w:pPr>
              <w:spacing w:line="40" w:lineRule="atLeast"/>
              <w:jc w:val="center"/>
              <w:rPr>
                <w:rFonts w:ascii="宋体" w:hAnsi="宋体"/>
                <w:color w:val="auto"/>
                <w:szCs w:val="21"/>
                <w:highlight w:val="none"/>
              </w:rPr>
            </w:pPr>
          </w:p>
        </w:tc>
        <w:tc>
          <w:tcPr>
            <w:tcW w:w="4645" w:type="dxa"/>
            <w:vAlign w:val="center"/>
          </w:tcPr>
          <w:p w14:paraId="1A6CD4AE">
            <w:pPr>
              <w:widowControl/>
              <w:rPr>
                <w:rFonts w:ascii="宋体" w:hAnsi="宋体"/>
                <w:color w:val="auto"/>
                <w:szCs w:val="21"/>
                <w:highlight w:val="none"/>
              </w:rPr>
            </w:pPr>
          </w:p>
        </w:tc>
        <w:tc>
          <w:tcPr>
            <w:tcW w:w="1247" w:type="dxa"/>
            <w:vAlign w:val="center"/>
          </w:tcPr>
          <w:p w14:paraId="2BC1E038">
            <w:pPr>
              <w:widowControl/>
              <w:jc w:val="center"/>
              <w:rPr>
                <w:rFonts w:ascii="宋体" w:hAnsi="宋体" w:cs="宋体"/>
                <w:color w:val="auto"/>
                <w:kern w:val="0"/>
                <w:szCs w:val="21"/>
                <w:highlight w:val="none"/>
              </w:rPr>
            </w:pPr>
          </w:p>
        </w:tc>
        <w:tc>
          <w:tcPr>
            <w:tcW w:w="2138" w:type="dxa"/>
            <w:vAlign w:val="center"/>
          </w:tcPr>
          <w:p w14:paraId="750E9963">
            <w:pPr>
              <w:jc w:val="center"/>
              <w:rPr>
                <w:rFonts w:ascii="宋体" w:hAnsi="宋体" w:cs="宋体"/>
                <w:color w:val="auto"/>
                <w:kern w:val="0"/>
                <w:szCs w:val="21"/>
                <w:highlight w:val="none"/>
              </w:rPr>
            </w:pPr>
          </w:p>
        </w:tc>
      </w:tr>
      <w:tr w14:paraId="7DE5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130DBD03">
            <w:pPr>
              <w:spacing w:line="40" w:lineRule="atLeast"/>
              <w:jc w:val="center"/>
              <w:rPr>
                <w:rFonts w:ascii="宋体" w:hAnsi="宋体"/>
                <w:color w:val="auto"/>
                <w:szCs w:val="21"/>
                <w:highlight w:val="none"/>
              </w:rPr>
            </w:pPr>
          </w:p>
        </w:tc>
        <w:tc>
          <w:tcPr>
            <w:tcW w:w="4645" w:type="dxa"/>
            <w:vAlign w:val="center"/>
          </w:tcPr>
          <w:p w14:paraId="6DD25C38">
            <w:pPr>
              <w:widowControl/>
              <w:rPr>
                <w:rFonts w:ascii="宋体" w:hAnsi="宋体"/>
                <w:color w:val="auto"/>
                <w:szCs w:val="21"/>
                <w:highlight w:val="none"/>
              </w:rPr>
            </w:pPr>
          </w:p>
        </w:tc>
        <w:tc>
          <w:tcPr>
            <w:tcW w:w="1247" w:type="dxa"/>
            <w:vAlign w:val="center"/>
          </w:tcPr>
          <w:p w14:paraId="3781F4C5">
            <w:pPr>
              <w:widowControl/>
              <w:jc w:val="center"/>
              <w:rPr>
                <w:rFonts w:ascii="宋体" w:hAnsi="宋体" w:cs="宋体"/>
                <w:color w:val="auto"/>
                <w:kern w:val="0"/>
                <w:szCs w:val="21"/>
                <w:highlight w:val="none"/>
              </w:rPr>
            </w:pPr>
          </w:p>
        </w:tc>
        <w:tc>
          <w:tcPr>
            <w:tcW w:w="2138" w:type="dxa"/>
            <w:vAlign w:val="center"/>
          </w:tcPr>
          <w:p w14:paraId="3925DCA4">
            <w:pPr>
              <w:jc w:val="center"/>
              <w:rPr>
                <w:rFonts w:ascii="宋体" w:hAnsi="宋体" w:cs="宋体"/>
                <w:color w:val="auto"/>
                <w:kern w:val="0"/>
                <w:szCs w:val="21"/>
                <w:highlight w:val="none"/>
              </w:rPr>
            </w:pPr>
          </w:p>
        </w:tc>
      </w:tr>
      <w:tr w14:paraId="46C9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577A1F2">
            <w:pPr>
              <w:spacing w:line="40" w:lineRule="atLeast"/>
              <w:jc w:val="center"/>
              <w:rPr>
                <w:rFonts w:ascii="宋体" w:hAnsi="宋体"/>
                <w:color w:val="auto"/>
                <w:szCs w:val="21"/>
                <w:highlight w:val="none"/>
              </w:rPr>
            </w:pPr>
          </w:p>
        </w:tc>
        <w:tc>
          <w:tcPr>
            <w:tcW w:w="4645" w:type="dxa"/>
            <w:vAlign w:val="center"/>
          </w:tcPr>
          <w:p w14:paraId="7CE90A9C">
            <w:pPr>
              <w:widowControl/>
              <w:rPr>
                <w:rFonts w:ascii="宋体" w:hAnsi="宋体" w:cs="宋体"/>
                <w:color w:val="auto"/>
                <w:kern w:val="0"/>
                <w:szCs w:val="21"/>
                <w:highlight w:val="none"/>
              </w:rPr>
            </w:pPr>
          </w:p>
        </w:tc>
        <w:tc>
          <w:tcPr>
            <w:tcW w:w="1247" w:type="dxa"/>
            <w:vAlign w:val="center"/>
          </w:tcPr>
          <w:p w14:paraId="0567BD70">
            <w:pPr>
              <w:widowControl/>
              <w:jc w:val="center"/>
              <w:rPr>
                <w:rFonts w:ascii="宋体" w:hAnsi="宋体" w:cs="宋体"/>
                <w:color w:val="auto"/>
                <w:kern w:val="0"/>
                <w:szCs w:val="21"/>
                <w:highlight w:val="none"/>
              </w:rPr>
            </w:pPr>
          </w:p>
        </w:tc>
        <w:tc>
          <w:tcPr>
            <w:tcW w:w="2138" w:type="dxa"/>
            <w:vAlign w:val="center"/>
          </w:tcPr>
          <w:p w14:paraId="0969B1C9">
            <w:pPr>
              <w:jc w:val="center"/>
              <w:rPr>
                <w:rFonts w:ascii="宋体" w:hAnsi="宋体" w:cs="宋体"/>
                <w:color w:val="auto"/>
                <w:kern w:val="0"/>
                <w:szCs w:val="21"/>
                <w:highlight w:val="none"/>
              </w:rPr>
            </w:pPr>
          </w:p>
        </w:tc>
      </w:tr>
      <w:tr w14:paraId="7A63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6A8BF7C">
            <w:pPr>
              <w:spacing w:line="40" w:lineRule="atLeast"/>
              <w:jc w:val="center"/>
              <w:rPr>
                <w:rFonts w:ascii="宋体" w:hAnsi="宋体"/>
                <w:color w:val="auto"/>
                <w:szCs w:val="21"/>
                <w:highlight w:val="none"/>
              </w:rPr>
            </w:pPr>
          </w:p>
        </w:tc>
        <w:tc>
          <w:tcPr>
            <w:tcW w:w="4645" w:type="dxa"/>
            <w:vAlign w:val="center"/>
          </w:tcPr>
          <w:p w14:paraId="3D4A95A9">
            <w:pPr>
              <w:widowControl/>
              <w:rPr>
                <w:rFonts w:ascii="宋体" w:hAnsi="宋体" w:cs="宋体"/>
                <w:color w:val="auto"/>
                <w:kern w:val="0"/>
                <w:szCs w:val="21"/>
                <w:highlight w:val="none"/>
              </w:rPr>
            </w:pPr>
          </w:p>
        </w:tc>
        <w:tc>
          <w:tcPr>
            <w:tcW w:w="1247" w:type="dxa"/>
            <w:vAlign w:val="center"/>
          </w:tcPr>
          <w:p w14:paraId="46C88363">
            <w:pPr>
              <w:widowControl/>
              <w:jc w:val="center"/>
              <w:rPr>
                <w:rFonts w:ascii="宋体" w:hAnsi="宋体"/>
                <w:color w:val="auto"/>
                <w:kern w:val="0"/>
                <w:szCs w:val="21"/>
                <w:highlight w:val="none"/>
              </w:rPr>
            </w:pPr>
          </w:p>
        </w:tc>
        <w:tc>
          <w:tcPr>
            <w:tcW w:w="2138" w:type="dxa"/>
            <w:vAlign w:val="center"/>
          </w:tcPr>
          <w:p w14:paraId="2CD6B2A8">
            <w:pPr>
              <w:jc w:val="center"/>
              <w:rPr>
                <w:rFonts w:ascii="宋体" w:hAnsi="宋体" w:cs="宋体"/>
                <w:color w:val="auto"/>
                <w:kern w:val="0"/>
                <w:szCs w:val="21"/>
                <w:highlight w:val="none"/>
              </w:rPr>
            </w:pPr>
          </w:p>
        </w:tc>
      </w:tr>
      <w:tr w14:paraId="7D34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EC7CA88">
            <w:pPr>
              <w:spacing w:line="40" w:lineRule="atLeast"/>
              <w:jc w:val="center"/>
              <w:rPr>
                <w:rFonts w:ascii="宋体" w:hAnsi="宋体"/>
                <w:color w:val="auto"/>
                <w:szCs w:val="21"/>
                <w:highlight w:val="none"/>
              </w:rPr>
            </w:pPr>
          </w:p>
        </w:tc>
        <w:tc>
          <w:tcPr>
            <w:tcW w:w="4645" w:type="dxa"/>
            <w:vAlign w:val="center"/>
          </w:tcPr>
          <w:p w14:paraId="37A3AAB4">
            <w:pPr>
              <w:widowControl/>
              <w:rPr>
                <w:rFonts w:ascii="宋体" w:hAnsi="宋体" w:cs="宋体"/>
                <w:color w:val="auto"/>
                <w:kern w:val="0"/>
                <w:szCs w:val="21"/>
                <w:highlight w:val="none"/>
              </w:rPr>
            </w:pPr>
          </w:p>
        </w:tc>
        <w:tc>
          <w:tcPr>
            <w:tcW w:w="1247" w:type="dxa"/>
            <w:vAlign w:val="center"/>
          </w:tcPr>
          <w:p w14:paraId="0696418B">
            <w:pPr>
              <w:widowControl/>
              <w:jc w:val="center"/>
              <w:rPr>
                <w:rFonts w:ascii="宋体" w:hAnsi="宋体"/>
                <w:color w:val="auto"/>
                <w:kern w:val="0"/>
                <w:szCs w:val="21"/>
                <w:highlight w:val="none"/>
              </w:rPr>
            </w:pPr>
          </w:p>
        </w:tc>
        <w:tc>
          <w:tcPr>
            <w:tcW w:w="2138" w:type="dxa"/>
            <w:vAlign w:val="center"/>
          </w:tcPr>
          <w:p w14:paraId="37C39B85">
            <w:pPr>
              <w:jc w:val="center"/>
              <w:rPr>
                <w:rFonts w:ascii="宋体" w:hAnsi="宋体" w:cs="宋体"/>
                <w:color w:val="auto"/>
                <w:kern w:val="0"/>
                <w:szCs w:val="21"/>
                <w:highlight w:val="none"/>
              </w:rPr>
            </w:pPr>
          </w:p>
        </w:tc>
      </w:tr>
      <w:tr w14:paraId="62B9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806" w:type="dxa"/>
            <w:vAlign w:val="center"/>
          </w:tcPr>
          <w:p w14:paraId="4C1D75B4">
            <w:pPr>
              <w:spacing w:line="40" w:lineRule="atLeast"/>
              <w:jc w:val="center"/>
              <w:rPr>
                <w:rFonts w:ascii="宋体" w:hAnsi="宋体"/>
                <w:color w:val="auto"/>
                <w:szCs w:val="21"/>
                <w:highlight w:val="none"/>
              </w:rPr>
            </w:pPr>
          </w:p>
        </w:tc>
        <w:tc>
          <w:tcPr>
            <w:tcW w:w="4645" w:type="dxa"/>
            <w:vAlign w:val="center"/>
          </w:tcPr>
          <w:p w14:paraId="027BF630">
            <w:pPr>
              <w:widowControl/>
              <w:rPr>
                <w:rFonts w:ascii="宋体" w:hAnsi="宋体" w:cs="宋体"/>
                <w:color w:val="auto"/>
                <w:kern w:val="0"/>
                <w:szCs w:val="21"/>
                <w:highlight w:val="none"/>
              </w:rPr>
            </w:pPr>
          </w:p>
        </w:tc>
        <w:tc>
          <w:tcPr>
            <w:tcW w:w="1247" w:type="dxa"/>
            <w:vAlign w:val="center"/>
          </w:tcPr>
          <w:p w14:paraId="0520C492">
            <w:pPr>
              <w:widowControl/>
              <w:jc w:val="center"/>
              <w:rPr>
                <w:rFonts w:ascii="宋体" w:hAnsi="宋体" w:cs="宋体"/>
                <w:color w:val="auto"/>
                <w:kern w:val="0"/>
                <w:szCs w:val="21"/>
                <w:highlight w:val="none"/>
              </w:rPr>
            </w:pPr>
          </w:p>
        </w:tc>
        <w:tc>
          <w:tcPr>
            <w:tcW w:w="2138" w:type="dxa"/>
            <w:vAlign w:val="center"/>
          </w:tcPr>
          <w:p w14:paraId="04DC3598">
            <w:pPr>
              <w:jc w:val="center"/>
              <w:rPr>
                <w:rFonts w:ascii="宋体" w:hAnsi="宋体" w:cs="宋体"/>
                <w:color w:val="auto"/>
                <w:kern w:val="0"/>
                <w:szCs w:val="21"/>
                <w:highlight w:val="none"/>
              </w:rPr>
            </w:pPr>
          </w:p>
        </w:tc>
      </w:tr>
      <w:tr w14:paraId="3195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18E33CAB">
            <w:pPr>
              <w:spacing w:line="40" w:lineRule="atLeast"/>
              <w:jc w:val="center"/>
              <w:rPr>
                <w:rFonts w:ascii="宋体" w:hAnsi="宋体"/>
                <w:color w:val="auto"/>
                <w:szCs w:val="21"/>
                <w:highlight w:val="none"/>
              </w:rPr>
            </w:pPr>
          </w:p>
        </w:tc>
        <w:tc>
          <w:tcPr>
            <w:tcW w:w="4645" w:type="dxa"/>
            <w:vAlign w:val="center"/>
          </w:tcPr>
          <w:p w14:paraId="6AD84F17">
            <w:pPr>
              <w:widowControl/>
              <w:rPr>
                <w:rFonts w:ascii="宋体" w:hAnsi="宋体" w:cs="宋体"/>
                <w:color w:val="auto"/>
                <w:kern w:val="0"/>
                <w:szCs w:val="21"/>
                <w:highlight w:val="none"/>
              </w:rPr>
            </w:pPr>
          </w:p>
        </w:tc>
        <w:tc>
          <w:tcPr>
            <w:tcW w:w="1247" w:type="dxa"/>
            <w:vAlign w:val="center"/>
          </w:tcPr>
          <w:p w14:paraId="001B9943">
            <w:pPr>
              <w:widowControl/>
              <w:jc w:val="center"/>
              <w:rPr>
                <w:rFonts w:ascii="宋体" w:hAnsi="宋体" w:cs="宋体"/>
                <w:color w:val="auto"/>
                <w:kern w:val="0"/>
                <w:szCs w:val="21"/>
                <w:highlight w:val="none"/>
              </w:rPr>
            </w:pPr>
          </w:p>
        </w:tc>
        <w:tc>
          <w:tcPr>
            <w:tcW w:w="2138" w:type="dxa"/>
            <w:vAlign w:val="center"/>
          </w:tcPr>
          <w:p w14:paraId="1C63B78A">
            <w:pPr>
              <w:jc w:val="center"/>
              <w:rPr>
                <w:rFonts w:ascii="宋体" w:hAnsi="宋体" w:cs="宋体"/>
                <w:color w:val="auto"/>
                <w:kern w:val="0"/>
                <w:szCs w:val="21"/>
                <w:highlight w:val="none"/>
              </w:rPr>
            </w:pPr>
          </w:p>
        </w:tc>
      </w:tr>
      <w:tr w14:paraId="0EC4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F16FD61">
            <w:pPr>
              <w:spacing w:line="40" w:lineRule="atLeast"/>
              <w:jc w:val="center"/>
              <w:rPr>
                <w:rFonts w:ascii="宋体" w:hAnsi="宋体"/>
                <w:color w:val="auto"/>
                <w:szCs w:val="21"/>
                <w:highlight w:val="none"/>
              </w:rPr>
            </w:pPr>
          </w:p>
        </w:tc>
        <w:tc>
          <w:tcPr>
            <w:tcW w:w="4645" w:type="dxa"/>
            <w:vAlign w:val="center"/>
          </w:tcPr>
          <w:p w14:paraId="13B8B970">
            <w:pPr>
              <w:widowControl/>
              <w:rPr>
                <w:rFonts w:ascii="宋体" w:hAnsi="宋体" w:cs="宋体"/>
                <w:color w:val="auto"/>
                <w:kern w:val="0"/>
                <w:szCs w:val="21"/>
                <w:highlight w:val="none"/>
              </w:rPr>
            </w:pPr>
          </w:p>
        </w:tc>
        <w:tc>
          <w:tcPr>
            <w:tcW w:w="1247" w:type="dxa"/>
            <w:vAlign w:val="center"/>
          </w:tcPr>
          <w:p w14:paraId="2192178C">
            <w:pPr>
              <w:widowControl/>
              <w:jc w:val="center"/>
              <w:rPr>
                <w:rFonts w:ascii="宋体" w:hAnsi="宋体" w:cs="宋体"/>
                <w:color w:val="auto"/>
                <w:kern w:val="0"/>
                <w:szCs w:val="21"/>
                <w:highlight w:val="none"/>
              </w:rPr>
            </w:pPr>
          </w:p>
        </w:tc>
        <w:tc>
          <w:tcPr>
            <w:tcW w:w="2138" w:type="dxa"/>
            <w:vAlign w:val="center"/>
          </w:tcPr>
          <w:p w14:paraId="56127E15">
            <w:pPr>
              <w:jc w:val="center"/>
              <w:rPr>
                <w:rFonts w:ascii="宋体" w:hAnsi="宋体" w:cs="宋体"/>
                <w:color w:val="auto"/>
                <w:kern w:val="0"/>
                <w:szCs w:val="21"/>
                <w:highlight w:val="none"/>
              </w:rPr>
            </w:pPr>
          </w:p>
        </w:tc>
      </w:tr>
      <w:tr w14:paraId="0E77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3849D499">
            <w:pPr>
              <w:spacing w:line="40" w:lineRule="atLeast"/>
              <w:jc w:val="center"/>
              <w:rPr>
                <w:rFonts w:ascii="宋体" w:hAnsi="宋体"/>
                <w:color w:val="auto"/>
                <w:szCs w:val="21"/>
                <w:highlight w:val="none"/>
              </w:rPr>
            </w:pPr>
          </w:p>
        </w:tc>
        <w:tc>
          <w:tcPr>
            <w:tcW w:w="4645" w:type="dxa"/>
            <w:vAlign w:val="center"/>
          </w:tcPr>
          <w:p w14:paraId="32084195">
            <w:pPr>
              <w:widowControl/>
              <w:rPr>
                <w:rFonts w:ascii="宋体" w:hAnsi="宋体" w:cs="宋体"/>
                <w:color w:val="auto"/>
                <w:kern w:val="0"/>
                <w:szCs w:val="21"/>
                <w:highlight w:val="none"/>
              </w:rPr>
            </w:pPr>
          </w:p>
        </w:tc>
        <w:tc>
          <w:tcPr>
            <w:tcW w:w="1247" w:type="dxa"/>
            <w:vAlign w:val="center"/>
          </w:tcPr>
          <w:p w14:paraId="0F1EEF6C">
            <w:pPr>
              <w:widowControl/>
              <w:jc w:val="center"/>
              <w:rPr>
                <w:rFonts w:ascii="宋体" w:hAnsi="宋体" w:cs="宋体"/>
                <w:color w:val="auto"/>
                <w:kern w:val="0"/>
                <w:szCs w:val="21"/>
                <w:highlight w:val="none"/>
              </w:rPr>
            </w:pPr>
          </w:p>
        </w:tc>
        <w:tc>
          <w:tcPr>
            <w:tcW w:w="2138" w:type="dxa"/>
            <w:vAlign w:val="center"/>
          </w:tcPr>
          <w:p w14:paraId="3D8BF09B">
            <w:pPr>
              <w:jc w:val="center"/>
              <w:rPr>
                <w:rFonts w:ascii="宋体" w:hAnsi="宋体" w:cs="宋体"/>
                <w:color w:val="auto"/>
                <w:kern w:val="0"/>
                <w:szCs w:val="21"/>
                <w:highlight w:val="none"/>
              </w:rPr>
            </w:pPr>
          </w:p>
        </w:tc>
      </w:tr>
      <w:tr w14:paraId="452F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3C2D8F1">
            <w:pPr>
              <w:spacing w:line="40" w:lineRule="atLeast"/>
              <w:jc w:val="center"/>
              <w:rPr>
                <w:rFonts w:ascii="宋体" w:hAnsi="宋体"/>
                <w:color w:val="auto"/>
                <w:szCs w:val="21"/>
                <w:highlight w:val="none"/>
              </w:rPr>
            </w:pPr>
          </w:p>
        </w:tc>
        <w:tc>
          <w:tcPr>
            <w:tcW w:w="4645" w:type="dxa"/>
            <w:vAlign w:val="center"/>
          </w:tcPr>
          <w:p w14:paraId="2ABF2821">
            <w:pPr>
              <w:widowControl/>
              <w:rPr>
                <w:rFonts w:ascii="宋体" w:hAnsi="宋体" w:cs="宋体"/>
                <w:color w:val="auto"/>
                <w:kern w:val="0"/>
                <w:szCs w:val="21"/>
                <w:highlight w:val="none"/>
              </w:rPr>
            </w:pPr>
          </w:p>
        </w:tc>
        <w:tc>
          <w:tcPr>
            <w:tcW w:w="1247" w:type="dxa"/>
            <w:vAlign w:val="center"/>
          </w:tcPr>
          <w:p w14:paraId="79C80BCF">
            <w:pPr>
              <w:widowControl/>
              <w:jc w:val="center"/>
              <w:rPr>
                <w:rFonts w:ascii="宋体" w:hAnsi="宋体" w:cs="宋体"/>
                <w:color w:val="auto"/>
                <w:kern w:val="0"/>
                <w:szCs w:val="21"/>
                <w:highlight w:val="none"/>
              </w:rPr>
            </w:pPr>
          </w:p>
        </w:tc>
        <w:tc>
          <w:tcPr>
            <w:tcW w:w="2138" w:type="dxa"/>
            <w:vAlign w:val="center"/>
          </w:tcPr>
          <w:p w14:paraId="17B1393D">
            <w:pPr>
              <w:jc w:val="center"/>
              <w:rPr>
                <w:rFonts w:ascii="宋体" w:hAnsi="宋体" w:cs="宋体"/>
                <w:color w:val="auto"/>
                <w:kern w:val="0"/>
                <w:szCs w:val="21"/>
                <w:highlight w:val="none"/>
              </w:rPr>
            </w:pPr>
          </w:p>
        </w:tc>
      </w:tr>
      <w:tr w14:paraId="53B7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28AD08E9">
            <w:pPr>
              <w:spacing w:line="40" w:lineRule="atLeast"/>
              <w:jc w:val="center"/>
              <w:rPr>
                <w:rFonts w:ascii="宋体" w:hAnsi="宋体"/>
                <w:color w:val="auto"/>
                <w:szCs w:val="21"/>
                <w:highlight w:val="none"/>
              </w:rPr>
            </w:pPr>
          </w:p>
        </w:tc>
        <w:tc>
          <w:tcPr>
            <w:tcW w:w="4645" w:type="dxa"/>
            <w:vAlign w:val="center"/>
          </w:tcPr>
          <w:p w14:paraId="426D7DA5">
            <w:pPr>
              <w:widowControl/>
              <w:rPr>
                <w:rFonts w:ascii="宋体" w:hAnsi="宋体" w:cs="宋体"/>
                <w:color w:val="auto"/>
                <w:kern w:val="0"/>
                <w:szCs w:val="21"/>
                <w:highlight w:val="none"/>
              </w:rPr>
            </w:pPr>
          </w:p>
        </w:tc>
        <w:tc>
          <w:tcPr>
            <w:tcW w:w="1247" w:type="dxa"/>
            <w:vAlign w:val="center"/>
          </w:tcPr>
          <w:p w14:paraId="08BDB3AE">
            <w:pPr>
              <w:widowControl/>
              <w:jc w:val="center"/>
              <w:rPr>
                <w:rFonts w:ascii="宋体" w:hAnsi="宋体" w:cs="宋体"/>
                <w:color w:val="auto"/>
                <w:kern w:val="0"/>
                <w:szCs w:val="21"/>
                <w:highlight w:val="none"/>
              </w:rPr>
            </w:pPr>
          </w:p>
        </w:tc>
        <w:tc>
          <w:tcPr>
            <w:tcW w:w="2138" w:type="dxa"/>
            <w:vAlign w:val="center"/>
          </w:tcPr>
          <w:p w14:paraId="0280FB3F">
            <w:pPr>
              <w:jc w:val="center"/>
              <w:rPr>
                <w:rFonts w:ascii="宋体" w:hAnsi="宋体" w:cs="宋体"/>
                <w:color w:val="auto"/>
                <w:kern w:val="0"/>
                <w:szCs w:val="21"/>
                <w:highlight w:val="none"/>
              </w:rPr>
            </w:pPr>
          </w:p>
        </w:tc>
      </w:tr>
      <w:tr w14:paraId="36BB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9B00535">
            <w:pPr>
              <w:spacing w:line="40" w:lineRule="atLeast"/>
              <w:jc w:val="center"/>
              <w:rPr>
                <w:rFonts w:ascii="宋体" w:hAnsi="宋体"/>
                <w:color w:val="auto"/>
                <w:szCs w:val="21"/>
                <w:highlight w:val="none"/>
              </w:rPr>
            </w:pPr>
          </w:p>
        </w:tc>
        <w:tc>
          <w:tcPr>
            <w:tcW w:w="4645" w:type="dxa"/>
            <w:vAlign w:val="center"/>
          </w:tcPr>
          <w:p w14:paraId="541F90E0">
            <w:pPr>
              <w:widowControl/>
              <w:rPr>
                <w:rFonts w:ascii="宋体" w:hAnsi="宋体" w:cs="宋体"/>
                <w:color w:val="auto"/>
                <w:kern w:val="0"/>
                <w:szCs w:val="21"/>
                <w:highlight w:val="none"/>
              </w:rPr>
            </w:pPr>
          </w:p>
        </w:tc>
        <w:tc>
          <w:tcPr>
            <w:tcW w:w="1247" w:type="dxa"/>
            <w:vAlign w:val="center"/>
          </w:tcPr>
          <w:p w14:paraId="245C8571">
            <w:pPr>
              <w:widowControl/>
              <w:jc w:val="center"/>
              <w:rPr>
                <w:rFonts w:ascii="宋体" w:hAnsi="宋体" w:cs="宋体"/>
                <w:color w:val="auto"/>
                <w:kern w:val="0"/>
                <w:szCs w:val="21"/>
                <w:highlight w:val="none"/>
              </w:rPr>
            </w:pPr>
          </w:p>
        </w:tc>
        <w:tc>
          <w:tcPr>
            <w:tcW w:w="2138" w:type="dxa"/>
            <w:vAlign w:val="center"/>
          </w:tcPr>
          <w:p w14:paraId="611E32E3">
            <w:pPr>
              <w:jc w:val="center"/>
              <w:rPr>
                <w:rFonts w:ascii="宋体" w:hAnsi="宋体" w:cs="宋体"/>
                <w:color w:val="auto"/>
                <w:kern w:val="0"/>
                <w:szCs w:val="21"/>
                <w:highlight w:val="none"/>
              </w:rPr>
            </w:pPr>
          </w:p>
        </w:tc>
      </w:tr>
    </w:tbl>
    <w:p w14:paraId="0CB7BFF5">
      <w:pPr>
        <w:rPr>
          <w:rFonts w:ascii="宋体" w:hAnsi="宋体"/>
          <w:b/>
          <w:color w:val="auto"/>
          <w:sz w:val="30"/>
          <w:szCs w:val="30"/>
          <w:highlight w:val="none"/>
        </w:rPr>
      </w:pPr>
    </w:p>
    <w:p w14:paraId="519A4CA8">
      <w:pPr>
        <w:spacing w:line="360" w:lineRule="auto"/>
        <w:ind w:left="420" w:hanging="420" w:hangingChars="200"/>
        <w:rPr>
          <w:rFonts w:ascii="宋体" w:hAnsi="宋体"/>
          <w:b/>
          <w:color w:val="auto"/>
          <w:szCs w:val="21"/>
          <w:highlight w:val="none"/>
        </w:rPr>
      </w:pPr>
      <w:r>
        <w:rPr>
          <w:rFonts w:hint="eastAsia" w:ascii="宋体" w:hAnsi="宋体"/>
          <w:color w:val="auto"/>
          <w:szCs w:val="21"/>
          <w:highlight w:val="none"/>
        </w:rPr>
        <w:t>注</w:t>
      </w:r>
      <w:r>
        <w:rPr>
          <w:rFonts w:ascii="宋体" w:hAnsi="宋体"/>
          <w:color w:val="auto"/>
          <w:szCs w:val="21"/>
          <w:highlight w:val="none"/>
        </w:rPr>
        <w:t>：招标人</w:t>
      </w:r>
      <w:r>
        <w:rPr>
          <w:rFonts w:hint="eastAsia" w:ascii="宋体" w:hAnsi="宋体"/>
          <w:color w:val="auto"/>
          <w:szCs w:val="21"/>
          <w:highlight w:val="none"/>
        </w:rPr>
        <w:t>可</w:t>
      </w:r>
      <w:r>
        <w:rPr>
          <w:rFonts w:ascii="宋体" w:hAnsi="宋体"/>
          <w:color w:val="auto"/>
          <w:szCs w:val="21"/>
          <w:highlight w:val="none"/>
        </w:rPr>
        <w:t>根据</w:t>
      </w:r>
      <w:r>
        <w:rPr>
          <w:rFonts w:hint="eastAsia" w:ascii="宋体" w:hAnsi="宋体"/>
          <w:color w:val="auto"/>
          <w:szCs w:val="21"/>
          <w:highlight w:val="none"/>
        </w:rPr>
        <w:t>项目情况</w:t>
      </w:r>
      <w:r>
        <w:rPr>
          <w:rFonts w:ascii="宋体" w:hAnsi="宋体"/>
          <w:color w:val="auto"/>
          <w:szCs w:val="21"/>
          <w:highlight w:val="none"/>
        </w:rPr>
        <w:t>自行设定表格形式，但应反映第二章</w:t>
      </w:r>
      <w:r>
        <w:rPr>
          <w:rFonts w:hint="eastAsia" w:ascii="宋体" w:hAnsi="宋体"/>
          <w:color w:val="auto"/>
          <w:szCs w:val="21"/>
          <w:highlight w:val="none"/>
        </w:rPr>
        <w:t>“投标人须知”附录</w:t>
      </w:r>
      <w:r>
        <w:rPr>
          <w:rFonts w:ascii="宋体" w:hAnsi="宋体"/>
          <w:color w:val="auto"/>
          <w:szCs w:val="21"/>
          <w:highlight w:val="none"/>
        </w:rPr>
        <w:t>7</w:t>
      </w:r>
      <w:r>
        <w:rPr>
          <w:rFonts w:hint="eastAsia" w:ascii="宋体" w:hAnsi="宋体"/>
          <w:color w:val="auto"/>
          <w:szCs w:val="21"/>
          <w:highlight w:val="none"/>
        </w:rPr>
        <w:t>资格审查条件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主要机械设备和试验检测设备最低要求</w:t>
      </w:r>
      <w:r>
        <w:rPr>
          <w:rFonts w:hint="eastAsia" w:ascii="宋体" w:hAnsi="宋体"/>
          <w:color w:val="auto"/>
          <w:szCs w:val="21"/>
          <w:highlight w:val="none"/>
          <w:lang w:eastAsia="zh-CN"/>
        </w:rPr>
        <w:t>）</w:t>
      </w:r>
      <w:r>
        <w:rPr>
          <w:rFonts w:ascii="宋体" w:hAnsi="宋体"/>
          <w:color w:val="auto"/>
          <w:szCs w:val="21"/>
          <w:highlight w:val="none"/>
        </w:rPr>
        <w:t>要求的内容</w:t>
      </w:r>
      <w:r>
        <w:rPr>
          <w:rFonts w:hint="eastAsia" w:ascii="宋体" w:hAnsi="宋体"/>
          <w:color w:val="auto"/>
          <w:szCs w:val="21"/>
          <w:highlight w:val="none"/>
          <w:lang w:val="en-US" w:eastAsia="zh-CN"/>
        </w:rPr>
        <w:t>并提供相应的证明材料（如要求）</w:t>
      </w:r>
      <w:r>
        <w:rPr>
          <w:rFonts w:ascii="宋体" w:hAnsi="宋体"/>
          <w:color w:val="auto"/>
          <w:szCs w:val="21"/>
          <w:highlight w:val="none"/>
        </w:rPr>
        <w:t>。</w:t>
      </w:r>
    </w:p>
    <w:p w14:paraId="2294E7C3">
      <w:pPr>
        <w:rPr>
          <w:rFonts w:ascii="宋体" w:hAnsi="宋体"/>
          <w:b/>
          <w:color w:val="auto"/>
          <w:sz w:val="30"/>
          <w:szCs w:val="30"/>
          <w:highlight w:val="none"/>
        </w:rPr>
      </w:pPr>
    </w:p>
    <w:p w14:paraId="7DFEBD48">
      <w:pPr>
        <w:rPr>
          <w:rFonts w:ascii="宋体" w:hAnsi="宋体"/>
          <w:b/>
          <w:color w:val="auto"/>
          <w:sz w:val="30"/>
          <w:szCs w:val="30"/>
          <w:highlight w:val="none"/>
        </w:rPr>
      </w:pPr>
    </w:p>
    <w:p w14:paraId="7877FE01">
      <w:pPr>
        <w:numPr>
          <w:ilvl w:val="0"/>
          <w:numId w:val="4"/>
        </w:numPr>
        <w:jc w:val="center"/>
        <w:rPr>
          <w:rFonts w:ascii="黑体" w:hAnsi="黑体" w:eastAsia="黑体"/>
          <w:color w:val="auto"/>
          <w:sz w:val="30"/>
          <w:szCs w:val="30"/>
          <w:highlight w:val="none"/>
        </w:rPr>
      </w:pPr>
      <w:r>
        <w:rPr>
          <w:rFonts w:ascii="宋体" w:hAnsi="宋体"/>
          <w:b/>
          <w:color w:val="auto"/>
          <w:sz w:val="30"/>
          <w:szCs w:val="30"/>
          <w:highlight w:val="none"/>
        </w:rPr>
        <w:br w:type="page"/>
      </w:r>
    </w:p>
    <w:p w14:paraId="2835160F">
      <w:pPr>
        <w:pStyle w:val="6"/>
        <w:rPr>
          <w:b w:val="0"/>
          <w:bCs w:val="0"/>
          <w:color w:val="auto"/>
          <w:highlight w:val="none"/>
        </w:rPr>
      </w:pPr>
      <w:r>
        <w:rPr>
          <w:rFonts w:hint="eastAsia"/>
          <w:b w:val="0"/>
          <w:bCs w:val="0"/>
          <w:color w:val="auto"/>
          <w:highlight w:val="none"/>
        </w:rPr>
        <w:t>□（十）拟用于本项目关键机电设备品牌及主要技术性能指标表</w:t>
      </w:r>
      <w:r>
        <w:rPr>
          <w:rStyle w:val="59"/>
          <w:rFonts w:ascii="宋体" w:hAnsi="宋体" w:eastAsia="黑体"/>
          <w:b w:val="0"/>
          <w:bCs w:val="0"/>
          <w:color w:val="auto"/>
          <w:kern w:val="0"/>
          <w:szCs w:val="32"/>
          <w:highlight w:val="none"/>
        </w:rPr>
        <w:footnoteReference w:id="317"/>
      </w:r>
    </w:p>
    <w:tbl>
      <w:tblPr>
        <w:tblStyle w:val="5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423"/>
        <w:gridCol w:w="1552"/>
        <w:gridCol w:w="1276"/>
        <w:gridCol w:w="1417"/>
        <w:gridCol w:w="1701"/>
        <w:gridCol w:w="851"/>
      </w:tblGrid>
      <w:tr w14:paraId="229D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1652D734">
            <w:pPr>
              <w:pStyle w:val="27"/>
              <w:jc w:val="center"/>
              <w:rPr>
                <w:rFonts w:hAnsi="宋体"/>
                <w:color w:val="auto"/>
                <w:highlight w:val="none"/>
              </w:rPr>
            </w:pPr>
            <w:r>
              <w:rPr>
                <w:rFonts w:hint="eastAsia" w:hAnsi="宋体"/>
                <w:color w:val="auto"/>
                <w:highlight w:val="none"/>
              </w:rPr>
              <w:t>序号</w:t>
            </w:r>
          </w:p>
        </w:tc>
        <w:tc>
          <w:tcPr>
            <w:tcW w:w="1423" w:type="dxa"/>
            <w:vMerge w:val="restart"/>
            <w:vAlign w:val="center"/>
          </w:tcPr>
          <w:p w14:paraId="5C9C5207">
            <w:pPr>
              <w:pStyle w:val="27"/>
              <w:jc w:val="center"/>
              <w:rPr>
                <w:rFonts w:hAnsi="宋体"/>
                <w:color w:val="auto"/>
                <w:highlight w:val="none"/>
              </w:rPr>
            </w:pPr>
            <w:r>
              <w:rPr>
                <w:rFonts w:hint="eastAsia" w:hAnsi="宋体"/>
                <w:color w:val="auto"/>
                <w:highlight w:val="none"/>
              </w:rPr>
              <w:t>设备名称</w:t>
            </w:r>
            <w:r>
              <w:rPr>
                <w:rStyle w:val="59"/>
                <w:rFonts w:hAnsi="宋体"/>
                <w:color w:val="auto"/>
                <w:highlight w:val="none"/>
              </w:rPr>
              <w:footnoteReference w:id="318"/>
            </w:r>
          </w:p>
        </w:tc>
        <w:tc>
          <w:tcPr>
            <w:tcW w:w="1552" w:type="dxa"/>
            <w:vMerge w:val="restart"/>
            <w:vAlign w:val="center"/>
          </w:tcPr>
          <w:p w14:paraId="3C1207BD">
            <w:pPr>
              <w:pStyle w:val="27"/>
              <w:jc w:val="center"/>
              <w:rPr>
                <w:rFonts w:hAnsi="宋体"/>
                <w:color w:val="auto"/>
                <w:highlight w:val="none"/>
              </w:rPr>
            </w:pPr>
            <w:r>
              <w:rPr>
                <w:rFonts w:hint="eastAsia" w:hAnsi="宋体"/>
                <w:color w:val="auto"/>
                <w:highlight w:val="none"/>
              </w:rPr>
              <w:t>招标人主要性能</w:t>
            </w:r>
            <w:r>
              <w:rPr>
                <w:rFonts w:hAnsi="宋体"/>
                <w:color w:val="auto"/>
                <w:highlight w:val="none"/>
              </w:rPr>
              <w:t>指标要求</w:t>
            </w:r>
            <w:r>
              <w:rPr>
                <w:rStyle w:val="59"/>
                <w:rFonts w:hAnsi="宋体"/>
                <w:color w:val="auto"/>
                <w:highlight w:val="none"/>
              </w:rPr>
              <w:footnoteReference w:id="319"/>
            </w:r>
          </w:p>
        </w:tc>
        <w:tc>
          <w:tcPr>
            <w:tcW w:w="4394" w:type="dxa"/>
            <w:gridSpan w:val="3"/>
            <w:vAlign w:val="center"/>
          </w:tcPr>
          <w:p w14:paraId="4163700C">
            <w:pPr>
              <w:pStyle w:val="27"/>
              <w:jc w:val="center"/>
              <w:rPr>
                <w:rFonts w:hAnsi="宋体"/>
                <w:color w:val="auto"/>
                <w:highlight w:val="none"/>
              </w:rPr>
            </w:pPr>
            <w:r>
              <w:rPr>
                <w:rFonts w:hint="eastAsia" w:hAnsi="宋体" w:cs="宋体"/>
                <w:bCs/>
                <w:color w:val="auto"/>
                <w:kern w:val="0"/>
                <w:highlight w:val="none"/>
              </w:rPr>
              <w:t>投标人拟提供的设备</w:t>
            </w:r>
          </w:p>
        </w:tc>
        <w:tc>
          <w:tcPr>
            <w:tcW w:w="851" w:type="dxa"/>
            <w:vMerge w:val="restart"/>
            <w:vAlign w:val="center"/>
          </w:tcPr>
          <w:p w14:paraId="3EC7C2C0">
            <w:pPr>
              <w:pStyle w:val="27"/>
              <w:jc w:val="center"/>
              <w:rPr>
                <w:rFonts w:hAnsi="宋体"/>
                <w:color w:val="auto"/>
                <w:highlight w:val="none"/>
              </w:rPr>
            </w:pPr>
            <w:r>
              <w:rPr>
                <w:rFonts w:hint="eastAsia" w:hAnsi="宋体" w:cs="宋体"/>
                <w:bCs/>
                <w:color w:val="auto"/>
                <w:kern w:val="0"/>
                <w:highlight w:val="none"/>
              </w:rPr>
              <w:t>品牌及型号</w:t>
            </w:r>
          </w:p>
        </w:tc>
      </w:tr>
      <w:tr w14:paraId="178D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4" w:type="dxa"/>
            <w:vMerge w:val="continue"/>
            <w:vAlign w:val="center"/>
          </w:tcPr>
          <w:p w14:paraId="5B560A67">
            <w:pPr>
              <w:pStyle w:val="27"/>
              <w:jc w:val="center"/>
              <w:rPr>
                <w:rFonts w:hAnsi="宋体"/>
                <w:color w:val="auto"/>
                <w:highlight w:val="none"/>
              </w:rPr>
            </w:pPr>
          </w:p>
        </w:tc>
        <w:tc>
          <w:tcPr>
            <w:tcW w:w="1423" w:type="dxa"/>
            <w:vMerge w:val="continue"/>
            <w:vAlign w:val="center"/>
          </w:tcPr>
          <w:p w14:paraId="1E827533">
            <w:pPr>
              <w:pStyle w:val="27"/>
              <w:jc w:val="center"/>
              <w:rPr>
                <w:rFonts w:hAnsi="宋体"/>
                <w:color w:val="auto"/>
                <w:highlight w:val="none"/>
              </w:rPr>
            </w:pPr>
          </w:p>
        </w:tc>
        <w:tc>
          <w:tcPr>
            <w:tcW w:w="1552" w:type="dxa"/>
            <w:vMerge w:val="continue"/>
            <w:vAlign w:val="center"/>
          </w:tcPr>
          <w:p w14:paraId="53C2558E">
            <w:pPr>
              <w:pStyle w:val="27"/>
              <w:jc w:val="center"/>
              <w:rPr>
                <w:rFonts w:hAnsi="宋体"/>
                <w:color w:val="auto"/>
                <w:highlight w:val="none"/>
              </w:rPr>
            </w:pPr>
          </w:p>
        </w:tc>
        <w:tc>
          <w:tcPr>
            <w:tcW w:w="1276" w:type="dxa"/>
            <w:tcBorders>
              <w:top w:val="nil"/>
              <w:left w:val="nil"/>
              <w:bottom w:val="single" w:color="auto" w:sz="4" w:space="0"/>
              <w:right w:val="single" w:color="auto" w:sz="4" w:space="0"/>
            </w:tcBorders>
            <w:vAlign w:val="center"/>
          </w:tcPr>
          <w:p w14:paraId="3E9F2968">
            <w:pPr>
              <w:pStyle w:val="27"/>
              <w:jc w:val="center"/>
              <w:rPr>
                <w:rFonts w:hAnsi="宋体"/>
                <w:color w:val="auto"/>
                <w:highlight w:val="none"/>
              </w:rPr>
            </w:pPr>
            <w:r>
              <w:rPr>
                <w:rFonts w:hint="eastAsia" w:hAnsi="宋体" w:cs="宋体"/>
                <w:bCs/>
                <w:color w:val="auto"/>
                <w:kern w:val="0"/>
                <w:highlight w:val="none"/>
              </w:rPr>
              <w:t>主要技术性能指标响应情况</w:t>
            </w:r>
          </w:p>
        </w:tc>
        <w:tc>
          <w:tcPr>
            <w:tcW w:w="1417" w:type="dxa"/>
            <w:tcBorders>
              <w:top w:val="nil"/>
              <w:left w:val="nil"/>
              <w:bottom w:val="single" w:color="auto" w:sz="4" w:space="0"/>
              <w:right w:val="single" w:color="auto" w:sz="4" w:space="0"/>
            </w:tcBorders>
            <w:vAlign w:val="center"/>
          </w:tcPr>
          <w:p w14:paraId="6D097E3E">
            <w:pPr>
              <w:pStyle w:val="27"/>
              <w:jc w:val="center"/>
              <w:rPr>
                <w:rFonts w:hAnsi="宋体"/>
                <w:color w:val="auto"/>
                <w:highlight w:val="none"/>
              </w:rPr>
            </w:pPr>
            <w:r>
              <w:rPr>
                <w:rFonts w:hint="eastAsia" w:hAnsi="宋体"/>
                <w:color w:val="auto"/>
                <w:highlight w:val="none"/>
              </w:rPr>
              <w:t>本</w:t>
            </w:r>
            <w:r>
              <w:rPr>
                <w:rFonts w:hAnsi="宋体"/>
                <w:color w:val="auto"/>
                <w:highlight w:val="none"/>
              </w:rPr>
              <w:t>设备的所有证明材料</w:t>
            </w:r>
            <w:r>
              <w:rPr>
                <w:rFonts w:hint="eastAsia" w:hAnsi="宋体"/>
                <w:color w:val="auto"/>
                <w:highlight w:val="none"/>
              </w:rPr>
              <w:t>总</w:t>
            </w:r>
            <w:r>
              <w:rPr>
                <w:rFonts w:hAnsi="宋体"/>
                <w:color w:val="auto"/>
                <w:highlight w:val="none"/>
              </w:rPr>
              <w:t>页数</w:t>
            </w:r>
          </w:p>
        </w:tc>
        <w:tc>
          <w:tcPr>
            <w:tcW w:w="1701" w:type="dxa"/>
            <w:tcBorders>
              <w:top w:val="nil"/>
              <w:left w:val="nil"/>
              <w:bottom w:val="single" w:color="auto" w:sz="4" w:space="0"/>
              <w:right w:val="single" w:color="auto" w:sz="4" w:space="0"/>
            </w:tcBorders>
            <w:vAlign w:val="center"/>
          </w:tcPr>
          <w:p w14:paraId="1DACAC52">
            <w:pPr>
              <w:pStyle w:val="27"/>
              <w:jc w:val="center"/>
              <w:rPr>
                <w:rFonts w:hAnsi="宋体"/>
                <w:color w:val="auto"/>
                <w:highlight w:val="none"/>
              </w:rPr>
            </w:pPr>
            <w:r>
              <w:rPr>
                <w:rFonts w:hAnsi="宋体"/>
                <w:color w:val="auto"/>
                <w:highlight w:val="none"/>
              </w:rPr>
              <w:t>本设备技术性能指标的证明材料</w:t>
            </w:r>
            <w:r>
              <w:rPr>
                <w:rFonts w:hint="eastAsia" w:hAnsi="宋体"/>
                <w:color w:val="auto"/>
                <w:highlight w:val="none"/>
              </w:rPr>
              <w:t>对应所在</w:t>
            </w:r>
            <w:r>
              <w:rPr>
                <w:rFonts w:hAnsi="宋体"/>
                <w:color w:val="auto"/>
                <w:highlight w:val="none"/>
              </w:rPr>
              <w:t>页码</w:t>
            </w:r>
          </w:p>
        </w:tc>
        <w:tc>
          <w:tcPr>
            <w:tcW w:w="851" w:type="dxa"/>
            <w:vMerge w:val="continue"/>
            <w:vAlign w:val="center"/>
          </w:tcPr>
          <w:p w14:paraId="4EB4E114">
            <w:pPr>
              <w:pStyle w:val="27"/>
              <w:jc w:val="center"/>
              <w:rPr>
                <w:rFonts w:hAnsi="宋体"/>
                <w:color w:val="auto"/>
                <w:highlight w:val="none"/>
              </w:rPr>
            </w:pPr>
          </w:p>
        </w:tc>
      </w:tr>
      <w:tr w14:paraId="41D9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570DC279">
            <w:pPr>
              <w:pStyle w:val="27"/>
              <w:jc w:val="center"/>
              <w:rPr>
                <w:rFonts w:hAnsi="宋体"/>
                <w:color w:val="auto"/>
                <w:highlight w:val="none"/>
              </w:rPr>
            </w:pPr>
            <w:r>
              <w:rPr>
                <w:rFonts w:hAnsi="宋体"/>
                <w:color w:val="auto"/>
                <w:highlight w:val="none"/>
              </w:rPr>
              <w:t>一</w:t>
            </w:r>
          </w:p>
        </w:tc>
        <w:tc>
          <w:tcPr>
            <w:tcW w:w="8220" w:type="dxa"/>
            <w:gridSpan w:val="6"/>
            <w:vAlign w:val="center"/>
          </w:tcPr>
          <w:p w14:paraId="633678D5">
            <w:pPr>
              <w:pStyle w:val="27"/>
              <w:rPr>
                <w:rFonts w:hAnsi="宋体"/>
                <w:color w:val="auto"/>
                <w:highlight w:val="none"/>
              </w:rPr>
            </w:pPr>
            <w:r>
              <w:rPr>
                <w:rFonts w:hint="default" w:ascii="Arial" w:hAnsi="Arial" w:cs="Arial"/>
                <w:color w:val="auto"/>
                <w:highlight w:val="none"/>
              </w:rPr>
              <w:t>××</w:t>
            </w:r>
            <w:r>
              <w:rPr>
                <w:rFonts w:hint="eastAsia" w:hAnsi="宋体"/>
                <w:color w:val="auto"/>
                <w:highlight w:val="none"/>
              </w:rPr>
              <w:t>系统</w:t>
            </w:r>
          </w:p>
        </w:tc>
      </w:tr>
      <w:tr w14:paraId="63C0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27CBB48E">
            <w:pPr>
              <w:pStyle w:val="27"/>
              <w:jc w:val="center"/>
              <w:rPr>
                <w:rFonts w:hAnsi="宋体"/>
                <w:color w:val="auto"/>
                <w:highlight w:val="none"/>
              </w:rPr>
            </w:pPr>
            <w:r>
              <w:rPr>
                <w:rFonts w:hAnsi="宋体"/>
                <w:color w:val="auto"/>
                <w:highlight w:val="none"/>
              </w:rPr>
              <w:t>1</w:t>
            </w:r>
          </w:p>
        </w:tc>
        <w:tc>
          <w:tcPr>
            <w:tcW w:w="1423" w:type="dxa"/>
            <w:vMerge w:val="restart"/>
            <w:vAlign w:val="center"/>
          </w:tcPr>
          <w:p w14:paraId="4D2CAEB4">
            <w:pPr>
              <w:pStyle w:val="27"/>
              <w:jc w:val="center"/>
              <w:rPr>
                <w:rFonts w:hAnsi="宋体"/>
                <w:color w:val="auto"/>
                <w:highlight w:val="none"/>
              </w:rPr>
            </w:pPr>
            <w:r>
              <w:rPr>
                <w:rFonts w:hint="default" w:ascii="Arial" w:hAnsi="Arial" w:cs="Arial"/>
                <w:color w:val="auto"/>
                <w:highlight w:val="none"/>
              </w:rPr>
              <w:t>××</w:t>
            </w:r>
            <w:r>
              <w:rPr>
                <w:rFonts w:hAnsi="宋体"/>
                <w:color w:val="auto"/>
                <w:highlight w:val="none"/>
              </w:rPr>
              <w:t>设备</w:t>
            </w:r>
          </w:p>
        </w:tc>
        <w:tc>
          <w:tcPr>
            <w:tcW w:w="1552" w:type="dxa"/>
            <w:vAlign w:val="center"/>
          </w:tcPr>
          <w:p w14:paraId="001372E6">
            <w:pPr>
              <w:pStyle w:val="27"/>
              <w:jc w:val="left"/>
              <w:rPr>
                <w:rFonts w:hAnsi="宋体"/>
                <w:color w:val="auto"/>
                <w:highlight w:val="none"/>
              </w:rPr>
            </w:pPr>
            <w:r>
              <w:rPr>
                <w:rFonts w:hint="eastAsia" w:hAnsi="宋体"/>
                <w:color w:val="auto"/>
                <w:highlight w:val="none"/>
              </w:rPr>
              <w:t>（</w:t>
            </w:r>
            <w:r>
              <w:rPr>
                <w:rFonts w:hAnsi="宋体"/>
                <w:color w:val="auto"/>
                <w:highlight w:val="none"/>
              </w:rPr>
              <w:t>1）</w:t>
            </w:r>
            <w:r>
              <w:rPr>
                <w:rFonts w:hint="default" w:ascii="Arial" w:hAnsi="Arial" w:cs="Arial"/>
                <w:color w:val="auto"/>
                <w:highlight w:val="none"/>
              </w:rPr>
              <w:t>××</w:t>
            </w:r>
            <w:r>
              <w:rPr>
                <w:rFonts w:hAnsi="宋体"/>
                <w:color w:val="auto"/>
                <w:highlight w:val="none"/>
              </w:rPr>
              <w:t xml:space="preserve">指标   </w:t>
            </w:r>
          </w:p>
        </w:tc>
        <w:tc>
          <w:tcPr>
            <w:tcW w:w="1276" w:type="dxa"/>
            <w:vAlign w:val="center"/>
          </w:tcPr>
          <w:p w14:paraId="7788D4EE">
            <w:pPr>
              <w:pStyle w:val="27"/>
              <w:jc w:val="center"/>
              <w:rPr>
                <w:rFonts w:hAnsi="宋体"/>
                <w:color w:val="auto"/>
                <w:highlight w:val="none"/>
              </w:rPr>
            </w:pPr>
          </w:p>
        </w:tc>
        <w:tc>
          <w:tcPr>
            <w:tcW w:w="1417" w:type="dxa"/>
            <w:vMerge w:val="restart"/>
            <w:vAlign w:val="center"/>
          </w:tcPr>
          <w:p w14:paraId="68C75428">
            <w:pPr>
              <w:pStyle w:val="27"/>
              <w:jc w:val="center"/>
              <w:rPr>
                <w:rFonts w:hAnsi="宋体"/>
                <w:color w:val="auto"/>
                <w:highlight w:val="none"/>
              </w:rPr>
            </w:pPr>
          </w:p>
        </w:tc>
        <w:tc>
          <w:tcPr>
            <w:tcW w:w="1701" w:type="dxa"/>
            <w:vAlign w:val="center"/>
          </w:tcPr>
          <w:p w14:paraId="646DC873">
            <w:pPr>
              <w:pStyle w:val="27"/>
              <w:jc w:val="center"/>
              <w:rPr>
                <w:rFonts w:hAnsi="宋体"/>
                <w:color w:val="auto"/>
                <w:highlight w:val="none"/>
              </w:rPr>
            </w:pPr>
          </w:p>
        </w:tc>
        <w:tc>
          <w:tcPr>
            <w:tcW w:w="851" w:type="dxa"/>
            <w:vAlign w:val="center"/>
          </w:tcPr>
          <w:p w14:paraId="1BE74D09">
            <w:pPr>
              <w:pStyle w:val="27"/>
              <w:jc w:val="center"/>
              <w:rPr>
                <w:rFonts w:hAnsi="宋体"/>
                <w:color w:val="auto"/>
                <w:highlight w:val="none"/>
              </w:rPr>
            </w:pPr>
          </w:p>
        </w:tc>
      </w:tr>
      <w:tr w14:paraId="3D51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22E53FBD">
            <w:pPr>
              <w:pStyle w:val="27"/>
              <w:jc w:val="center"/>
              <w:rPr>
                <w:rFonts w:hAnsi="宋体"/>
                <w:color w:val="auto"/>
                <w:highlight w:val="none"/>
              </w:rPr>
            </w:pPr>
          </w:p>
        </w:tc>
        <w:tc>
          <w:tcPr>
            <w:tcW w:w="1423" w:type="dxa"/>
            <w:vMerge w:val="continue"/>
            <w:vAlign w:val="center"/>
          </w:tcPr>
          <w:p w14:paraId="2DCFDC1D">
            <w:pPr>
              <w:pStyle w:val="27"/>
              <w:jc w:val="center"/>
              <w:rPr>
                <w:rFonts w:hAnsi="宋体"/>
                <w:color w:val="auto"/>
                <w:highlight w:val="none"/>
              </w:rPr>
            </w:pPr>
          </w:p>
        </w:tc>
        <w:tc>
          <w:tcPr>
            <w:tcW w:w="1552" w:type="dxa"/>
            <w:vAlign w:val="center"/>
          </w:tcPr>
          <w:p w14:paraId="399C5855">
            <w:pPr>
              <w:pStyle w:val="27"/>
              <w:jc w:val="left"/>
              <w:rPr>
                <w:rFonts w:hAnsi="宋体"/>
                <w:color w:val="auto"/>
                <w:highlight w:val="none"/>
              </w:rPr>
            </w:pPr>
            <w:r>
              <w:rPr>
                <w:rFonts w:hint="eastAsia" w:hAnsi="宋体"/>
                <w:color w:val="auto"/>
                <w:highlight w:val="none"/>
              </w:rPr>
              <w:t>（</w:t>
            </w:r>
            <w:r>
              <w:rPr>
                <w:rFonts w:hAnsi="宋体"/>
                <w:color w:val="auto"/>
                <w:highlight w:val="none"/>
              </w:rPr>
              <w:t>2）</w:t>
            </w:r>
          </w:p>
        </w:tc>
        <w:tc>
          <w:tcPr>
            <w:tcW w:w="1276" w:type="dxa"/>
            <w:vAlign w:val="center"/>
          </w:tcPr>
          <w:p w14:paraId="4118051C">
            <w:pPr>
              <w:pStyle w:val="27"/>
              <w:jc w:val="center"/>
              <w:rPr>
                <w:rFonts w:hAnsi="宋体"/>
                <w:color w:val="auto"/>
                <w:highlight w:val="none"/>
              </w:rPr>
            </w:pPr>
          </w:p>
        </w:tc>
        <w:tc>
          <w:tcPr>
            <w:tcW w:w="1417" w:type="dxa"/>
            <w:vMerge w:val="continue"/>
            <w:vAlign w:val="center"/>
          </w:tcPr>
          <w:p w14:paraId="2DEF7A02">
            <w:pPr>
              <w:pStyle w:val="27"/>
              <w:jc w:val="center"/>
              <w:rPr>
                <w:rFonts w:hAnsi="宋体"/>
                <w:color w:val="auto"/>
                <w:highlight w:val="none"/>
              </w:rPr>
            </w:pPr>
          </w:p>
        </w:tc>
        <w:tc>
          <w:tcPr>
            <w:tcW w:w="1701" w:type="dxa"/>
            <w:vAlign w:val="center"/>
          </w:tcPr>
          <w:p w14:paraId="02E472E7">
            <w:pPr>
              <w:pStyle w:val="27"/>
              <w:jc w:val="center"/>
              <w:rPr>
                <w:rFonts w:hAnsi="宋体"/>
                <w:color w:val="auto"/>
                <w:highlight w:val="none"/>
              </w:rPr>
            </w:pPr>
          </w:p>
        </w:tc>
        <w:tc>
          <w:tcPr>
            <w:tcW w:w="851" w:type="dxa"/>
            <w:vAlign w:val="center"/>
          </w:tcPr>
          <w:p w14:paraId="45B1891D">
            <w:pPr>
              <w:pStyle w:val="27"/>
              <w:jc w:val="center"/>
              <w:rPr>
                <w:rFonts w:hAnsi="宋体"/>
                <w:color w:val="auto"/>
                <w:highlight w:val="none"/>
              </w:rPr>
            </w:pPr>
          </w:p>
        </w:tc>
      </w:tr>
      <w:tr w14:paraId="46E0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4FF0099D">
            <w:pPr>
              <w:pStyle w:val="27"/>
              <w:jc w:val="center"/>
              <w:rPr>
                <w:rFonts w:hAnsi="宋体"/>
                <w:color w:val="auto"/>
                <w:highlight w:val="none"/>
              </w:rPr>
            </w:pPr>
          </w:p>
        </w:tc>
        <w:tc>
          <w:tcPr>
            <w:tcW w:w="1423" w:type="dxa"/>
            <w:vMerge w:val="continue"/>
            <w:vAlign w:val="center"/>
          </w:tcPr>
          <w:p w14:paraId="60A63B93">
            <w:pPr>
              <w:pStyle w:val="27"/>
              <w:jc w:val="center"/>
              <w:rPr>
                <w:rFonts w:hAnsi="宋体"/>
                <w:color w:val="auto"/>
                <w:highlight w:val="none"/>
              </w:rPr>
            </w:pPr>
          </w:p>
        </w:tc>
        <w:tc>
          <w:tcPr>
            <w:tcW w:w="1552" w:type="dxa"/>
            <w:vAlign w:val="center"/>
          </w:tcPr>
          <w:p w14:paraId="5D9A70BD">
            <w:pPr>
              <w:pStyle w:val="27"/>
              <w:rPr>
                <w:rFonts w:hAnsi="宋体"/>
                <w:color w:val="auto"/>
                <w:highlight w:val="none"/>
              </w:rPr>
            </w:pPr>
            <w:r>
              <w:rPr>
                <w:rFonts w:hint="eastAsia" w:hAnsi="宋体"/>
                <w:color w:val="auto"/>
                <w:highlight w:val="none"/>
              </w:rPr>
              <w:t>…</w:t>
            </w:r>
          </w:p>
        </w:tc>
        <w:tc>
          <w:tcPr>
            <w:tcW w:w="1276" w:type="dxa"/>
            <w:vAlign w:val="center"/>
          </w:tcPr>
          <w:p w14:paraId="6CC7B47A">
            <w:pPr>
              <w:pStyle w:val="27"/>
              <w:jc w:val="center"/>
              <w:rPr>
                <w:rFonts w:hAnsi="宋体"/>
                <w:color w:val="auto"/>
                <w:highlight w:val="none"/>
              </w:rPr>
            </w:pPr>
          </w:p>
        </w:tc>
        <w:tc>
          <w:tcPr>
            <w:tcW w:w="1417" w:type="dxa"/>
            <w:vMerge w:val="continue"/>
            <w:vAlign w:val="center"/>
          </w:tcPr>
          <w:p w14:paraId="74B232DC">
            <w:pPr>
              <w:pStyle w:val="27"/>
              <w:jc w:val="center"/>
              <w:rPr>
                <w:rFonts w:hAnsi="宋体"/>
                <w:color w:val="auto"/>
                <w:highlight w:val="none"/>
              </w:rPr>
            </w:pPr>
          </w:p>
        </w:tc>
        <w:tc>
          <w:tcPr>
            <w:tcW w:w="1701" w:type="dxa"/>
            <w:vAlign w:val="center"/>
          </w:tcPr>
          <w:p w14:paraId="19910FEA">
            <w:pPr>
              <w:pStyle w:val="27"/>
              <w:jc w:val="center"/>
              <w:rPr>
                <w:rFonts w:hAnsi="宋体"/>
                <w:color w:val="auto"/>
                <w:highlight w:val="none"/>
              </w:rPr>
            </w:pPr>
          </w:p>
        </w:tc>
        <w:tc>
          <w:tcPr>
            <w:tcW w:w="851" w:type="dxa"/>
            <w:vAlign w:val="center"/>
          </w:tcPr>
          <w:p w14:paraId="3D99DF35">
            <w:pPr>
              <w:pStyle w:val="27"/>
              <w:jc w:val="center"/>
              <w:rPr>
                <w:rFonts w:hAnsi="宋体"/>
                <w:color w:val="auto"/>
                <w:highlight w:val="none"/>
              </w:rPr>
            </w:pPr>
          </w:p>
        </w:tc>
      </w:tr>
      <w:tr w14:paraId="5511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3A6B706D">
            <w:pPr>
              <w:pStyle w:val="27"/>
              <w:jc w:val="center"/>
              <w:rPr>
                <w:rFonts w:hAnsi="宋体"/>
                <w:color w:val="auto"/>
                <w:highlight w:val="none"/>
              </w:rPr>
            </w:pPr>
          </w:p>
        </w:tc>
        <w:tc>
          <w:tcPr>
            <w:tcW w:w="1423" w:type="dxa"/>
            <w:vMerge w:val="continue"/>
            <w:vAlign w:val="center"/>
          </w:tcPr>
          <w:p w14:paraId="1A657508">
            <w:pPr>
              <w:pStyle w:val="27"/>
              <w:jc w:val="center"/>
              <w:rPr>
                <w:rFonts w:hAnsi="宋体"/>
                <w:color w:val="auto"/>
                <w:highlight w:val="none"/>
              </w:rPr>
            </w:pPr>
          </w:p>
        </w:tc>
        <w:tc>
          <w:tcPr>
            <w:tcW w:w="1552" w:type="dxa"/>
            <w:vAlign w:val="center"/>
          </w:tcPr>
          <w:p w14:paraId="4B6CD340">
            <w:pPr>
              <w:pStyle w:val="27"/>
              <w:rPr>
                <w:rFonts w:hAnsi="宋体"/>
                <w:color w:val="auto"/>
                <w:highlight w:val="none"/>
              </w:rPr>
            </w:pPr>
            <w:r>
              <w:rPr>
                <w:rFonts w:hint="eastAsia" w:hAnsi="宋体"/>
                <w:color w:val="auto"/>
                <w:highlight w:val="none"/>
              </w:rPr>
              <w:t>…</w:t>
            </w:r>
          </w:p>
        </w:tc>
        <w:tc>
          <w:tcPr>
            <w:tcW w:w="1276" w:type="dxa"/>
            <w:vAlign w:val="center"/>
          </w:tcPr>
          <w:p w14:paraId="5BC72FD3">
            <w:pPr>
              <w:pStyle w:val="27"/>
              <w:jc w:val="center"/>
              <w:rPr>
                <w:rFonts w:hAnsi="宋体"/>
                <w:color w:val="auto"/>
                <w:highlight w:val="none"/>
              </w:rPr>
            </w:pPr>
          </w:p>
        </w:tc>
        <w:tc>
          <w:tcPr>
            <w:tcW w:w="1417" w:type="dxa"/>
            <w:vMerge w:val="continue"/>
            <w:vAlign w:val="center"/>
          </w:tcPr>
          <w:p w14:paraId="2BC6C03B">
            <w:pPr>
              <w:pStyle w:val="27"/>
              <w:jc w:val="center"/>
              <w:rPr>
                <w:rFonts w:hAnsi="宋体"/>
                <w:color w:val="auto"/>
                <w:highlight w:val="none"/>
              </w:rPr>
            </w:pPr>
          </w:p>
        </w:tc>
        <w:tc>
          <w:tcPr>
            <w:tcW w:w="1701" w:type="dxa"/>
            <w:vAlign w:val="center"/>
          </w:tcPr>
          <w:p w14:paraId="21B74F19">
            <w:pPr>
              <w:pStyle w:val="27"/>
              <w:jc w:val="center"/>
              <w:rPr>
                <w:rFonts w:hAnsi="宋体"/>
                <w:color w:val="auto"/>
                <w:highlight w:val="none"/>
              </w:rPr>
            </w:pPr>
          </w:p>
        </w:tc>
        <w:tc>
          <w:tcPr>
            <w:tcW w:w="851" w:type="dxa"/>
            <w:vAlign w:val="center"/>
          </w:tcPr>
          <w:p w14:paraId="11AF1B44">
            <w:pPr>
              <w:pStyle w:val="27"/>
              <w:jc w:val="center"/>
              <w:rPr>
                <w:rFonts w:hAnsi="宋体"/>
                <w:color w:val="auto"/>
                <w:highlight w:val="none"/>
              </w:rPr>
            </w:pPr>
          </w:p>
        </w:tc>
      </w:tr>
      <w:tr w14:paraId="15A0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52901592">
            <w:pPr>
              <w:pStyle w:val="27"/>
              <w:jc w:val="center"/>
              <w:rPr>
                <w:rFonts w:hAnsi="宋体"/>
                <w:color w:val="auto"/>
                <w:highlight w:val="none"/>
              </w:rPr>
            </w:pPr>
            <w:r>
              <w:rPr>
                <w:rFonts w:hAnsi="宋体"/>
                <w:color w:val="auto"/>
                <w:highlight w:val="none"/>
              </w:rPr>
              <w:t>2</w:t>
            </w:r>
          </w:p>
        </w:tc>
        <w:tc>
          <w:tcPr>
            <w:tcW w:w="1423" w:type="dxa"/>
            <w:vMerge w:val="restart"/>
            <w:vAlign w:val="center"/>
          </w:tcPr>
          <w:p w14:paraId="1635941C">
            <w:pPr>
              <w:pStyle w:val="27"/>
              <w:jc w:val="center"/>
              <w:rPr>
                <w:rFonts w:hAnsi="宋体"/>
                <w:color w:val="auto"/>
                <w:highlight w:val="none"/>
              </w:rPr>
            </w:pPr>
            <w:r>
              <w:rPr>
                <w:rFonts w:hint="default" w:ascii="Arial" w:hAnsi="Arial" w:cs="Arial"/>
                <w:color w:val="auto"/>
                <w:highlight w:val="none"/>
              </w:rPr>
              <w:t>××</w:t>
            </w:r>
            <w:r>
              <w:rPr>
                <w:rFonts w:hAnsi="宋体"/>
                <w:color w:val="auto"/>
                <w:highlight w:val="none"/>
              </w:rPr>
              <w:t>设备</w:t>
            </w:r>
          </w:p>
        </w:tc>
        <w:tc>
          <w:tcPr>
            <w:tcW w:w="1552" w:type="dxa"/>
            <w:vAlign w:val="center"/>
          </w:tcPr>
          <w:p w14:paraId="3BAD6A07">
            <w:pPr>
              <w:pStyle w:val="27"/>
              <w:rPr>
                <w:rFonts w:hAnsi="宋体"/>
                <w:color w:val="auto"/>
                <w:highlight w:val="none"/>
              </w:rPr>
            </w:pPr>
            <w:r>
              <w:rPr>
                <w:rFonts w:hint="eastAsia" w:hAnsi="宋体"/>
                <w:color w:val="auto"/>
                <w:highlight w:val="none"/>
              </w:rPr>
              <w:t>（</w:t>
            </w:r>
            <w:r>
              <w:rPr>
                <w:rFonts w:hAnsi="宋体"/>
                <w:color w:val="auto"/>
                <w:highlight w:val="none"/>
              </w:rPr>
              <w:t>1）</w:t>
            </w:r>
          </w:p>
        </w:tc>
        <w:tc>
          <w:tcPr>
            <w:tcW w:w="1276" w:type="dxa"/>
            <w:vAlign w:val="center"/>
          </w:tcPr>
          <w:p w14:paraId="164E8033">
            <w:pPr>
              <w:pStyle w:val="27"/>
              <w:jc w:val="center"/>
              <w:rPr>
                <w:rFonts w:hAnsi="宋体"/>
                <w:color w:val="auto"/>
                <w:highlight w:val="none"/>
              </w:rPr>
            </w:pPr>
          </w:p>
        </w:tc>
        <w:tc>
          <w:tcPr>
            <w:tcW w:w="1417" w:type="dxa"/>
            <w:vMerge w:val="restart"/>
            <w:vAlign w:val="center"/>
          </w:tcPr>
          <w:p w14:paraId="5907F66A">
            <w:pPr>
              <w:pStyle w:val="27"/>
              <w:jc w:val="center"/>
              <w:rPr>
                <w:rFonts w:hAnsi="宋体"/>
                <w:color w:val="auto"/>
                <w:highlight w:val="none"/>
              </w:rPr>
            </w:pPr>
          </w:p>
        </w:tc>
        <w:tc>
          <w:tcPr>
            <w:tcW w:w="1701" w:type="dxa"/>
            <w:vAlign w:val="center"/>
          </w:tcPr>
          <w:p w14:paraId="036588F9">
            <w:pPr>
              <w:pStyle w:val="27"/>
              <w:jc w:val="center"/>
              <w:rPr>
                <w:rFonts w:hAnsi="宋体"/>
                <w:color w:val="auto"/>
                <w:highlight w:val="none"/>
              </w:rPr>
            </w:pPr>
          </w:p>
        </w:tc>
        <w:tc>
          <w:tcPr>
            <w:tcW w:w="851" w:type="dxa"/>
            <w:vAlign w:val="center"/>
          </w:tcPr>
          <w:p w14:paraId="656F901F">
            <w:pPr>
              <w:pStyle w:val="27"/>
              <w:jc w:val="center"/>
              <w:rPr>
                <w:rFonts w:hAnsi="宋体"/>
                <w:color w:val="auto"/>
                <w:highlight w:val="none"/>
              </w:rPr>
            </w:pPr>
          </w:p>
        </w:tc>
      </w:tr>
      <w:tr w14:paraId="5348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29CB11AC">
            <w:pPr>
              <w:pStyle w:val="27"/>
              <w:jc w:val="center"/>
              <w:rPr>
                <w:rFonts w:hAnsi="宋体"/>
                <w:color w:val="auto"/>
                <w:highlight w:val="none"/>
              </w:rPr>
            </w:pPr>
          </w:p>
        </w:tc>
        <w:tc>
          <w:tcPr>
            <w:tcW w:w="1423" w:type="dxa"/>
            <w:vMerge w:val="continue"/>
            <w:vAlign w:val="center"/>
          </w:tcPr>
          <w:p w14:paraId="2CD55277">
            <w:pPr>
              <w:pStyle w:val="27"/>
              <w:jc w:val="center"/>
              <w:rPr>
                <w:rFonts w:hAnsi="宋体"/>
                <w:color w:val="auto"/>
                <w:highlight w:val="none"/>
              </w:rPr>
            </w:pPr>
          </w:p>
        </w:tc>
        <w:tc>
          <w:tcPr>
            <w:tcW w:w="1552" w:type="dxa"/>
            <w:vAlign w:val="center"/>
          </w:tcPr>
          <w:p w14:paraId="03D81EB6">
            <w:pPr>
              <w:pStyle w:val="27"/>
              <w:rPr>
                <w:rFonts w:hAnsi="宋体"/>
                <w:color w:val="auto"/>
                <w:highlight w:val="none"/>
              </w:rPr>
            </w:pPr>
            <w:r>
              <w:rPr>
                <w:rFonts w:hint="eastAsia" w:hAnsi="宋体"/>
                <w:color w:val="auto"/>
                <w:highlight w:val="none"/>
              </w:rPr>
              <w:t>（</w:t>
            </w:r>
            <w:r>
              <w:rPr>
                <w:rFonts w:hAnsi="宋体"/>
                <w:color w:val="auto"/>
                <w:highlight w:val="none"/>
              </w:rPr>
              <w:t>2）</w:t>
            </w:r>
          </w:p>
        </w:tc>
        <w:tc>
          <w:tcPr>
            <w:tcW w:w="1276" w:type="dxa"/>
            <w:vAlign w:val="center"/>
          </w:tcPr>
          <w:p w14:paraId="08D4270F">
            <w:pPr>
              <w:pStyle w:val="27"/>
              <w:jc w:val="center"/>
              <w:rPr>
                <w:rFonts w:hAnsi="宋体"/>
                <w:color w:val="auto"/>
                <w:highlight w:val="none"/>
              </w:rPr>
            </w:pPr>
          </w:p>
        </w:tc>
        <w:tc>
          <w:tcPr>
            <w:tcW w:w="1417" w:type="dxa"/>
            <w:vMerge w:val="continue"/>
            <w:vAlign w:val="center"/>
          </w:tcPr>
          <w:p w14:paraId="03860761">
            <w:pPr>
              <w:pStyle w:val="27"/>
              <w:jc w:val="center"/>
              <w:rPr>
                <w:rFonts w:hAnsi="宋体"/>
                <w:color w:val="auto"/>
                <w:highlight w:val="none"/>
              </w:rPr>
            </w:pPr>
          </w:p>
        </w:tc>
        <w:tc>
          <w:tcPr>
            <w:tcW w:w="1701" w:type="dxa"/>
            <w:vAlign w:val="center"/>
          </w:tcPr>
          <w:p w14:paraId="23293741">
            <w:pPr>
              <w:pStyle w:val="27"/>
              <w:jc w:val="center"/>
              <w:rPr>
                <w:rFonts w:hAnsi="宋体"/>
                <w:color w:val="auto"/>
                <w:highlight w:val="none"/>
              </w:rPr>
            </w:pPr>
          </w:p>
        </w:tc>
        <w:tc>
          <w:tcPr>
            <w:tcW w:w="851" w:type="dxa"/>
            <w:vAlign w:val="center"/>
          </w:tcPr>
          <w:p w14:paraId="64376CDB">
            <w:pPr>
              <w:pStyle w:val="27"/>
              <w:jc w:val="center"/>
              <w:rPr>
                <w:rFonts w:hAnsi="宋体"/>
                <w:color w:val="auto"/>
                <w:highlight w:val="none"/>
              </w:rPr>
            </w:pPr>
          </w:p>
        </w:tc>
      </w:tr>
      <w:tr w14:paraId="0D0D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26A5225D">
            <w:pPr>
              <w:pStyle w:val="27"/>
              <w:jc w:val="center"/>
              <w:rPr>
                <w:rFonts w:hAnsi="宋体"/>
                <w:color w:val="auto"/>
                <w:highlight w:val="none"/>
              </w:rPr>
            </w:pPr>
          </w:p>
        </w:tc>
        <w:tc>
          <w:tcPr>
            <w:tcW w:w="1423" w:type="dxa"/>
            <w:vMerge w:val="continue"/>
            <w:vAlign w:val="center"/>
          </w:tcPr>
          <w:p w14:paraId="24EB39C6">
            <w:pPr>
              <w:pStyle w:val="27"/>
              <w:jc w:val="center"/>
              <w:rPr>
                <w:rFonts w:hAnsi="宋体"/>
                <w:color w:val="auto"/>
                <w:highlight w:val="none"/>
              </w:rPr>
            </w:pPr>
          </w:p>
        </w:tc>
        <w:tc>
          <w:tcPr>
            <w:tcW w:w="1552" w:type="dxa"/>
            <w:vAlign w:val="center"/>
          </w:tcPr>
          <w:p w14:paraId="0052BFD9">
            <w:pPr>
              <w:pStyle w:val="27"/>
              <w:rPr>
                <w:rFonts w:hAnsi="宋体"/>
                <w:color w:val="auto"/>
                <w:highlight w:val="none"/>
              </w:rPr>
            </w:pPr>
            <w:r>
              <w:rPr>
                <w:rFonts w:hint="eastAsia" w:hAnsi="宋体"/>
                <w:color w:val="auto"/>
                <w:highlight w:val="none"/>
              </w:rPr>
              <w:t>…</w:t>
            </w:r>
          </w:p>
        </w:tc>
        <w:tc>
          <w:tcPr>
            <w:tcW w:w="1276" w:type="dxa"/>
            <w:vAlign w:val="center"/>
          </w:tcPr>
          <w:p w14:paraId="391D55DF">
            <w:pPr>
              <w:pStyle w:val="27"/>
              <w:jc w:val="center"/>
              <w:rPr>
                <w:rFonts w:hAnsi="宋体"/>
                <w:color w:val="auto"/>
                <w:highlight w:val="none"/>
              </w:rPr>
            </w:pPr>
          </w:p>
        </w:tc>
        <w:tc>
          <w:tcPr>
            <w:tcW w:w="1417" w:type="dxa"/>
            <w:vMerge w:val="continue"/>
            <w:vAlign w:val="center"/>
          </w:tcPr>
          <w:p w14:paraId="10FC550F">
            <w:pPr>
              <w:pStyle w:val="27"/>
              <w:jc w:val="center"/>
              <w:rPr>
                <w:rFonts w:hAnsi="宋体"/>
                <w:color w:val="auto"/>
                <w:highlight w:val="none"/>
              </w:rPr>
            </w:pPr>
          </w:p>
        </w:tc>
        <w:tc>
          <w:tcPr>
            <w:tcW w:w="1701" w:type="dxa"/>
            <w:vAlign w:val="center"/>
          </w:tcPr>
          <w:p w14:paraId="56D4ADBA">
            <w:pPr>
              <w:pStyle w:val="27"/>
              <w:jc w:val="center"/>
              <w:rPr>
                <w:rFonts w:hAnsi="宋体"/>
                <w:color w:val="auto"/>
                <w:highlight w:val="none"/>
              </w:rPr>
            </w:pPr>
          </w:p>
        </w:tc>
        <w:tc>
          <w:tcPr>
            <w:tcW w:w="851" w:type="dxa"/>
            <w:vAlign w:val="center"/>
          </w:tcPr>
          <w:p w14:paraId="0F5F3FCA">
            <w:pPr>
              <w:pStyle w:val="27"/>
              <w:jc w:val="center"/>
              <w:rPr>
                <w:rFonts w:hAnsi="宋体"/>
                <w:color w:val="auto"/>
                <w:highlight w:val="none"/>
              </w:rPr>
            </w:pPr>
          </w:p>
        </w:tc>
      </w:tr>
      <w:tr w14:paraId="13EF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3533D3FA">
            <w:pPr>
              <w:pStyle w:val="27"/>
              <w:jc w:val="center"/>
              <w:rPr>
                <w:rFonts w:hAnsi="宋体"/>
                <w:color w:val="auto"/>
                <w:highlight w:val="none"/>
              </w:rPr>
            </w:pPr>
          </w:p>
        </w:tc>
        <w:tc>
          <w:tcPr>
            <w:tcW w:w="1423" w:type="dxa"/>
            <w:vMerge w:val="continue"/>
            <w:vAlign w:val="center"/>
          </w:tcPr>
          <w:p w14:paraId="5368DD9F">
            <w:pPr>
              <w:pStyle w:val="27"/>
              <w:jc w:val="center"/>
              <w:rPr>
                <w:rFonts w:hAnsi="宋体"/>
                <w:color w:val="auto"/>
                <w:highlight w:val="none"/>
              </w:rPr>
            </w:pPr>
          </w:p>
        </w:tc>
        <w:tc>
          <w:tcPr>
            <w:tcW w:w="1552" w:type="dxa"/>
            <w:vAlign w:val="center"/>
          </w:tcPr>
          <w:p w14:paraId="40EAF59D">
            <w:pPr>
              <w:pStyle w:val="27"/>
              <w:rPr>
                <w:rFonts w:hAnsi="宋体"/>
                <w:color w:val="auto"/>
                <w:highlight w:val="none"/>
              </w:rPr>
            </w:pPr>
            <w:r>
              <w:rPr>
                <w:rFonts w:hint="eastAsia" w:hAnsi="宋体"/>
                <w:color w:val="auto"/>
                <w:highlight w:val="none"/>
              </w:rPr>
              <w:t>…</w:t>
            </w:r>
          </w:p>
        </w:tc>
        <w:tc>
          <w:tcPr>
            <w:tcW w:w="1276" w:type="dxa"/>
            <w:vAlign w:val="center"/>
          </w:tcPr>
          <w:p w14:paraId="41BAC219">
            <w:pPr>
              <w:pStyle w:val="27"/>
              <w:jc w:val="center"/>
              <w:rPr>
                <w:rFonts w:hAnsi="宋体"/>
                <w:color w:val="auto"/>
                <w:highlight w:val="none"/>
              </w:rPr>
            </w:pPr>
          </w:p>
        </w:tc>
        <w:tc>
          <w:tcPr>
            <w:tcW w:w="1417" w:type="dxa"/>
            <w:vMerge w:val="continue"/>
            <w:vAlign w:val="center"/>
          </w:tcPr>
          <w:p w14:paraId="1DD89DE1">
            <w:pPr>
              <w:pStyle w:val="27"/>
              <w:jc w:val="center"/>
              <w:rPr>
                <w:rFonts w:hAnsi="宋体"/>
                <w:color w:val="auto"/>
                <w:highlight w:val="none"/>
              </w:rPr>
            </w:pPr>
          </w:p>
        </w:tc>
        <w:tc>
          <w:tcPr>
            <w:tcW w:w="1701" w:type="dxa"/>
            <w:vAlign w:val="center"/>
          </w:tcPr>
          <w:p w14:paraId="33556C24">
            <w:pPr>
              <w:pStyle w:val="27"/>
              <w:jc w:val="center"/>
              <w:rPr>
                <w:rFonts w:hAnsi="宋体"/>
                <w:color w:val="auto"/>
                <w:highlight w:val="none"/>
              </w:rPr>
            </w:pPr>
          </w:p>
        </w:tc>
        <w:tc>
          <w:tcPr>
            <w:tcW w:w="851" w:type="dxa"/>
            <w:vAlign w:val="center"/>
          </w:tcPr>
          <w:p w14:paraId="640628DF">
            <w:pPr>
              <w:pStyle w:val="27"/>
              <w:jc w:val="center"/>
              <w:rPr>
                <w:rFonts w:hAnsi="宋体"/>
                <w:color w:val="auto"/>
                <w:highlight w:val="none"/>
              </w:rPr>
            </w:pPr>
          </w:p>
        </w:tc>
      </w:tr>
      <w:tr w14:paraId="11E5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02D87F13">
            <w:pPr>
              <w:pStyle w:val="27"/>
              <w:jc w:val="center"/>
              <w:rPr>
                <w:rFonts w:hAnsi="宋体"/>
                <w:color w:val="auto"/>
                <w:highlight w:val="none"/>
              </w:rPr>
            </w:pPr>
            <w:r>
              <w:rPr>
                <w:rFonts w:hint="eastAsia" w:hAnsi="宋体"/>
                <w:color w:val="auto"/>
                <w:highlight w:val="none"/>
              </w:rPr>
              <w:t>…</w:t>
            </w:r>
          </w:p>
        </w:tc>
        <w:tc>
          <w:tcPr>
            <w:tcW w:w="1423" w:type="dxa"/>
            <w:vAlign w:val="center"/>
          </w:tcPr>
          <w:p w14:paraId="1978FFDD">
            <w:pPr>
              <w:pStyle w:val="27"/>
              <w:jc w:val="center"/>
              <w:rPr>
                <w:rFonts w:hAnsi="宋体"/>
                <w:color w:val="auto"/>
                <w:highlight w:val="none"/>
              </w:rPr>
            </w:pPr>
          </w:p>
        </w:tc>
        <w:tc>
          <w:tcPr>
            <w:tcW w:w="1552" w:type="dxa"/>
            <w:vAlign w:val="center"/>
          </w:tcPr>
          <w:p w14:paraId="467671D0">
            <w:pPr>
              <w:pStyle w:val="27"/>
              <w:jc w:val="center"/>
              <w:rPr>
                <w:rFonts w:hAnsi="宋体"/>
                <w:color w:val="auto"/>
                <w:highlight w:val="none"/>
              </w:rPr>
            </w:pPr>
          </w:p>
        </w:tc>
        <w:tc>
          <w:tcPr>
            <w:tcW w:w="1276" w:type="dxa"/>
            <w:vAlign w:val="center"/>
          </w:tcPr>
          <w:p w14:paraId="1D2E19B5">
            <w:pPr>
              <w:pStyle w:val="27"/>
              <w:jc w:val="center"/>
              <w:rPr>
                <w:rFonts w:hAnsi="宋体"/>
                <w:color w:val="auto"/>
                <w:highlight w:val="none"/>
              </w:rPr>
            </w:pPr>
          </w:p>
        </w:tc>
        <w:tc>
          <w:tcPr>
            <w:tcW w:w="1417" w:type="dxa"/>
            <w:vAlign w:val="center"/>
          </w:tcPr>
          <w:p w14:paraId="3DBC9014">
            <w:pPr>
              <w:pStyle w:val="27"/>
              <w:jc w:val="center"/>
              <w:rPr>
                <w:rFonts w:hAnsi="宋体"/>
                <w:color w:val="auto"/>
                <w:highlight w:val="none"/>
              </w:rPr>
            </w:pPr>
          </w:p>
        </w:tc>
        <w:tc>
          <w:tcPr>
            <w:tcW w:w="1701" w:type="dxa"/>
            <w:vAlign w:val="center"/>
          </w:tcPr>
          <w:p w14:paraId="2D805BC1">
            <w:pPr>
              <w:pStyle w:val="27"/>
              <w:jc w:val="center"/>
              <w:rPr>
                <w:rFonts w:hAnsi="宋体"/>
                <w:color w:val="auto"/>
                <w:highlight w:val="none"/>
              </w:rPr>
            </w:pPr>
          </w:p>
        </w:tc>
        <w:tc>
          <w:tcPr>
            <w:tcW w:w="851" w:type="dxa"/>
            <w:vAlign w:val="center"/>
          </w:tcPr>
          <w:p w14:paraId="10E19F73">
            <w:pPr>
              <w:pStyle w:val="27"/>
              <w:jc w:val="center"/>
              <w:rPr>
                <w:rFonts w:hAnsi="宋体"/>
                <w:color w:val="auto"/>
                <w:highlight w:val="none"/>
              </w:rPr>
            </w:pPr>
          </w:p>
        </w:tc>
      </w:tr>
      <w:tr w14:paraId="57C6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0A8BBF61">
            <w:pPr>
              <w:pStyle w:val="27"/>
              <w:jc w:val="center"/>
              <w:rPr>
                <w:rFonts w:hAnsi="宋体"/>
                <w:color w:val="auto"/>
                <w:highlight w:val="none"/>
              </w:rPr>
            </w:pPr>
            <w:r>
              <w:rPr>
                <w:rFonts w:hint="eastAsia" w:hAnsi="宋体"/>
                <w:color w:val="auto"/>
                <w:highlight w:val="none"/>
              </w:rPr>
              <w:t>…</w:t>
            </w:r>
          </w:p>
        </w:tc>
        <w:tc>
          <w:tcPr>
            <w:tcW w:w="1423" w:type="dxa"/>
            <w:vAlign w:val="center"/>
          </w:tcPr>
          <w:p w14:paraId="65EF5EBF">
            <w:pPr>
              <w:pStyle w:val="27"/>
              <w:jc w:val="center"/>
              <w:rPr>
                <w:rFonts w:hAnsi="宋体"/>
                <w:color w:val="auto"/>
                <w:highlight w:val="none"/>
              </w:rPr>
            </w:pPr>
          </w:p>
        </w:tc>
        <w:tc>
          <w:tcPr>
            <w:tcW w:w="1552" w:type="dxa"/>
            <w:vAlign w:val="center"/>
          </w:tcPr>
          <w:p w14:paraId="1DDFA13D">
            <w:pPr>
              <w:pStyle w:val="27"/>
              <w:jc w:val="center"/>
              <w:rPr>
                <w:rFonts w:hAnsi="宋体"/>
                <w:color w:val="auto"/>
                <w:highlight w:val="none"/>
              </w:rPr>
            </w:pPr>
          </w:p>
        </w:tc>
        <w:tc>
          <w:tcPr>
            <w:tcW w:w="1276" w:type="dxa"/>
            <w:vAlign w:val="center"/>
          </w:tcPr>
          <w:p w14:paraId="17A7E317">
            <w:pPr>
              <w:pStyle w:val="27"/>
              <w:jc w:val="center"/>
              <w:rPr>
                <w:rFonts w:hAnsi="宋体"/>
                <w:color w:val="auto"/>
                <w:highlight w:val="none"/>
              </w:rPr>
            </w:pPr>
          </w:p>
        </w:tc>
        <w:tc>
          <w:tcPr>
            <w:tcW w:w="1417" w:type="dxa"/>
            <w:vAlign w:val="center"/>
          </w:tcPr>
          <w:p w14:paraId="0B8629D7">
            <w:pPr>
              <w:pStyle w:val="27"/>
              <w:jc w:val="center"/>
              <w:rPr>
                <w:rFonts w:hAnsi="宋体"/>
                <w:color w:val="auto"/>
                <w:highlight w:val="none"/>
              </w:rPr>
            </w:pPr>
          </w:p>
        </w:tc>
        <w:tc>
          <w:tcPr>
            <w:tcW w:w="1701" w:type="dxa"/>
            <w:vAlign w:val="center"/>
          </w:tcPr>
          <w:p w14:paraId="6EDB4C56">
            <w:pPr>
              <w:pStyle w:val="27"/>
              <w:jc w:val="center"/>
              <w:rPr>
                <w:rFonts w:hAnsi="宋体"/>
                <w:color w:val="auto"/>
                <w:highlight w:val="none"/>
              </w:rPr>
            </w:pPr>
          </w:p>
        </w:tc>
        <w:tc>
          <w:tcPr>
            <w:tcW w:w="851" w:type="dxa"/>
            <w:vAlign w:val="center"/>
          </w:tcPr>
          <w:p w14:paraId="4C83B77B">
            <w:pPr>
              <w:pStyle w:val="27"/>
              <w:jc w:val="center"/>
              <w:rPr>
                <w:rFonts w:hAnsi="宋体"/>
                <w:color w:val="auto"/>
                <w:highlight w:val="none"/>
              </w:rPr>
            </w:pPr>
          </w:p>
        </w:tc>
      </w:tr>
      <w:tr w14:paraId="3612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4CDDDB09">
            <w:pPr>
              <w:pStyle w:val="27"/>
              <w:jc w:val="center"/>
              <w:rPr>
                <w:rFonts w:hAnsi="宋体"/>
                <w:color w:val="auto"/>
                <w:highlight w:val="none"/>
              </w:rPr>
            </w:pPr>
            <w:r>
              <w:rPr>
                <w:rFonts w:hAnsi="宋体"/>
                <w:color w:val="auto"/>
                <w:highlight w:val="none"/>
              </w:rPr>
              <w:t>二</w:t>
            </w:r>
          </w:p>
        </w:tc>
        <w:tc>
          <w:tcPr>
            <w:tcW w:w="8220" w:type="dxa"/>
            <w:gridSpan w:val="6"/>
            <w:vAlign w:val="center"/>
          </w:tcPr>
          <w:p w14:paraId="4FB5F971">
            <w:pPr>
              <w:pStyle w:val="27"/>
              <w:rPr>
                <w:rFonts w:hAnsi="宋体"/>
                <w:color w:val="auto"/>
                <w:highlight w:val="none"/>
              </w:rPr>
            </w:pPr>
            <w:r>
              <w:rPr>
                <w:rFonts w:hint="default" w:ascii="Arial" w:hAnsi="Arial" w:cs="Arial"/>
                <w:color w:val="auto"/>
                <w:highlight w:val="none"/>
              </w:rPr>
              <w:t>××</w:t>
            </w:r>
            <w:r>
              <w:rPr>
                <w:rFonts w:hAnsi="宋体"/>
                <w:color w:val="auto"/>
                <w:highlight w:val="none"/>
              </w:rPr>
              <w:t>系统</w:t>
            </w:r>
          </w:p>
        </w:tc>
      </w:tr>
      <w:tr w14:paraId="30BC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3F91D4FC">
            <w:pPr>
              <w:pStyle w:val="27"/>
              <w:jc w:val="center"/>
              <w:rPr>
                <w:rFonts w:hAnsi="宋体"/>
                <w:color w:val="auto"/>
                <w:highlight w:val="none"/>
              </w:rPr>
            </w:pPr>
            <w:r>
              <w:rPr>
                <w:rFonts w:hAnsi="宋体"/>
                <w:color w:val="auto"/>
                <w:highlight w:val="none"/>
              </w:rPr>
              <w:t>1</w:t>
            </w:r>
          </w:p>
        </w:tc>
        <w:tc>
          <w:tcPr>
            <w:tcW w:w="1423" w:type="dxa"/>
            <w:vMerge w:val="restart"/>
            <w:vAlign w:val="center"/>
          </w:tcPr>
          <w:p w14:paraId="7EC6A9AA">
            <w:pPr>
              <w:pStyle w:val="27"/>
              <w:jc w:val="center"/>
              <w:rPr>
                <w:rFonts w:hAnsi="宋体"/>
                <w:color w:val="auto"/>
                <w:highlight w:val="none"/>
              </w:rPr>
            </w:pPr>
            <w:r>
              <w:rPr>
                <w:rFonts w:hint="default" w:ascii="Arial" w:hAnsi="Arial" w:cs="Arial"/>
                <w:color w:val="auto"/>
                <w:highlight w:val="none"/>
              </w:rPr>
              <w:t>××</w:t>
            </w:r>
            <w:r>
              <w:rPr>
                <w:rFonts w:hAnsi="宋体"/>
                <w:color w:val="auto"/>
                <w:highlight w:val="none"/>
              </w:rPr>
              <w:t>设备</w:t>
            </w:r>
          </w:p>
        </w:tc>
        <w:tc>
          <w:tcPr>
            <w:tcW w:w="1552" w:type="dxa"/>
            <w:vAlign w:val="center"/>
          </w:tcPr>
          <w:p w14:paraId="18269E4C">
            <w:pPr>
              <w:pStyle w:val="27"/>
              <w:rPr>
                <w:rFonts w:hAnsi="宋体"/>
                <w:color w:val="auto"/>
                <w:highlight w:val="none"/>
              </w:rPr>
            </w:pPr>
            <w:r>
              <w:rPr>
                <w:rFonts w:hint="eastAsia" w:hAnsi="宋体"/>
                <w:color w:val="auto"/>
                <w:highlight w:val="none"/>
              </w:rPr>
              <w:t>（</w:t>
            </w:r>
            <w:r>
              <w:rPr>
                <w:rFonts w:hAnsi="宋体"/>
                <w:color w:val="auto"/>
                <w:highlight w:val="none"/>
              </w:rPr>
              <w:t xml:space="preserve">1）   </w:t>
            </w:r>
          </w:p>
        </w:tc>
        <w:tc>
          <w:tcPr>
            <w:tcW w:w="1276" w:type="dxa"/>
            <w:vAlign w:val="center"/>
          </w:tcPr>
          <w:p w14:paraId="00FD0452">
            <w:pPr>
              <w:pStyle w:val="27"/>
              <w:jc w:val="center"/>
              <w:rPr>
                <w:rFonts w:hAnsi="宋体"/>
                <w:color w:val="auto"/>
                <w:highlight w:val="none"/>
              </w:rPr>
            </w:pPr>
          </w:p>
        </w:tc>
        <w:tc>
          <w:tcPr>
            <w:tcW w:w="1417" w:type="dxa"/>
            <w:vMerge w:val="restart"/>
            <w:vAlign w:val="center"/>
          </w:tcPr>
          <w:p w14:paraId="68BD83CF">
            <w:pPr>
              <w:pStyle w:val="27"/>
              <w:jc w:val="center"/>
              <w:rPr>
                <w:rFonts w:hAnsi="宋体"/>
                <w:color w:val="auto"/>
                <w:highlight w:val="none"/>
              </w:rPr>
            </w:pPr>
          </w:p>
        </w:tc>
        <w:tc>
          <w:tcPr>
            <w:tcW w:w="1701" w:type="dxa"/>
            <w:vAlign w:val="center"/>
          </w:tcPr>
          <w:p w14:paraId="7127EBC1">
            <w:pPr>
              <w:pStyle w:val="27"/>
              <w:jc w:val="center"/>
              <w:rPr>
                <w:rFonts w:hAnsi="宋体"/>
                <w:color w:val="auto"/>
                <w:highlight w:val="none"/>
              </w:rPr>
            </w:pPr>
          </w:p>
        </w:tc>
        <w:tc>
          <w:tcPr>
            <w:tcW w:w="851" w:type="dxa"/>
            <w:vAlign w:val="center"/>
          </w:tcPr>
          <w:p w14:paraId="4735774F">
            <w:pPr>
              <w:pStyle w:val="27"/>
              <w:jc w:val="center"/>
              <w:rPr>
                <w:rFonts w:hAnsi="宋体"/>
                <w:color w:val="auto"/>
                <w:highlight w:val="none"/>
              </w:rPr>
            </w:pPr>
          </w:p>
        </w:tc>
      </w:tr>
      <w:tr w14:paraId="5842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2A387792">
            <w:pPr>
              <w:pStyle w:val="27"/>
              <w:jc w:val="center"/>
              <w:rPr>
                <w:rFonts w:hAnsi="宋体"/>
                <w:color w:val="auto"/>
                <w:highlight w:val="none"/>
              </w:rPr>
            </w:pPr>
          </w:p>
        </w:tc>
        <w:tc>
          <w:tcPr>
            <w:tcW w:w="1423" w:type="dxa"/>
            <w:vMerge w:val="continue"/>
            <w:vAlign w:val="center"/>
          </w:tcPr>
          <w:p w14:paraId="3B902589">
            <w:pPr>
              <w:pStyle w:val="27"/>
              <w:jc w:val="center"/>
              <w:rPr>
                <w:rFonts w:hAnsi="宋体"/>
                <w:color w:val="auto"/>
                <w:highlight w:val="none"/>
              </w:rPr>
            </w:pPr>
          </w:p>
        </w:tc>
        <w:tc>
          <w:tcPr>
            <w:tcW w:w="1552" w:type="dxa"/>
            <w:vAlign w:val="center"/>
          </w:tcPr>
          <w:p w14:paraId="597E1848">
            <w:pPr>
              <w:pStyle w:val="27"/>
              <w:rPr>
                <w:rFonts w:hAnsi="宋体"/>
                <w:color w:val="auto"/>
                <w:highlight w:val="none"/>
              </w:rPr>
            </w:pPr>
            <w:r>
              <w:rPr>
                <w:rFonts w:hint="eastAsia" w:hAnsi="宋体"/>
                <w:color w:val="auto"/>
                <w:highlight w:val="none"/>
              </w:rPr>
              <w:t>（</w:t>
            </w:r>
            <w:r>
              <w:rPr>
                <w:rFonts w:hAnsi="宋体"/>
                <w:color w:val="auto"/>
                <w:highlight w:val="none"/>
              </w:rPr>
              <w:t>2）</w:t>
            </w:r>
          </w:p>
        </w:tc>
        <w:tc>
          <w:tcPr>
            <w:tcW w:w="1276" w:type="dxa"/>
            <w:vAlign w:val="center"/>
          </w:tcPr>
          <w:p w14:paraId="0D5988CE">
            <w:pPr>
              <w:pStyle w:val="27"/>
              <w:jc w:val="center"/>
              <w:rPr>
                <w:rFonts w:hAnsi="宋体"/>
                <w:color w:val="auto"/>
                <w:highlight w:val="none"/>
              </w:rPr>
            </w:pPr>
          </w:p>
        </w:tc>
        <w:tc>
          <w:tcPr>
            <w:tcW w:w="1417" w:type="dxa"/>
            <w:vMerge w:val="continue"/>
            <w:vAlign w:val="center"/>
          </w:tcPr>
          <w:p w14:paraId="3AA8174F">
            <w:pPr>
              <w:pStyle w:val="27"/>
              <w:jc w:val="center"/>
              <w:rPr>
                <w:rFonts w:hAnsi="宋体"/>
                <w:color w:val="auto"/>
                <w:highlight w:val="none"/>
              </w:rPr>
            </w:pPr>
          </w:p>
        </w:tc>
        <w:tc>
          <w:tcPr>
            <w:tcW w:w="1701" w:type="dxa"/>
            <w:vAlign w:val="center"/>
          </w:tcPr>
          <w:p w14:paraId="1F9FE4B4">
            <w:pPr>
              <w:pStyle w:val="27"/>
              <w:jc w:val="center"/>
              <w:rPr>
                <w:rFonts w:hAnsi="宋体"/>
                <w:color w:val="auto"/>
                <w:highlight w:val="none"/>
              </w:rPr>
            </w:pPr>
          </w:p>
        </w:tc>
        <w:tc>
          <w:tcPr>
            <w:tcW w:w="851" w:type="dxa"/>
            <w:vAlign w:val="center"/>
          </w:tcPr>
          <w:p w14:paraId="19EBECC3">
            <w:pPr>
              <w:pStyle w:val="27"/>
              <w:jc w:val="center"/>
              <w:rPr>
                <w:rFonts w:hAnsi="宋体"/>
                <w:color w:val="auto"/>
                <w:highlight w:val="none"/>
              </w:rPr>
            </w:pPr>
          </w:p>
        </w:tc>
      </w:tr>
      <w:tr w14:paraId="0322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3A0B2E26">
            <w:pPr>
              <w:pStyle w:val="27"/>
              <w:jc w:val="center"/>
              <w:rPr>
                <w:rFonts w:hAnsi="宋体"/>
                <w:color w:val="auto"/>
                <w:highlight w:val="none"/>
              </w:rPr>
            </w:pPr>
          </w:p>
        </w:tc>
        <w:tc>
          <w:tcPr>
            <w:tcW w:w="1423" w:type="dxa"/>
            <w:vMerge w:val="continue"/>
            <w:vAlign w:val="center"/>
          </w:tcPr>
          <w:p w14:paraId="7F825010">
            <w:pPr>
              <w:pStyle w:val="27"/>
              <w:jc w:val="center"/>
              <w:rPr>
                <w:rFonts w:hAnsi="宋体"/>
                <w:color w:val="auto"/>
                <w:highlight w:val="none"/>
              </w:rPr>
            </w:pPr>
          </w:p>
        </w:tc>
        <w:tc>
          <w:tcPr>
            <w:tcW w:w="1552" w:type="dxa"/>
            <w:vAlign w:val="center"/>
          </w:tcPr>
          <w:p w14:paraId="130632A7">
            <w:pPr>
              <w:pStyle w:val="27"/>
              <w:rPr>
                <w:rFonts w:hAnsi="宋体"/>
                <w:color w:val="auto"/>
                <w:highlight w:val="none"/>
              </w:rPr>
            </w:pPr>
            <w:r>
              <w:rPr>
                <w:rFonts w:hint="eastAsia" w:hAnsi="宋体"/>
                <w:color w:val="auto"/>
                <w:highlight w:val="none"/>
              </w:rPr>
              <w:t>…</w:t>
            </w:r>
          </w:p>
        </w:tc>
        <w:tc>
          <w:tcPr>
            <w:tcW w:w="1276" w:type="dxa"/>
            <w:vAlign w:val="center"/>
          </w:tcPr>
          <w:p w14:paraId="08B499FA">
            <w:pPr>
              <w:pStyle w:val="27"/>
              <w:jc w:val="center"/>
              <w:rPr>
                <w:rFonts w:hAnsi="宋体"/>
                <w:color w:val="auto"/>
                <w:highlight w:val="none"/>
              </w:rPr>
            </w:pPr>
          </w:p>
        </w:tc>
        <w:tc>
          <w:tcPr>
            <w:tcW w:w="1417" w:type="dxa"/>
            <w:vMerge w:val="continue"/>
            <w:vAlign w:val="center"/>
          </w:tcPr>
          <w:p w14:paraId="7B04D026">
            <w:pPr>
              <w:pStyle w:val="27"/>
              <w:jc w:val="center"/>
              <w:rPr>
                <w:rFonts w:hAnsi="宋体"/>
                <w:color w:val="auto"/>
                <w:highlight w:val="none"/>
              </w:rPr>
            </w:pPr>
          </w:p>
        </w:tc>
        <w:tc>
          <w:tcPr>
            <w:tcW w:w="1701" w:type="dxa"/>
            <w:vAlign w:val="center"/>
          </w:tcPr>
          <w:p w14:paraId="72E2246E">
            <w:pPr>
              <w:pStyle w:val="27"/>
              <w:jc w:val="center"/>
              <w:rPr>
                <w:rFonts w:hAnsi="宋体"/>
                <w:color w:val="auto"/>
                <w:highlight w:val="none"/>
              </w:rPr>
            </w:pPr>
          </w:p>
        </w:tc>
        <w:tc>
          <w:tcPr>
            <w:tcW w:w="851" w:type="dxa"/>
            <w:vAlign w:val="center"/>
          </w:tcPr>
          <w:p w14:paraId="5BD5961B">
            <w:pPr>
              <w:pStyle w:val="27"/>
              <w:jc w:val="center"/>
              <w:rPr>
                <w:rFonts w:hAnsi="宋体"/>
                <w:color w:val="auto"/>
                <w:highlight w:val="none"/>
              </w:rPr>
            </w:pPr>
          </w:p>
        </w:tc>
      </w:tr>
      <w:tr w14:paraId="0733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4F579BB7">
            <w:pPr>
              <w:pStyle w:val="27"/>
              <w:jc w:val="center"/>
              <w:rPr>
                <w:rFonts w:hAnsi="宋体"/>
                <w:color w:val="auto"/>
                <w:highlight w:val="none"/>
              </w:rPr>
            </w:pPr>
          </w:p>
        </w:tc>
        <w:tc>
          <w:tcPr>
            <w:tcW w:w="1423" w:type="dxa"/>
            <w:vMerge w:val="continue"/>
            <w:vAlign w:val="center"/>
          </w:tcPr>
          <w:p w14:paraId="06E5234C">
            <w:pPr>
              <w:pStyle w:val="27"/>
              <w:jc w:val="center"/>
              <w:rPr>
                <w:rFonts w:hAnsi="宋体"/>
                <w:color w:val="auto"/>
                <w:highlight w:val="none"/>
              </w:rPr>
            </w:pPr>
          </w:p>
        </w:tc>
        <w:tc>
          <w:tcPr>
            <w:tcW w:w="1552" w:type="dxa"/>
            <w:vAlign w:val="center"/>
          </w:tcPr>
          <w:p w14:paraId="7392C7BB">
            <w:pPr>
              <w:pStyle w:val="27"/>
              <w:rPr>
                <w:rFonts w:hAnsi="宋体"/>
                <w:color w:val="auto"/>
                <w:highlight w:val="none"/>
              </w:rPr>
            </w:pPr>
            <w:r>
              <w:rPr>
                <w:rFonts w:hint="eastAsia" w:hAnsi="宋体"/>
                <w:color w:val="auto"/>
                <w:highlight w:val="none"/>
              </w:rPr>
              <w:t>…</w:t>
            </w:r>
          </w:p>
        </w:tc>
        <w:tc>
          <w:tcPr>
            <w:tcW w:w="1276" w:type="dxa"/>
            <w:vAlign w:val="center"/>
          </w:tcPr>
          <w:p w14:paraId="1402F71E">
            <w:pPr>
              <w:pStyle w:val="27"/>
              <w:jc w:val="center"/>
              <w:rPr>
                <w:rFonts w:hAnsi="宋体"/>
                <w:color w:val="auto"/>
                <w:highlight w:val="none"/>
              </w:rPr>
            </w:pPr>
          </w:p>
        </w:tc>
        <w:tc>
          <w:tcPr>
            <w:tcW w:w="1417" w:type="dxa"/>
            <w:vMerge w:val="continue"/>
            <w:vAlign w:val="center"/>
          </w:tcPr>
          <w:p w14:paraId="205E4E74">
            <w:pPr>
              <w:pStyle w:val="27"/>
              <w:jc w:val="center"/>
              <w:rPr>
                <w:rFonts w:hAnsi="宋体"/>
                <w:color w:val="auto"/>
                <w:highlight w:val="none"/>
              </w:rPr>
            </w:pPr>
          </w:p>
        </w:tc>
        <w:tc>
          <w:tcPr>
            <w:tcW w:w="1701" w:type="dxa"/>
            <w:vAlign w:val="center"/>
          </w:tcPr>
          <w:p w14:paraId="7A6C0B51">
            <w:pPr>
              <w:pStyle w:val="27"/>
              <w:jc w:val="center"/>
              <w:rPr>
                <w:rFonts w:hAnsi="宋体"/>
                <w:color w:val="auto"/>
                <w:highlight w:val="none"/>
              </w:rPr>
            </w:pPr>
          </w:p>
        </w:tc>
        <w:tc>
          <w:tcPr>
            <w:tcW w:w="851" w:type="dxa"/>
            <w:vAlign w:val="center"/>
          </w:tcPr>
          <w:p w14:paraId="79B768D1">
            <w:pPr>
              <w:pStyle w:val="27"/>
              <w:jc w:val="center"/>
              <w:rPr>
                <w:rFonts w:hAnsi="宋体"/>
                <w:color w:val="auto"/>
                <w:highlight w:val="none"/>
              </w:rPr>
            </w:pPr>
          </w:p>
        </w:tc>
      </w:tr>
      <w:tr w14:paraId="1E02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7A7E0D97">
            <w:pPr>
              <w:pStyle w:val="27"/>
              <w:jc w:val="center"/>
              <w:rPr>
                <w:rFonts w:hAnsi="宋体"/>
                <w:color w:val="auto"/>
                <w:highlight w:val="none"/>
              </w:rPr>
            </w:pPr>
            <w:r>
              <w:rPr>
                <w:rFonts w:hAnsi="宋体"/>
                <w:color w:val="auto"/>
                <w:highlight w:val="none"/>
              </w:rPr>
              <w:t>2</w:t>
            </w:r>
          </w:p>
        </w:tc>
        <w:tc>
          <w:tcPr>
            <w:tcW w:w="1423" w:type="dxa"/>
            <w:vMerge w:val="restart"/>
            <w:vAlign w:val="center"/>
          </w:tcPr>
          <w:p w14:paraId="209FF75D">
            <w:pPr>
              <w:pStyle w:val="27"/>
              <w:jc w:val="center"/>
              <w:rPr>
                <w:rFonts w:hAnsi="宋体"/>
                <w:color w:val="auto"/>
                <w:highlight w:val="none"/>
              </w:rPr>
            </w:pPr>
            <w:r>
              <w:rPr>
                <w:rFonts w:hint="default" w:ascii="Arial" w:hAnsi="Arial" w:cs="Arial"/>
                <w:color w:val="auto"/>
                <w:highlight w:val="none"/>
              </w:rPr>
              <w:t>××</w:t>
            </w:r>
            <w:r>
              <w:rPr>
                <w:rFonts w:hAnsi="宋体"/>
                <w:color w:val="auto"/>
                <w:highlight w:val="none"/>
              </w:rPr>
              <w:t>设备</w:t>
            </w:r>
          </w:p>
        </w:tc>
        <w:tc>
          <w:tcPr>
            <w:tcW w:w="1552" w:type="dxa"/>
            <w:vAlign w:val="center"/>
          </w:tcPr>
          <w:p w14:paraId="3DE77C65">
            <w:pPr>
              <w:pStyle w:val="27"/>
              <w:rPr>
                <w:rFonts w:hAnsi="宋体"/>
                <w:color w:val="auto"/>
                <w:highlight w:val="none"/>
              </w:rPr>
            </w:pPr>
            <w:r>
              <w:rPr>
                <w:rFonts w:hint="eastAsia" w:hAnsi="宋体"/>
                <w:color w:val="auto"/>
                <w:highlight w:val="none"/>
              </w:rPr>
              <w:t>（</w:t>
            </w:r>
            <w:r>
              <w:rPr>
                <w:rFonts w:hAnsi="宋体"/>
                <w:color w:val="auto"/>
                <w:highlight w:val="none"/>
              </w:rPr>
              <w:t>1）</w:t>
            </w:r>
          </w:p>
        </w:tc>
        <w:tc>
          <w:tcPr>
            <w:tcW w:w="1276" w:type="dxa"/>
            <w:vAlign w:val="center"/>
          </w:tcPr>
          <w:p w14:paraId="76357E63">
            <w:pPr>
              <w:pStyle w:val="27"/>
              <w:jc w:val="center"/>
              <w:rPr>
                <w:rFonts w:hAnsi="宋体"/>
                <w:color w:val="auto"/>
                <w:highlight w:val="none"/>
              </w:rPr>
            </w:pPr>
          </w:p>
        </w:tc>
        <w:tc>
          <w:tcPr>
            <w:tcW w:w="1417" w:type="dxa"/>
            <w:vMerge w:val="restart"/>
            <w:vAlign w:val="center"/>
          </w:tcPr>
          <w:p w14:paraId="5D5655B4">
            <w:pPr>
              <w:pStyle w:val="27"/>
              <w:jc w:val="center"/>
              <w:rPr>
                <w:rFonts w:hAnsi="宋体"/>
                <w:color w:val="auto"/>
                <w:highlight w:val="none"/>
              </w:rPr>
            </w:pPr>
          </w:p>
        </w:tc>
        <w:tc>
          <w:tcPr>
            <w:tcW w:w="1701" w:type="dxa"/>
            <w:vAlign w:val="center"/>
          </w:tcPr>
          <w:p w14:paraId="2B9F4CB2">
            <w:pPr>
              <w:pStyle w:val="27"/>
              <w:jc w:val="center"/>
              <w:rPr>
                <w:rFonts w:hAnsi="宋体"/>
                <w:color w:val="auto"/>
                <w:highlight w:val="none"/>
              </w:rPr>
            </w:pPr>
          </w:p>
        </w:tc>
        <w:tc>
          <w:tcPr>
            <w:tcW w:w="851" w:type="dxa"/>
            <w:vAlign w:val="center"/>
          </w:tcPr>
          <w:p w14:paraId="4B3737AF">
            <w:pPr>
              <w:pStyle w:val="27"/>
              <w:jc w:val="center"/>
              <w:rPr>
                <w:rFonts w:hAnsi="宋体"/>
                <w:color w:val="auto"/>
                <w:highlight w:val="none"/>
              </w:rPr>
            </w:pPr>
          </w:p>
        </w:tc>
      </w:tr>
      <w:tr w14:paraId="30A1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1F12057C">
            <w:pPr>
              <w:pStyle w:val="27"/>
              <w:jc w:val="center"/>
              <w:rPr>
                <w:rFonts w:hAnsi="宋体"/>
                <w:color w:val="auto"/>
                <w:highlight w:val="none"/>
              </w:rPr>
            </w:pPr>
          </w:p>
        </w:tc>
        <w:tc>
          <w:tcPr>
            <w:tcW w:w="1423" w:type="dxa"/>
            <w:vMerge w:val="continue"/>
            <w:vAlign w:val="center"/>
          </w:tcPr>
          <w:p w14:paraId="3A1D3ADF">
            <w:pPr>
              <w:pStyle w:val="27"/>
              <w:jc w:val="center"/>
              <w:rPr>
                <w:rFonts w:hAnsi="宋体"/>
                <w:color w:val="auto"/>
                <w:highlight w:val="none"/>
              </w:rPr>
            </w:pPr>
          </w:p>
        </w:tc>
        <w:tc>
          <w:tcPr>
            <w:tcW w:w="1552" w:type="dxa"/>
            <w:vAlign w:val="center"/>
          </w:tcPr>
          <w:p w14:paraId="2C6ACAAF">
            <w:pPr>
              <w:pStyle w:val="27"/>
              <w:rPr>
                <w:rFonts w:hAnsi="宋体"/>
                <w:color w:val="auto"/>
                <w:highlight w:val="none"/>
              </w:rPr>
            </w:pPr>
            <w:r>
              <w:rPr>
                <w:rFonts w:hint="eastAsia" w:hAnsi="宋体"/>
                <w:color w:val="auto"/>
                <w:highlight w:val="none"/>
              </w:rPr>
              <w:t>（</w:t>
            </w:r>
            <w:r>
              <w:rPr>
                <w:rFonts w:hAnsi="宋体"/>
                <w:color w:val="auto"/>
                <w:highlight w:val="none"/>
              </w:rPr>
              <w:t>2）</w:t>
            </w:r>
          </w:p>
        </w:tc>
        <w:tc>
          <w:tcPr>
            <w:tcW w:w="1276" w:type="dxa"/>
            <w:vAlign w:val="center"/>
          </w:tcPr>
          <w:p w14:paraId="6CF83BDD">
            <w:pPr>
              <w:pStyle w:val="27"/>
              <w:jc w:val="center"/>
              <w:rPr>
                <w:rFonts w:hAnsi="宋体"/>
                <w:color w:val="auto"/>
                <w:highlight w:val="none"/>
              </w:rPr>
            </w:pPr>
          </w:p>
        </w:tc>
        <w:tc>
          <w:tcPr>
            <w:tcW w:w="1417" w:type="dxa"/>
            <w:vMerge w:val="continue"/>
            <w:vAlign w:val="center"/>
          </w:tcPr>
          <w:p w14:paraId="4D9CCBD9">
            <w:pPr>
              <w:pStyle w:val="27"/>
              <w:jc w:val="center"/>
              <w:rPr>
                <w:rFonts w:hAnsi="宋体"/>
                <w:color w:val="auto"/>
                <w:highlight w:val="none"/>
              </w:rPr>
            </w:pPr>
          </w:p>
        </w:tc>
        <w:tc>
          <w:tcPr>
            <w:tcW w:w="1701" w:type="dxa"/>
            <w:vAlign w:val="center"/>
          </w:tcPr>
          <w:p w14:paraId="22761AF2">
            <w:pPr>
              <w:pStyle w:val="27"/>
              <w:jc w:val="center"/>
              <w:rPr>
                <w:rFonts w:hAnsi="宋体"/>
                <w:color w:val="auto"/>
                <w:highlight w:val="none"/>
              </w:rPr>
            </w:pPr>
          </w:p>
        </w:tc>
        <w:tc>
          <w:tcPr>
            <w:tcW w:w="851" w:type="dxa"/>
            <w:vAlign w:val="center"/>
          </w:tcPr>
          <w:p w14:paraId="5D44FCDD">
            <w:pPr>
              <w:pStyle w:val="27"/>
              <w:jc w:val="center"/>
              <w:rPr>
                <w:rFonts w:hAnsi="宋体"/>
                <w:color w:val="auto"/>
                <w:highlight w:val="none"/>
              </w:rPr>
            </w:pPr>
          </w:p>
        </w:tc>
      </w:tr>
      <w:tr w14:paraId="01C6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03C53CD0">
            <w:pPr>
              <w:pStyle w:val="27"/>
              <w:jc w:val="center"/>
              <w:rPr>
                <w:rFonts w:hAnsi="宋体"/>
                <w:color w:val="auto"/>
                <w:highlight w:val="none"/>
              </w:rPr>
            </w:pPr>
          </w:p>
        </w:tc>
        <w:tc>
          <w:tcPr>
            <w:tcW w:w="1423" w:type="dxa"/>
            <w:vMerge w:val="continue"/>
            <w:vAlign w:val="center"/>
          </w:tcPr>
          <w:p w14:paraId="25BDB670">
            <w:pPr>
              <w:pStyle w:val="27"/>
              <w:jc w:val="center"/>
              <w:rPr>
                <w:rFonts w:hAnsi="宋体"/>
                <w:color w:val="auto"/>
                <w:highlight w:val="none"/>
              </w:rPr>
            </w:pPr>
          </w:p>
        </w:tc>
        <w:tc>
          <w:tcPr>
            <w:tcW w:w="1552" w:type="dxa"/>
            <w:vAlign w:val="center"/>
          </w:tcPr>
          <w:p w14:paraId="6872DE43">
            <w:pPr>
              <w:pStyle w:val="27"/>
              <w:rPr>
                <w:rFonts w:hAnsi="宋体"/>
                <w:color w:val="auto"/>
                <w:highlight w:val="none"/>
              </w:rPr>
            </w:pPr>
            <w:r>
              <w:rPr>
                <w:rFonts w:hint="eastAsia" w:hAnsi="宋体"/>
                <w:color w:val="auto"/>
                <w:highlight w:val="none"/>
              </w:rPr>
              <w:t>…</w:t>
            </w:r>
          </w:p>
        </w:tc>
        <w:tc>
          <w:tcPr>
            <w:tcW w:w="1276" w:type="dxa"/>
            <w:vAlign w:val="center"/>
          </w:tcPr>
          <w:p w14:paraId="55861C96">
            <w:pPr>
              <w:pStyle w:val="27"/>
              <w:jc w:val="center"/>
              <w:rPr>
                <w:rFonts w:hAnsi="宋体"/>
                <w:color w:val="auto"/>
                <w:highlight w:val="none"/>
              </w:rPr>
            </w:pPr>
          </w:p>
        </w:tc>
        <w:tc>
          <w:tcPr>
            <w:tcW w:w="1417" w:type="dxa"/>
            <w:vMerge w:val="continue"/>
            <w:vAlign w:val="center"/>
          </w:tcPr>
          <w:p w14:paraId="725571EF">
            <w:pPr>
              <w:pStyle w:val="27"/>
              <w:jc w:val="center"/>
              <w:rPr>
                <w:rFonts w:hAnsi="宋体"/>
                <w:color w:val="auto"/>
                <w:highlight w:val="none"/>
              </w:rPr>
            </w:pPr>
          </w:p>
        </w:tc>
        <w:tc>
          <w:tcPr>
            <w:tcW w:w="1701" w:type="dxa"/>
            <w:vAlign w:val="center"/>
          </w:tcPr>
          <w:p w14:paraId="3F213E3F">
            <w:pPr>
              <w:pStyle w:val="27"/>
              <w:jc w:val="center"/>
              <w:rPr>
                <w:rFonts w:hAnsi="宋体"/>
                <w:color w:val="auto"/>
                <w:highlight w:val="none"/>
              </w:rPr>
            </w:pPr>
          </w:p>
        </w:tc>
        <w:tc>
          <w:tcPr>
            <w:tcW w:w="851" w:type="dxa"/>
            <w:vAlign w:val="center"/>
          </w:tcPr>
          <w:p w14:paraId="017F5C84">
            <w:pPr>
              <w:pStyle w:val="27"/>
              <w:jc w:val="center"/>
              <w:rPr>
                <w:rFonts w:hAnsi="宋体"/>
                <w:color w:val="auto"/>
                <w:highlight w:val="none"/>
              </w:rPr>
            </w:pPr>
          </w:p>
        </w:tc>
      </w:tr>
      <w:tr w14:paraId="5B62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2CAF1357">
            <w:pPr>
              <w:pStyle w:val="27"/>
              <w:jc w:val="center"/>
              <w:rPr>
                <w:rFonts w:hAnsi="宋体"/>
                <w:color w:val="auto"/>
                <w:highlight w:val="none"/>
              </w:rPr>
            </w:pPr>
          </w:p>
        </w:tc>
        <w:tc>
          <w:tcPr>
            <w:tcW w:w="1423" w:type="dxa"/>
            <w:vMerge w:val="continue"/>
            <w:vAlign w:val="center"/>
          </w:tcPr>
          <w:p w14:paraId="3CBD31FE">
            <w:pPr>
              <w:pStyle w:val="27"/>
              <w:jc w:val="center"/>
              <w:rPr>
                <w:rFonts w:hAnsi="宋体"/>
                <w:color w:val="auto"/>
                <w:highlight w:val="none"/>
              </w:rPr>
            </w:pPr>
          </w:p>
        </w:tc>
        <w:tc>
          <w:tcPr>
            <w:tcW w:w="1552" w:type="dxa"/>
            <w:vAlign w:val="center"/>
          </w:tcPr>
          <w:p w14:paraId="4DFD46C2">
            <w:pPr>
              <w:pStyle w:val="27"/>
              <w:rPr>
                <w:rFonts w:hAnsi="宋体"/>
                <w:color w:val="auto"/>
                <w:highlight w:val="none"/>
              </w:rPr>
            </w:pPr>
            <w:r>
              <w:rPr>
                <w:rFonts w:hint="eastAsia" w:hAnsi="宋体"/>
                <w:color w:val="auto"/>
                <w:highlight w:val="none"/>
              </w:rPr>
              <w:t>…</w:t>
            </w:r>
          </w:p>
        </w:tc>
        <w:tc>
          <w:tcPr>
            <w:tcW w:w="1276" w:type="dxa"/>
            <w:vAlign w:val="center"/>
          </w:tcPr>
          <w:p w14:paraId="6729E262">
            <w:pPr>
              <w:pStyle w:val="27"/>
              <w:jc w:val="center"/>
              <w:rPr>
                <w:rFonts w:hAnsi="宋体"/>
                <w:color w:val="auto"/>
                <w:highlight w:val="none"/>
              </w:rPr>
            </w:pPr>
          </w:p>
        </w:tc>
        <w:tc>
          <w:tcPr>
            <w:tcW w:w="1417" w:type="dxa"/>
            <w:vMerge w:val="continue"/>
            <w:vAlign w:val="center"/>
          </w:tcPr>
          <w:p w14:paraId="40B2068E">
            <w:pPr>
              <w:pStyle w:val="27"/>
              <w:jc w:val="center"/>
              <w:rPr>
                <w:rFonts w:hAnsi="宋体"/>
                <w:color w:val="auto"/>
                <w:highlight w:val="none"/>
              </w:rPr>
            </w:pPr>
          </w:p>
        </w:tc>
        <w:tc>
          <w:tcPr>
            <w:tcW w:w="1701" w:type="dxa"/>
            <w:vAlign w:val="center"/>
          </w:tcPr>
          <w:p w14:paraId="6A66870B">
            <w:pPr>
              <w:pStyle w:val="27"/>
              <w:jc w:val="center"/>
              <w:rPr>
                <w:rFonts w:hAnsi="宋体"/>
                <w:color w:val="auto"/>
                <w:highlight w:val="none"/>
              </w:rPr>
            </w:pPr>
          </w:p>
        </w:tc>
        <w:tc>
          <w:tcPr>
            <w:tcW w:w="851" w:type="dxa"/>
            <w:vAlign w:val="center"/>
          </w:tcPr>
          <w:p w14:paraId="018883E2">
            <w:pPr>
              <w:pStyle w:val="27"/>
              <w:jc w:val="center"/>
              <w:rPr>
                <w:rFonts w:hAnsi="宋体"/>
                <w:color w:val="auto"/>
                <w:highlight w:val="none"/>
              </w:rPr>
            </w:pPr>
          </w:p>
        </w:tc>
      </w:tr>
      <w:tr w14:paraId="732F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5D987E83">
            <w:pPr>
              <w:pStyle w:val="27"/>
              <w:jc w:val="center"/>
              <w:rPr>
                <w:rFonts w:hAnsi="宋体"/>
                <w:color w:val="auto"/>
                <w:highlight w:val="none"/>
              </w:rPr>
            </w:pPr>
            <w:r>
              <w:rPr>
                <w:rFonts w:hint="eastAsia" w:hAnsi="宋体"/>
                <w:color w:val="auto"/>
                <w:highlight w:val="none"/>
              </w:rPr>
              <w:t>…</w:t>
            </w:r>
          </w:p>
        </w:tc>
        <w:tc>
          <w:tcPr>
            <w:tcW w:w="1423" w:type="dxa"/>
            <w:vAlign w:val="center"/>
          </w:tcPr>
          <w:p w14:paraId="3188FDFC">
            <w:pPr>
              <w:pStyle w:val="27"/>
              <w:jc w:val="center"/>
              <w:rPr>
                <w:rFonts w:hAnsi="宋体"/>
                <w:color w:val="auto"/>
                <w:highlight w:val="none"/>
              </w:rPr>
            </w:pPr>
            <w:r>
              <w:rPr>
                <w:rFonts w:hint="eastAsia" w:hAnsi="宋体"/>
                <w:color w:val="auto"/>
                <w:highlight w:val="none"/>
              </w:rPr>
              <w:t>…</w:t>
            </w:r>
          </w:p>
        </w:tc>
        <w:tc>
          <w:tcPr>
            <w:tcW w:w="1552" w:type="dxa"/>
            <w:vAlign w:val="center"/>
          </w:tcPr>
          <w:p w14:paraId="4CAFB0C4">
            <w:pPr>
              <w:pStyle w:val="27"/>
              <w:rPr>
                <w:rFonts w:hAnsi="宋体"/>
                <w:color w:val="auto"/>
                <w:highlight w:val="none"/>
              </w:rPr>
            </w:pPr>
            <w:r>
              <w:rPr>
                <w:rFonts w:hint="eastAsia" w:hAnsi="宋体"/>
                <w:color w:val="auto"/>
                <w:highlight w:val="none"/>
              </w:rPr>
              <w:t>…</w:t>
            </w:r>
          </w:p>
        </w:tc>
        <w:tc>
          <w:tcPr>
            <w:tcW w:w="1276" w:type="dxa"/>
            <w:vAlign w:val="center"/>
          </w:tcPr>
          <w:p w14:paraId="590CFC89">
            <w:pPr>
              <w:pStyle w:val="27"/>
              <w:jc w:val="center"/>
              <w:rPr>
                <w:rFonts w:hAnsi="宋体"/>
                <w:color w:val="auto"/>
                <w:highlight w:val="none"/>
              </w:rPr>
            </w:pPr>
          </w:p>
        </w:tc>
        <w:tc>
          <w:tcPr>
            <w:tcW w:w="1417" w:type="dxa"/>
            <w:vAlign w:val="center"/>
          </w:tcPr>
          <w:p w14:paraId="07B7F9CB">
            <w:pPr>
              <w:pStyle w:val="27"/>
              <w:jc w:val="center"/>
              <w:rPr>
                <w:rFonts w:hAnsi="宋体"/>
                <w:color w:val="auto"/>
                <w:highlight w:val="none"/>
              </w:rPr>
            </w:pPr>
          </w:p>
        </w:tc>
        <w:tc>
          <w:tcPr>
            <w:tcW w:w="1701" w:type="dxa"/>
            <w:vAlign w:val="center"/>
          </w:tcPr>
          <w:p w14:paraId="523D044A">
            <w:pPr>
              <w:pStyle w:val="27"/>
              <w:jc w:val="center"/>
              <w:rPr>
                <w:rFonts w:hAnsi="宋体"/>
                <w:color w:val="auto"/>
                <w:highlight w:val="none"/>
              </w:rPr>
            </w:pPr>
          </w:p>
        </w:tc>
        <w:tc>
          <w:tcPr>
            <w:tcW w:w="851" w:type="dxa"/>
            <w:vAlign w:val="center"/>
          </w:tcPr>
          <w:p w14:paraId="0161C6F6">
            <w:pPr>
              <w:pStyle w:val="27"/>
              <w:jc w:val="center"/>
              <w:rPr>
                <w:rFonts w:hAnsi="宋体"/>
                <w:color w:val="auto"/>
                <w:highlight w:val="none"/>
              </w:rPr>
            </w:pPr>
          </w:p>
        </w:tc>
      </w:tr>
      <w:tr w14:paraId="4892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4" w:type="dxa"/>
            <w:vAlign w:val="center"/>
          </w:tcPr>
          <w:p w14:paraId="4D27D4B0">
            <w:pPr>
              <w:pStyle w:val="27"/>
              <w:jc w:val="center"/>
              <w:rPr>
                <w:rFonts w:hAnsi="宋体"/>
                <w:color w:val="auto"/>
                <w:highlight w:val="none"/>
              </w:rPr>
            </w:pPr>
            <w:r>
              <w:rPr>
                <w:rFonts w:hint="eastAsia" w:hAnsi="宋体"/>
                <w:color w:val="auto"/>
                <w:highlight w:val="none"/>
              </w:rPr>
              <w:t>…</w:t>
            </w:r>
          </w:p>
        </w:tc>
        <w:tc>
          <w:tcPr>
            <w:tcW w:w="1423" w:type="dxa"/>
            <w:vAlign w:val="center"/>
          </w:tcPr>
          <w:p w14:paraId="1A0505B7">
            <w:pPr>
              <w:pStyle w:val="27"/>
              <w:jc w:val="center"/>
              <w:rPr>
                <w:rFonts w:hAnsi="宋体"/>
                <w:color w:val="auto"/>
                <w:highlight w:val="none"/>
              </w:rPr>
            </w:pPr>
            <w:r>
              <w:rPr>
                <w:rFonts w:hint="eastAsia" w:hAnsi="宋体"/>
                <w:color w:val="auto"/>
                <w:highlight w:val="none"/>
              </w:rPr>
              <w:t>…</w:t>
            </w:r>
          </w:p>
        </w:tc>
        <w:tc>
          <w:tcPr>
            <w:tcW w:w="1552" w:type="dxa"/>
            <w:vAlign w:val="center"/>
          </w:tcPr>
          <w:p w14:paraId="42678500">
            <w:pPr>
              <w:pStyle w:val="27"/>
              <w:rPr>
                <w:rFonts w:hAnsi="宋体"/>
                <w:color w:val="auto"/>
                <w:highlight w:val="none"/>
              </w:rPr>
            </w:pPr>
            <w:r>
              <w:rPr>
                <w:rFonts w:hint="eastAsia" w:hAnsi="宋体"/>
                <w:color w:val="auto"/>
                <w:highlight w:val="none"/>
              </w:rPr>
              <w:t>…</w:t>
            </w:r>
          </w:p>
        </w:tc>
        <w:tc>
          <w:tcPr>
            <w:tcW w:w="1276" w:type="dxa"/>
            <w:vAlign w:val="center"/>
          </w:tcPr>
          <w:p w14:paraId="07A000AF">
            <w:pPr>
              <w:pStyle w:val="27"/>
              <w:jc w:val="center"/>
              <w:rPr>
                <w:rFonts w:hAnsi="宋体"/>
                <w:color w:val="auto"/>
                <w:highlight w:val="none"/>
              </w:rPr>
            </w:pPr>
          </w:p>
        </w:tc>
        <w:tc>
          <w:tcPr>
            <w:tcW w:w="1417" w:type="dxa"/>
            <w:vAlign w:val="center"/>
          </w:tcPr>
          <w:p w14:paraId="5CB9236B">
            <w:pPr>
              <w:pStyle w:val="27"/>
              <w:jc w:val="center"/>
              <w:rPr>
                <w:rFonts w:hAnsi="宋体"/>
                <w:color w:val="auto"/>
                <w:highlight w:val="none"/>
              </w:rPr>
            </w:pPr>
          </w:p>
        </w:tc>
        <w:tc>
          <w:tcPr>
            <w:tcW w:w="1701" w:type="dxa"/>
            <w:vAlign w:val="center"/>
          </w:tcPr>
          <w:p w14:paraId="181E82DA">
            <w:pPr>
              <w:pStyle w:val="27"/>
              <w:jc w:val="center"/>
              <w:rPr>
                <w:rFonts w:hAnsi="宋体"/>
                <w:color w:val="auto"/>
                <w:highlight w:val="none"/>
              </w:rPr>
            </w:pPr>
          </w:p>
        </w:tc>
        <w:tc>
          <w:tcPr>
            <w:tcW w:w="851" w:type="dxa"/>
            <w:vAlign w:val="center"/>
          </w:tcPr>
          <w:p w14:paraId="4BDE0196">
            <w:pPr>
              <w:pStyle w:val="27"/>
              <w:jc w:val="center"/>
              <w:rPr>
                <w:rFonts w:hAnsi="宋体"/>
                <w:color w:val="auto"/>
                <w:highlight w:val="none"/>
              </w:rPr>
            </w:pPr>
          </w:p>
        </w:tc>
      </w:tr>
    </w:tbl>
    <w:p w14:paraId="61A8CAFC">
      <w:pPr>
        <w:autoSpaceDE w:val="0"/>
        <w:autoSpaceDN w:val="0"/>
        <w:adjustRightInd w:val="0"/>
        <w:spacing w:line="276" w:lineRule="auto"/>
        <w:jc w:val="left"/>
        <w:rPr>
          <w:rFonts w:asciiTheme="minorEastAsia" w:hAnsiTheme="minorEastAsia" w:eastAsiaTheme="minorEastAsia"/>
          <w:color w:val="auto"/>
          <w:sz w:val="18"/>
          <w:szCs w:val="18"/>
          <w:highlight w:val="none"/>
        </w:rPr>
      </w:pPr>
    </w:p>
    <w:p w14:paraId="00A5EACB">
      <w:pPr>
        <w:autoSpaceDE w:val="0"/>
        <w:autoSpaceDN w:val="0"/>
        <w:adjustRightInd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填表须知：</w:t>
      </w:r>
    </w:p>
    <w:p w14:paraId="1E217DA3">
      <w:pPr>
        <w:spacing w:line="360" w:lineRule="auto"/>
        <w:ind w:left="180" w:hanging="210" w:hangingChars="100"/>
        <w:rPr>
          <w:rFonts w:hint="default" w:asciiTheme="minorEastAsia" w:hAnsiTheme="minorEastAsia" w:eastAsiaTheme="minorEastAsia"/>
          <w:color w:val="auto"/>
          <w:kern w:val="0"/>
          <w:sz w:val="21"/>
          <w:szCs w:val="21"/>
          <w:highlight w:val="none"/>
          <w:lang w:val="en-US" w:eastAsia="zh-CN"/>
        </w:rPr>
      </w:pPr>
      <w:r>
        <w:rPr>
          <w:rFonts w:asciiTheme="minorEastAsia" w:hAnsiTheme="minorEastAsia" w:eastAsiaTheme="minorEastAsia"/>
          <w:color w:val="auto"/>
          <w:kern w:val="0"/>
          <w:sz w:val="21"/>
          <w:szCs w:val="21"/>
          <w:highlight w:val="none"/>
        </w:rPr>
        <w:t>1.</w:t>
      </w:r>
      <w:r>
        <w:rPr>
          <w:rFonts w:hint="eastAsia" w:asciiTheme="minorEastAsia" w:hAnsiTheme="minorEastAsia" w:eastAsiaTheme="minorEastAsia"/>
          <w:color w:val="auto"/>
          <w:kern w:val="0"/>
          <w:sz w:val="21"/>
          <w:szCs w:val="21"/>
          <w:highlight w:val="none"/>
          <w:lang w:val="en-US" w:eastAsia="zh-CN"/>
        </w:rPr>
        <w:t>投标人应按照第二章“投标人须知”附录8资格审查条件（关键机电设备主要技术性能指标最低要求）要求填写本表。</w:t>
      </w:r>
    </w:p>
    <w:p w14:paraId="6E556F04">
      <w:pPr>
        <w:spacing w:line="360" w:lineRule="auto"/>
        <w:ind w:left="210" w:hanging="210" w:hangingChars="100"/>
        <w:rPr>
          <w:rFonts w:hAnsi="宋体" w:cs="宋体"/>
          <w:bCs/>
          <w:color w:val="auto"/>
          <w:kern w:val="0"/>
          <w:sz w:val="21"/>
          <w:szCs w:val="21"/>
          <w:highlight w:val="none"/>
        </w:rPr>
      </w:pPr>
      <w:r>
        <w:rPr>
          <w:rFonts w:hint="eastAsia" w:asciiTheme="minorEastAsia" w:hAnsiTheme="minorEastAsia" w:eastAsiaTheme="minorEastAsia"/>
          <w:color w:val="auto"/>
          <w:kern w:val="0"/>
          <w:sz w:val="21"/>
          <w:szCs w:val="21"/>
          <w:highlight w:val="none"/>
          <w:lang w:val="en-US" w:eastAsia="zh-CN"/>
        </w:rPr>
        <w:t>2.</w:t>
      </w:r>
      <w:r>
        <w:rPr>
          <w:rFonts w:hint="eastAsia" w:asciiTheme="minorEastAsia" w:hAnsiTheme="minorEastAsia" w:eastAsiaTheme="minorEastAsia"/>
          <w:color w:val="auto"/>
          <w:kern w:val="0"/>
          <w:sz w:val="21"/>
          <w:szCs w:val="21"/>
          <w:highlight w:val="none"/>
        </w:rPr>
        <w:t>本表中“</w:t>
      </w:r>
      <w:r>
        <w:rPr>
          <w:rFonts w:hint="eastAsia" w:hAnsi="宋体" w:cs="宋体"/>
          <w:bCs/>
          <w:color w:val="auto"/>
          <w:kern w:val="0"/>
          <w:sz w:val="21"/>
          <w:szCs w:val="21"/>
          <w:highlight w:val="none"/>
        </w:rPr>
        <w:t>投标人拟提供的设备</w:t>
      </w:r>
      <w:r>
        <w:rPr>
          <w:rFonts w:hint="eastAsia" w:asciiTheme="minorEastAsia" w:hAnsiTheme="minorEastAsia" w:eastAsiaTheme="minorEastAsia"/>
          <w:color w:val="auto"/>
          <w:kern w:val="0"/>
          <w:sz w:val="21"/>
          <w:szCs w:val="21"/>
          <w:highlight w:val="none"/>
        </w:rPr>
        <w:t>”</w:t>
      </w:r>
      <w:r>
        <w:rPr>
          <w:rFonts w:hint="eastAsia" w:hAnsi="宋体" w:cs="宋体"/>
          <w:bCs/>
          <w:color w:val="auto"/>
          <w:kern w:val="0"/>
          <w:sz w:val="21"/>
          <w:szCs w:val="21"/>
          <w:highlight w:val="none"/>
        </w:rPr>
        <w:t>对应栏目以及“品牌及型号”栏由投标人根据自身情况进行填报。</w:t>
      </w:r>
    </w:p>
    <w:p w14:paraId="0F4AA7F3">
      <w:pPr>
        <w:spacing w:line="360" w:lineRule="auto"/>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lang w:val="en-US" w:eastAsia="zh-CN"/>
        </w:rPr>
        <w:t>3</w:t>
      </w:r>
      <w:r>
        <w:rPr>
          <w:rFonts w:asciiTheme="minorEastAsia" w:hAnsiTheme="minorEastAsia" w:eastAsiaTheme="minorEastAsia"/>
          <w:color w:val="auto"/>
          <w:kern w:val="0"/>
          <w:sz w:val="21"/>
          <w:szCs w:val="21"/>
          <w:highlight w:val="none"/>
        </w:rPr>
        <w:t>.投标人拟提供的设备栏中的</w:t>
      </w:r>
      <w:r>
        <w:rPr>
          <w:rFonts w:hint="eastAsia" w:asciiTheme="minorEastAsia" w:hAnsiTheme="minorEastAsia" w:eastAsiaTheme="minorEastAsia"/>
          <w:color w:val="auto"/>
          <w:kern w:val="0"/>
          <w:sz w:val="21"/>
          <w:szCs w:val="21"/>
          <w:highlight w:val="none"/>
        </w:rPr>
        <w:t>“主要技术性能指标响应情况”的填写方式：</w:t>
      </w:r>
    </w:p>
    <w:p w14:paraId="7AF0E9F0">
      <w:pPr>
        <w:spacing w:line="360" w:lineRule="auto"/>
        <w:ind w:left="178" w:leftChars="85" w:firstLine="0" w:firstLineChars="0"/>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w:t>
      </w:r>
      <w:r>
        <w:rPr>
          <w:rFonts w:asciiTheme="minorEastAsia" w:hAnsiTheme="minorEastAsia" w:eastAsiaTheme="minorEastAsia"/>
          <w:color w:val="auto"/>
          <w:kern w:val="0"/>
          <w:sz w:val="21"/>
          <w:szCs w:val="21"/>
          <w:highlight w:val="none"/>
        </w:rPr>
        <w:t>1）“主要</w:t>
      </w:r>
      <w:r>
        <w:rPr>
          <w:rFonts w:hint="eastAsia" w:asciiTheme="minorEastAsia" w:hAnsiTheme="minorEastAsia" w:eastAsiaTheme="minorEastAsia"/>
          <w:color w:val="auto"/>
          <w:kern w:val="0"/>
          <w:sz w:val="21"/>
          <w:szCs w:val="21"/>
          <w:highlight w:val="none"/>
        </w:rPr>
        <w:t>技术性能指标要求”如为具体参数要求，投标人应结合拟提供设备的样本或检测报告或其</w:t>
      </w:r>
      <w:r>
        <w:rPr>
          <w:rFonts w:hint="eastAsia" w:asciiTheme="minorEastAsia" w:hAnsiTheme="minorEastAsia" w:eastAsiaTheme="minorEastAsia"/>
          <w:color w:val="auto"/>
          <w:kern w:val="0"/>
          <w:sz w:val="21"/>
          <w:szCs w:val="21"/>
          <w:highlight w:val="none"/>
          <w:lang w:val="en-US" w:eastAsia="zh-CN"/>
        </w:rPr>
        <w:t>他</w:t>
      </w:r>
      <w:r>
        <w:rPr>
          <w:rFonts w:hint="eastAsia" w:asciiTheme="minorEastAsia" w:hAnsiTheme="minorEastAsia" w:eastAsiaTheme="minorEastAsia"/>
          <w:color w:val="auto"/>
          <w:kern w:val="0"/>
          <w:sz w:val="21"/>
          <w:szCs w:val="21"/>
          <w:highlight w:val="none"/>
        </w:rPr>
        <w:t>技术指标材料（以下简称“证明材料”）上对应的技术参数，与招标文件要求的指标一一对应填写拟提供设备的具体参数，并在本表后附相应的证明材料。拟提供设备证明材料中如有多个系列型号，投标人应在拟用的型号条目上及要求响应的指标上进行标注，以便审阅。</w:t>
      </w:r>
    </w:p>
    <w:p w14:paraId="53ECD1F3">
      <w:pPr>
        <w:spacing w:line="360" w:lineRule="auto"/>
        <w:ind w:left="178" w:leftChars="85" w:firstLine="0" w:firstLineChars="0"/>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w:t>
      </w:r>
      <w:r>
        <w:rPr>
          <w:rFonts w:asciiTheme="minorEastAsia" w:hAnsiTheme="minorEastAsia" w:eastAsiaTheme="minorEastAsia"/>
          <w:color w:val="auto"/>
          <w:kern w:val="0"/>
          <w:sz w:val="21"/>
          <w:szCs w:val="21"/>
          <w:highlight w:val="none"/>
        </w:rPr>
        <w:t>2）“主要</w:t>
      </w:r>
      <w:r>
        <w:rPr>
          <w:rFonts w:hint="eastAsia" w:asciiTheme="minorEastAsia" w:hAnsiTheme="minorEastAsia" w:eastAsiaTheme="minorEastAsia"/>
          <w:color w:val="auto"/>
          <w:kern w:val="0"/>
          <w:sz w:val="21"/>
          <w:szCs w:val="21"/>
          <w:highlight w:val="none"/>
        </w:rPr>
        <w:t>技术性能指标要求”如为功能性要求，投标人应结合拟提供设备的证明材料填写“满足”或“不满足”。投标人拟提供设备的主要技术性能指标响应情况的描述与证明材料不一致，则以证明材料为准；如果证明材料中的主要参数不全，投标人可另附说明（具体指标参数以经厂家盖章的说明为准），但须就具体参数作出针对性的说明或承诺。</w:t>
      </w:r>
    </w:p>
    <w:p w14:paraId="03D9C872">
      <w:pPr>
        <w:spacing w:line="360" w:lineRule="auto"/>
        <w:ind w:left="178" w:leftChars="85" w:firstLine="0" w:firstLineChars="0"/>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w:t>
      </w:r>
      <w:r>
        <w:rPr>
          <w:rFonts w:asciiTheme="minorEastAsia" w:hAnsiTheme="minorEastAsia" w:eastAsiaTheme="minorEastAsia"/>
          <w:color w:val="auto"/>
          <w:kern w:val="0"/>
          <w:sz w:val="21"/>
          <w:szCs w:val="21"/>
          <w:highlight w:val="none"/>
        </w:rPr>
        <w:t>3）</w:t>
      </w:r>
      <w:r>
        <w:rPr>
          <w:rFonts w:hint="eastAsia" w:asciiTheme="minorEastAsia" w:hAnsiTheme="minorEastAsia" w:eastAsiaTheme="minorEastAsia"/>
          <w:color w:val="auto"/>
          <w:kern w:val="0"/>
          <w:sz w:val="21"/>
          <w:szCs w:val="21"/>
          <w:highlight w:val="none"/>
        </w:rPr>
        <w:t>“主要技术性能指标要求”如为业绩要求，投标人应结合拟提供设备的业绩情况填写“满足”或“不满足”，并将业绩证明材料附在表后，业绩证明材料为：□发包人证明、□其他：</w:t>
      </w:r>
      <w:r>
        <w:rPr>
          <w:rFonts w:asciiTheme="minorEastAsia" w:hAnsiTheme="minorEastAsia" w:eastAsiaTheme="minorEastAsia"/>
          <w:color w:val="auto"/>
          <w:kern w:val="0"/>
          <w:sz w:val="21"/>
          <w:szCs w:val="21"/>
          <w:highlight w:val="none"/>
          <w:u w:val="single"/>
        </w:rPr>
        <w:t xml:space="preserve">        </w:t>
      </w:r>
      <w:r>
        <w:rPr>
          <w:rFonts w:hint="eastAsia" w:asciiTheme="minorEastAsia" w:hAnsiTheme="minorEastAsia" w:eastAsiaTheme="minorEastAsia"/>
          <w:color w:val="auto"/>
          <w:kern w:val="0"/>
          <w:sz w:val="21"/>
          <w:szCs w:val="21"/>
          <w:highlight w:val="none"/>
        </w:rPr>
        <w:t>。</w:t>
      </w:r>
    </w:p>
    <w:p w14:paraId="32E12B31">
      <w:pPr>
        <w:spacing w:line="360" w:lineRule="auto"/>
        <w:ind w:left="180" w:hanging="210" w:hangingChars="100"/>
        <w:rPr>
          <w:rFonts w:hAnsi="Calibri"/>
          <w:color w:val="auto"/>
          <w:kern w:val="0"/>
          <w:sz w:val="21"/>
          <w:szCs w:val="21"/>
          <w:highlight w:val="none"/>
        </w:rPr>
      </w:pPr>
      <w:r>
        <w:rPr>
          <w:rFonts w:hint="eastAsia" w:asciiTheme="minorEastAsia" w:hAnsiTheme="minorEastAsia" w:eastAsiaTheme="minorEastAsia"/>
          <w:color w:val="auto"/>
          <w:kern w:val="0"/>
          <w:sz w:val="21"/>
          <w:szCs w:val="21"/>
          <w:highlight w:val="none"/>
          <w:lang w:val="en-US" w:eastAsia="zh-CN"/>
        </w:rPr>
        <w:t>4</w:t>
      </w:r>
      <w:r>
        <w:rPr>
          <w:rFonts w:asciiTheme="minorEastAsia" w:hAnsiTheme="minorEastAsia" w:eastAsiaTheme="minorEastAsia"/>
          <w:color w:val="auto"/>
          <w:kern w:val="0"/>
          <w:sz w:val="21"/>
          <w:szCs w:val="21"/>
          <w:highlight w:val="none"/>
        </w:rPr>
        <w:t>.</w:t>
      </w:r>
      <w:r>
        <w:rPr>
          <w:rFonts w:hint="eastAsia" w:asciiTheme="minorEastAsia" w:hAnsiTheme="minorEastAsia" w:eastAsiaTheme="minorEastAsia"/>
          <w:color w:val="auto"/>
          <w:kern w:val="0"/>
          <w:sz w:val="21"/>
          <w:szCs w:val="21"/>
          <w:highlight w:val="none"/>
        </w:rPr>
        <w:t>“本</w:t>
      </w:r>
      <w:r>
        <w:rPr>
          <w:rFonts w:asciiTheme="minorEastAsia" w:hAnsiTheme="minorEastAsia" w:eastAsiaTheme="minorEastAsia"/>
          <w:color w:val="auto"/>
          <w:kern w:val="0"/>
          <w:sz w:val="21"/>
          <w:szCs w:val="21"/>
          <w:highlight w:val="none"/>
        </w:rPr>
        <w:t>设备的所有证明材料</w:t>
      </w:r>
      <w:r>
        <w:rPr>
          <w:rFonts w:hint="eastAsia" w:asciiTheme="minorEastAsia" w:hAnsiTheme="minorEastAsia" w:eastAsiaTheme="minorEastAsia"/>
          <w:color w:val="auto"/>
          <w:kern w:val="0"/>
          <w:sz w:val="21"/>
          <w:szCs w:val="21"/>
          <w:highlight w:val="none"/>
        </w:rPr>
        <w:t>总</w:t>
      </w:r>
      <w:r>
        <w:rPr>
          <w:rFonts w:asciiTheme="minorEastAsia" w:hAnsiTheme="minorEastAsia" w:eastAsiaTheme="minorEastAsia"/>
          <w:color w:val="auto"/>
          <w:kern w:val="0"/>
          <w:sz w:val="21"/>
          <w:szCs w:val="21"/>
          <w:highlight w:val="none"/>
        </w:rPr>
        <w:t>页数</w:t>
      </w:r>
      <w:r>
        <w:rPr>
          <w:rFonts w:hint="eastAsia" w:asciiTheme="minorEastAsia" w:hAnsiTheme="minorEastAsia" w:eastAsiaTheme="minorEastAsia"/>
          <w:color w:val="auto"/>
          <w:kern w:val="0"/>
          <w:sz w:val="21"/>
          <w:szCs w:val="21"/>
          <w:highlight w:val="none"/>
        </w:rPr>
        <w:t>”的填写方式：投标人根据填写的该</w:t>
      </w:r>
      <w:r>
        <w:rPr>
          <w:rFonts w:asciiTheme="minorEastAsia" w:hAnsiTheme="minorEastAsia" w:eastAsiaTheme="minorEastAsia"/>
          <w:color w:val="auto"/>
          <w:kern w:val="0"/>
          <w:sz w:val="21"/>
          <w:szCs w:val="21"/>
          <w:highlight w:val="none"/>
        </w:rPr>
        <w:t>设备的</w:t>
      </w:r>
      <w:r>
        <w:rPr>
          <w:rFonts w:hint="eastAsia" w:asciiTheme="minorEastAsia" w:hAnsiTheme="minorEastAsia" w:eastAsiaTheme="minorEastAsia"/>
          <w:color w:val="auto"/>
          <w:kern w:val="0"/>
          <w:sz w:val="21"/>
          <w:szCs w:val="21"/>
          <w:highlight w:val="none"/>
        </w:rPr>
        <w:t>主要技术性能指标响应情</w:t>
      </w:r>
      <w:r>
        <w:rPr>
          <w:rFonts w:hint="eastAsia" w:hAnsi="Calibri"/>
          <w:color w:val="auto"/>
          <w:kern w:val="0"/>
          <w:sz w:val="21"/>
          <w:szCs w:val="21"/>
          <w:highlight w:val="none"/>
        </w:rPr>
        <w:t>况，将拟提供该设备的所有证明材料的总页数填写到对应设备的表栏中。</w:t>
      </w:r>
    </w:p>
    <w:p w14:paraId="4F27CB3D">
      <w:pPr>
        <w:spacing w:line="360" w:lineRule="auto"/>
        <w:ind w:left="180" w:hanging="210" w:hanging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本设备技术性能指标的证明材料对应所在页码”的填写方式：投标人根据填写的本设备主要技术性能指标响应情况，将拟提供该设备的相应指标证明材料在该设备总页数排序中的所在具体页码填写到对应主要技术性能指标响应情况的表栏中。</w:t>
      </w:r>
    </w:p>
    <w:p w14:paraId="40AFEB73">
      <w:pPr>
        <w:spacing w:line="360" w:lineRule="auto"/>
        <w:ind w:left="210" w:hanging="210" w:hanging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.“品牌及型号”的填写方式：投标人根据招标文件的要求，将拟提供设备的品牌及型号填写在对应的表栏中。</w:t>
      </w:r>
    </w:p>
    <w:p w14:paraId="24623444">
      <w:pPr>
        <w:spacing w:line="360" w:lineRule="auto"/>
        <w:ind w:left="180" w:hanging="210" w:hanging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.本表中的某项主要设备未附证明材料或证明材料不全或不能与所证明的内容相匹配的，投标人的该项关键设备技术指标视为不满足招标文件对应的要求，投标人自行承担相关责任。</w:t>
      </w:r>
    </w:p>
    <w:p w14:paraId="3129F48A">
      <w:pPr>
        <w:spacing w:line="360" w:lineRule="auto"/>
        <w:ind w:left="210" w:hanging="210" w:hanging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.拟提供设备对于同一类型设备须为同一品牌，否则发包人有权要求承包人在合同执行期间进行更换。</w:t>
      </w:r>
    </w:p>
    <w:p w14:paraId="2A52B4D0">
      <w:pPr>
        <w:numPr>
          <w:ilvl w:val="-1"/>
          <w:numId w:val="0"/>
        </w:numPr>
        <w:spacing w:line="360" w:lineRule="auto"/>
        <w:ind w:left="0" w:firstLine="0"/>
        <w:jc w:val="both"/>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.如本表</w:t>
      </w:r>
      <w:r>
        <w:rPr>
          <w:rFonts w:asciiTheme="minorEastAsia" w:hAnsiTheme="minorEastAsia" w:eastAsiaTheme="minorEastAsia"/>
          <w:color w:val="auto"/>
          <w:sz w:val="21"/>
          <w:szCs w:val="21"/>
          <w:highlight w:val="none"/>
        </w:rPr>
        <w:t>“主要</w:t>
      </w:r>
      <w:r>
        <w:rPr>
          <w:rFonts w:hint="eastAsia" w:asciiTheme="minorEastAsia" w:hAnsiTheme="minorEastAsia" w:eastAsiaTheme="minorEastAsia"/>
          <w:color w:val="auto"/>
          <w:sz w:val="21"/>
          <w:szCs w:val="21"/>
          <w:highlight w:val="none"/>
        </w:rPr>
        <w:t>技术性能指标要求”与技术规范不一致，以本表中主要性能指标要求为准。</w:t>
      </w:r>
    </w:p>
    <w:p w14:paraId="6935D484">
      <w:pPr>
        <w:pStyle w:val="2"/>
        <w:ind w:left="0" w:leftChars="0" w:firstLine="0" w:firstLineChars="0"/>
        <w:rPr>
          <w:rFonts w:hint="default" w:eastAsiaTheme="minorEastAsia"/>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10.上述证明材料均指“原件原色扫描件”或“黑白/彩色扫描件”。</w:t>
      </w:r>
    </w:p>
    <w:p w14:paraId="3E6653C2">
      <w:pPr>
        <w:numPr>
          <w:ilvl w:val="-1"/>
          <w:numId w:val="0"/>
        </w:numPr>
        <w:ind w:left="0" w:firstLine="0"/>
        <w:jc w:val="both"/>
        <w:rPr>
          <w:rFonts w:hint="eastAsia" w:asciiTheme="minorEastAsia" w:hAnsiTheme="minorEastAsia" w:eastAsiaTheme="minorEastAsia"/>
          <w:color w:val="auto"/>
          <w:sz w:val="18"/>
          <w:szCs w:val="18"/>
          <w:highlight w:val="none"/>
        </w:rPr>
      </w:pPr>
    </w:p>
    <w:p w14:paraId="63C6E025">
      <w:pPr>
        <w:numPr>
          <w:ilvl w:val="-1"/>
          <w:numId w:val="0"/>
        </w:numPr>
        <w:ind w:left="0" w:firstLine="0"/>
        <w:jc w:val="both"/>
        <w:rPr>
          <w:rFonts w:hint="eastAsia" w:asciiTheme="minorEastAsia" w:hAnsiTheme="minorEastAsia" w:eastAsiaTheme="minorEastAsia"/>
          <w:color w:val="auto"/>
          <w:sz w:val="18"/>
          <w:szCs w:val="18"/>
          <w:highlight w:val="none"/>
        </w:rPr>
      </w:pPr>
    </w:p>
    <w:p w14:paraId="005D4830">
      <w:pPr>
        <w:numPr>
          <w:ilvl w:val="-1"/>
          <w:numId w:val="0"/>
        </w:numPr>
        <w:ind w:left="0" w:firstLine="0"/>
        <w:jc w:val="both"/>
        <w:rPr>
          <w:rFonts w:hint="eastAsia" w:asciiTheme="minorEastAsia" w:hAnsiTheme="minorEastAsia" w:eastAsiaTheme="minorEastAsia"/>
          <w:color w:val="auto"/>
          <w:sz w:val="18"/>
          <w:szCs w:val="18"/>
          <w:highlight w:val="none"/>
        </w:rPr>
      </w:pPr>
    </w:p>
    <w:p w14:paraId="259649CB">
      <w:pPr>
        <w:numPr>
          <w:ilvl w:val="-1"/>
          <w:numId w:val="0"/>
        </w:numPr>
        <w:ind w:left="0" w:firstLine="0"/>
        <w:jc w:val="both"/>
        <w:rPr>
          <w:rFonts w:hint="eastAsia" w:asciiTheme="minorEastAsia" w:hAnsiTheme="minorEastAsia" w:eastAsiaTheme="minorEastAsia"/>
          <w:color w:val="auto"/>
          <w:sz w:val="18"/>
          <w:szCs w:val="18"/>
          <w:highlight w:val="none"/>
        </w:rPr>
      </w:pPr>
    </w:p>
    <w:p w14:paraId="551E0858">
      <w:pPr>
        <w:numPr>
          <w:ilvl w:val="-1"/>
          <w:numId w:val="0"/>
        </w:numPr>
        <w:ind w:left="0" w:firstLine="0"/>
        <w:jc w:val="both"/>
        <w:rPr>
          <w:rFonts w:hint="eastAsia" w:asciiTheme="minorEastAsia" w:hAnsiTheme="minorEastAsia" w:eastAsiaTheme="minorEastAsia"/>
          <w:color w:val="auto"/>
          <w:sz w:val="18"/>
          <w:szCs w:val="18"/>
          <w:highlight w:val="none"/>
        </w:rPr>
      </w:pPr>
    </w:p>
    <w:p w14:paraId="28AA9D03">
      <w:pPr>
        <w:numPr>
          <w:ilvl w:val="-1"/>
          <w:numId w:val="0"/>
        </w:numPr>
        <w:ind w:left="0" w:firstLine="0"/>
        <w:jc w:val="both"/>
        <w:rPr>
          <w:rFonts w:hint="eastAsia" w:asciiTheme="minorEastAsia" w:hAnsiTheme="minorEastAsia" w:eastAsiaTheme="minorEastAsia"/>
          <w:color w:val="auto"/>
          <w:sz w:val="18"/>
          <w:szCs w:val="18"/>
          <w:highlight w:val="none"/>
        </w:rPr>
      </w:pPr>
    </w:p>
    <w:p w14:paraId="60DEC216">
      <w:pPr>
        <w:numPr>
          <w:ilvl w:val="-1"/>
          <w:numId w:val="0"/>
        </w:numPr>
        <w:ind w:left="0" w:firstLine="0"/>
        <w:jc w:val="both"/>
        <w:rPr>
          <w:rFonts w:hint="eastAsia" w:asciiTheme="minorEastAsia" w:hAnsiTheme="minorEastAsia" w:eastAsiaTheme="minorEastAsia"/>
          <w:color w:val="auto"/>
          <w:sz w:val="18"/>
          <w:szCs w:val="18"/>
          <w:highlight w:val="none"/>
        </w:rPr>
      </w:pPr>
    </w:p>
    <w:p w14:paraId="0106853E">
      <w:pPr>
        <w:numPr>
          <w:ilvl w:val="-1"/>
          <w:numId w:val="0"/>
        </w:numPr>
        <w:ind w:left="0" w:firstLine="0"/>
        <w:jc w:val="both"/>
        <w:rPr>
          <w:rFonts w:hint="eastAsia" w:asciiTheme="minorEastAsia" w:hAnsiTheme="minorEastAsia" w:eastAsiaTheme="minorEastAsia"/>
          <w:color w:val="auto"/>
          <w:sz w:val="18"/>
          <w:szCs w:val="18"/>
          <w:highlight w:val="none"/>
        </w:rPr>
      </w:pPr>
    </w:p>
    <w:p w14:paraId="03F4EECE">
      <w:pPr>
        <w:numPr>
          <w:ilvl w:val="-1"/>
          <w:numId w:val="0"/>
        </w:numPr>
        <w:ind w:left="0" w:firstLine="0"/>
        <w:jc w:val="both"/>
        <w:rPr>
          <w:rFonts w:hint="eastAsia" w:asciiTheme="minorEastAsia" w:hAnsiTheme="minorEastAsia" w:eastAsiaTheme="minorEastAsia"/>
          <w:color w:val="auto"/>
          <w:sz w:val="18"/>
          <w:szCs w:val="18"/>
          <w:highlight w:val="none"/>
        </w:rPr>
      </w:pPr>
    </w:p>
    <w:p w14:paraId="476EED06">
      <w:pPr>
        <w:numPr>
          <w:ilvl w:val="-1"/>
          <w:numId w:val="0"/>
        </w:numPr>
        <w:ind w:left="0" w:firstLine="0"/>
        <w:jc w:val="both"/>
        <w:rPr>
          <w:rFonts w:hint="eastAsia" w:asciiTheme="minorEastAsia" w:hAnsiTheme="minorEastAsia" w:eastAsiaTheme="minorEastAsia"/>
          <w:color w:val="auto"/>
          <w:sz w:val="18"/>
          <w:szCs w:val="18"/>
          <w:highlight w:val="none"/>
        </w:rPr>
      </w:pPr>
    </w:p>
    <w:p w14:paraId="639F50DE">
      <w:pPr>
        <w:numPr>
          <w:ilvl w:val="-1"/>
          <w:numId w:val="0"/>
        </w:numPr>
        <w:ind w:left="0" w:firstLine="0"/>
        <w:jc w:val="both"/>
        <w:rPr>
          <w:rFonts w:hint="eastAsia" w:asciiTheme="minorEastAsia" w:hAnsiTheme="minorEastAsia" w:eastAsiaTheme="minorEastAsia"/>
          <w:color w:val="auto"/>
          <w:sz w:val="18"/>
          <w:szCs w:val="18"/>
          <w:highlight w:val="none"/>
        </w:rPr>
      </w:pPr>
    </w:p>
    <w:p w14:paraId="7F1343A2">
      <w:pPr>
        <w:numPr>
          <w:ilvl w:val="-1"/>
          <w:numId w:val="0"/>
        </w:numPr>
        <w:ind w:left="0" w:firstLine="0"/>
        <w:jc w:val="both"/>
        <w:rPr>
          <w:rFonts w:hint="eastAsia" w:asciiTheme="minorEastAsia" w:hAnsiTheme="minorEastAsia" w:eastAsiaTheme="minorEastAsia"/>
          <w:color w:val="auto"/>
          <w:sz w:val="18"/>
          <w:szCs w:val="18"/>
          <w:highlight w:val="none"/>
        </w:rPr>
      </w:pPr>
    </w:p>
    <w:p w14:paraId="238459B1">
      <w:pPr>
        <w:numPr>
          <w:ilvl w:val="-1"/>
          <w:numId w:val="0"/>
        </w:numPr>
        <w:ind w:left="0" w:firstLine="0"/>
        <w:jc w:val="both"/>
        <w:rPr>
          <w:rFonts w:hint="eastAsia" w:asciiTheme="minorEastAsia" w:hAnsiTheme="minorEastAsia" w:eastAsiaTheme="minorEastAsia"/>
          <w:color w:val="auto"/>
          <w:sz w:val="18"/>
          <w:szCs w:val="18"/>
          <w:highlight w:val="none"/>
        </w:rPr>
      </w:pPr>
    </w:p>
    <w:p w14:paraId="633497E2">
      <w:pPr>
        <w:numPr>
          <w:ilvl w:val="-1"/>
          <w:numId w:val="0"/>
        </w:numPr>
        <w:ind w:left="0" w:firstLine="0"/>
        <w:jc w:val="both"/>
        <w:rPr>
          <w:rFonts w:hint="eastAsia" w:asciiTheme="minorEastAsia" w:hAnsiTheme="minorEastAsia" w:eastAsiaTheme="minorEastAsia"/>
          <w:color w:val="auto"/>
          <w:sz w:val="18"/>
          <w:szCs w:val="18"/>
          <w:highlight w:val="none"/>
        </w:rPr>
      </w:pPr>
    </w:p>
    <w:p w14:paraId="3971C408">
      <w:pPr>
        <w:numPr>
          <w:ilvl w:val="-1"/>
          <w:numId w:val="0"/>
        </w:numPr>
        <w:ind w:left="0" w:firstLine="0"/>
        <w:jc w:val="both"/>
        <w:rPr>
          <w:rFonts w:hint="eastAsia" w:asciiTheme="minorEastAsia" w:hAnsiTheme="minorEastAsia" w:eastAsiaTheme="minorEastAsia"/>
          <w:color w:val="auto"/>
          <w:sz w:val="18"/>
          <w:szCs w:val="18"/>
          <w:highlight w:val="none"/>
        </w:rPr>
      </w:pPr>
    </w:p>
    <w:p w14:paraId="302D9C7F">
      <w:pPr>
        <w:numPr>
          <w:ilvl w:val="-1"/>
          <w:numId w:val="0"/>
        </w:numPr>
        <w:ind w:left="0" w:firstLine="0"/>
        <w:jc w:val="both"/>
        <w:rPr>
          <w:rFonts w:hint="eastAsia" w:asciiTheme="minorEastAsia" w:hAnsiTheme="minorEastAsia" w:eastAsiaTheme="minorEastAsia"/>
          <w:color w:val="auto"/>
          <w:sz w:val="18"/>
          <w:szCs w:val="18"/>
          <w:highlight w:val="none"/>
        </w:rPr>
      </w:pPr>
    </w:p>
    <w:p w14:paraId="441D92DA">
      <w:pPr>
        <w:numPr>
          <w:ilvl w:val="-1"/>
          <w:numId w:val="0"/>
        </w:numPr>
        <w:ind w:left="0" w:firstLine="0"/>
        <w:jc w:val="both"/>
        <w:rPr>
          <w:rFonts w:hint="eastAsia" w:asciiTheme="minorEastAsia" w:hAnsiTheme="minorEastAsia" w:eastAsiaTheme="minorEastAsia"/>
          <w:color w:val="auto"/>
          <w:sz w:val="18"/>
          <w:szCs w:val="18"/>
          <w:highlight w:val="none"/>
        </w:rPr>
      </w:pPr>
    </w:p>
    <w:p w14:paraId="226680FD">
      <w:pPr>
        <w:numPr>
          <w:ilvl w:val="-1"/>
          <w:numId w:val="0"/>
        </w:numPr>
        <w:ind w:left="0" w:firstLine="0"/>
        <w:jc w:val="both"/>
        <w:rPr>
          <w:rFonts w:hint="eastAsia" w:asciiTheme="minorEastAsia" w:hAnsiTheme="minorEastAsia" w:eastAsiaTheme="minorEastAsia"/>
          <w:color w:val="auto"/>
          <w:sz w:val="18"/>
          <w:szCs w:val="18"/>
          <w:highlight w:val="none"/>
        </w:rPr>
      </w:pPr>
    </w:p>
    <w:p w14:paraId="10E3702C">
      <w:pPr>
        <w:numPr>
          <w:ilvl w:val="-1"/>
          <w:numId w:val="0"/>
        </w:numPr>
        <w:ind w:left="0" w:firstLine="0"/>
        <w:jc w:val="both"/>
        <w:rPr>
          <w:rFonts w:hint="eastAsia" w:asciiTheme="minorEastAsia" w:hAnsiTheme="minorEastAsia" w:eastAsiaTheme="minorEastAsia"/>
          <w:color w:val="auto"/>
          <w:sz w:val="18"/>
          <w:szCs w:val="18"/>
          <w:highlight w:val="none"/>
        </w:rPr>
      </w:pPr>
    </w:p>
    <w:p w14:paraId="73FF2D34">
      <w:pPr>
        <w:numPr>
          <w:ilvl w:val="-1"/>
          <w:numId w:val="0"/>
        </w:numPr>
        <w:ind w:left="0" w:firstLine="0"/>
        <w:jc w:val="left"/>
        <w:rPr>
          <w:rFonts w:hint="eastAsia" w:ascii="黑体" w:hAnsi="黑体" w:eastAsia="黑体"/>
          <w:color w:val="auto"/>
          <w:sz w:val="30"/>
          <w:szCs w:val="30"/>
          <w:highlight w:val="none"/>
          <w:lang w:val="en-US" w:eastAsia="zh-CN"/>
        </w:rPr>
      </w:pPr>
      <w:r>
        <w:rPr>
          <w:rFonts w:hint="eastAsia" w:ascii="黑体" w:hAnsi="黑体" w:eastAsia="黑体"/>
          <w:color w:val="auto"/>
          <w:sz w:val="30"/>
          <w:szCs w:val="30"/>
          <w:highlight w:val="none"/>
          <w:lang w:val="en-US" w:eastAsia="zh-CN"/>
        </w:rPr>
        <w:br w:type="page"/>
      </w:r>
    </w:p>
    <w:p w14:paraId="1F8890D5">
      <w:pPr>
        <w:pStyle w:val="265"/>
        <w:outlineLvl w:val="1"/>
        <w:rPr>
          <w:rFonts w:ascii="黑体" w:hAnsi="黑体" w:eastAsia="黑体"/>
          <w:color w:val="auto"/>
          <w:szCs w:val="30"/>
          <w:highlight w:val="none"/>
        </w:rPr>
      </w:pPr>
      <w:r>
        <w:rPr>
          <w:rFonts w:hint="eastAsia"/>
          <w:b w:val="0"/>
          <w:bCs w:val="0"/>
          <w:color w:val="auto"/>
          <w:highlight w:val="none"/>
          <w:lang w:val="en-US" w:eastAsia="zh-CN"/>
        </w:rPr>
        <w:t>九、</w:t>
      </w:r>
      <w:r>
        <w:rPr>
          <w:rFonts w:hint="eastAsia"/>
          <w:b w:val="0"/>
          <w:bCs w:val="0"/>
          <w:color w:val="auto"/>
          <w:highlight w:val="none"/>
        </w:rPr>
        <w:t>其他资料（如有）</w:t>
      </w:r>
    </w:p>
    <w:p w14:paraId="26F11946">
      <w:pPr>
        <w:jc w:val="center"/>
        <w:rPr>
          <w:rFonts w:ascii="宋体" w:hAnsi="宋体"/>
          <w:b/>
          <w:color w:val="auto"/>
          <w:sz w:val="30"/>
          <w:szCs w:val="30"/>
          <w:highlight w:val="none"/>
        </w:rPr>
      </w:pPr>
    </w:p>
    <w:p w14:paraId="5C2EA053">
      <w:pPr>
        <w:jc w:val="center"/>
        <w:rPr>
          <w:rFonts w:ascii="宋体" w:hAnsi="宋体"/>
          <w:b/>
          <w:color w:val="auto"/>
          <w:sz w:val="30"/>
          <w:szCs w:val="30"/>
          <w:highlight w:val="none"/>
        </w:rPr>
      </w:pPr>
    </w:p>
    <w:p w14:paraId="31DE0830">
      <w:pPr>
        <w:jc w:val="center"/>
        <w:rPr>
          <w:rFonts w:ascii="宋体" w:hAnsi="宋体"/>
          <w:b/>
          <w:color w:val="auto"/>
          <w:sz w:val="30"/>
          <w:szCs w:val="30"/>
          <w:highlight w:val="none"/>
        </w:rPr>
      </w:pPr>
    </w:p>
    <w:p w14:paraId="044CE480">
      <w:pPr>
        <w:jc w:val="center"/>
        <w:rPr>
          <w:rFonts w:ascii="宋体" w:hAnsi="宋体"/>
          <w:b/>
          <w:color w:val="auto"/>
          <w:sz w:val="30"/>
          <w:szCs w:val="30"/>
          <w:highlight w:val="none"/>
        </w:rPr>
      </w:pPr>
    </w:p>
    <w:p w14:paraId="59903B5E">
      <w:pPr>
        <w:jc w:val="center"/>
        <w:rPr>
          <w:rFonts w:ascii="宋体" w:hAnsi="宋体"/>
          <w:b/>
          <w:color w:val="auto"/>
          <w:sz w:val="30"/>
          <w:szCs w:val="30"/>
          <w:highlight w:val="none"/>
        </w:rPr>
      </w:pPr>
    </w:p>
    <w:p w14:paraId="2C39815A">
      <w:pPr>
        <w:jc w:val="center"/>
        <w:rPr>
          <w:rFonts w:ascii="宋体" w:hAnsi="宋体"/>
          <w:b/>
          <w:color w:val="auto"/>
          <w:sz w:val="30"/>
          <w:szCs w:val="30"/>
          <w:highlight w:val="none"/>
        </w:rPr>
      </w:pPr>
    </w:p>
    <w:p w14:paraId="34966622">
      <w:pPr>
        <w:jc w:val="both"/>
        <w:rPr>
          <w:rFonts w:hint="eastAsia" w:ascii="宋体" w:hAnsi="宋体" w:cs="宋体"/>
          <w:color w:val="auto"/>
          <w:highlight w:val="none"/>
        </w:rPr>
      </w:pPr>
    </w:p>
    <w:p w14:paraId="05E1CF61">
      <w:pPr>
        <w:jc w:val="both"/>
        <w:rPr>
          <w:rFonts w:hint="eastAsia" w:ascii="宋体" w:hAnsi="宋体" w:cs="宋体"/>
          <w:color w:val="auto"/>
          <w:highlight w:val="none"/>
        </w:rPr>
      </w:pPr>
    </w:p>
    <w:p w14:paraId="4FF45D24">
      <w:pPr>
        <w:jc w:val="both"/>
        <w:rPr>
          <w:rFonts w:hint="eastAsia" w:ascii="宋体" w:hAnsi="宋体" w:cs="宋体"/>
          <w:color w:val="auto"/>
          <w:highlight w:val="none"/>
        </w:rPr>
      </w:pPr>
    </w:p>
    <w:p w14:paraId="6D91CD99">
      <w:pPr>
        <w:jc w:val="both"/>
        <w:rPr>
          <w:rFonts w:hint="eastAsia" w:ascii="宋体" w:hAnsi="宋体" w:cs="宋体"/>
          <w:color w:val="auto"/>
          <w:highlight w:val="none"/>
        </w:rPr>
      </w:pPr>
    </w:p>
    <w:p w14:paraId="4D03571B">
      <w:pPr>
        <w:jc w:val="both"/>
        <w:rPr>
          <w:rFonts w:hint="eastAsia" w:ascii="宋体" w:hAnsi="宋体" w:cs="宋体"/>
          <w:color w:val="auto"/>
          <w:highlight w:val="none"/>
        </w:rPr>
      </w:pPr>
    </w:p>
    <w:p w14:paraId="4DCE0AF6">
      <w:pPr>
        <w:jc w:val="both"/>
        <w:rPr>
          <w:rFonts w:hint="eastAsia" w:ascii="宋体" w:hAnsi="宋体" w:cs="宋体"/>
          <w:color w:val="auto"/>
          <w:highlight w:val="none"/>
        </w:rPr>
      </w:pPr>
    </w:p>
    <w:p w14:paraId="13066887">
      <w:pPr>
        <w:jc w:val="both"/>
        <w:rPr>
          <w:rFonts w:hint="eastAsia" w:ascii="宋体" w:hAnsi="宋体" w:cs="宋体"/>
          <w:color w:val="auto"/>
          <w:highlight w:val="none"/>
        </w:rPr>
      </w:pPr>
    </w:p>
    <w:p w14:paraId="7F6C21DD">
      <w:pPr>
        <w:jc w:val="both"/>
        <w:rPr>
          <w:rFonts w:hint="eastAsia" w:ascii="宋体" w:hAnsi="宋体" w:cs="宋体"/>
          <w:color w:val="auto"/>
          <w:highlight w:val="none"/>
        </w:rPr>
      </w:pPr>
    </w:p>
    <w:p w14:paraId="1191C5CE">
      <w:pPr>
        <w:jc w:val="both"/>
        <w:rPr>
          <w:rFonts w:hint="eastAsia" w:ascii="宋体" w:hAnsi="宋体" w:cs="宋体"/>
          <w:color w:val="auto"/>
          <w:highlight w:val="none"/>
        </w:rPr>
      </w:pPr>
    </w:p>
    <w:p w14:paraId="31D7F125">
      <w:pPr>
        <w:jc w:val="both"/>
        <w:rPr>
          <w:rFonts w:hint="eastAsia" w:ascii="宋体" w:hAnsi="宋体" w:cs="宋体"/>
          <w:color w:val="auto"/>
          <w:highlight w:val="none"/>
        </w:rPr>
      </w:pPr>
    </w:p>
    <w:p w14:paraId="57D1163C">
      <w:pPr>
        <w:jc w:val="both"/>
        <w:rPr>
          <w:rFonts w:hint="eastAsia" w:ascii="宋体" w:hAnsi="宋体" w:cs="宋体"/>
          <w:color w:val="auto"/>
          <w:highlight w:val="none"/>
        </w:rPr>
      </w:pPr>
    </w:p>
    <w:p w14:paraId="6BEE5D24">
      <w:pPr>
        <w:ind w:firstLine="420" w:firstLineChars="200"/>
        <w:jc w:val="both"/>
        <w:rPr>
          <w:rFonts w:ascii="宋体" w:hAnsi="宋体"/>
          <w:b/>
          <w:color w:val="auto"/>
          <w:sz w:val="30"/>
          <w:szCs w:val="30"/>
          <w:highlight w:val="none"/>
        </w:rPr>
      </w:pPr>
      <w:r>
        <w:rPr>
          <w:rFonts w:hint="eastAsia" w:ascii="宋体" w:hAnsi="宋体" w:cs="宋体"/>
          <w:color w:val="auto"/>
          <w:highlight w:val="none"/>
        </w:rPr>
        <w:t>注：指投标人认为需要附的其他资料。</w:t>
      </w:r>
    </w:p>
    <w:p w14:paraId="45904730">
      <w:pPr>
        <w:spacing w:before="13"/>
        <w:ind w:left="217"/>
        <w:jc w:val="center"/>
        <w:rPr>
          <w:rFonts w:ascii="宋体" w:hAnsi="宋体"/>
          <w:color w:val="auto"/>
          <w:sz w:val="30"/>
          <w:szCs w:val="30"/>
          <w:highlight w:val="none"/>
        </w:rPr>
      </w:pPr>
    </w:p>
    <w:p w14:paraId="76CE87F6">
      <w:pPr>
        <w:spacing w:before="13"/>
        <w:ind w:left="217"/>
        <w:jc w:val="center"/>
        <w:rPr>
          <w:rFonts w:ascii="宋体" w:hAnsi="宋体"/>
          <w:color w:val="auto"/>
          <w:sz w:val="30"/>
          <w:szCs w:val="30"/>
          <w:highlight w:val="none"/>
        </w:rPr>
      </w:pPr>
    </w:p>
    <w:p w14:paraId="1AB8390E">
      <w:pPr>
        <w:spacing w:before="13"/>
        <w:ind w:left="217"/>
        <w:jc w:val="center"/>
        <w:rPr>
          <w:rFonts w:ascii="宋体" w:hAnsi="宋体"/>
          <w:color w:val="auto"/>
          <w:sz w:val="30"/>
          <w:szCs w:val="30"/>
          <w:highlight w:val="none"/>
        </w:rPr>
      </w:pPr>
    </w:p>
    <w:p w14:paraId="104CC614">
      <w:pPr>
        <w:spacing w:before="13"/>
        <w:ind w:left="217"/>
        <w:jc w:val="center"/>
        <w:rPr>
          <w:rFonts w:ascii="宋体" w:hAnsi="宋体"/>
          <w:color w:val="auto"/>
          <w:sz w:val="30"/>
          <w:szCs w:val="30"/>
          <w:highlight w:val="none"/>
        </w:rPr>
      </w:pPr>
    </w:p>
    <w:p w14:paraId="4BB4697C">
      <w:pPr>
        <w:spacing w:before="13"/>
        <w:ind w:left="217"/>
        <w:jc w:val="center"/>
        <w:rPr>
          <w:rFonts w:ascii="宋体" w:hAnsi="宋体"/>
          <w:color w:val="auto"/>
          <w:sz w:val="30"/>
          <w:szCs w:val="30"/>
          <w:highlight w:val="none"/>
        </w:rPr>
      </w:pPr>
    </w:p>
    <w:p w14:paraId="40CD4B78">
      <w:pPr>
        <w:spacing w:before="13"/>
        <w:ind w:left="217"/>
        <w:jc w:val="center"/>
        <w:rPr>
          <w:rFonts w:ascii="宋体" w:hAnsi="宋体"/>
          <w:color w:val="auto"/>
          <w:sz w:val="30"/>
          <w:szCs w:val="30"/>
          <w:highlight w:val="none"/>
        </w:rPr>
      </w:pPr>
    </w:p>
    <w:p w14:paraId="477781E3">
      <w:pPr>
        <w:spacing w:before="13"/>
        <w:ind w:left="217"/>
        <w:jc w:val="center"/>
        <w:rPr>
          <w:rFonts w:ascii="宋体" w:hAnsi="宋体"/>
          <w:color w:val="auto"/>
          <w:sz w:val="30"/>
          <w:szCs w:val="30"/>
          <w:highlight w:val="none"/>
        </w:rPr>
      </w:pPr>
    </w:p>
    <w:p w14:paraId="57B534DF">
      <w:pPr>
        <w:spacing w:before="13"/>
        <w:ind w:left="217"/>
        <w:jc w:val="center"/>
        <w:rPr>
          <w:rFonts w:ascii="宋体" w:hAnsi="宋体"/>
          <w:color w:val="auto"/>
          <w:sz w:val="30"/>
          <w:szCs w:val="30"/>
          <w:highlight w:val="none"/>
        </w:rPr>
      </w:pPr>
    </w:p>
    <w:p w14:paraId="200B7224">
      <w:pPr>
        <w:spacing w:before="13"/>
        <w:ind w:left="217"/>
        <w:jc w:val="center"/>
        <w:rPr>
          <w:rFonts w:ascii="宋体" w:hAnsi="宋体"/>
          <w:color w:val="auto"/>
          <w:sz w:val="30"/>
          <w:szCs w:val="30"/>
          <w:highlight w:val="none"/>
        </w:rPr>
      </w:pPr>
    </w:p>
    <w:p w14:paraId="74AF8879">
      <w:pPr>
        <w:spacing w:before="13"/>
        <w:ind w:left="217"/>
        <w:jc w:val="center"/>
        <w:rPr>
          <w:rFonts w:ascii="宋体" w:hAnsi="宋体"/>
          <w:color w:val="auto"/>
          <w:sz w:val="30"/>
          <w:szCs w:val="30"/>
          <w:highlight w:val="none"/>
        </w:rPr>
      </w:pPr>
    </w:p>
    <w:p w14:paraId="3C8C73FF">
      <w:pPr>
        <w:pStyle w:val="22"/>
        <w:tabs>
          <w:tab w:val="left" w:pos="3585"/>
          <w:tab w:val="left" w:pos="5670"/>
        </w:tabs>
        <w:spacing w:before="148" w:line="360" w:lineRule="auto"/>
        <w:jc w:val="center"/>
        <w:rPr>
          <w:rFonts w:ascii="黑体" w:hAnsi="黑体" w:eastAsia="黑体"/>
          <w:color w:val="auto"/>
          <w:sz w:val="32"/>
          <w:szCs w:val="32"/>
          <w:highlight w:val="none"/>
          <w:u w:val="single"/>
        </w:rPr>
      </w:pPr>
      <w:r>
        <w:rPr>
          <w:color w:val="auto"/>
          <w:sz w:val="36"/>
          <w:szCs w:val="36"/>
          <w:highlight w:val="none"/>
        </w:rPr>
        <w:br w:type="page"/>
      </w:r>
    </w:p>
    <w:p w14:paraId="5FC9C2C1">
      <w:pPr>
        <w:pStyle w:val="22"/>
        <w:tabs>
          <w:tab w:val="left" w:pos="3585"/>
          <w:tab w:val="left" w:pos="5670"/>
        </w:tabs>
        <w:spacing w:before="148" w:line="360" w:lineRule="auto"/>
        <w:jc w:val="center"/>
        <w:rPr>
          <w:rFonts w:ascii="黑体" w:hAnsi="黑体" w:eastAsia="黑体"/>
          <w:color w:val="auto"/>
          <w:sz w:val="32"/>
          <w:szCs w:val="32"/>
          <w:highlight w:val="none"/>
          <w:u w:val="single"/>
        </w:rPr>
      </w:pPr>
    </w:p>
    <w:p w14:paraId="7CC90E85">
      <w:pPr>
        <w:pStyle w:val="22"/>
        <w:tabs>
          <w:tab w:val="left" w:pos="3585"/>
          <w:tab w:val="left" w:pos="5670"/>
        </w:tabs>
        <w:spacing w:before="148" w:line="360" w:lineRule="auto"/>
        <w:jc w:val="center"/>
        <w:rPr>
          <w:rFonts w:ascii="黑体" w:hAnsi="黑体" w:eastAsia="黑体"/>
          <w:color w:val="auto"/>
          <w:sz w:val="32"/>
          <w:szCs w:val="32"/>
          <w:highlight w:val="none"/>
          <w:u w:val="single"/>
        </w:rPr>
      </w:pPr>
      <w:r>
        <w:rPr>
          <w:rFonts w:ascii="黑体" w:hAnsi="黑体" w:eastAsia="黑体"/>
          <w:color w:val="auto"/>
          <w:sz w:val="32"/>
          <w:szCs w:val="32"/>
          <w:highlight w:val="none"/>
          <w:u w:val="single"/>
        </w:rPr>
        <w:t xml:space="preserve">       （</w:t>
      </w:r>
      <w:r>
        <w:rPr>
          <w:rFonts w:hint="eastAsia" w:ascii="黑体" w:hAnsi="黑体" w:eastAsia="黑体"/>
          <w:color w:val="auto"/>
          <w:sz w:val="32"/>
          <w:szCs w:val="32"/>
          <w:highlight w:val="none"/>
          <w:u w:val="single"/>
        </w:rPr>
        <w:t>招标项目名称</w:t>
      </w:r>
      <w:r>
        <w:rPr>
          <w:rFonts w:ascii="黑体" w:hAnsi="黑体" w:eastAsia="黑体"/>
          <w:color w:val="auto"/>
          <w:sz w:val="32"/>
          <w:szCs w:val="32"/>
          <w:highlight w:val="none"/>
          <w:u w:val="single"/>
        </w:rPr>
        <w:t>）</w:t>
      </w:r>
      <w:r>
        <w:rPr>
          <w:rFonts w:hint="eastAsia" w:ascii="黑体" w:hAnsi="黑体" w:eastAsia="黑体"/>
          <w:color w:val="auto"/>
          <w:sz w:val="32"/>
          <w:szCs w:val="32"/>
          <w:highlight w:val="none"/>
          <w:u w:val="single"/>
          <w:lang w:val="en-US" w:eastAsia="zh-CN"/>
        </w:rPr>
        <w:t xml:space="preserve">       </w:t>
      </w:r>
      <w:r>
        <w:rPr>
          <w:rFonts w:hint="eastAsia" w:ascii="黑体" w:hAnsi="黑体" w:eastAsia="黑体"/>
          <w:color w:val="auto"/>
          <w:sz w:val="32"/>
          <w:szCs w:val="32"/>
          <w:highlight w:val="none"/>
        </w:rPr>
        <w:t>招标第</w:t>
      </w:r>
      <w:r>
        <w:rPr>
          <w:rFonts w:ascii="黑体" w:hAnsi="黑体" w:eastAsia="黑体"/>
          <w:color w:val="auto"/>
          <w:sz w:val="32"/>
          <w:szCs w:val="32"/>
          <w:highlight w:val="none"/>
          <w:u w:val="single"/>
        </w:rPr>
        <w:t xml:space="preserve">       </w:t>
      </w:r>
      <w:r>
        <w:rPr>
          <w:rFonts w:hint="eastAsia" w:ascii="黑体" w:hAnsi="黑体" w:eastAsia="黑体"/>
          <w:color w:val="auto"/>
          <w:sz w:val="32"/>
          <w:szCs w:val="32"/>
          <w:highlight w:val="none"/>
        </w:rPr>
        <w:t>标段</w:t>
      </w:r>
    </w:p>
    <w:p w14:paraId="381F112D">
      <w:pPr>
        <w:pStyle w:val="22"/>
        <w:spacing w:line="360" w:lineRule="auto"/>
        <w:jc w:val="center"/>
        <w:rPr>
          <w:rFonts w:ascii="黑体" w:hAnsi="黑体" w:eastAsia="黑体"/>
          <w:color w:val="auto"/>
          <w:sz w:val="32"/>
          <w:szCs w:val="32"/>
          <w:highlight w:val="none"/>
        </w:rPr>
      </w:pPr>
    </w:p>
    <w:p w14:paraId="649079A7">
      <w:pPr>
        <w:pStyle w:val="22"/>
        <w:rPr>
          <w:color w:val="auto"/>
          <w:sz w:val="20"/>
          <w:highlight w:val="none"/>
        </w:rPr>
      </w:pPr>
    </w:p>
    <w:p w14:paraId="3B32EF6D">
      <w:pPr>
        <w:pStyle w:val="22"/>
        <w:rPr>
          <w:color w:val="auto"/>
          <w:sz w:val="20"/>
          <w:highlight w:val="none"/>
        </w:rPr>
      </w:pPr>
    </w:p>
    <w:p w14:paraId="68EDA55F">
      <w:pPr>
        <w:pStyle w:val="22"/>
        <w:rPr>
          <w:color w:val="auto"/>
          <w:sz w:val="20"/>
          <w:highlight w:val="none"/>
        </w:rPr>
      </w:pPr>
    </w:p>
    <w:p w14:paraId="503FB29F">
      <w:pPr>
        <w:pStyle w:val="22"/>
        <w:rPr>
          <w:color w:val="auto"/>
          <w:sz w:val="20"/>
          <w:highlight w:val="none"/>
        </w:rPr>
      </w:pPr>
    </w:p>
    <w:p w14:paraId="58A32F1E">
      <w:pPr>
        <w:pStyle w:val="22"/>
        <w:rPr>
          <w:color w:val="auto"/>
          <w:sz w:val="20"/>
          <w:highlight w:val="none"/>
        </w:rPr>
      </w:pPr>
    </w:p>
    <w:p w14:paraId="1B01E0FE">
      <w:pPr>
        <w:pStyle w:val="22"/>
        <w:rPr>
          <w:color w:val="auto"/>
          <w:sz w:val="20"/>
          <w:highlight w:val="none"/>
        </w:rPr>
      </w:pPr>
    </w:p>
    <w:p w14:paraId="1D25375E">
      <w:pPr>
        <w:pStyle w:val="22"/>
        <w:rPr>
          <w:color w:val="auto"/>
          <w:sz w:val="20"/>
          <w:highlight w:val="none"/>
        </w:rPr>
      </w:pPr>
    </w:p>
    <w:p w14:paraId="22D8E57B">
      <w:pPr>
        <w:pStyle w:val="22"/>
        <w:rPr>
          <w:color w:val="auto"/>
          <w:sz w:val="20"/>
          <w:highlight w:val="none"/>
        </w:rPr>
      </w:pPr>
    </w:p>
    <w:p w14:paraId="4807EA5A">
      <w:pPr>
        <w:pStyle w:val="22"/>
        <w:rPr>
          <w:color w:val="auto"/>
          <w:sz w:val="20"/>
          <w:highlight w:val="none"/>
        </w:rPr>
      </w:pPr>
    </w:p>
    <w:p w14:paraId="0C0D1FEC">
      <w:pPr>
        <w:pStyle w:val="22"/>
        <w:rPr>
          <w:color w:val="auto"/>
          <w:sz w:val="20"/>
          <w:highlight w:val="none"/>
        </w:rPr>
      </w:pPr>
    </w:p>
    <w:p w14:paraId="4D0DF0C4">
      <w:pPr>
        <w:pStyle w:val="22"/>
        <w:spacing w:before="9"/>
        <w:rPr>
          <w:color w:val="auto"/>
          <w:sz w:val="17"/>
          <w:highlight w:val="none"/>
        </w:rPr>
      </w:pPr>
    </w:p>
    <w:p w14:paraId="60389AC4">
      <w:pPr>
        <w:pStyle w:val="221"/>
        <w:tabs>
          <w:tab w:val="left" w:pos="1477"/>
          <w:tab w:val="left" w:pos="2917"/>
          <w:tab w:val="left" w:pos="4357"/>
        </w:tabs>
        <w:spacing w:line="820" w:lineRule="exact"/>
        <w:rPr>
          <w:rFonts w:hint="eastAsia"/>
          <w:color w:val="auto"/>
          <w:highlight w:val="none"/>
          <w:lang w:eastAsia="zh-CN"/>
        </w:rPr>
      </w:pPr>
      <w:bookmarkStart w:id="952" w:name="_Toc27060736"/>
      <w:bookmarkStart w:id="953" w:name="_Toc27059829"/>
      <w:bookmarkStart w:id="954" w:name="_Toc27059739"/>
      <w:bookmarkStart w:id="955" w:name="_Toc27059558"/>
      <w:bookmarkStart w:id="956" w:name="_Toc27059931"/>
      <w:bookmarkStart w:id="957" w:name="_Toc53685817"/>
      <w:r>
        <w:rPr>
          <w:rFonts w:hint="eastAsia" w:ascii="Arial" w:hAnsi="Arial" w:cs="Times New Roman"/>
          <w:b/>
          <w:bCs/>
          <w:color w:val="auto"/>
          <w:highlight w:val="none"/>
          <w:lang w:eastAsia="zh-CN"/>
        </w:rPr>
        <w:t>投</w:t>
      </w:r>
      <w:r>
        <w:rPr>
          <w:rFonts w:hint="eastAsia" w:ascii="Arial" w:hAnsi="Arial" w:cs="Times New Roman"/>
          <w:b/>
          <w:bCs/>
          <w:color w:val="auto"/>
          <w:highlight w:val="none"/>
          <w:lang w:val="en-US" w:eastAsia="zh-CN"/>
        </w:rPr>
        <w:t xml:space="preserve"> </w:t>
      </w:r>
      <w:r>
        <w:rPr>
          <w:rFonts w:hint="eastAsia" w:ascii="Arial" w:hAnsi="Arial" w:cs="Times New Roman"/>
          <w:b/>
          <w:bCs/>
          <w:color w:val="auto"/>
          <w:highlight w:val="none"/>
          <w:lang w:eastAsia="zh-CN"/>
        </w:rPr>
        <w:t>标</w:t>
      </w:r>
      <w:r>
        <w:rPr>
          <w:rFonts w:hint="eastAsia" w:ascii="Arial" w:hAnsi="Arial" w:cs="Times New Roman"/>
          <w:b/>
          <w:bCs/>
          <w:color w:val="auto"/>
          <w:highlight w:val="none"/>
          <w:lang w:val="en-US" w:eastAsia="zh-CN"/>
        </w:rPr>
        <w:t xml:space="preserve"> </w:t>
      </w:r>
      <w:r>
        <w:rPr>
          <w:rFonts w:hint="eastAsia" w:ascii="Arial" w:hAnsi="Arial" w:cs="Times New Roman"/>
          <w:b/>
          <w:bCs/>
          <w:color w:val="auto"/>
          <w:highlight w:val="none"/>
          <w:lang w:eastAsia="zh-CN"/>
        </w:rPr>
        <w:t>文</w:t>
      </w:r>
      <w:r>
        <w:rPr>
          <w:rFonts w:hint="eastAsia" w:ascii="Arial" w:hAnsi="Arial" w:cs="Times New Roman"/>
          <w:b/>
          <w:bCs/>
          <w:color w:val="auto"/>
          <w:highlight w:val="none"/>
          <w:lang w:val="en-US" w:eastAsia="zh-CN"/>
        </w:rPr>
        <w:t xml:space="preserve"> </w:t>
      </w:r>
      <w:r>
        <w:rPr>
          <w:rFonts w:hint="eastAsia" w:ascii="Arial" w:hAnsi="Arial" w:cs="Times New Roman"/>
          <w:b/>
          <w:bCs/>
          <w:color w:val="auto"/>
          <w:highlight w:val="none"/>
          <w:lang w:eastAsia="zh-CN"/>
        </w:rPr>
        <w:t>件</w:t>
      </w:r>
      <w:bookmarkEnd w:id="952"/>
      <w:bookmarkEnd w:id="953"/>
      <w:bookmarkEnd w:id="954"/>
      <w:bookmarkEnd w:id="955"/>
      <w:bookmarkEnd w:id="956"/>
      <w:bookmarkEnd w:id="957"/>
    </w:p>
    <w:p w14:paraId="7384C1B3">
      <w:pPr>
        <w:pStyle w:val="5"/>
        <w:jc w:val="center"/>
        <w:rPr>
          <w:rFonts w:ascii="Arial" w:hAnsi="Arial"/>
          <w:color w:val="auto"/>
          <w:highlight w:val="none"/>
          <w:lang w:eastAsia="zh-CN"/>
        </w:rPr>
      </w:pPr>
      <w:r>
        <w:rPr>
          <w:rFonts w:hint="default" w:ascii="Arial" w:hAnsi="Arial"/>
          <w:color w:val="auto"/>
          <w:highlight w:val="none"/>
          <w:lang w:eastAsia="zh-CN"/>
        </w:rPr>
        <w:t>第二个信封</w:t>
      </w:r>
      <w:r>
        <w:rPr>
          <w:rFonts w:ascii="Arial" w:hAnsi="Arial"/>
          <w:color w:val="auto"/>
          <w:highlight w:val="none"/>
          <w:lang w:eastAsia="zh-CN"/>
        </w:rPr>
        <w:t>（报价文件）</w:t>
      </w:r>
    </w:p>
    <w:p w14:paraId="53517308">
      <w:pPr>
        <w:pStyle w:val="22"/>
        <w:rPr>
          <w:color w:val="auto"/>
          <w:sz w:val="32"/>
          <w:highlight w:val="none"/>
        </w:rPr>
      </w:pPr>
    </w:p>
    <w:p w14:paraId="5E761ADB">
      <w:pPr>
        <w:pStyle w:val="22"/>
        <w:rPr>
          <w:color w:val="auto"/>
          <w:sz w:val="32"/>
          <w:highlight w:val="none"/>
        </w:rPr>
      </w:pPr>
    </w:p>
    <w:p w14:paraId="77956BD9">
      <w:pPr>
        <w:pStyle w:val="22"/>
        <w:rPr>
          <w:color w:val="auto"/>
          <w:sz w:val="32"/>
          <w:highlight w:val="none"/>
        </w:rPr>
      </w:pPr>
    </w:p>
    <w:p w14:paraId="34846BEC">
      <w:pPr>
        <w:pStyle w:val="22"/>
        <w:rPr>
          <w:color w:val="auto"/>
          <w:sz w:val="32"/>
          <w:highlight w:val="none"/>
        </w:rPr>
      </w:pPr>
    </w:p>
    <w:p w14:paraId="41132B01">
      <w:pPr>
        <w:pStyle w:val="22"/>
        <w:rPr>
          <w:color w:val="auto"/>
          <w:sz w:val="32"/>
          <w:highlight w:val="none"/>
        </w:rPr>
      </w:pPr>
    </w:p>
    <w:p w14:paraId="5E85D474">
      <w:pPr>
        <w:pStyle w:val="22"/>
        <w:rPr>
          <w:color w:val="auto"/>
          <w:sz w:val="32"/>
          <w:highlight w:val="none"/>
        </w:rPr>
      </w:pPr>
    </w:p>
    <w:p w14:paraId="1A746FAE">
      <w:pPr>
        <w:pStyle w:val="22"/>
        <w:rPr>
          <w:color w:val="auto"/>
          <w:sz w:val="32"/>
          <w:highlight w:val="none"/>
        </w:rPr>
      </w:pPr>
    </w:p>
    <w:p w14:paraId="636AC7A4">
      <w:pPr>
        <w:pStyle w:val="22"/>
        <w:rPr>
          <w:color w:val="auto"/>
          <w:sz w:val="32"/>
          <w:highlight w:val="none"/>
        </w:rPr>
      </w:pPr>
    </w:p>
    <w:p w14:paraId="45080E63">
      <w:pPr>
        <w:pStyle w:val="22"/>
        <w:rPr>
          <w:color w:val="auto"/>
          <w:sz w:val="32"/>
          <w:highlight w:val="none"/>
        </w:rPr>
      </w:pPr>
    </w:p>
    <w:p w14:paraId="095BEF4C">
      <w:pPr>
        <w:pStyle w:val="22"/>
        <w:rPr>
          <w:color w:val="auto"/>
          <w:sz w:val="32"/>
          <w:highlight w:val="none"/>
        </w:rPr>
      </w:pPr>
    </w:p>
    <w:p w14:paraId="0052D0B0">
      <w:pPr>
        <w:pStyle w:val="22"/>
        <w:rPr>
          <w:color w:val="auto"/>
          <w:sz w:val="32"/>
          <w:highlight w:val="none"/>
        </w:rPr>
      </w:pPr>
    </w:p>
    <w:p w14:paraId="64C29987">
      <w:pPr>
        <w:pStyle w:val="22"/>
        <w:rPr>
          <w:color w:val="auto"/>
          <w:sz w:val="32"/>
          <w:highlight w:val="none"/>
        </w:rPr>
      </w:pPr>
    </w:p>
    <w:p w14:paraId="6D4BC374">
      <w:pPr>
        <w:pStyle w:val="299"/>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投标人：</w:t>
      </w:r>
      <w:r>
        <w:rPr>
          <w:rFonts w:ascii="黑体" w:hAnsi="黑体" w:eastAsia="黑体"/>
          <w:color w:val="auto"/>
          <w:sz w:val="28"/>
          <w:szCs w:val="28"/>
          <w:highlight w:val="none"/>
          <w:u w:val="single"/>
        </w:rPr>
        <w:t xml:space="preserve">                （全称）       </w:t>
      </w:r>
      <w:r>
        <w:rPr>
          <w:rStyle w:val="59"/>
          <w:rFonts w:ascii="黑体" w:hAnsi="黑体" w:eastAsia="黑体" w:cs="宋体"/>
          <w:color w:val="auto"/>
          <w:sz w:val="28"/>
          <w:szCs w:val="28"/>
          <w:highlight w:val="none"/>
        </w:rPr>
        <w:footnoteReference w:id="320"/>
      </w:r>
    </w:p>
    <w:p w14:paraId="67DDA0F7">
      <w:pPr>
        <w:pStyle w:val="299"/>
        <w:ind w:firstLine="1680" w:firstLineChars="600"/>
        <w:rPr>
          <w:rFonts w:ascii="黑体" w:hAnsi="黑体" w:eastAsia="黑体"/>
          <w:color w:val="auto"/>
          <w:sz w:val="28"/>
          <w:szCs w:val="28"/>
          <w:highlight w:val="none"/>
        </w:rPr>
      </w:pPr>
    </w:p>
    <w:p w14:paraId="11610B17">
      <w:pPr>
        <w:pStyle w:val="299"/>
        <w:ind w:firstLine="1680" w:firstLineChars="600"/>
        <w:rPr>
          <w:rFonts w:ascii="黑体" w:hAnsi="黑体" w:eastAsia="黑体"/>
          <w:color w:val="auto"/>
          <w:sz w:val="28"/>
          <w:szCs w:val="28"/>
          <w:highlight w:val="none"/>
        </w:rPr>
      </w:pPr>
      <w:r>
        <w:rPr>
          <w:rFonts w:ascii="黑体" w:hAnsi="黑体" w:eastAsia="黑体"/>
          <w:color w:val="auto"/>
          <w:sz w:val="28"/>
          <w:szCs w:val="28"/>
          <w:highlight w:val="none"/>
        </w:rPr>
        <w:t xml:space="preserve">      </w:t>
      </w:r>
      <w:r>
        <w:rPr>
          <w:rFonts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年</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u w:val="single"/>
        </w:rPr>
        <w:tab/>
      </w:r>
      <w:r>
        <w:rPr>
          <w:rFonts w:hint="eastAsia" w:ascii="黑体" w:hAnsi="黑体" w:eastAsia="黑体"/>
          <w:color w:val="auto"/>
          <w:sz w:val="28"/>
          <w:szCs w:val="28"/>
          <w:highlight w:val="none"/>
        </w:rPr>
        <w:t>月</w:t>
      </w:r>
      <w:r>
        <w:rPr>
          <w:rFonts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日</w:t>
      </w:r>
    </w:p>
    <w:p w14:paraId="3F48D37F">
      <w:pPr>
        <w:pStyle w:val="299"/>
        <w:ind w:firstLine="1687" w:firstLineChars="600"/>
        <w:rPr>
          <w:b/>
          <w:color w:val="auto"/>
          <w:sz w:val="28"/>
          <w:szCs w:val="28"/>
          <w:highlight w:val="none"/>
        </w:rPr>
      </w:pPr>
    </w:p>
    <w:p w14:paraId="6AA1CAE7">
      <w:pPr>
        <w:pStyle w:val="299"/>
        <w:rPr>
          <w:b/>
          <w:color w:val="auto"/>
          <w:sz w:val="28"/>
          <w:szCs w:val="28"/>
          <w:highlight w:val="none"/>
        </w:rPr>
      </w:pPr>
      <w:r>
        <w:rPr>
          <w:b/>
          <w:color w:val="auto"/>
          <w:sz w:val="28"/>
          <w:szCs w:val="28"/>
          <w:highlight w:val="none"/>
        </w:rPr>
        <w:t xml:space="preserve">            </w:t>
      </w:r>
    </w:p>
    <w:p w14:paraId="60B6BBBC">
      <w:pPr>
        <w:rPr>
          <w:rFonts w:ascii="宋体" w:hAnsi="宋体"/>
          <w:color w:val="auto"/>
          <w:sz w:val="28"/>
          <w:szCs w:val="28"/>
          <w:highlight w:val="none"/>
        </w:rPr>
        <w:sectPr>
          <w:footerReference r:id="rId31" w:type="default"/>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pPr>
    </w:p>
    <w:p w14:paraId="45F5D4A6">
      <w:pPr>
        <w:tabs>
          <w:tab w:val="left" w:pos="1421"/>
        </w:tabs>
        <w:spacing w:before="7"/>
        <w:ind w:left="368"/>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目</w:t>
      </w:r>
      <w:r>
        <w:rPr>
          <w:rFonts w:ascii="黑体" w:hAnsi="黑体" w:eastAsia="黑体"/>
          <w:color w:val="auto"/>
          <w:sz w:val="32"/>
          <w:szCs w:val="32"/>
          <w:highlight w:val="none"/>
        </w:rPr>
        <w:tab/>
      </w:r>
      <w:r>
        <w:rPr>
          <w:rFonts w:hint="eastAsia" w:ascii="黑体" w:hAnsi="黑体" w:eastAsia="黑体"/>
          <w:color w:val="auto"/>
          <w:sz w:val="32"/>
          <w:szCs w:val="32"/>
          <w:highlight w:val="none"/>
        </w:rPr>
        <w:t>录</w:t>
      </w:r>
    </w:p>
    <w:p w14:paraId="68B969F0">
      <w:pPr>
        <w:pStyle w:val="22"/>
        <w:spacing w:before="7"/>
        <w:rPr>
          <w:b/>
          <w:color w:val="auto"/>
          <w:sz w:val="42"/>
          <w:highlight w:val="none"/>
        </w:rPr>
      </w:pPr>
    </w:p>
    <w:p w14:paraId="321100A7">
      <w:pPr>
        <w:pStyle w:val="22"/>
        <w:spacing w:before="7"/>
        <w:rPr>
          <w:b/>
          <w:color w:val="auto"/>
          <w:sz w:val="42"/>
          <w:highlight w:val="none"/>
        </w:rPr>
      </w:pPr>
    </w:p>
    <w:p w14:paraId="49A13EEE">
      <w:pPr>
        <w:pStyle w:val="22"/>
        <w:spacing w:line="480" w:lineRule="auto"/>
        <w:ind w:right="4587"/>
        <w:rPr>
          <w:color w:val="auto"/>
          <w:highlight w:val="none"/>
        </w:rPr>
      </w:pPr>
      <w:r>
        <w:rPr>
          <w:color w:val="auto"/>
          <w:highlight w:val="none"/>
        </w:rPr>
        <w:t>一、投标函</w:t>
      </w:r>
      <w:r>
        <w:rPr>
          <w:rFonts w:hint="eastAsia"/>
          <w:color w:val="auto"/>
          <w:highlight w:val="none"/>
        </w:rPr>
        <w:t>（第二个信封）</w:t>
      </w:r>
      <w:r>
        <w:rPr>
          <w:color w:val="auto"/>
          <w:highlight w:val="none"/>
        </w:rPr>
        <w:t xml:space="preserve"> </w:t>
      </w:r>
    </w:p>
    <w:p w14:paraId="2752AA50">
      <w:pPr>
        <w:pStyle w:val="22"/>
        <w:spacing w:line="480" w:lineRule="auto"/>
        <w:ind w:right="4587"/>
        <w:rPr>
          <w:color w:val="auto"/>
          <w:highlight w:val="none"/>
        </w:rPr>
      </w:pPr>
      <w:r>
        <w:rPr>
          <w:color w:val="auto"/>
          <w:highlight w:val="none"/>
        </w:rPr>
        <w:t xml:space="preserve">二、已标价工程量清单 </w:t>
      </w:r>
    </w:p>
    <w:p w14:paraId="66767E58">
      <w:pPr>
        <w:spacing w:before="8" w:line="360" w:lineRule="auto"/>
        <w:ind w:left="3620" w:right="3563"/>
        <w:jc w:val="center"/>
        <w:rPr>
          <w:rFonts w:ascii="宋体" w:hAnsi="宋体"/>
          <w:b/>
          <w:color w:val="auto"/>
          <w:sz w:val="30"/>
          <w:highlight w:val="none"/>
        </w:rPr>
      </w:pPr>
      <w:bookmarkStart w:id="958" w:name="_TOC_250016"/>
      <w:bookmarkEnd w:id="958"/>
    </w:p>
    <w:p w14:paraId="0D3914ED">
      <w:pPr>
        <w:spacing w:before="8" w:line="360" w:lineRule="auto"/>
        <w:ind w:left="3620" w:right="3563"/>
        <w:jc w:val="center"/>
        <w:rPr>
          <w:rFonts w:ascii="宋体" w:hAnsi="宋体"/>
          <w:b/>
          <w:color w:val="auto"/>
          <w:sz w:val="30"/>
          <w:highlight w:val="none"/>
        </w:rPr>
      </w:pPr>
    </w:p>
    <w:p w14:paraId="4741C8FD">
      <w:pPr>
        <w:spacing w:before="8" w:line="360" w:lineRule="auto"/>
        <w:ind w:left="3620" w:right="3563"/>
        <w:jc w:val="center"/>
        <w:rPr>
          <w:rFonts w:ascii="宋体" w:hAnsi="宋体"/>
          <w:b/>
          <w:color w:val="auto"/>
          <w:sz w:val="30"/>
          <w:highlight w:val="none"/>
        </w:rPr>
      </w:pPr>
    </w:p>
    <w:p w14:paraId="22945653">
      <w:pPr>
        <w:jc w:val="center"/>
        <w:outlineLvl w:val="1"/>
        <w:rPr>
          <w:rFonts w:ascii="黑体" w:hAnsi="黑体" w:eastAsia="黑体"/>
          <w:color w:val="auto"/>
          <w:sz w:val="30"/>
          <w:szCs w:val="30"/>
          <w:highlight w:val="none"/>
        </w:rPr>
      </w:pPr>
      <w:r>
        <w:rPr>
          <w:color w:val="auto"/>
          <w:highlight w:val="none"/>
        </w:rPr>
        <w:br w:type="page"/>
      </w:r>
      <w:r>
        <w:rPr>
          <w:rStyle w:val="128"/>
          <w:rFonts w:hint="default"/>
          <w:b w:val="0"/>
          <w:bCs w:val="0"/>
          <w:color w:val="auto"/>
          <w:highlight w:val="none"/>
        </w:rPr>
        <w:t>一、投标函（第二个信封）</w:t>
      </w:r>
    </w:p>
    <w:p w14:paraId="4269A14B">
      <w:pPr>
        <w:pStyle w:val="22"/>
        <w:spacing w:before="9" w:line="360" w:lineRule="auto"/>
        <w:rPr>
          <w:color w:val="auto"/>
          <w:sz w:val="23"/>
          <w:highlight w:val="none"/>
        </w:rPr>
      </w:pPr>
    </w:p>
    <w:p w14:paraId="6BBDEAF2">
      <w:pPr>
        <w:pStyle w:val="22"/>
        <w:tabs>
          <w:tab w:val="left" w:pos="3163"/>
        </w:tabs>
        <w:spacing w:line="360" w:lineRule="auto"/>
        <w:ind w:left="284" w:right="866"/>
        <w:rPr>
          <w:color w:val="auto"/>
          <w:highlight w:val="none"/>
        </w:rPr>
      </w:pPr>
      <w:r>
        <w:rPr>
          <w:color w:val="auto"/>
          <w:highlight w:val="none"/>
          <w:u w:val="single"/>
        </w:rPr>
        <w:t xml:space="preserve"> </w:t>
      </w:r>
      <w:r>
        <w:rPr>
          <w:color w:val="auto"/>
          <w:highlight w:val="none"/>
          <w:u w:val="single"/>
        </w:rPr>
        <w:tab/>
      </w:r>
      <w:r>
        <w:rPr>
          <w:rFonts w:hint="eastAsia"/>
          <w:color w:val="auto"/>
          <w:highlight w:val="none"/>
        </w:rPr>
        <w:t>（</w:t>
      </w:r>
      <w:r>
        <w:rPr>
          <w:color w:val="auto"/>
          <w:highlight w:val="none"/>
        </w:rPr>
        <w:t>招标人名称</w:t>
      </w:r>
      <w:r>
        <w:rPr>
          <w:rFonts w:hint="eastAsia"/>
          <w:color w:val="auto"/>
          <w:highlight w:val="none"/>
        </w:rPr>
        <w:t>）</w:t>
      </w:r>
      <w:r>
        <w:rPr>
          <w:color w:val="auto"/>
          <w:highlight w:val="none"/>
        </w:rPr>
        <w:t>：</w:t>
      </w:r>
    </w:p>
    <w:p w14:paraId="5D85D2BF">
      <w:pPr>
        <w:pStyle w:val="22"/>
        <w:spacing w:before="4" w:line="360" w:lineRule="auto"/>
        <w:rPr>
          <w:color w:val="auto"/>
          <w:highlight w:val="none"/>
        </w:rPr>
      </w:pPr>
    </w:p>
    <w:p w14:paraId="4155D2C2">
      <w:pPr>
        <w:pStyle w:val="22"/>
        <w:numPr>
          <w:ilvl w:val="255"/>
          <w:numId w:val="0"/>
        </w:numPr>
        <w:tabs>
          <w:tab w:val="left" w:pos="1857"/>
          <w:tab w:val="left" w:pos="4380"/>
          <w:tab w:val="left" w:pos="4908"/>
          <w:tab w:val="left" w:pos="7245"/>
        </w:tabs>
        <w:spacing w:before="26" w:line="360" w:lineRule="auto"/>
        <w:ind w:left="0" w:right="100" w:firstLine="480" w:firstLineChars="200"/>
        <w:rPr>
          <w:color w:val="auto"/>
          <w:highlight w:val="none"/>
        </w:rPr>
      </w:pPr>
      <w:r>
        <w:rPr>
          <w:color w:val="auto"/>
          <w:highlight w:val="none"/>
        </w:rPr>
        <w:t>1．我方已仔细研究</w:t>
      </w:r>
      <w:r>
        <w:rPr>
          <w:color w:val="auto"/>
          <w:highlight w:val="none"/>
          <w:u w:val="single"/>
        </w:rPr>
        <w:t xml:space="preserve"> </w:t>
      </w:r>
      <w:r>
        <w:rPr>
          <w:color w:val="auto"/>
          <w:highlight w:val="none"/>
          <w:u w:val="single"/>
        </w:rPr>
        <w:tab/>
      </w:r>
      <w:r>
        <w:rPr>
          <w:rFonts w:hint="eastAsia"/>
          <w:color w:val="auto"/>
          <w:highlight w:val="none"/>
        </w:rPr>
        <w:t>（</w:t>
      </w:r>
      <w:r>
        <w:rPr>
          <w:rFonts w:hint="eastAsia" w:ascii="Times New Roman" w:hAnsi="Times New Roman"/>
          <w:color w:val="auto"/>
          <w:highlight w:val="none"/>
        </w:rPr>
        <w:t>招标</w:t>
      </w:r>
      <w:r>
        <w:rPr>
          <w:color w:val="auto"/>
          <w:highlight w:val="none"/>
        </w:rPr>
        <w:t>项目名称</w:t>
      </w:r>
      <w:r>
        <w:rPr>
          <w:rFonts w:hint="eastAsia"/>
          <w:color w:val="auto"/>
          <w:highlight w:val="none"/>
        </w:rPr>
        <w:t>）</w:t>
      </w:r>
      <w:r>
        <w:rPr>
          <w:rFonts w:hint="eastAsia" w:ascii="Times New Roman" w:hAnsi="Times New Roman"/>
          <w:color w:val="auto"/>
          <w:highlight w:val="none"/>
        </w:rPr>
        <w:t>招标第</w:t>
      </w:r>
      <w:r>
        <w:rPr>
          <w:color w:val="auto"/>
          <w:highlight w:val="none"/>
          <w:u w:val="single"/>
        </w:rPr>
        <w:t xml:space="preserve">   </w:t>
      </w:r>
      <w:r>
        <w:rPr>
          <w:color w:val="auto"/>
          <w:highlight w:val="none"/>
        </w:rPr>
        <w:t>标段招标文件的全部内容（含</w:t>
      </w:r>
      <w:r>
        <w:rPr>
          <w:rFonts w:hint="eastAsia"/>
          <w:color w:val="auto"/>
          <w:highlight w:val="none"/>
        </w:rPr>
        <w:t>所有</w:t>
      </w:r>
      <w:r>
        <w:rPr>
          <w:color w:val="auto"/>
          <w:highlight w:val="none"/>
        </w:rPr>
        <w:t>补遗书），在考察工程现场后，愿意以</w:t>
      </w:r>
      <w:r>
        <w:rPr>
          <w:rFonts w:hint="eastAsia"/>
          <w:color w:val="auto"/>
          <w:highlight w:val="none"/>
        </w:rPr>
        <w:t>下列投标报价，</w:t>
      </w:r>
      <w:r>
        <w:rPr>
          <w:color w:val="auto"/>
          <w:highlight w:val="none"/>
        </w:rPr>
        <w:t>按合同约定实施和完成承包工程，修补工程中的任何缺陷。</w:t>
      </w:r>
    </w:p>
    <w:p w14:paraId="0D7B724C">
      <w:pPr>
        <w:pStyle w:val="22"/>
        <w:numPr>
          <w:ilvl w:val="255"/>
          <w:numId w:val="0"/>
        </w:numPr>
        <w:tabs>
          <w:tab w:val="left" w:pos="1857"/>
          <w:tab w:val="left" w:pos="4380"/>
          <w:tab w:val="left" w:pos="4908"/>
          <w:tab w:val="left" w:pos="7245"/>
        </w:tabs>
        <w:spacing w:before="26" w:line="360" w:lineRule="auto"/>
        <w:ind w:right="100" w:firstLine="482" w:firstLineChars="200"/>
        <w:rPr>
          <w:color w:val="auto"/>
          <w:spacing w:val="4"/>
          <w:highlight w:val="none"/>
        </w:rPr>
      </w:pPr>
      <w:r>
        <w:rPr>
          <w:rFonts w:hint="eastAsia" w:cs="宋体"/>
          <w:b/>
          <w:bCs/>
          <w:color w:val="auto"/>
          <w:highlight w:val="none"/>
        </w:rPr>
        <w:t>□</w:t>
      </w:r>
      <w:r>
        <w:rPr>
          <w:rFonts w:hint="eastAsia"/>
          <w:color w:val="auto"/>
          <w:highlight w:val="none"/>
        </w:rPr>
        <w:t xml:space="preserve"> </w:t>
      </w:r>
      <w:r>
        <w:rPr>
          <w:color w:val="auto"/>
          <w:highlight w:val="none"/>
        </w:rPr>
        <w:t>人民币</w:t>
      </w:r>
      <w:r>
        <w:rPr>
          <w:rFonts w:hint="eastAsia"/>
          <w:color w:val="auto"/>
          <w:highlight w:val="none"/>
        </w:rPr>
        <w:t>（</w:t>
      </w:r>
      <w:r>
        <w:rPr>
          <w:color w:val="auto"/>
          <w:highlight w:val="none"/>
        </w:rPr>
        <w:t>大写</w:t>
      </w:r>
      <w:r>
        <w:rPr>
          <w:rFonts w:hint="eastAsia"/>
          <w:color w:val="auto"/>
          <w:highlight w:val="none"/>
        </w:rPr>
        <w:t>）</w:t>
      </w:r>
      <w:r>
        <w:rPr>
          <w:color w:val="auto"/>
          <w:highlight w:val="none"/>
          <w:u w:val="single"/>
        </w:rPr>
        <w:t xml:space="preserve">   </w:t>
      </w:r>
      <w:r>
        <w:rPr>
          <w:color w:val="auto"/>
          <w:highlight w:val="none"/>
          <w:u w:val="single"/>
        </w:rPr>
        <w:tab/>
      </w:r>
      <w:r>
        <w:rPr>
          <w:color w:val="auto"/>
          <w:highlight w:val="none"/>
        </w:rPr>
        <w:t>元</w:t>
      </w:r>
      <w:r>
        <w:rPr>
          <w:rFonts w:hint="eastAsia"/>
          <w:color w:val="auto"/>
          <w:highlight w:val="none"/>
        </w:rPr>
        <w:t>（</w:t>
      </w:r>
      <w:r>
        <w:rPr>
          <w:rFonts w:hint="eastAsia" w:cs="宋体"/>
          <w:color w:val="auto"/>
          <w:highlight w:val="none"/>
        </w:rPr>
        <w:t>¥</w:t>
      </w:r>
      <w:r>
        <w:rPr>
          <w:color w:val="auto"/>
          <w:highlight w:val="none"/>
          <w:u w:val="single"/>
        </w:rPr>
        <w:t xml:space="preserve">           </w:t>
      </w:r>
      <w:r>
        <w:rPr>
          <w:color w:val="auto"/>
          <w:highlight w:val="none"/>
        </w:rPr>
        <w:t>）</w:t>
      </w:r>
      <w:r>
        <w:rPr>
          <w:color w:val="auto"/>
          <w:spacing w:val="4"/>
          <w:highlight w:val="none"/>
        </w:rPr>
        <w:t>的投标总报价</w:t>
      </w:r>
      <w:r>
        <w:rPr>
          <w:rFonts w:hint="eastAsia"/>
          <w:color w:val="auto"/>
          <w:spacing w:val="4"/>
          <w:highlight w:val="none"/>
        </w:rPr>
        <w:t>（其中增值税税率为</w:t>
      </w:r>
      <w:r>
        <w:rPr>
          <w:color w:val="auto"/>
          <w:spacing w:val="4"/>
          <w:highlight w:val="none"/>
          <w:u w:val="single"/>
        </w:rPr>
        <w:t xml:space="preserve">        </w:t>
      </w:r>
      <w:r>
        <w:rPr>
          <w:rStyle w:val="59"/>
          <w:rFonts w:hint="eastAsia" w:ascii="宋体" w:hAnsi="宋体" w:cs="宋体"/>
          <w:color w:val="auto"/>
          <w:sz w:val="24"/>
          <w:highlight w:val="none"/>
          <w:u w:val="single"/>
        </w:rPr>
        <w:footnoteReference w:id="321"/>
      </w:r>
      <w:r>
        <w:rPr>
          <w:rFonts w:hint="eastAsia"/>
          <w:color w:val="auto"/>
          <w:spacing w:val="4"/>
          <w:highlight w:val="none"/>
        </w:rPr>
        <w:t>）</w:t>
      </w:r>
    </w:p>
    <w:p w14:paraId="0E3CE1A1">
      <w:pPr>
        <w:pStyle w:val="22"/>
        <w:tabs>
          <w:tab w:val="left" w:pos="1857"/>
          <w:tab w:val="left" w:pos="4620"/>
          <w:tab w:val="left" w:pos="4908"/>
          <w:tab w:val="left" w:pos="7245"/>
        </w:tabs>
        <w:spacing w:before="26" w:line="360" w:lineRule="auto"/>
        <w:ind w:left="0" w:right="100" w:firstLine="482" w:firstLineChars="200"/>
        <w:rPr>
          <w:color w:val="auto"/>
          <w:highlight w:val="none"/>
        </w:rPr>
      </w:pPr>
      <w:r>
        <w:rPr>
          <w:rFonts w:hint="eastAsia" w:cs="宋体"/>
          <w:b/>
          <w:bCs/>
          <w:color w:val="auto"/>
          <w:sz w:val="24"/>
          <w:highlight w:val="none"/>
        </w:rPr>
        <w:t>□</w:t>
      </w:r>
      <w:r>
        <w:rPr>
          <w:rFonts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color w:val="auto"/>
          <w:sz w:val="24"/>
          <w:highlight w:val="none"/>
          <w:u w:val="single"/>
        </w:rPr>
        <w:t xml:space="preserve"> </w:t>
      </w:r>
      <w:r>
        <w:rPr>
          <w:rFonts w:hint="eastAsia" w:ascii="宋体" w:hAnsi="宋体" w:cs="宋体"/>
          <w:color w:val="auto"/>
          <w:sz w:val="24"/>
          <w:highlight w:val="none"/>
        </w:rPr>
        <w:t>。</w:t>
      </w:r>
      <w:r>
        <w:rPr>
          <w:rStyle w:val="59"/>
          <w:rFonts w:hint="eastAsia" w:ascii="宋体" w:hAnsi="宋体" w:cs="宋体"/>
          <w:color w:val="auto"/>
          <w:sz w:val="24"/>
          <w:highlight w:val="none"/>
        </w:rPr>
        <w:footnoteReference w:id="322"/>
      </w:r>
    </w:p>
    <w:p w14:paraId="29EFEDDA">
      <w:pPr>
        <w:pStyle w:val="22"/>
        <w:spacing w:before="15" w:line="360" w:lineRule="auto"/>
        <w:ind w:left="164" w:right="102" w:firstLine="480"/>
        <w:rPr>
          <w:color w:val="auto"/>
          <w:highlight w:val="none"/>
        </w:rPr>
      </w:pPr>
      <w:r>
        <w:rPr>
          <w:color w:val="auto"/>
          <w:spacing w:val="-3"/>
          <w:highlight w:val="none"/>
        </w:rPr>
        <w:t>2．在合同协议书正式签署生效之前，本投标函连同你方的中标通知书将构成我</w:t>
      </w:r>
      <w:r>
        <w:rPr>
          <w:color w:val="auto"/>
          <w:highlight w:val="none"/>
        </w:rPr>
        <w:t>们双方之间共同遵守的文件，对双方具有约束力。</w:t>
      </w:r>
    </w:p>
    <w:p w14:paraId="2EACAA1C">
      <w:pPr>
        <w:pStyle w:val="22"/>
        <w:tabs>
          <w:tab w:val="left" w:pos="5683"/>
        </w:tabs>
        <w:spacing w:before="37" w:line="360" w:lineRule="auto"/>
        <w:ind w:left="644" w:right="866"/>
        <w:rPr>
          <w:color w:val="auto"/>
          <w:highlight w:val="none"/>
        </w:rPr>
      </w:pPr>
      <w:r>
        <w:rPr>
          <w:color w:val="auto"/>
          <w:highlight w:val="none"/>
        </w:rPr>
        <w:t>3．</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（其他补充说明）。</w:t>
      </w:r>
    </w:p>
    <w:p w14:paraId="557F1E93">
      <w:pPr>
        <w:pStyle w:val="22"/>
        <w:spacing w:line="360" w:lineRule="auto"/>
        <w:rPr>
          <w:color w:val="auto"/>
          <w:highlight w:val="none"/>
        </w:rPr>
      </w:pPr>
    </w:p>
    <w:p w14:paraId="6D3A41B5">
      <w:pPr>
        <w:pStyle w:val="22"/>
        <w:spacing w:line="360" w:lineRule="auto"/>
        <w:rPr>
          <w:color w:val="auto"/>
          <w:highlight w:val="none"/>
        </w:rPr>
      </w:pPr>
    </w:p>
    <w:p w14:paraId="46451FCE">
      <w:pPr>
        <w:spacing w:line="360" w:lineRule="auto"/>
        <w:ind w:firstLine="2520" w:firstLineChars="1050"/>
        <w:rPr>
          <w:rFonts w:ascii="宋体" w:hAnsi="宋体" w:cs="宋体"/>
          <w:color w:val="auto"/>
          <w:sz w:val="24"/>
          <w:highlight w:val="none"/>
        </w:rPr>
      </w:pPr>
      <w:r>
        <w:rPr>
          <w:rFonts w:hint="eastAsia" w:ascii="宋体" w:hAnsi="宋体" w:cs="宋体"/>
          <w:color w:val="auto"/>
          <w:sz w:val="24"/>
          <w:highlight w:val="none"/>
        </w:rPr>
        <w:t>投</w:t>
      </w:r>
      <w:r>
        <w:rPr>
          <w:rFonts w:ascii="宋体" w:hAnsi="宋体" w:cs="宋体"/>
          <w:color w:val="auto"/>
          <w:sz w:val="24"/>
          <w:highlight w:val="none"/>
        </w:rPr>
        <w:t xml:space="preserve"> </w:t>
      </w:r>
      <w:r>
        <w:rPr>
          <w:rFonts w:hint="eastAsia" w:ascii="宋体" w:hAnsi="宋体" w:cs="宋体"/>
          <w:color w:val="auto"/>
          <w:sz w:val="24"/>
          <w:highlight w:val="none"/>
        </w:rPr>
        <w:t>标</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（全称）</w:t>
      </w:r>
      <w:r>
        <w:rPr>
          <w:rFonts w:hint="eastAsia" w:ascii="宋体" w:hAnsi="宋体" w:cs="宋体"/>
          <w:color w:val="auto"/>
          <w:sz w:val="24"/>
          <w:highlight w:val="none"/>
          <w:u w:val="single"/>
          <w:lang w:val="en-US" w:eastAsia="zh-CN"/>
        </w:rPr>
        <w:t xml:space="preserve">       </w:t>
      </w:r>
      <w:r>
        <w:rPr>
          <w:rStyle w:val="59"/>
          <w:rFonts w:ascii="宋体" w:hAnsi="宋体" w:cs="宋体"/>
          <w:color w:val="auto"/>
          <w:sz w:val="24"/>
          <w:highlight w:val="none"/>
        </w:rPr>
        <w:footnoteReference w:id="323"/>
      </w:r>
      <w:r>
        <w:rPr>
          <w:rFonts w:hint="eastAsia" w:ascii="宋体" w:hAnsi="宋体" w:cs="宋体"/>
          <w:color w:val="auto"/>
          <w:sz w:val="24"/>
          <w:highlight w:val="none"/>
        </w:rPr>
        <w:t>（盖单位电子印章）</w:t>
      </w:r>
      <w:r>
        <w:rPr>
          <w:rStyle w:val="59"/>
          <w:rFonts w:ascii="宋体" w:hAnsi="宋体" w:cs="宋体"/>
          <w:color w:val="auto"/>
          <w:sz w:val="24"/>
          <w:highlight w:val="none"/>
        </w:rPr>
        <w:footnoteReference w:id="324"/>
      </w:r>
    </w:p>
    <w:p w14:paraId="2A8E16BE">
      <w:pPr>
        <w:spacing w:line="360" w:lineRule="auto"/>
        <w:ind w:firstLine="2520" w:firstLineChars="1050"/>
        <w:rPr>
          <w:rFonts w:ascii="宋体" w:hAnsi="宋体" w:cs="宋体"/>
          <w:color w:val="auto"/>
          <w:sz w:val="24"/>
          <w:highlight w:val="none"/>
        </w:rPr>
      </w:pPr>
      <w:r>
        <w:rPr>
          <w:rFonts w:hint="eastAsia" w:ascii="宋体" w:hAnsi="宋体" w:cs="宋体"/>
          <w:color w:val="auto"/>
          <w:sz w:val="24"/>
          <w:highlight w:val="none"/>
        </w:rPr>
        <w:t>法定代表人</w:t>
      </w:r>
    </w:p>
    <w:p w14:paraId="19FC8CEB">
      <w:pPr>
        <w:spacing w:line="360" w:lineRule="auto"/>
        <w:ind w:firstLine="2520" w:firstLineChars="1050"/>
        <w:rPr>
          <w:rFonts w:ascii="宋体" w:hAnsi="宋体" w:cs="宋体"/>
          <w:color w:val="auto"/>
          <w:sz w:val="24"/>
          <w:highlight w:val="none"/>
        </w:rPr>
      </w:pPr>
      <w:r>
        <w:rPr>
          <w:rFonts w:hint="eastAsia" w:ascii="宋体" w:hAnsi="宋体" w:cs="宋体"/>
          <w:color w:val="auto"/>
          <w:sz w:val="24"/>
          <w:highlight w:val="none"/>
        </w:rPr>
        <w:t>或其委托代理人</w:t>
      </w:r>
      <w:r>
        <w:rPr>
          <w:rStyle w:val="59"/>
          <w:rFonts w:ascii="宋体" w:hAnsi="宋体" w:cs="宋体"/>
          <w:color w:val="auto"/>
          <w:sz w:val="24"/>
          <w:highlight w:val="none"/>
        </w:rPr>
        <w:footnoteReference w:id="325"/>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（个人电子签名章或个人电子印章）</w:t>
      </w:r>
    </w:p>
    <w:p w14:paraId="3E7B3B6F">
      <w:pPr>
        <w:spacing w:line="360" w:lineRule="auto"/>
        <w:ind w:firstLine="2520" w:firstLineChars="1050"/>
        <w:rPr>
          <w:rFonts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70831953">
      <w:pPr>
        <w:spacing w:line="360" w:lineRule="auto"/>
        <w:ind w:firstLine="2520" w:firstLineChars="1050"/>
        <w:rPr>
          <w:rFonts w:ascii="宋体" w:hAnsi="宋体" w:cs="宋体"/>
          <w:color w:val="auto"/>
          <w:sz w:val="24"/>
          <w:highlight w:val="none"/>
        </w:rPr>
      </w:pPr>
      <w:r>
        <w:rPr>
          <w:rFonts w:hint="eastAsia" w:ascii="宋体" w:hAnsi="宋体" w:cs="宋体"/>
          <w:color w:val="auto"/>
          <w:sz w:val="24"/>
          <w:highlight w:val="none"/>
        </w:rPr>
        <w:t>网</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69D02016">
      <w:pPr>
        <w:spacing w:line="360" w:lineRule="auto"/>
        <w:ind w:firstLine="2520" w:firstLineChars="105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6FE3C648">
      <w:pPr>
        <w:spacing w:line="360" w:lineRule="auto"/>
        <w:ind w:firstLine="2520" w:firstLineChars="105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05873B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邮政编码：</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4D862154">
      <w:pPr>
        <w:spacing w:line="360" w:lineRule="auto"/>
        <w:ind w:firstLine="5520" w:firstLineChars="2300"/>
        <w:rPr>
          <w:rFonts w:hint="eastAsia" w:cs="宋体"/>
          <w:color w:val="auto"/>
          <w:sz w:val="24"/>
          <w:highlight w:val="none"/>
        </w:rPr>
      </w:pPr>
      <w:r>
        <w:rPr>
          <w:rFonts w:cs="宋体"/>
          <w:color w:val="auto"/>
          <w:sz w:val="24"/>
          <w:highlight w:val="none"/>
          <w:u w:val="single"/>
        </w:rPr>
        <w:t xml:space="preserve">       </w:t>
      </w:r>
      <w:r>
        <w:rPr>
          <w:rFonts w:hint="eastAsia" w:cs="宋体"/>
          <w:color w:val="auto"/>
          <w:sz w:val="24"/>
          <w:highlight w:val="none"/>
        </w:rPr>
        <w:t>年</w:t>
      </w:r>
      <w:r>
        <w:rPr>
          <w:rFonts w:cs="宋体"/>
          <w:color w:val="auto"/>
          <w:sz w:val="24"/>
          <w:highlight w:val="none"/>
          <w:u w:val="single"/>
        </w:rPr>
        <w:tab/>
      </w:r>
      <w:r>
        <w:rPr>
          <w:rFonts w:cs="宋体"/>
          <w:color w:val="auto"/>
          <w:sz w:val="24"/>
          <w:highlight w:val="none"/>
          <w:u w:val="single"/>
        </w:rPr>
        <w:t xml:space="preserve">   </w:t>
      </w:r>
      <w:r>
        <w:rPr>
          <w:rFonts w:hint="eastAsia" w:cs="宋体"/>
          <w:color w:val="auto"/>
          <w:sz w:val="24"/>
          <w:highlight w:val="none"/>
        </w:rPr>
        <w:t>月</w:t>
      </w:r>
      <w:r>
        <w:rPr>
          <w:rFonts w:cs="宋体"/>
          <w:color w:val="auto"/>
          <w:sz w:val="24"/>
          <w:highlight w:val="none"/>
          <w:u w:val="single"/>
        </w:rPr>
        <w:t xml:space="preserve"> </w:t>
      </w:r>
      <w:r>
        <w:rPr>
          <w:rFonts w:cs="宋体"/>
          <w:color w:val="auto"/>
          <w:sz w:val="24"/>
          <w:highlight w:val="none"/>
          <w:u w:val="single"/>
        </w:rPr>
        <w:tab/>
      </w:r>
      <w:r>
        <w:rPr>
          <w:rFonts w:hint="eastAsia" w:cs="宋体"/>
          <w:color w:val="auto"/>
          <w:sz w:val="24"/>
          <w:highlight w:val="none"/>
          <w:u w:val="single"/>
          <w:lang w:val="en-US" w:eastAsia="zh-CN"/>
        </w:rPr>
        <w:t xml:space="preserve"> </w:t>
      </w:r>
      <w:r>
        <w:rPr>
          <w:rFonts w:cs="宋体"/>
          <w:color w:val="auto"/>
          <w:sz w:val="24"/>
          <w:highlight w:val="none"/>
          <w:u w:val="single"/>
        </w:rPr>
        <w:t xml:space="preserve">  </w:t>
      </w:r>
      <w:r>
        <w:rPr>
          <w:rFonts w:hint="eastAsia" w:cs="宋体"/>
          <w:color w:val="auto"/>
          <w:sz w:val="24"/>
          <w:highlight w:val="none"/>
        </w:rPr>
        <w:t>日</w:t>
      </w:r>
    </w:p>
    <w:p w14:paraId="19539D8B">
      <w:pPr>
        <w:spacing w:line="240" w:lineRule="auto"/>
        <w:ind w:firstLine="0" w:firstLineChars="0"/>
        <w:rPr>
          <w:rFonts w:hint="eastAsia" w:cs="宋体"/>
          <w:color w:val="auto"/>
          <w:sz w:val="24"/>
          <w:highlight w:val="none"/>
        </w:rPr>
      </w:pPr>
      <w:r>
        <w:rPr>
          <w:rFonts w:hint="eastAsia" w:cs="宋体"/>
          <w:color w:val="auto"/>
          <w:sz w:val="24"/>
          <w:highlight w:val="none"/>
        </w:rPr>
        <w:br w:type="page"/>
      </w:r>
    </w:p>
    <w:p w14:paraId="4ED397BA">
      <w:pPr>
        <w:spacing w:before="0"/>
        <w:ind w:left="0" w:right="0"/>
        <w:jc w:val="center"/>
        <w:outlineLvl w:val="1"/>
        <w:rPr>
          <w:rStyle w:val="128"/>
          <w:rFonts w:ascii="Arial" w:hAnsi="Arial"/>
          <w:b w:val="0"/>
          <w:bCs w:val="0"/>
          <w:color w:val="auto"/>
          <w:highlight w:val="none"/>
        </w:rPr>
      </w:pPr>
      <w:r>
        <w:rPr>
          <w:rStyle w:val="128"/>
          <w:rFonts w:hint="default" w:ascii="Arial" w:hAnsi="Arial"/>
          <w:b w:val="0"/>
          <w:bCs w:val="0"/>
          <w:color w:val="auto"/>
          <w:highlight w:val="none"/>
        </w:rPr>
        <w:t>二、已标价工程量清单</w:t>
      </w:r>
      <w:r>
        <w:rPr>
          <w:rStyle w:val="128"/>
          <w:rFonts w:hint="default" w:ascii="Arial" w:hAnsi="Arial"/>
          <w:b w:val="0"/>
          <w:bCs w:val="0"/>
          <w:color w:val="auto"/>
          <w:highlight w:val="none"/>
          <w:vertAlign w:val="superscript"/>
        </w:rPr>
        <w:footnoteReference w:id="326"/>
      </w:r>
    </w:p>
    <w:p w14:paraId="56AACFCD">
      <w:pPr>
        <w:pStyle w:val="22"/>
        <w:rPr>
          <w:color w:val="auto"/>
          <w:sz w:val="28"/>
          <w:highlight w:val="none"/>
        </w:rPr>
      </w:pPr>
    </w:p>
    <w:p w14:paraId="65E3F0CE">
      <w:pPr>
        <w:pStyle w:val="22"/>
        <w:tabs>
          <w:tab w:val="left" w:pos="2552"/>
        </w:tabs>
        <w:spacing w:before="8"/>
        <w:rPr>
          <w:color w:val="auto"/>
          <w:sz w:val="32"/>
          <w:highlight w:val="none"/>
        </w:rPr>
      </w:pPr>
      <w:r>
        <w:rPr>
          <w:color w:val="auto"/>
          <w:sz w:val="32"/>
          <w:highlight w:val="none"/>
        </w:rPr>
        <w:tab/>
      </w:r>
    </w:p>
    <w:p w14:paraId="64E604AC">
      <w:pPr>
        <w:pStyle w:val="22"/>
        <w:spacing w:line="360" w:lineRule="auto"/>
        <w:ind w:left="143" w:right="98" w:firstLine="480"/>
        <w:rPr>
          <w:color w:val="auto"/>
          <w:highlight w:val="none"/>
        </w:rPr>
      </w:pPr>
      <w:r>
        <w:rPr>
          <w:color w:val="auto"/>
          <w:highlight w:val="none"/>
        </w:rPr>
        <w:t>投标人应按照第五章“工程量清单”的要求逐项填报工程量清单，包括工程量清单说明及工程量清单各项表格</w:t>
      </w:r>
      <w:r>
        <w:rPr>
          <w:rFonts w:hint="eastAsia"/>
          <w:color w:val="auto"/>
          <w:highlight w:val="none"/>
        </w:rPr>
        <w:t>。</w:t>
      </w:r>
    </w:p>
    <w:p w14:paraId="4ABE60BF">
      <w:pPr>
        <w:spacing w:line="360" w:lineRule="auto"/>
        <w:jc w:val="center"/>
        <w:rPr>
          <w:rFonts w:ascii="宋体" w:hAnsi="宋体"/>
          <w:b/>
          <w:color w:val="auto"/>
          <w:sz w:val="48"/>
          <w:szCs w:val="48"/>
          <w:highlight w:val="none"/>
        </w:rPr>
      </w:pPr>
    </w:p>
    <w:p w14:paraId="6BA5C33D">
      <w:pPr>
        <w:spacing w:line="360" w:lineRule="auto"/>
        <w:jc w:val="center"/>
        <w:rPr>
          <w:rFonts w:ascii="宋体" w:hAnsi="宋体"/>
          <w:b/>
          <w:color w:val="auto"/>
          <w:sz w:val="48"/>
          <w:szCs w:val="48"/>
          <w:highlight w:val="none"/>
        </w:rPr>
      </w:pPr>
    </w:p>
    <w:p w14:paraId="7DC5799E">
      <w:pPr>
        <w:spacing w:line="360" w:lineRule="auto"/>
        <w:jc w:val="center"/>
        <w:rPr>
          <w:rFonts w:ascii="宋体" w:hAnsi="宋体"/>
          <w:b/>
          <w:color w:val="auto"/>
          <w:sz w:val="48"/>
          <w:szCs w:val="48"/>
          <w:highlight w:val="none"/>
        </w:rPr>
      </w:pPr>
    </w:p>
    <w:p w14:paraId="2CAD6060">
      <w:pPr>
        <w:spacing w:line="360" w:lineRule="auto"/>
        <w:jc w:val="center"/>
        <w:rPr>
          <w:rFonts w:ascii="宋体" w:hAnsi="宋体"/>
          <w:b/>
          <w:color w:val="auto"/>
          <w:sz w:val="48"/>
          <w:szCs w:val="48"/>
          <w:highlight w:val="none"/>
        </w:rPr>
      </w:pPr>
    </w:p>
    <w:p w14:paraId="0616FA12">
      <w:pPr>
        <w:spacing w:line="360" w:lineRule="auto"/>
        <w:jc w:val="center"/>
        <w:rPr>
          <w:rFonts w:ascii="宋体" w:hAnsi="宋体"/>
          <w:b/>
          <w:color w:val="auto"/>
          <w:sz w:val="48"/>
          <w:szCs w:val="48"/>
          <w:highlight w:val="none"/>
        </w:rPr>
      </w:pPr>
    </w:p>
    <w:p w14:paraId="33D17B48">
      <w:pPr>
        <w:spacing w:line="360" w:lineRule="auto"/>
        <w:jc w:val="center"/>
        <w:rPr>
          <w:rFonts w:ascii="宋体" w:hAnsi="宋体"/>
          <w:b/>
          <w:color w:val="auto"/>
          <w:sz w:val="48"/>
          <w:szCs w:val="48"/>
          <w:highlight w:val="none"/>
        </w:rPr>
      </w:pPr>
    </w:p>
    <w:p w14:paraId="1ACF21E7">
      <w:pPr>
        <w:spacing w:line="360" w:lineRule="auto"/>
        <w:jc w:val="center"/>
        <w:rPr>
          <w:rFonts w:ascii="宋体" w:hAnsi="宋体"/>
          <w:b/>
          <w:color w:val="auto"/>
          <w:sz w:val="48"/>
          <w:szCs w:val="48"/>
          <w:highlight w:val="none"/>
        </w:rPr>
      </w:pPr>
    </w:p>
    <w:p w14:paraId="6C1FE8FF">
      <w:pPr>
        <w:spacing w:line="360" w:lineRule="auto"/>
        <w:jc w:val="center"/>
        <w:rPr>
          <w:rFonts w:ascii="宋体" w:hAnsi="宋体"/>
          <w:b/>
          <w:color w:val="auto"/>
          <w:sz w:val="48"/>
          <w:szCs w:val="48"/>
          <w:highlight w:val="none"/>
        </w:rPr>
      </w:pPr>
    </w:p>
    <w:p w14:paraId="53AC57EA">
      <w:pPr>
        <w:rPr>
          <w:b/>
          <w:bCs/>
          <w:color w:val="auto"/>
          <w:kern w:val="0"/>
          <w:highlight w:val="none"/>
        </w:rPr>
      </w:pPr>
    </w:p>
    <w:sectPr>
      <w:footnotePr>
        <w:numFmt w:val="decimalEnclosedCircleChinese"/>
        <w:numRestart w:val="eachPage"/>
      </w:footnotePr>
      <w:type w:val="continuous"/>
      <w:pgSz w:w="11900" w:h="16838"/>
      <w:pgMar w:top="1417" w:right="1417" w:bottom="1417" w:left="1701" w:header="850" w:footer="62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HiddenHorzOCl">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Roman 10cpi">
    <w:altName w:val="Segoe Print"/>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6EAA">
    <w:pPr>
      <w:pStyle w:val="33"/>
      <w:spacing w:line="360" w:lineRule="auto"/>
      <w:ind w:left="420"/>
      <w:rPr>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5426">
    <w:pPr>
      <w:pStyle w:val="22"/>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B3CC">
    <w:pPr>
      <w:pStyle w:val="22"/>
      <w:kinsoku w:val="0"/>
      <w:overflowPunct w:val="0"/>
      <w:spacing w:line="14" w:lineRule="auto"/>
      <w:rPr>
        <w:rFonts w:ascii="Times New Roman"/>
        <w:sz w:val="20"/>
        <w:szCs w:val="20"/>
      </w:rPr>
    </w:pPr>
    <w:r>
      <mc:AlternateContent>
        <mc:Choice Requires="wps">
          <w:drawing>
            <wp:anchor distT="0" distB="0" distL="114300" distR="114300" simplePos="0" relativeHeight="251664384"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11"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6ADA0716">
                          <w:pPr>
                            <w:pStyle w:val="22"/>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212</w:t>
                          </w:r>
                          <w:r>
                            <w:rPr>
                              <w:rFonts w:asci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文本框 125" o:spid="_x0000_s1026" o:spt="202" type="#_x0000_t202" style="position:absolute;left:0pt;margin-left:77pt;margin-top:788.8pt;height:11pt;width:17.7pt;mso-position-horizontal-relative:page;mso-position-vertical-relative:page;z-index:-251652096;mso-width-relative:page;mso-height-relative:page;" filled="f" stroked="f" coordsize="21600,21600" o:allowincell="f" o:gfxdata="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SipDaAAAADQEAAA8AAAAAAAAA&#10;AQAgAAAAIgAAAGRycy9kb3ducmV2LnhtbFBLAQIUABQAAAAIAIdO4kBxtWT8DwIAAAcEAAAOAAAA&#10;AAAAAAEAIAAAACkBAABkcnMvZTJvRG9jLnhtbFBLBQYAAAAABgAGAFkBAACqBQAAAAA=&#10;">
              <v:fill on="f" focussize="0,0"/>
              <v:stroke on="f"/>
              <v:imagedata o:title=""/>
              <o:lock v:ext="edit" aspectratio="f"/>
              <v:textbox inset="0mm,0mm,0mm,0mm">
                <w:txbxContent>
                  <w:p w14:paraId="6ADA0716">
                    <w:pPr>
                      <w:pStyle w:val="22"/>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212</w:t>
                    </w:r>
                    <w:r>
                      <w:rPr>
                        <w:rFonts w:ascii="Times New Roman"/>
                        <w:sz w:val="18"/>
                        <w:szCs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6A3C">
    <w:pPr>
      <w:pStyle w:val="33"/>
      <w:jc w:val="center"/>
    </w:pPr>
    <w:r>
      <w:fldChar w:fldCharType="begin"/>
    </w:r>
    <w:r>
      <w:instrText xml:space="preserve"> PAGE   \* MERGEFORMAT </w:instrText>
    </w:r>
    <w:r>
      <w:fldChar w:fldCharType="separate"/>
    </w:r>
    <w:r>
      <w:rPr>
        <w:lang w:val="zh-CN"/>
      </w:rPr>
      <w:t>228</w:t>
    </w:r>
    <w:r>
      <w:fldChar w:fldCharType="end"/>
    </w:r>
  </w:p>
  <w:p w14:paraId="61BDCDAC">
    <w:pPr>
      <w:pStyle w:val="22"/>
      <w:kinsoku w:val="0"/>
      <w:overflowPunct w:val="0"/>
      <w:spacing w:line="14" w:lineRule="auto"/>
      <w:rPr>
        <w:rFonts w:ascii="Times New Roman"/>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10BE">
    <w:pPr>
      <w:pStyle w:val="22"/>
      <w:kinsoku w:val="0"/>
      <w:overflowPunct w:val="0"/>
      <w:spacing w:line="14" w:lineRule="auto"/>
      <w:rPr>
        <w:rFonts w:ascii="Times New Roman"/>
        <w:sz w:val="20"/>
        <w:szCs w:val="20"/>
      </w:rPr>
    </w:pPr>
    <w:r>
      <mc:AlternateContent>
        <mc:Choice Requires="wps">
          <w:drawing>
            <wp:anchor distT="0" distB="0" distL="114300" distR="114300" simplePos="0" relativeHeight="251667456"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5"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4136179B">
                          <w:pPr>
                            <w:pStyle w:val="22"/>
                            <w:kinsoku w:val="0"/>
                            <w:overflowPunct w:val="0"/>
                            <w:spacing w:line="204" w:lineRule="exact"/>
                            <w:ind w:left="40"/>
                            <w:rPr>
                              <w:rFonts w:ascii="Times New Roman"/>
                              <w:sz w:val="18"/>
                              <w:szCs w:val="18"/>
                            </w:rPr>
                          </w:pPr>
                          <w:r>
                            <w:rPr>
                              <w:rFonts w:ascii="Times New Roman"/>
                              <w:sz w:val="18"/>
                              <w:szCs w:val="18"/>
                            </w:rPr>
                            <w:t>232</w:t>
                          </w:r>
                        </w:p>
                      </w:txbxContent>
                    </wps:txbx>
                    <wps:bodyPr rot="0" vert="horz" wrap="square" lIns="0" tIns="0" rIns="0" bIns="0" anchor="t" anchorCtr="0" upright="1">
                      <a:noAutofit/>
                    </wps:bodyPr>
                  </wps:wsp>
                </a:graphicData>
              </a:graphic>
            </wp:anchor>
          </w:drawing>
        </mc:Choice>
        <mc:Fallback>
          <w:pict>
            <v:shape id="文本框 152" o:spid="_x0000_s1026" o:spt="202" type="#_x0000_t202" style="position:absolute;left:0pt;margin-left:77pt;margin-top:788.8pt;height:11pt;width:17.7pt;mso-position-horizontal-relative:page;mso-position-vertical-relative:page;z-index:-251649024;mso-width-relative:page;mso-height-relative:page;" filled="f" stroked="f" coordsize="21600,21600" o:allowincell="f" o:gfxdata="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SipDaAAAADQEAAA8AAAAAAAAA&#10;AQAgAAAAIgAAAGRycy9kb3ducmV2LnhtbFBLAQIUABQAAAAIAIdO4kA8MgRADwIAAAYEAAAOAAAA&#10;AAAAAAEAIAAAACkBAABkcnMvZTJvRG9jLnhtbFBLBQYAAAAABgAGAFkBAACqBQAAAAA=&#10;">
              <v:fill on="f" focussize="0,0"/>
              <v:stroke on="f"/>
              <v:imagedata o:title=""/>
              <o:lock v:ext="edit" aspectratio="f"/>
              <v:textbox inset="0mm,0mm,0mm,0mm">
                <w:txbxContent>
                  <w:p w14:paraId="4136179B">
                    <w:pPr>
                      <w:pStyle w:val="22"/>
                      <w:kinsoku w:val="0"/>
                      <w:overflowPunct w:val="0"/>
                      <w:spacing w:line="204" w:lineRule="exact"/>
                      <w:ind w:left="40"/>
                      <w:rPr>
                        <w:rFonts w:ascii="Times New Roman"/>
                        <w:sz w:val="18"/>
                        <w:szCs w:val="18"/>
                      </w:rPr>
                    </w:pPr>
                    <w:r>
                      <w:rPr>
                        <w:rFonts w:ascii="Times New Roman"/>
                        <w:sz w:val="18"/>
                        <w:szCs w:val="18"/>
                      </w:rPr>
                      <w:t>232</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E23E">
    <w:pPr>
      <w:pStyle w:val="33"/>
      <w:jc w:val="center"/>
    </w:pPr>
    <w:r>
      <w:fldChar w:fldCharType="begin"/>
    </w:r>
    <w:r>
      <w:instrText xml:space="preserve"> PAGE   \* MERGEFORMAT </w:instrText>
    </w:r>
    <w:r>
      <w:fldChar w:fldCharType="separate"/>
    </w:r>
    <w:r>
      <w:rPr>
        <w:lang w:val="zh-CN"/>
      </w:rPr>
      <w:t>232</w:t>
    </w:r>
    <w:r>
      <w:fldChar w:fldCharType="end"/>
    </w:r>
  </w:p>
  <w:p w14:paraId="027A8897">
    <w:pPr>
      <w:pStyle w:val="2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D3C8">
    <w:pPr>
      <w:pStyle w:val="33"/>
      <w:jc w:val="center"/>
    </w:pPr>
    <w:r>
      <w:fldChar w:fldCharType="begin"/>
    </w:r>
    <w:r>
      <w:instrText xml:space="preserve">PAGE   \* MERGEFORMAT</w:instrText>
    </w:r>
    <w:r>
      <w:fldChar w:fldCharType="separate"/>
    </w:r>
    <w:r>
      <w:rPr>
        <w:lang w:val="zh-CN"/>
      </w:rPr>
      <w:t>162</w:t>
    </w:r>
    <w:r>
      <w:fldChar w:fldCharType="end"/>
    </w:r>
  </w:p>
  <w:p w14:paraId="7AC32E54">
    <w:pPr>
      <w:pStyle w:val="33"/>
      <w:spacing w:line="360" w:lineRule="auto"/>
      <w:ind w:left="420"/>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CEF3C">
    <w:pPr>
      <w:pStyle w:val="33"/>
      <w:jc w:val="center"/>
    </w:pPr>
    <w:r>
      <w:fldChar w:fldCharType="begin"/>
    </w:r>
    <w:r>
      <w:instrText xml:space="preserve">PAGE   \* MERGEFORMAT</w:instrText>
    </w:r>
    <w:r>
      <w:fldChar w:fldCharType="separate"/>
    </w:r>
    <w:r>
      <w:rPr>
        <w:lang w:val="zh-CN"/>
      </w:rPr>
      <w:t>181</w:t>
    </w:r>
    <w:r>
      <w:fldChar w:fldCharType="end"/>
    </w:r>
  </w:p>
  <w:p w14:paraId="0197ECA6">
    <w:pPr>
      <w:pStyle w:val="2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6CB65">
    <w:pPr>
      <w:pStyle w:val="2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1018540</wp:posOffset>
              </wp:positionH>
              <wp:positionV relativeFrom="page">
                <wp:posOffset>10021570</wp:posOffset>
              </wp:positionV>
              <wp:extent cx="222250" cy="139700"/>
              <wp:effectExtent l="0" t="1270" r="0" b="1905"/>
              <wp:wrapNone/>
              <wp:docPr id="17"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wps:spPr>
                    <wps:txbx>
                      <w:txbxContent>
                        <w:p w14:paraId="0D6C6E5A">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rot="0" vert="horz" wrap="square" lIns="0" tIns="0" rIns="0" bIns="0" anchor="t" anchorCtr="0" upright="1">
                      <a:noAutofit/>
                    </wps:bodyPr>
                  </wps:wsp>
                </a:graphicData>
              </a:graphic>
            </wp:anchor>
          </w:drawing>
        </mc:Choice>
        <mc:Fallback>
          <w:pict>
            <v:shape id="文本框 82" o:spid="_x0000_s1026" o:spt="202" type="#_x0000_t202" style="position:absolute;left:0pt;margin-left:80.2pt;margin-top:789.1pt;height:11pt;width:17.5pt;mso-position-horizontal-relative:page;mso-position-vertical-relative:page;z-index:-251656192;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r0TZAAAADQEAAA8AAAAAAAAAAQAg&#10;AAAAIgAAAGRycy9kb3ducmV2LnhtbFBLAQIUABQAAAAIAIdO4kC8G+x3DQIAAAYEAAAOAAAAAAAA&#10;AAEAIAAAACgBAABkcnMvZTJvRG9jLnhtbFBLBQYAAAAABgAGAFkBAACnBQAAAAA=&#10;">
              <v:fill on="f" focussize="0,0"/>
              <v:stroke on="f"/>
              <v:imagedata o:title=""/>
              <o:lock v:ext="edit" aspectratio="f"/>
              <v:textbox inset="0mm,0mm,0mm,0mm">
                <w:txbxContent>
                  <w:p w14:paraId="0D6C6E5A">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162117"/>
      <w:docPartObj>
        <w:docPartGallery w:val="autotext"/>
      </w:docPartObj>
    </w:sdtPr>
    <w:sdtContent>
      <w:p w14:paraId="5D1CF59F">
        <w:pPr>
          <w:pStyle w:val="33"/>
          <w:jc w:val="center"/>
        </w:pPr>
        <w:r>
          <w:fldChar w:fldCharType="begin"/>
        </w:r>
        <w:r>
          <w:instrText xml:space="preserve">PAGE   \* MERGEFORMAT</w:instrText>
        </w:r>
        <w:r>
          <w:fldChar w:fldCharType="separate"/>
        </w:r>
        <w:r>
          <w:rPr>
            <w:lang w:val="zh-CN"/>
          </w:rPr>
          <w:t>208</w:t>
        </w:r>
        <w:r>
          <w:fldChar w:fldCharType="end"/>
        </w:r>
      </w:p>
    </w:sdtContent>
  </w:sdt>
  <w:p w14:paraId="32B86C32">
    <w:pPr>
      <w:pStyle w:val="2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1298">
    <w:pPr>
      <w:pStyle w:val="2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ge">
                <wp:posOffset>10021570</wp:posOffset>
              </wp:positionV>
              <wp:extent cx="222250" cy="139700"/>
              <wp:effectExtent l="0" t="1270" r="0" b="1905"/>
              <wp:wrapNone/>
              <wp:docPr id="16"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wps:spPr>
                    <wps:txbx>
                      <w:txbxContent>
                        <w:p w14:paraId="3ACE661E">
                          <w:pPr>
                            <w:spacing w:line="204" w:lineRule="exact"/>
                            <w:ind w:left="40"/>
                            <w:rPr>
                              <w:sz w:val="18"/>
                            </w:rPr>
                          </w:pPr>
                          <w:r>
                            <w:fldChar w:fldCharType="begin"/>
                          </w:r>
                          <w:r>
                            <w:rPr>
                              <w:sz w:val="18"/>
                            </w:rPr>
                            <w:instrText xml:space="preserve"> PAGE </w:instrText>
                          </w:r>
                          <w:r>
                            <w:fldChar w:fldCharType="separate"/>
                          </w:r>
                          <w:r>
                            <w:rPr>
                              <w:sz w:val="18"/>
                            </w:rPr>
                            <w:t>204</w:t>
                          </w:r>
                          <w:r>
                            <w:fldChar w:fldCharType="end"/>
                          </w:r>
                        </w:p>
                      </w:txbxContent>
                    </wps:txbx>
                    <wps:bodyPr rot="0" vert="horz" wrap="square" lIns="0" tIns="0" rIns="0" bIns="0" anchor="t" anchorCtr="0" upright="1">
                      <a:noAutofit/>
                    </wps:bodyPr>
                  </wps:wsp>
                </a:graphicData>
              </a:graphic>
            </wp:anchor>
          </w:drawing>
        </mc:Choice>
        <mc:Fallback>
          <w:pict>
            <v:shape id="文本框 49" o:spid="_x0000_s1026" o:spt="202" type="#_x0000_t202" style="position:absolute;left:0pt;margin-left:80.2pt;margin-top:789.1pt;height:11pt;width:17.5pt;mso-position-horizontal-relative:page;mso-position-vertical-relative:page;z-index:-251657216;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r0TZAAAADQEAAA8AAAAAAAAAAQAg&#10;AAAAIgAAAGRycy9kb3ducmV2LnhtbFBLAQIUABQAAAAIAIdO4kAII47/DQIAAAYEAAAOAAAAAAAA&#10;AAEAIAAAACgBAABkcnMvZTJvRG9jLnhtbFBLBQYAAAAABgAGAFkBAACnBQAAAAA=&#10;">
              <v:fill on="f" focussize="0,0"/>
              <v:stroke on="f"/>
              <v:imagedata o:title=""/>
              <o:lock v:ext="edit" aspectratio="f"/>
              <v:textbox inset="0mm,0mm,0mm,0mm">
                <w:txbxContent>
                  <w:p w14:paraId="3ACE661E">
                    <w:pPr>
                      <w:spacing w:line="204" w:lineRule="exact"/>
                      <w:ind w:left="40"/>
                      <w:rPr>
                        <w:sz w:val="18"/>
                      </w:rPr>
                    </w:pPr>
                    <w:r>
                      <w:fldChar w:fldCharType="begin"/>
                    </w:r>
                    <w:r>
                      <w:rPr>
                        <w:sz w:val="18"/>
                      </w:rPr>
                      <w:instrText xml:space="preserve"> PAGE </w:instrText>
                    </w:r>
                    <w:r>
                      <w:fldChar w:fldCharType="separate"/>
                    </w:r>
                    <w:r>
                      <w:rPr>
                        <w:sz w:val="18"/>
                      </w:rPr>
                      <w:t>204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7B38B">
    <w:pPr>
      <w:pStyle w:val="22"/>
      <w:kinsoku w:val="0"/>
      <w:overflowPunct w:val="0"/>
      <w:spacing w:line="14" w:lineRule="auto"/>
      <w:rPr>
        <w:rFonts w:ascii="Times New Roman"/>
        <w:sz w:val="20"/>
        <w:szCs w:val="20"/>
      </w:rPr>
    </w:pPr>
    <w:r>
      <mc:AlternateContent>
        <mc:Choice Requires="wps">
          <w:drawing>
            <wp:anchor distT="0" distB="0" distL="114300" distR="114300" simplePos="0" relativeHeight="251661312" behindDoc="1" locked="0" layoutInCell="0" allowOverlap="1">
              <wp:simplePos x="0" y="0"/>
              <wp:positionH relativeFrom="page">
                <wp:posOffset>1018540</wp:posOffset>
              </wp:positionH>
              <wp:positionV relativeFrom="page">
                <wp:posOffset>10022205</wp:posOffset>
              </wp:positionV>
              <wp:extent cx="224790" cy="139700"/>
              <wp:effectExtent l="0" t="1905" r="4445" b="1270"/>
              <wp:wrapNone/>
              <wp:docPr id="14" name="Text Box 101"/>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76306796">
                          <w:pPr>
                            <w:pStyle w:val="22"/>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196</w:t>
                          </w:r>
                          <w:r>
                            <w:rPr>
                              <w:rFonts w:asci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01" o:spid="_x0000_s1026" o:spt="202" type="#_x0000_t202" style="position:absolute;left:0pt;margin-left:80.2pt;margin-top:789.15pt;height:11pt;width:17.7pt;mso-position-horizontal-relative:page;mso-position-vertical-relative:page;z-index:-251655168;mso-width-relative:page;mso-height-relative:page;" filled="f" stroked="f" coordsize="21600,21600" o:allowincell="f" o:gfxdata="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ZCd+fZAAAADQEAAA8AAAAAAAAAAQAgAAAAIgAAAGRycy9kb3du&#10;cmV2LnhtbFBLAQIUABQAAAAIAIdO4kAyiEzO/gEAAAYEAAAOAAAAAAAAAAEAIAAAACgBAABkcnMv&#10;ZTJvRG9jLnhtbFBLBQYAAAAABgAGAFkBAACYBQAAAAA=&#10;">
              <v:fill on="f" focussize="0,0"/>
              <v:stroke on="f"/>
              <v:imagedata o:title=""/>
              <o:lock v:ext="edit" aspectratio="f"/>
              <v:textbox inset="0mm,0mm,0mm,0mm">
                <w:txbxContent>
                  <w:p w14:paraId="76306796">
                    <w:pPr>
                      <w:pStyle w:val="22"/>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196</w:t>
                    </w:r>
                    <w:r>
                      <w:rPr>
                        <w:rFonts w:ascii="Times New Roman"/>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71BE">
    <w:pPr>
      <w:pStyle w:val="22"/>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7ABB">
    <w:pPr>
      <w:pStyle w:val="2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54">
    <w:p>
      <w:r>
        <w:separator/>
      </w:r>
    </w:p>
  </w:footnote>
  <w:footnote w:type="continuationSeparator" w:id="655">
    <w:p>
      <w:r>
        <w:continuationSeparator/>
      </w:r>
    </w:p>
  </w:footnote>
  <w:footnote w:id="0">
    <w:p w14:paraId="23738E67">
      <w:pPr>
        <w:pStyle w:val="38"/>
        <w:ind w:left="360" w:hanging="360" w:hangingChars="200"/>
        <w:jc w:val="both"/>
        <w:rPr>
          <w:rFonts w:hint="default" w:ascii="宋体" w:hAnsi="宋体"/>
          <w:color w:val="auto"/>
          <w:highlight w:val="none"/>
          <w:lang w:val="en-US" w:eastAsia="zh-CN"/>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lang w:val="en-US" w:eastAsia="zh-CN"/>
        </w:rPr>
        <w:t>招标项目名称</w:t>
      </w:r>
      <w:r>
        <w:rPr>
          <w:rFonts w:hint="eastAsia"/>
          <w:color w:val="auto"/>
          <w:highlight w:val="none"/>
          <w:lang w:eastAsia="zh-CN"/>
        </w:rPr>
        <w:t>”</w:t>
      </w:r>
      <w:r>
        <w:rPr>
          <w:rFonts w:hint="eastAsia"/>
          <w:color w:val="auto"/>
          <w:highlight w:val="none"/>
          <w:lang w:val="en-US" w:eastAsia="zh-CN"/>
        </w:rPr>
        <w:t>由“</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（招标类别）</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标段</w:t>
      </w:r>
      <w:r>
        <w:rPr>
          <w:rFonts w:hint="eastAsia"/>
          <w:color w:val="auto"/>
          <w:highlight w:val="none"/>
          <w:lang w:val="en-US" w:eastAsia="zh-CN"/>
        </w:rPr>
        <w:t>”三项组成，其中“项目名称”</w:t>
      </w:r>
      <w:r>
        <w:rPr>
          <w:rFonts w:hint="eastAsia"/>
          <w:color w:val="auto"/>
          <w:highlight w:val="none"/>
        </w:rPr>
        <w:t>由招标人根据项目招标的</w:t>
      </w:r>
      <w:r>
        <w:rPr>
          <w:rFonts w:hint="eastAsia" w:ascii="宋体" w:hAnsi="宋体"/>
          <w:color w:val="auto"/>
          <w:highlight w:val="none"/>
        </w:rPr>
        <w:t>要求在全国公共资源交易平台（四川省）“四川省公路水运工程电子招投标系统”</w:t>
      </w:r>
      <w:r>
        <w:rPr>
          <w:rFonts w:hint="eastAsia" w:ascii="宋体" w:hAnsi="宋体"/>
          <w:color w:val="auto"/>
          <w:highlight w:val="none"/>
          <w:lang w:eastAsia="zh-CN"/>
        </w:rPr>
        <w:t>（</w:t>
      </w:r>
      <w:r>
        <w:rPr>
          <w:rFonts w:hint="eastAsia" w:ascii="宋体" w:hAnsi="宋体"/>
          <w:color w:val="auto"/>
          <w:highlight w:val="none"/>
          <w:lang w:val="en-US" w:eastAsia="zh-CN"/>
        </w:rPr>
        <w:t>当项目在市（州）交易中心分平台交易时，指其“电子招标投标系统”名称</w:t>
      </w:r>
      <w:r>
        <w:rPr>
          <w:rFonts w:hint="eastAsia" w:ascii="宋体" w:hAnsi="宋体"/>
          <w:color w:val="auto"/>
          <w:highlight w:val="none"/>
          <w:lang w:eastAsia="zh-CN"/>
        </w:rPr>
        <w:t>）</w:t>
      </w:r>
      <w:r>
        <w:rPr>
          <w:rFonts w:hint="eastAsia" w:ascii="宋体" w:hAnsi="宋体"/>
          <w:color w:val="auto"/>
          <w:highlight w:val="none"/>
        </w:rPr>
        <w:t>完成“项目注册”</w:t>
      </w:r>
      <w:r>
        <w:rPr>
          <w:rFonts w:hint="eastAsia" w:ascii="宋体" w:hAnsi="宋体"/>
          <w:color w:val="auto"/>
          <w:highlight w:val="none"/>
          <w:lang w:val="en-US" w:eastAsia="zh-CN"/>
        </w:rPr>
        <w:t>时，按照</w:t>
      </w:r>
      <w:r>
        <w:rPr>
          <w:rFonts w:hint="eastAsia" w:ascii="宋体" w:hAnsi="宋体"/>
          <w:color w:val="auto"/>
          <w:highlight w:val="none"/>
        </w:rPr>
        <w:t>项目审批、核准或备案</w:t>
      </w:r>
      <w:r>
        <w:rPr>
          <w:rFonts w:hint="eastAsia" w:ascii="宋体" w:hAnsi="宋体"/>
          <w:color w:val="auto"/>
          <w:highlight w:val="none"/>
          <w:lang w:val="en-US" w:eastAsia="zh-CN"/>
        </w:rPr>
        <w:t>批复的项目名称填写，在</w:t>
      </w:r>
      <w:r>
        <w:rPr>
          <w:rFonts w:hint="eastAsia" w:ascii="宋体" w:hAnsi="宋体"/>
          <w:color w:val="auto"/>
          <w:highlight w:val="none"/>
        </w:rPr>
        <w:t>完成“项目注册”后，进入“招标项目”→“新建招标项目”，在“招标类别”中选择</w:t>
      </w:r>
      <w:r>
        <w:rPr>
          <w:rFonts w:hint="eastAsia" w:ascii="宋体" w:hAnsi="宋体"/>
          <w:color w:val="auto"/>
          <w:highlight w:val="none"/>
          <w:lang w:val="en-US" w:eastAsia="zh-CN"/>
        </w:rPr>
        <w:t>需要实施的相应类别</w:t>
      </w:r>
      <w:r>
        <w:rPr>
          <w:rFonts w:hint="eastAsia" w:ascii="宋体" w:hAnsi="宋体"/>
          <w:color w:val="auto"/>
          <w:highlight w:val="none"/>
          <w:lang w:eastAsia="zh-CN"/>
        </w:rPr>
        <w:t>，“</w:t>
      </w:r>
      <w:r>
        <w:rPr>
          <w:rFonts w:hint="eastAsia" w:ascii="宋体" w:hAnsi="宋体"/>
          <w:color w:val="auto"/>
          <w:highlight w:val="none"/>
          <w:lang w:val="en-US" w:eastAsia="zh-CN"/>
        </w:rPr>
        <w:t>标段</w:t>
      </w:r>
      <w:r>
        <w:rPr>
          <w:rFonts w:hint="eastAsia" w:ascii="宋体" w:hAnsi="宋体"/>
          <w:color w:val="auto"/>
          <w:highlight w:val="none"/>
          <w:lang w:eastAsia="zh-CN"/>
        </w:rPr>
        <w:t>”</w:t>
      </w:r>
      <w:r>
        <w:rPr>
          <w:rFonts w:hint="eastAsia" w:ascii="宋体" w:hAnsi="宋体"/>
          <w:color w:val="auto"/>
          <w:highlight w:val="none"/>
          <w:lang w:val="en-US" w:eastAsia="zh-CN"/>
        </w:rPr>
        <w:t>在完成招标类别选择后，对本次招标的所有标段依次逐个新增标段，按照系统要求填写各标段相关内容</w:t>
      </w:r>
      <w:r>
        <w:rPr>
          <w:rFonts w:hint="eastAsia" w:ascii="宋体" w:hAnsi="宋体"/>
          <w:color w:val="auto"/>
          <w:highlight w:val="none"/>
          <w:lang w:eastAsia="zh-CN"/>
        </w:rPr>
        <w:t>，</w:t>
      </w:r>
      <w:r>
        <w:rPr>
          <w:rFonts w:hint="eastAsia" w:ascii="宋体" w:hAnsi="宋体"/>
          <w:color w:val="auto"/>
          <w:highlight w:val="none"/>
          <w:lang w:val="en-US" w:eastAsia="zh-CN"/>
        </w:rPr>
        <w:t>最终完成招标文件编制前的工作，系统自动生成“招标项目名称”。</w:t>
      </w:r>
      <w:r>
        <w:rPr>
          <w:rFonts w:hint="eastAsia" w:ascii="宋体" w:hAnsi="宋体"/>
          <w:color w:val="auto"/>
        </w:rPr>
        <w:t>“招标项目名称”中的“标段”有多个时，标题中的标段可编辑归纳为诸如“TJ1</w:t>
      </w:r>
      <w:r>
        <w:rPr>
          <w:rFonts w:hint="eastAsia" w:ascii="宋体" w:hAnsi="宋体" w:cs="宋体"/>
          <w:color w:val="auto"/>
        </w:rPr>
        <w:t>～</w:t>
      </w:r>
      <w:r>
        <w:rPr>
          <w:rFonts w:hint="eastAsia" w:ascii="宋体" w:hAnsi="宋体"/>
          <w:color w:val="auto"/>
        </w:rPr>
        <w:t>TJ5标段”。</w:t>
      </w:r>
      <w:r>
        <w:rPr>
          <w:rFonts w:hint="eastAsia" w:ascii="宋体" w:hAnsi="宋体"/>
          <w:color w:val="auto"/>
          <w:highlight w:val="none"/>
          <w:lang w:val="en-US" w:eastAsia="zh-CN"/>
        </w:rPr>
        <w:t>当项目在市（州）交易中心分平台交易时，其交易系统按照本流程要求设置。</w:t>
      </w:r>
    </w:p>
  </w:footnote>
  <w:footnote w:id="1">
    <w:p w14:paraId="3239346D">
      <w:pPr>
        <w:pStyle w:val="38"/>
        <w:rPr>
          <w:color w:val="auto"/>
          <w:highlight w:val="none"/>
        </w:rPr>
      </w:pPr>
      <w:r>
        <w:rPr>
          <w:rStyle w:val="133"/>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出资比例若没有</w:t>
      </w:r>
      <w:r>
        <w:rPr>
          <w:rFonts w:hint="eastAsia" w:ascii="宋体" w:hAnsi="宋体"/>
          <w:color w:val="auto"/>
          <w:highlight w:val="none"/>
        </w:rPr>
        <w:t>,</w:t>
      </w:r>
      <w:r>
        <w:rPr>
          <w:rFonts w:hint="eastAsia"/>
          <w:color w:val="auto"/>
          <w:highlight w:val="none"/>
        </w:rPr>
        <w:t>用“/”表示。</w:t>
      </w:r>
    </w:p>
  </w:footnote>
  <w:footnote w:id="2">
    <w:p w14:paraId="1CB1C00A">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招标</w:t>
      </w:r>
      <w:r>
        <w:rPr>
          <w:rFonts w:hint="eastAsia" w:ascii="宋体" w:hAnsi="宋体"/>
          <w:color w:val="auto"/>
        </w:rPr>
        <w:t>“标段”有多个时，标段描述可编辑归纳为诸如“TJ1</w:t>
      </w:r>
      <w:r>
        <w:rPr>
          <w:rFonts w:hint="eastAsia" w:ascii="宋体" w:hAnsi="宋体" w:cs="宋体"/>
          <w:color w:val="auto"/>
        </w:rPr>
        <w:t>～</w:t>
      </w:r>
      <w:r>
        <w:rPr>
          <w:rFonts w:hint="eastAsia" w:ascii="宋体" w:hAnsi="宋体"/>
          <w:color w:val="auto"/>
        </w:rPr>
        <w:t>TJ5”。</w:t>
      </w:r>
    </w:p>
  </w:footnote>
  <w:footnote w:id="3">
    <w:p w14:paraId="30FC4AA3">
      <w:pPr>
        <w:pStyle w:val="38"/>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招标范围</w:t>
      </w:r>
      <w:r>
        <w:rPr>
          <w:rFonts w:hint="eastAsia"/>
          <w:color w:val="auto"/>
          <w:highlight w:val="none"/>
          <w:lang w:val="en-US" w:eastAsia="zh-CN"/>
        </w:rPr>
        <w:t>可为选择项</w:t>
      </w:r>
      <w:r>
        <w:rPr>
          <w:rFonts w:hint="eastAsia"/>
          <w:color w:val="auto"/>
          <w:highlight w:val="none"/>
        </w:rPr>
        <w:t>中的一项或多项，</w:t>
      </w:r>
      <w:r>
        <w:rPr>
          <w:color w:val="auto"/>
          <w:highlight w:val="none"/>
        </w:rPr>
        <w:t>未</w:t>
      </w:r>
      <w:r>
        <w:rPr>
          <w:rFonts w:hint="eastAsia"/>
          <w:color w:val="auto"/>
          <w:highlight w:val="none"/>
          <w:lang w:val="en-US" w:eastAsia="zh-CN"/>
        </w:rPr>
        <w:t>选择</w:t>
      </w:r>
      <w:r>
        <w:rPr>
          <w:rFonts w:hint="eastAsia"/>
          <w:color w:val="auto"/>
          <w:highlight w:val="none"/>
        </w:rPr>
        <w:t>的项</w:t>
      </w:r>
      <w:r>
        <w:rPr>
          <w:color w:val="auto"/>
          <w:highlight w:val="none"/>
        </w:rPr>
        <w:t>，视为</w:t>
      </w:r>
      <w:r>
        <w:rPr>
          <w:rFonts w:hint="eastAsia"/>
          <w:color w:val="auto"/>
          <w:highlight w:val="none"/>
        </w:rPr>
        <w:t>不含该项内容。</w:t>
      </w:r>
    </w:p>
  </w:footnote>
  <w:footnote w:id="4">
    <w:p w14:paraId="515F45FE">
      <w:pPr>
        <w:pStyle w:val="38"/>
        <w:rPr>
          <w:color w:val="auto"/>
          <w:highlight w:val="none"/>
        </w:rPr>
      </w:pPr>
      <w:r>
        <w:rPr>
          <w:rStyle w:val="133"/>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招标人在附表一中应至少反映项目资格审查条件所设置要求对应的工程内容。</w:t>
      </w:r>
    </w:p>
  </w:footnote>
  <w:footnote w:id="5">
    <w:p w14:paraId="603C7755">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多个</w:t>
      </w:r>
      <w:r>
        <w:rPr>
          <w:rFonts w:ascii="宋体" w:hAnsi="宋体"/>
          <w:color w:val="auto"/>
          <w:highlight w:val="none"/>
        </w:rPr>
        <w:t>标段</w:t>
      </w:r>
      <w:r>
        <w:rPr>
          <w:rFonts w:hint="eastAsia" w:ascii="宋体" w:hAnsi="宋体"/>
          <w:color w:val="auto"/>
          <w:highlight w:val="none"/>
        </w:rPr>
        <w:t>施工工期</w:t>
      </w:r>
      <w:r>
        <w:rPr>
          <w:rFonts w:ascii="宋体" w:hAnsi="宋体"/>
          <w:color w:val="auto"/>
          <w:highlight w:val="none"/>
        </w:rPr>
        <w:t>相同的，</w:t>
      </w:r>
      <w:r>
        <w:rPr>
          <w:rFonts w:hint="eastAsia" w:ascii="宋体" w:hAnsi="宋体"/>
          <w:color w:val="auto"/>
          <w:highlight w:val="none"/>
        </w:rPr>
        <w:t>可</w:t>
      </w:r>
      <w:r>
        <w:rPr>
          <w:rFonts w:ascii="宋体" w:hAnsi="宋体"/>
          <w:color w:val="auto"/>
          <w:highlight w:val="none"/>
        </w:rPr>
        <w:t>归类表示。</w:t>
      </w:r>
    </w:p>
  </w:footnote>
  <w:footnote w:id="6">
    <w:p w14:paraId="59369BA3">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招标范围包含机电工程（含隧道机电）</w:t>
      </w:r>
      <w:r>
        <w:rPr>
          <w:rFonts w:hint="eastAsia" w:ascii="宋体" w:hAnsi="宋体"/>
          <w:color w:val="auto"/>
          <w:highlight w:val="none"/>
        </w:rPr>
        <w:t>施工</w:t>
      </w:r>
      <w:r>
        <w:rPr>
          <w:rFonts w:hint="eastAsia" w:ascii="宋体" w:hAnsi="宋体"/>
          <w:color w:val="auto"/>
          <w:highlight w:val="none"/>
          <w:lang w:val="en-US" w:eastAsia="zh-CN"/>
        </w:rPr>
        <w:t>时，应列明试运行期时间</w:t>
      </w:r>
      <w:r>
        <w:rPr>
          <w:rFonts w:ascii="宋体" w:hAnsi="宋体"/>
          <w:color w:val="auto"/>
          <w:highlight w:val="none"/>
        </w:rPr>
        <w:t>。</w:t>
      </w:r>
    </w:p>
  </w:footnote>
  <w:footnote w:id="7">
    <w:p w14:paraId="3F768A85">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ascii="宋体" w:hAnsi="宋体"/>
          <w:color w:val="auto"/>
          <w:highlight w:val="none"/>
        </w:rPr>
        <w:t>允许联合体投标的，应明确对联合体各方的资质、</w:t>
      </w:r>
      <w:r>
        <w:rPr>
          <w:rFonts w:ascii="宋体" w:hAnsi="宋体"/>
          <w:color w:val="auto"/>
          <w:highlight w:val="none"/>
        </w:rPr>
        <w:t>财务、</w:t>
      </w:r>
      <w:r>
        <w:rPr>
          <w:rFonts w:hint="eastAsia" w:ascii="宋体" w:hAnsi="宋体"/>
          <w:color w:val="auto"/>
          <w:highlight w:val="none"/>
        </w:rPr>
        <w:t>业绩、信誉、人员等要求。</w:t>
      </w:r>
    </w:p>
  </w:footnote>
  <w:footnote w:id="8">
    <w:p w14:paraId="318C745E">
      <w:pPr>
        <w:pStyle w:val="38"/>
        <w:ind w:left="360" w:hanging="360" w:hangingChars="200"/>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ascii="宋体" w:hAnsi="宋体"/>
          <w:color w:val="auto"/>
        </w:rPr>
        <w:t>招标人可根据《四川省重点公路建设从业单位信用管理办法》</w:t>
      </w:r>
      <w:r>
        <w:rPr>
          <w:rFonts w:hint="eastAsia" w:ascii="宋体" w:hAnsi="宋体"/>
          <w:color w:val="auto"/>
          <w:lang w:val="en-US" w:eastAsia="zh-CN"/>
        </w:rPr>
        <w:t>/</w:t>
      </w:r>
      <w:r>
        <w:rPr>
          <w:rFonts w:hint="eastAsia" w:ascii="宋体" w:hAnsi="宋体"/>
          <w:color w:val="auto"/>
          <w:highlight w:val="none"/>
          <w:lang w:val="en-US" w:eastAsia="zh-CN"/>
        </w:rPr>
        <w:t>《四川省农村公路建设从业单位信用管理办法》</w:t>
      </w:r>
      <w:r>
        <w:rPr>
          <w:rFonts w:hint="eastAsia" w:ascii="宋体" w:hAnsi="宋体"/>
          <w:color w:val="auto"/>
        </w:rPr>
        <w:t>规定对投标人拟投标段数量及中标标段数量进行调整。</w:t>
      </w:r>
    </w:p>
  </w:footnote>
  <w:footnote w:id="9">
    <w:p w14:paraId="335D1086">
      <w:pPr>
        <w:pStyle w:val="38"/>
        <w:jc w:val="both"/>
        <w:rPr>
          <w:rFonts w:ascii="宋体" w:hAnsi="宋体"/>
          <w:color w:val="auto"/>
        </w:rPr>
      </w:pPr>
      <w:r>
        <w:rPr>
          <w:rStyle w:val="59"/>
          <w:rFonts w:ascii="宋体" w:hAnsi="宋体"/>
          <w:color w:val="auto"/>
          <w:vertAlign w:val="baseline"/>
        </w:rPr>
        <w:footnoteRef/>
      </w:r>
      <w:r>
        <w:rPr>
          <w:rFonts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适用于招标人允许投标人可多标段投标，且可以中</w:t>
      </w:r>
      <w:r>
        <w:rPr>
          <w:rFonts w:ascii="宋体" w:hAnsi="宋体"/>
          <w:color w:val="auto"/>
        </w:rPr>
        <w:t>2</w:t>
      </w:r>
      <w:r>
        <w:rPr>
          <w:rFonts w:hint="eastAsia" w:ascii="宋体" w:hAnsi="宋体"/>
          <w:color w:val="auto"/>
        </w:rPr>
        <w:t>个及以上标段的情形。</w:t>
      </w:r>
    </w:p>
  </w:footnote>
  <w:footnote w:id="10">
    <w:p w14:paraId="19B37089">
      <w:pPr>
        <w:pStyle w:val="38"/>
        <w:ind w:left="360" w:hanging="360" w:hangingChars="200"/>
        <w:jc w:val="both"/>
        <w:rPr>
          <w:rFonts w:hint="default" w:ascii="宋体" w:hAnsi="宋体"/>
          <w:color w:val="auto"/>
          <w:highlight w:val="none"/>
          <w:lang w:val="en-US"/>
        </w:rPr>
      </w:pPr>
      <w:r>
        <w:rPr>
          <w:rStyle w:val="59"/>
          <w:rFonts w:ascii="宋体" w:hAnsi="宋体"/>
          <w:color w:val="auto"/>
          <w:highlight w:val="none"/>
          <w:vertAlign w:val="baseline"/>
        </w:rPr>
        <w:footnoteRef/>
      </w:r>
      <w:r>
        <w:rPr>
          <w:rFonts w:ascii="宋体" w:hAnsi="宋体"/>
          <w:color w:val="auto"/>
          <w:highlight w:val="none"/>
        </w:rPr>
        <w:t xml:space="preserve"> </w:t>
      </w:r>
      <w:bookmarkStart w:id="959" w:name="_Hlk101686587"/>
      <w:r>
        <w:rPr>
          <w:rFonts w:hint="eastAsia" w:ascii="宋体" w:hAnsi="宋体"/>
          <w:color w:val="auto"/>
          <w:highlight w:val="none"/>
          <w:lang w:val="en-US" w:eastAsia="zh-CN"/>
        </w:rPr>
        <w:t xml:space="preserve"> </w:t>
      </w:r>
      <w:r>
        <w:rPr>
          <w:rFonts w:hint="eastAsia" w:ascii="宋体" w:hAnsi="宋体"/>
          <w:color w:val="auto"/>
          <w:highlight w:val="none"/>
        </w:rPr>
        <w:t>投标人办理“注册网员”的方法见全国公共资源交易平台（四川省）“首页”→“办事指南”→</w:t>
      </w:r>
      <w:bookmarkStart w:id="960" w:name="_Hlk100752469"/>
      <w:r>
        <w:rPr>
          <w:rFonts w:hint="eastAsia" w:ascii="宋体" w:hAnsi="宋体"/>
          <w:color w:val="auto"/>
          <w:highlight w:val="none"/>
        </w:rPr>
        <w:t>《四川省交易主体统一认证注册及登录指南》</w:t>
      </w:r>
      <w:bookmarkEnd w:id="959"/>
      <w:bookmarkEnd w:id="960"/>
      <w:r>
        <w:rPr>
          <w:rFonts w:hint="eastAsia" w:ascii="宋体" w:hAnsi="宋体"/>
          <w:color w:val="auto"/>
          <w:highlight w:val="none"/>
        </w:rPr>
        <w:t>。</w:t>
      </w:r>
      <w:r>
        <w:rPr>
          <w:rFonts w:hint="eastAsia" w:ascii="宋体" w:hAnsi="宋体"/>
          <w:color w:val="auto"/>
          <w:highlight w:val="none"/>
          <w:lang w:val="en-US" w:eastAsia="zh-CN"/>
        </w:rPr>
        <w:t>当项目在市（州）交易中心分平台交易时，交易平台根据其“电子招标投标系统”相应要求，提供投标人参与投标的操作流程。</w:t>
      </w:r>
    </w:p>
  </w:footnote>
  <w:footnote w:id="11">
    <w:p w14:paraId="61794B2E">
      <w:pPr>
        <w:pStyle w:val="38"/>
        <w:snapToGrid w:val="0"/>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ascii="宋体" w:hAnsi="宋体"/>
          <w:color w:val="auto"/>
          <w:highlight w:val="none"/>
          <w:lang w:val="en-US" w:eastAsia="zh-CN"/>
        </w:rPr>
        <w:t>当项目在市（州）交易中心分平台交易时，相应调整为市（州）的“电子招标投标系统”名称。</w:t>
      </w:r>
    </w:p>
  </w:footnote>
  <w:footnote w:id="12">
    <w:p w14:paraId="6F493033">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a.</w:t>
      </w:r>
      <w:r>
        <w:rPr>
          <w:rFonts w:hint="eastAsia" w:ascii="宋体" w:hAnsi="宋体"/>
          <w:color w:val="auto"/>
          <w:highlight w:val="none"/>
        </w:rPr>
        <w:t>招标人对招标图纸、参考资料的提供方式须符合</w:t>
      </w:r>
      <w:bookmarkStart w:id="961" w:name="_Hlk94031391"/>
      <w:r>
        <w:rPr>
          <w:rFonts w:hint="eastAsia" w:ascii="宋体" w:hAnsi="宋体"/>
          <w:color w:val="auto"/>
          <w:highlight w:val="none"/>
        </w:rPr>
        <w:t>《中华人民共和国保守国家秘密法》</w:t>
      </w:r>
      <w:bookmarkEnd w:id="961"/>
      <w:r>
        <w:rPr>
          <w:rFonts w:hint="eastAsia" w:ascii="宋体" w:hAnsi="宋体"/>
          <w:color w:val="auto"/>
          <w:highlight w:val="none"/>
        </w:rPr>
        <w:t>规定，下同。</w:t>
      </w:r>
    </w:p>
    <w:p w14:paraId="336579BE">
      <w:pPr>
        <w:pStyle w:val="38"/>
        <w:ind w:left="360" w:hanging="360" w:hangingChars="200"/>
        <w:jc w:val="both"/>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b</w:t>
      </w:r>
      <w:r>
        <w:rPr>
          <w:rFonts w:ascii="宋体" w:hAnsi="宋体"/>
          <w:color w:val="auto"/>
          <w:highlight w:val="none"/>
        </w:rPr>
        <w:t>.</w:t>
      </w:r>
      <w:bookmarkStart w:id="962" w:name="_Hlk100752490"/>
      <w:bookmarkStart w:id="963" w:name="_Hlk98611584"/>
      <w:r>
        <w:rPr>
          <w:rFonts w:hint="eastAsia" w:ascii="宋体" w:hAnsi="宋体"/>
          <w:color w:val="auto"/>
          <w:highlight w:val="none"/>
        </w:rPr>
        <w:t>投标人下载招标文件及相关资料、投标文件制作软件下载方法见全国公共资源交易平台（四川省）</w:t>
      </w:r>
      <w:r>
        <w:rPr>
          <w:rFonts w:ascii="宋体" w:hAnsi="宋体"/>
          <w:color w:val="auto"/>
          <w:highlight w:val="none"/>
        </w:rPr>
        <w:t xml:space="preserve"> </w:t>
      </w:r>
      <w:r>
        <w:rPr>
          <w:rFonts w:hint="eastAsia" w:ascii="宋体" w:hAnsi="宋体"/>
          <w:color w:val="auto"/>
          <w:highlight w:val="none"/>
        </w:rPr>
        <w:t>“首页”→“办事指南”→《四川省公路水运工程电子招投标系统操作手册—投标》</w:t>
      </w:r>
      <w:bookmarkEnd w:id="962"/>
      <w:r>
        <w:rPr>
          <w:rFonts w:hint="eastAsia" w:ascii="宋体" w:hAnsi="宋体"/>
          <w:color w:val="auto"/>
          <w:highlight w:val="none"/>
        </w:rPr>
        <w:t>。</w:t>
      </w:r>
      <w:bookmarkEnd w:id="963"/>
      <w:r>
        <w:rPr>
          <w:rFonts w:hint="eastAsia" w:ascii="宋体" w:hAnsi="宋体"/>
          <w:color w:val="auto"/>
          <w:highlight w:val="none"/>
          <w:lang w:val="en-US" w:eastAsia="zh-CN"/>
        </w:rPr>
        <w:t>当项目在市（州）交易中心分平台交易时，交易平台根据其“电子招标投标系统”相应要求，提供投标人下载上述资料的方法。</w:t>
      </w:r>
    </w:p>
  </w:footnote>
  <w:footnote w:id="13">
    <w:p w14:paraId="0A817D87">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按照</w:t>
      </w:r>
      <w:bookmarkStart w:id="964" w:name="_Hlk98780873"/>
      <w:r>
        <w:rPr>
          <w:rFonts w:hint="eastAsia" w:ascii="宋体" w:hAnsi="宋体"/>
          <w:color w:val="auto"/>
          <w:highlight w:val="none"/>
        </w:rPr>
        <w:t>《中华人民共和国保守国家秘密法》</w:t>
      </w:r>
      <w:bookmarkEnd w:id="964"/>
      <w:r>
        <w:rPr>
          <w:rFonts w:hint="eastAsia" w:ascii="宋体" w:hAnsi="宋体"/>
          <w:color w:val="auto"/>
          <w:highlight w:val="none"/>
        </w:rPr>
        <w:t>规定，不能提供线上图纸、参考资料的，由招标人指定获取方式。</w:t>
      </w:r>
    </w:p>
  </w:footnote>
  <w:footnote w:id="14">
    <w:p w14:paraId="0F4CCD98">
      <w:pPr>
        <w:pStyle w:val="38"/>
        <w:ind w:left="360" w:hanging="360" w:hangingChars="200"/>
        <w:jc w:val="both"/>
        <w:rPr>
          <w:rFonts w:asciiTheme="minorEastAsia" w:hAnsiTheme="minorEastAsia" w:eastAsiaTheme="minorEastAsia"/>
          <w:color w:val="auto"/>
          <w:sz w:val="28"/>
          <w:szCs w:val="28"/>
          <w:highlight w:val="none"/>
        </w:rPr>
      </w:pPr>
      <w:r>
        <w:rPr>
          <w:rStyle w:val="59"/>
          <w:rFonts w:asciiTheme="minorEastAsia" w:hAnsiTheme="minorEastAsia" w:eastAsiaTheme="minorEastAsia"/>
          <w:color w:val="auto"/>
          <w:highlight w:val="none"/>
          <w:vertAlign w:val="baseline"/>
        </w:rPr>
        <w:footnoteRef/>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依法必须进行招标的公路工程，自招标文件公布下载之日起至投标人递交投标文件截止之日止，不得少于20日。</w:t>
      </w:r>
    </w:p>
  </w:footnote>
  <w:footnote w:id="15">
    <w:p w14:paraId="3A8DEA21">
      <w:pPr>
        <w:pStyle w:val="38"/>
        <w:ind w:left="360" w:hanging="360" w:hanging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footnoteRef/>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highlight w:val="none"/>
        </w:rPr>
        <w:t xml:space="preserve"> </w:t>
      </w:r>
      <w:bookmarkStart w:id="965" w:name="_Hlk100752540"/>
      <w:bookmarkStart w:id="966" w:name="_Hlk98424261"/>
      <w:bookmarkStart w:id="967" w:name="_Hlk101686824"/>
      <w:r>
        <w:rPr>
          <w:rFonts w:hint="eastAsia" w:ascii="宋体" w:hAnsi="宋体"/>
          <w:color w:val="auto"/>
          <w:highlight w:val="none"/>
        </w:rPr>
        <w:t>投标人办理单位</w:t>
      </w:r>
      <w:r>
        <w:rPr>
          <w:rFonts w:ascii="宋体" w:hAnsi="宋体"/>
          <w:color w:val="auto"/>
          <w:highlight w:val="none"/>
        </w:rPr>
        <w:t>CA数字证书的方法见</w:t>
      </w:r>
      <w:r>
        <w:rPr>
          <w:rFonts w:hint="eastAsia" w:ascii="宋体" w:hAnsi="宋体"/>
          <w:color w:val="auto"/>
          <w:highlight w:val="none"/>
        </w:rPr>
        <w:t>全国公共资源交易平台（四川省）“首页”→“办事指南”→《全国公共资源交易平台（四川省）网上</w:t>
      </w:r>
      <w:r>
        <w:rPr>
          <w:rFonts w:ascii="宋体" w:hAnsi="宋体"/>
          <w:color w:val="auto"/>
          <w:highlight w:val="none"/>
        </w:rPr>
        <w:t>CA</w:t>
      </w:r>
      <w:r>
        <w:rPr>
          <w:rFonts w:hint="eastAsia" w:ascii="宋体" w:hAnsi="宋体"/>
          <w:color w:val="auto"/>
          <w:highlight w:val="none"/>
        </w:rPr>
        <w:t>办理指南》，并领取单位</w:t>
      </w:r>
      <w:r>
        <w:rPr>
          <w:rFonts w:ascii="宋体" w:hAnsi="宋体"/>
          <w:color w:val="auto"/>
          <w:highlight w:val="none"/>
        </w:rPr>
        <w:t>CA数字证书</w:t>
      </w:r>
      <w:bookmarkEnd w:id="965"/>
      <w:bookmarkEnd w:id="966"/>
      <w:r>
        <w:rPr>
          <w:rFonts w:hint="eastAsia" w:ascii="宋体" w:hAnsi="宋体"/>
          <w:color w:val="auto"/>
          <w:highlight w:val="none"/>
        </w:rPr>
        <w:t>。</w:t>
      </w:r>
      <w:bookmarkEnd w:id="967"/>
      <w:r>
        <w:rPr>
          <w:rFonts w:hint="eastAsia" w:ascii="宋体" w:hAnsi="宋体"/>
          <w:color w:val="auto"/>
          <w:highlight w:val="none"/>
          <w:lang w:val="en-US" w:eastAsia="zh-CN"/>
        </w:rPr>
        <w:t>当项目在市（州）交易中心分平台交易时，交易平台根据其“电子招标投标系统”相应要求，提供投标人办理</w:t>
      </w:r>
      <w:r>
        <w:rPr>
          <w:rFonts w:hint="eastAsia" w:ascii="宋体" w:hAnsi="宋体"/>
          <w:color w:val="auto"/>
          <w:highlight w:val="none"/>
        </w:rPr>
        <w:t>单位</w:t>
      </w:r>
      <w:r>
        <w:rPr>
          <w:rFonts w:ascii="宋体" w:hAnsi="宋体"/>
          <w:color w:val="auto"/>
          <w:highlight w:val="none"/>
        </w:rPr>
        <w:t>CA数字证书的方法</w:t>
      </w:r>
      <w:r>
        <w:rPr>
          <w:rFonts w:hint="eastAsia" w:ascii="宋体" w:hAnsi="宋体"/>
          <w:color w:val="auto"/>
          <w:highlight w:val="none"/>
          <w:lang w:val="en-US" w:eastAsia="zh-CN"/>
        </w:rPr>
        <w:t>。</w:t>
      </w:r>
    </w:p>
  </w:footnote>
  <w:footnote w:id="16">
    <w:p w14:paraId="24548002">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bookmarkStart w:id="968" w:name="_Hlk100752551"/>
      <w:r>
        <w:rPr>
          <w:rFonts w:hint="eastAsia" w:ascii="宋体" w:hAnsi="宋体"/>
          <w:color w:val="auto"/>
          <w:highlight w:val="none"/>
          <w:lang w:val="en-US" w:eastAsia="zh-CN"/>
        </w:rPr>
        <w:t xml:space="preserve"> </w:t>
      </w:r>
      <w:r>
        <w:rPr>
          <w:rFonts w:hint="eastAsia" w:ascii="宋体" w:hAnsi="宋体"/>
          <w:color w:val="auto"/>
          <w:highlight w:val="none"/>
        </w:rPr>
        <w:t>投标人上传投标文件方法见</w:t>
      </w:r>
      <w:bookmarkStart w:id="969" w:name="_Hlk100654354"/>
      <w:r>
        <w:rPr>
          <w:rFonts w:hint="eastAsia" w:ascii="宋体" w:hAnsi="宋体"/>
          <w:color w:val="auto"/>
          <w:highlight w:val="none"/>
        </w:rPr>
        <w:t>全国公共资源交易平台（四川省）“首页”→“办事指南”→《四川省公路水运工程电子招投标系统操作手册—投标》</w:t>
      </w:r>
      <w:bookmarkEnd w:id="968"/>
      <w:bookmarkEnd w:id="969"/>
      <w:r>
        <w:rPr>
          <w:rFonts w:hint="eastAsia" w:ascii="宋体" w:hAnsi="宋体"/>
          <w:color w:val="auto"/>
          <w:highlight w:val="none"/>
        </w:rPr>
        <w:t>。</w:t>
      </w:r>
      <w:r>
        <w:rPr>
          <w:rFonts w:hint="eastAsia" w:ascii="宋体" w:hAnsi="宋体"/>
          <w:color w:val="auto"/>
          <w:highlight w:val="none"/>
          <w:lang w:val="en-US" w:eastAsia="zh-CN"/>
        </w:rPr>
        <w:t>当项目在市（州）交易中心分平台交易时，交易平台根据其“电子招标投标系统”相应要求，提供投标人上传投标文件的方法。</w:t>
      </w:r>
    </w:p>
  </w:footnote>
  <w:footnote w:id="17">
    <w:p w14:paraId="0B0B1732">
      <w:pPr>
        <w:pStyle w:val="38"/>
        <w:jc w:val="both"/>
        <w:rPr>
          <w:rFonts w:asciiTheme="minorEastAsia" w:hAnsiTheme="minorEastAsia" w:eastAsiaTheme="minorEastAsia"/>
          <w:color w:val="auto"/>
          <w:highlight w:val="none"/>
        </w:rPr>
      </w:pPr>
      <w:r>
        <w:rPr>
          <w:rStyle w:val="59"/>
          <w:rFonts w:asciiTheme="minorEastAsia" w:hAnsiTheme="minorEastAsia" w:eastAsiaTheme="minorEastAsia"/>
          <w:color w:val="auto"/>
          <w:highlight w:val="none"/>
          <w:vertAlign w:val="baseline"/>
        </w:rPr>
        <w:footnoteRef/>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投标文件的送达方式如有变化，应对应调整第5.2款的要求。</w:t>
      </w:r>
    </w:p>
  </w:footnote>
  <w:footnote w:id="18">
    <w:p w14:paraId="45452959">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hint="eastAsia" w:asciiTheme="minorEastAsia" w:hAnsiTheme="minorEastAsia" w:eastAsiaTheme="minorEastAsia"/>
          <w:color w:val="auto"/>
          <w:highlight w:val="none"/>
          <w:lang w:val="en-US" w:eastAsia="zh-CN"/>
        </w:rPr>
        <w:t xml:space="preserve"> </w:t>
      </w:r>
      <w:r>
        <w:rPr>
          <w:rFonts w:hint="eastAsia" w:ascii="宋体" w:hAnsi="宋体"/>
          <w:color w:val="auto"/>
          <w:highlight w:val="none"/>
        </w:rPr>
        <w:t xml:space="preserve"> </w:t>
      </w:r>
      <w:bookmarkStart w:id="970" w:name="_Hlk100767832"/>
      <w:r>
        <w:rPr>
          <w:rFonts w:ascii="宋体" w:hAnsi="宋体"/>
          <w:color w:val="auto"/>
          <w:highlight w:val="none"/>
        </w:rPr>
        <w:t>远程电子开标方式</w:t>
      </w:r>
      <w:r>
        <w:rPr>
          <w:rFonts w:hint="eastAsia" w:ascii="宋体" w:hAnsi="宋体" w:cs="宋体"/>
          <w:color w:val="auto"/>
          <w:highlight w:val="none"/>
        </w:rPr>
        <w:t>，</w:t>
      </w:r>
      <w:bookmarkStart w:id="971" w:name="_Hlk100752585"/>
      <w:r>
        <w:rPr>
          <w:rFonts w:hint="eastAsia" w:ascii="宋体" w:hAnsi="宋体"/>
          <w:color w:val="auto"/>
          <w:highlight w:val="none"/>
        </w:rPr>
        <w:t>具体详见全国公共资源交易平台（四川省）“首页”→“办事指南”→《四川省公路水运工程电子招投标系统不见面开标大厅操作手册》</w:t>
      </w:r>
      <w:bookmarkEnd w:id="970"/>
      <w:bookmarkEnd w:id="971"/>
      <w:r>
        <w:rPr>
          <w:rFonts w:hint="eastAsia" w:ascii="宋体" w:hAnsi="宋体" w:cs="宋体"/>
          <w:color w:val="auto"/>
          <w:highlight w:val="none"/>
        </w:rPr>
        <w:t>。</w:t>
      </w:r>
      <w:r>
        <w:rPr>
          <w:rFonts w:hint="eastAsia" w:ascii="宋体" w:hAnsi="宋体"/>
          <w:color w:val="auto"/>
          <w:highlight w:val="none"/>
          <w:lang w:val="en-US" w:eastAsia="zh-CN"/>
        </w:rPr>
        <w:t>当项目在市（州）交易中心分平台交易时，交易平台根据其“电子招标投标系统”相应要求，提供投标人远程电子开标的操作流程。</w:t>
      </w:r>
    </w:p>
  </w:footnote>
  <w:footnote w:id="19">
    <w:p w14:paraId="7DAFB8A7">
      <w:pPr>
        <w:pStyle w:val="38"/>
        <w:ind w:left="360" w:hanging="360" w:hangingChars="200"/>
        <w:rPr>
          <w:rFonts w:hint="eastAsia" w:eastAsia="宋体"/>
          <w:color w:val="auto"/>
          <w:highlight w:val="none"/>
          <w:lang w:eastAsia="zh-CN"/>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公路工程</w:t>
      </w:r>
      <w:r>
        <w:rPr>
          <w:color w:val="auto"/>
          <w:highlight w:val="none"/>
        </w:rPr>
        <w:t>建设项目施工招标评标，一般采用合理低价法</w:t>
      </w:r>
      <w:r>
        <w:rPr>
          <w:rFonts w:hint="eastAsia"/>
          <w:color w:val="auto"/>
          <w:highlight w:val="none"/>
        </w:rPr>
        <w:t>；</w:t>
      </w:r>
      <w:r>
        <w:rPr>
          <w:color w:val="auto"/>
          <w:highlight w:val="none"/>
        </w:rPr>
        <w:t>技术</w:t>
      </w:r>
      <w:r>
        <w:rPr>
          <w:rFonts w:hint="eastAsia"/>
          <w:color w:val="auto"/>
          <w:highlight w:val="none"/>
        </w:rPr>
        <w:t>特别复杂工程</w:t>
      </w:r>
      <w:r>
        <w:rPr>
          <w:color w:val="auto"/>
          <w:highlight w:val="none"/>
        </w:rPr>
        <w:t>的主体施工可采用综合评分法或技术评分最低投标价法</w:t>
      </w:r>
      <w:r>
        <w:rPr>
          <w:rFonts w:hint="eastAsia"/>
          <w:color w:val="auto"/>
          <w:highlight w:val="none"/>
        </w:rPr>
        <w:t>；</w:t>
      </w:r>
      <w:r>
        <w:rPr>
          <w:color w:val="auto"/>
          <w:highlight w:val="none"/>
        </w:rPr>
        <w:t>工程规模</w:t>
      </w:r>
      <w:r>
        <w:rPr>
          <w:rFonts w:hint="eastAsia"/>
          <w:color w:val="auto"/>
          <w:highlight w:val="none"/>
        </w:rPr>
        <w:t>较小、</w:t>
      </w:r>
      <w:r>
        <w:rPr>
          <w:color w:val="auto"/>
          <w:highlight w:val="none"/>
        </w:rPr>
        <w:t>技术含量较低的工程施工，应采用经评审的最低投标价法。</w:t>
      </w:r>
      <w:r>
        <w:rPr>
          <w:rFonts w:hint="eastAsia"/>
          <w:color w:val="auto"/>
          <w:highlight w:val="none"/>
          <w:lang w:val="en-US" w:eastAsia="zh-CN"/>
        </w:rPr>
        <w:t>独立进行招标的</w:t>
      </w:r>
      <w:r>
        <w:rPr>
          <w:rFonts w:ascii="Times New Roman" w:hAnsi="Times New Roman" w:eastAsia="宋体" w:cs="Times New Roman"/>
          <w:color w:val="auto"/>
          <w:sz w:val="18"/>
          <w:szCs w:val="18"/>
          <w:highlight w:val="none"/>
        </w:rPr>
        <w:t>通信、监控、收费系统等机电工程</w:t>
      </w:r>
      <w:r>
        <w:rPr>
          <w:rFonts w:hint="eastAsia" w:cs="Times New Roman"/>
          <w:color w:val="auto"/>
          <w:sz w:val="18"/>
          <w:szCs w:val="18"/>
          <w:highlight w:val="none"/>
          <w:lang w:val="en-US" w:eastAsia="zh-CN"/>
        </w:rPr>
        <w:t>（含隧道机电）</w:t>
      </w:r>
      <w:r>
        <w:rPr>
          <w:rFonts w:ascii="Times New Roman" w:hAnsi="Times New Roman" w:eastAsia="宋体" w:cs="Times New Roman"/>
          <w:color w:val="auto"/>
          <w:sz w:val="18"/>
          <w:szCs w:val="18"/>
          <w:highlight w:val="none"/>
        </w:rPr>
        <w:t>采购安装</w:t>
      </w:r>
      <w:r>
        <w:rPr>
          <w:rFonts w:hint="default" w:ascii="Times New Roman" w:hAnsi="Times New Roman" w:eastAsia="宋体" w:cs="Times New Roman"/>
          <w:color w:val="auto"/>
          <w:sz w:val="18"/>
          <w:szCs w:val="18"/>
          <w:highlight w:val="none"/>
        </w:rPr>
        <w:t>应</w:t>
      </w:r>
      <w:r>
        <w:rPr>
          <w:rFonts w:ascii="Times New Roman" w:hAnsi="Times New Roman" w:eastAsia="宋体" w:cs="Times New Roman"/>
          <w:color w:val="auto"/>
          <w:sz w:val="18"/>
          <w:szCs w:val="18"/>
          <w:highlight w:val="none"/>
        </w:rPr>
        <w:t>采用合理低价法</w:t>
      </w:r>
      <w:r>
        <w:rPr>
          <w:rFonts w:hint="default" w:ascii="Times New Roman" w:hAnsi="Times New Roman" w:eastAsia="宋体" w:cs="Times New Roman"/>
          <w:color w:val="auto"/>
          <w:sz w:val="18"/>
          <w:szCs w:val="18"/>
          <w:highlight w:val="none"/>
        </w:rPr>
        <w:t>；房建、交安、绿化等附属工程施工</w:t>
      </w:r>
      <w:r>
        <w:rPr>
          <w:rFonts w:ascii="Times New Roman" w:hAnsi="Times New Roman" w:eastAsia="宋体" w:cs="Times New Roman"/>
          <w:color w:val="auto"/>
          <w:sz w:val="18"/>
          <w:szCs w:val="18"/>
          <w:highlight w:val="none"/>
        </w:rPr>
        <w:t>招标评标</w:t>
      </w:r>
      <w:r>
        <w:rPr>
          <w:rFonts w:hint="default" w:ascii="Times New Roman" w:hAnsi="Times New Roman" w:eastAsia="宋体" w:cs="Times New Roman"/>
          <w:color w:val="auto"/>
          <w:sz w:val="18"/>
          <w:szCs w:val="18"/>
          <w:highlight w:val="none"/>
        </w:rPr>
        <w:t>应采用合理低价法或</w:t>
      </w:r>
      <w:r>
        <w:rPr>
          <w:rFonts w:ascii="Times New Roman" w:hAnsi="Times New Roman" w:eastAsia="宋体" w:cs="Times New Roman"/>
          <w:color w:val="auto"/>
          <w:sz w:val="18"/>
          <w:szCs w:val="18"/>
          <w:highlight w:val="none"/>
        </w:rPr>
        <w:t>经评审的最低投标价法</w:t>
      </w:r>
      <w:r>
        <w:rPr>
          <w:rFonts w:hint="eastAsia" w:cs="Times New Roman"/>
          <w:color w:val="auto"/>
          <w:sz w:val="18"/>
          <w:szCs w:val="18"/>
          <w:highlight w:val="none"/>
          <w:lang w:eastAsia="zh-CN"/>
        </w:rPr>
        <w:t>。</w:t>
      </w:r>
    </w:p>
  </w:footnote>
  <w:footnote w:id="20">
    <w:p w14:paraId="248F974C">
      <w:pPr>
        <w:pStyle w:val="38"/>
        <w:jc w:val="both"/>
        <w:rPr>
          <w:rFonts w:ascii="宋体" w:hAnsi="宋体"/>
          <w:color w:val="auto"/>
        </w:rPr>
      </w:pPr>
      <w:r>
        <w:rPr>
          <w:rFonts w:ascii="宋体" w:hAnsi="宋体"/>
          <w:color w:val="auto"/>
        </w:rPr>
        <w:footnoteRef/>
      </w:r>
      <w:r>
        <w:rPr>
          <w:rFonts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招标人将近年完成</w:t>
      </w:r>
      <w:r>
        <w:rPr>
          <w:rFonts w:hint="eastAsia" w:ascii="宋体" w:hAnsi="宋体"/>
          <w:color w:val="auto"/>
          <w:lang w:val="en-US" w:eastAsia="zh-CN"/>
        </w:rPr>
        <w:t>的</w:t>
      </w:r>
      <w:r>
        <w:rPr>
          <w:rFonts w:hint="eastAsia" w:ascii="宋体" w:hAnsi="宋体"/>
          <w:color w:val="auto"/>
        </w:rPr>
        <w:t>类似项目情况、拟委任</w:t>
      </w:r>
      <w:r>
        <w:rPr>
          <w:rFonts w:hint="eastAsia" w:ascii="宋体" w:hAnsi="宋体"/>
          <w:color w:val="auto"/>
          <w:lang w:val="en-US" w:eastAsia="zh-CN"/>
        </w:rPr>
        <w:t>的</w:t>
      </w:r>
      <w:r>
        <w:rPr>
          <w:rFonts w:hint="eastAsia" w:ascii="宋体" w:hAnsi="宋体"/>
          <w:color w:val="auto"/>
        </w:rPr>
        <w:t>主要人员</w:t>
      </w:r>
      <w:r>
        <w:rPr>
          <w:rFonts w:hint="eastAsia" w:ascii="宋体" w:hAnsi="宋体"/>
          <w:color w:val="auto"/>
          <w:lang w:val="en-US" w:eastAsia="zh-CN"/>
        </w:rPr>
        <w:t>资历</w:t>
      </w:r>
      <w:r>
        <w:rPr>
          <w:rFonts w:hint="eastAsia" w:ascii="宋体" w:hAnsi="宋体"/>
          <w:color w:val="auto"/>
        </w:rPr>
        <w:t>列入资格审查条件的，须在法定的平台进行公示。</w:t>
      </w:r>
    </w:p>
  </w:footnote>
  <w:footnote w:id="21">
    <w:p w14:paraId="628D0164">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hint="eastAsia" w:ascii="宋体" w:hAnsi="宋体"/>
          <w:color w:val="auto"/>
          <w:lang w:val="en-US" w:eastAsia="zh-CN"/>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当项目在市（州）交易中心分平台交易时，交易平台根据其“电子招标投标系统”相应要求，提供投标人提出异议的版块。</w:t>
      </w:r>
    </w:p>
  </w:footnote>
  <w:footnote w:id="22">
    <w:p w14:paraId="413FEFCA">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招标项目</w:t>
      </w:r>
      <w:r>
        <w:rPr>
          <w:color w:val="auto"/>
          <w:highlight w:val="none"/>
        </w:rPr>
        <w:t>未进行委托招标</w:t>
      </w:r>
      <w:r>
        <w:rPr>
          <w:rFonts w:hint="eastAsia"/>
          <w:color w:val="auto"/>
          <w:highlight w:val="none"/>
        </w:rPr>
        <w:t>的</w:t>
      </w:r>
      <w:r>
        <w:rPr>
          <w:color w:val="auto"/>
          <w:highlight w:val="none"/>
        </w:rPr>
        <w:t>，此项可删除。</w:t>
      </w:r>
    </w:p>
  </w:footnote>
  <w:footnote w:id="23">
    <w:p w14:paraId="4D55079A">
      <w:pPr>
        <w:pStyle w:val="38"/>
        <w:snapToGrid w:val="0"/>
        <w:rPr>
          <w:rFonts w:hint="default" w:eastAsia="宋体"/>
          <w:color w:val="auto"/>
          <w:highlight w:val="none"/>
          <w:lang w:val="en-US" w:eastAsia="zh-CN"/>
        </w:rPr>
      </w:pPr>
      <w:r>
        <w:rPr>
          <w:rStyle w:val="59"/>
          <w:color w:val="auto"/>
          <w:highlight w:val="none"/>
          <w:vertAlign w:val="baseline"/>
        </w:rPr>
        <w:footnoteRef/>
      </w:r>
      <w:r>
        <w:rPr>
          <w:color w:val="auto"/>
          <w:highlight w:val="none"/>
          <w:vertAlign w:val="baseline"/>
        </w:rPr>
        <w:t xml:space="preserve"> </w:t>
      </w:r>
      <w:r>
        <w:rPr>
          <w:rFonts w:hint="eastAsia"/>
          <w:color w:val="auto"/>
          <w:highlight w:val="none"/>
          <w:vertAlign w:val="baseline"/>
          <w:lang w:val="en-US" w:eastAsia="zh-CN"/>
        </w:rPr>
        <w:t xml:space="preserve"> </w:t>
      </w:r>
      <w:r>
        <w:rPr>
          <w:rFonts w:hint="eastAsia"/>
          <w:color w:val="auto"/>
          <w:highlight w:val="none"/>
          <w:lang w:val="en-US" w:eastAsia="zh-CN"/>
        </w:rPr>
        <w:t>招标人根据项目实际情况可调整本表格式。</w:t>
      </w:r>
    </w:p>
  </w:footnote>
  <w:footnote w:id="24">
    <w:p w14:paraId="2F5DB0FE">
      <w:pPr>
        <w:pStyle w:val="38"/>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该选项仅适用于招标工程范围包括房建工程的情形。</w:t>
      </w:r>
    </w:p>
  </w:footnote>
  <w:footnote w:id="25">
    <w:p w14:paraId="49DFDDF8">
      <w:pPr>
        <w:pStyle w:val="38"/>
        <w:ind w:left="360" w:hanging="360" w:hangingChars="200"/>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该选项针对招标人有其他特殊招标范围的情形时对质量提出的要求，但招标人应依法依规设置，不得提过高的要求。</w:t>
      </w:r>
    </w:p>
  </w:footnote>
  <w:footnote w:id="26">
    <w:p w14:paraId="05C2A3AF">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招标人应根据招标项目具体特点和实际需要，对工程施工中的人员安全提出目标要求。</w:t>
      </w:r>
    </w:p>
  </w:footnote>
  <w:footnote w:id="27">
    <w:p w14:paraId="1E68846E">
      <w:pPr>
        <w:pStyle w:val="38"/>
        <w:ind w:left="360" w:hanging="360" w:hangingChars="200"/>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对于特别复杂的特大桥梁和特长隧道项目主体工程以及其他有特殊要求的工程，招标人还可增加附录</w:t>
      </w:r>
      <w:r>
        <w:rPr>
          <w:color w:val="auto"/>
          <w:highlight w:val="none"/>
        </w:rPr>
        <w:t>6</w:t>
      </w:r>
      <w:r>
        <w:rPr>
          <w:rFonts w:hint="eastAsia"/>
          <w:color w:val="auto"/>
          <w:highlight w:val="none"/>
        </w:rPr>
        <w:t>对投标人的其他管理和</w:t>
      </w:r>
      <w:r>
        <w:rPr>
          <w:color w:val="auto"/>
          <w:highlight w:val="none"/>
        </w:rPr>
        <w:t>技术</w:t>
      </w:r>
      <w:r>
        <w:rPr>
          <w:rFonts w:hint="eastAsia"/>
          <w:color w:val="auto"/>
          <w:highlight w:val="none"/>
        </w:rPr>
        <w:t>人员（例如</w:t>
      </w:r>
      <w:r>
        <w:rPr>
          <w:color w:val="auto"/>
          <w:highlight w:val="none"/>
        </w:rPr>
        <w:t>项目副经理、专业工程师等</w:t>
      </w:r>
      <w:r>
        <w:rPr>
          <w:rFonts w:hint="eastAsia"/>
          <w:color w:val="auto"/>
          <w:highlight w:val="none"/>
        </w:rPr>
        <w:t>）、</w:t>
      </w:r>
      <w:r>
        <w:rPr>
          <w:rFonts w:hint="eastAsia"/>
          <w:color w:val="auto"/>
          <w:highlight w:val="none"/>
          <w:lang w:val="en-US" w:eastAsia="zh-CN"/>
        </w:rPr>
        <w:t>增加</w:t>
      </w:r>
      <w:r>
        <w:rPr>
          <w:color w:val="auto"/>
          <w:highlight w:val="none"/>
        </w:rPr>
        <w:t>附录</w:t>
      </w:r>
      <w:r>
        <w:rPr>
          <w:rFonts w:hint="eastAsia"/>
          <w:color w:val="auto"/>
          <w:highlight w:val="none"/>
        </w:rPr>
        <w:t>7</w:t>
      </w:r>
      <w:r>
        <w:rPr>
          <w:rFonts w:hint="eastAsia"/>
          <w:color w:val="auto"/>
          <w:highlight w:val="none"/>
          <w:lang w:val="en-US" w:eastAsia="zh-CN"/>
        </w:rPr>
        <w:t>对</w:t>
      </w:r>
      <w:r>
        <w:rPr>
          <w:rFonts w:hint="eastAsia"/>
          <w:color w:val="auto"/>
          <w:highlight w:val="none"/>
        </w:rPr>
        <w:t>主要机械设备</w:t>
      </w:r>
      <w:r>
        <w:rPr>
          <w:color w:val="auto"/>
          <w:highlight w:val="none"/>
        </w:rPr>
        <w:t>和试验检测设备</w:t>
      </w:r>
      <w:r>
        <w:rPr>
          <w:rFonts w:hint="eastAsia"/>
          <w:color w:val="auto"/>
          <w:highlight w:val="none"/>
          <w:lang w:val="en-US" w:eastAsia="zh-CN"/>
        </w:rPr>
        <w:t>提出要求，对于</w:t>
      </w:r>
      <w:r>
        <w:rPr>
          <w:rFonts w:hint="eastAsia" w:ascii="宋体" w:hAnsi="宋体"/>
          <w:color w:val="auto"/>
          <w:highlight w:val="none"/>
        </w:rPr>
        <w:t>公路机电工程（含隧道机电）</w:t>
      </w:r>
      <w:r>
        <w:rPr>
          <w:rFonts w:hint="eastAsia" w:ascii="宋体" w:hAnsi="宋体"/>
          <w:color w:val="auto"/>
          <w:highlight w:val="none"/>
          <w:lang w:val="en-US" w:eastAsia="zh-CN"/>
        </w:rPr>
        <w:t>可增加</w:t>
      </w:r>
      <w:r>
        <w:rPr>
          <w:rFonts w:hint="eastAsia" w:ascii="宋体" w:hAnsi="宋体"/>
          <w:color w:val="auto"/>
          <w:highlight w:val="none"/>
        </w:rPr>
        <w:t>附录</w:t>
      </w:r>
      <w:r>
        <w:rPr>
          <w:rFonts w:ascii="宋体" w:hAnsi="宋体"/>
          <w:color w:val="auto"/>
          <w:highlight w:val="none"/>
        </w:rPr>
        <w:t>8</w:t>
      </w:r>
      <w:r>
        <w:rPr>
          <w:rFonts w:hint="eastAsia" w:ascii="宋体" w:hAnsi="宋体"/>
          <w:color w:val="auto"/>
          <w:highlight w:val="none"/>
          <w:lang w:val="en-US" w:eastAsia="zh-CN"/>
        </w:rPr>
        <w:t>对</w:t>
      </w:r>
      <w:r>
        <w:rPr>
          <w:rFonts w:hint="eastAsia" w:ascii="宋体" w:hAnsi="宋体"/>
          <w:color w:val="auto"/>
          <w:highlight w:val="none"/>
        </w:rPr>
        <w:t>关键机电设备主要技术性能指标提出要求</w:t>
      </w:r>
      <w:r>
        <w:rPr>
          <w:rFonts w:hint="eastAsia"/>
          <w:color w:val="auto"/>
          <w:highlight w:val="none"/>
        </w:rPr>
        <w:t>。</w:t>
      </w:r>
    </w:p>
  </w:footnote>
  <w:footnote w:id="28">
    <w:p w14:paraId="2C93E956">
      <w:pPr>
        <w:pStyle w:val="38"/>
        <w:ind w:left="360" w:hanging="360" w:hangingChars="200"/>
        <w:rPr>
          <w:rFonts w:ascii="宋体" w:hAnsi="宋体" w:cs="宋体"/>
          <w:color w:val="auto"/>
          <w:highlight w:val="none"/>
        </w:rPr>
      </w:pPr>
      <w:r>
        <w:rPr>
          <w:rStyle w:val="59"/>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招标人要明确联合体牵头人、成员方的资格要求</w:t>
      </w:r>
      <w:r>
        <w:rPr>
          <w:rFonts w:hint="eastAsia" w:ascii="宋体" w:hAnsi="宋体" w:cs="宋体"/>
          <w:color w:val="auto"/>
          <w:highlight w:val="none"/>
          <w:lang w:eastAsia="zh-CN"/>
        </w:rPr>
        <w:t>，</w:t>
      </w:r>
      <w:r>
        <w:rPr>
          <w:rFonts w:hint="eastAsia" w:ascii="宋体" w:hAnsi="宋体" w:cs="宋体"/>
          <w:color w:val="auto"/>
          <w:highlight w:val="none"/>
        </w:rPr>
        <w:t>投标人</w:t>
      </w:r>
      <w:r>
        <w:rPr>
          <w:rFonts w:hint="eastAsia" w:ascii="宋体" w:hAnsi="宋体" w:cs="宋体"/>
          <w:color w:val="auto"/>
          <w:highlight w:val="none"/>
          <w:lang w:val="en-US" w:eastAsia="zh-CN"/>
        </w:rPr>
        <w:t>组成</w:t>
      </w:r>
      <w:r>
        <w:rPr>
          <w:rFonts w:hint="eastAsia" w:ascii="宋体" w:hAnsi="宋体" w:cs="宋体"/>
          <w:color w:val="auto"/>
          <w:highlight w:val="none"/>
        </w:rPr>
        <w:t>联合体的资格根据联合体协议书中约定的内部职责分工以及本须知前附表附录资格审查条件中对应的专业资质、财务、业绩、信誉、人员等要求最终认定。</w:t>
      </w:r>
    </w:p>
  </w:footnote>
  <w:footnote w:id="29">
    <w:p w14:paraId="5F3F686C">
      <w:pPr>
        <w:pStyle w:val="38"/>
        <w:rPr>
          <w:color w:val="auto"/>
          <w:highlight w:val="none"/>
        </w:rPr>
      </w:pPr>
      <w:r>
        <w:rPr>
          <w:color w:val="auto"/>
          <w:highlight w:val="none"/>
        </w:rPr>
        <w:footnoteRef/>
      </w:r>
      <w:r>
        <w:rPr>
          <w:rFonts w:hint="eastAsia" w:ascii="宋体" w:hAnsi="宋体" w:cs="宋体"/>
          <w:color w:val="auto"/>
          <w:highlight w:val="none"/>
          <w:lang w:val="en-US" w:eastAsia="zh-CN"/>
        </w:rPr>
        <w:t xml:space="preserve"> </w:t>
      </w:r>
      <w:r>
        <w:rPr>
          <w:rFonts w:hint="eastAsia"/>
          <w:color w:val="auto"/>
          <w:highlight w:val="none"/>
        </w:rPr>
        <w:t xml:space="preserve"> 根据项目实际情况</w:t>
      </w:r>
      <w:r>
        <w:rPr>
          <w:color w:val="auto"/>
          <w:highlight w:val="none"/>
        </w:rPr>
        <w:t>由招标人明确</w:t>
      </w:r>
      <w:r>
        <w:rPr>
          <w:rFonts w:hint="eastAsia"/>
          <w:color w:val="auto"/>
          <w:highlight w:val="none"/>
        </w:rPr>
        <w:t>。</w:t>
      </w:r>
    </w:p>
  </w:footnote>
  <w:footnote w:id="30">
    <w:p w14:paraId="69B46FD6">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根据项目实际情况由招标人明确。</w:t>
      </w:r>
    </w:p>
  </w:footnote>
  <w:footnote w:id="31">
    <w:p w14:paraId="0ED64219">
      <w:pPr>
        <w:pStyle w:val="38"/>
        <w:snapToGrid w:val="0"/>
        <w:rPr>
          <w:rFonts w:hint="eastAsia" w:ascii="宋体" w:hAnsi="宋体" w:eastAsia="宋体" w:cs="宋体"/>
          <w:color w:val="auto"/>
          <w:lang w:val="en-US" w:eastAsia="zh-CN"/>
        </w:rPr>
      </w:pPr>
      <w:r>
        <w:rPr>
          <w:rStyle w:val="59"/>
          <w:rFonts w:hint="eastAsia" w:ascii="宋体" w:hAnsi="宋体" w:eastAsia="宋体" w:cs="宋体"/>
          <w:color w:val="auto"/>
          <w:vertAlign w:val="baseline"/>
        </w:rPr>
        <w:footnoteRef/>
      </w:r>
      <w:r>
        <w:rPr>
          <w:rFonts w:hint="eastAsia" w:ascii="宋体" w:hAnsi="宋体" w:eastAsia="宋体" w:cs="宋体"/>
          <w:color w:val="auto"/>
          <w:vertAlign w:val="baseline"/>
        </w:rPr>
        <w:t xml:space="preserve"> </w:t>
      </w:r>
      <w:r>
        <w:rPr>
          <w:rFonts w:hint="eastAsia" w:ascii="宋体" w:hAnsi="宋体" w:cs="宋体"/>
          <w:color w:val="auto"/>
          <w:vertAlign w:val="baseline"/>
          <w:lang w:val="en-US" w:eastAsia="zh-CN"/>
        </w:rPr>
        <w:t xml:space="preserve"> </w:t>
      </w:r>
      <w:r>
        <w:rPr>
          <w:rFonts w:hint="eastAsia" w:ascii="宋体" w:hAnsi="宋体" w:eastAsia="宋体" w:cs="宋体"/>
          <w:color w:val="auto"/>
          <w:lang w:val="en-US" w:eastAsia="zh-CN"/>
        </w:rPr>
        <w:t>一般情况下采用工程量</w:t>
      </w:r>
      <w:r>
        <w:rPr>
          <w:rFonts w:hint="eastAsia" w:ascii="宋体" w:hAnsi="宋体" w:cs="宋体"/>
          <w:color w:val="auto"/>
          <w:lang w:val="en-US" w:eastAsia="zh-CN"/>
        </w:rPr>
        <w:t>固化</w:t>
      </w:r>
      <w:r>
        <w:rPr>
          <w:rFonts w:hint="eastAsia" w:ascii="宋体" w:hAnsi="宋体" w:eastAsia="宋体" w:cs="宋体"/>
          <w:color w:val="auto"/>
          <w:lang w:val="en-US" w:eastAsia="zh-CN"/>
        </w:rPr>
        <w:t>清单</w:t>
      </w:r>
      <w:r>
        <w:rPr>
          <w:rFonts w:hint="eastAsia" w:ascii="宋体" w:hAnsi="宋体" w:cs="宋体"/>
          <w:color w:val="auto"/>
          <w:lang w:val="en-US" w:eastAsia="zh-CN"/>
        </w:rPr>
        <w:t>方式</w:t>
      </w:r>
      <w:r>
        <w:rPr>
          <w:rFonts w:hint="eastAsia" w:ascii="宋体" w:hAnsi="宋体" w:eastAsia="宋体" w:cs="宋体"/>
          <w:color w:val="auto"/>
          <w:lang w:val="en-US" w:eastAsia="zh-CN"/>
        </w:rPr>
        <w:t>填写</w:t>
      </w:r>
      <w:r>
        <w:rPr>
          <w:rFonts w:hint="eastAsia" w:ascii="宋体" w:hAnsi="宋体" w:cs="宋体"/>
          <w:color w:val="auto"/>
          <w:lang w:val="en-US" w:eastAsia="zh-CN"/>
        </w:rPr>
        <w:t>工程量清单</w:t>
      </w:r>
      <w:r>
        <w:rPr>
          <w:rFonts w:hint="eastAsia" w:ascii="宋体" w:hAnsi="宋体" w:eastAsia="宋体" w:cs="宋体"/>
          <w:color w:val="auto"/>
          <w:lang w:val="en-US" w:eastAsia="zh-CN"/>
        </w:rPr>
        <w:t>，有特殊情形的可进行调整。</w:t>
      </w:r>
    </w:p>
  </w:footnote>
  <w:footnote w:id="32">
    <w:p w14:paraId="3C617276">
      <w:pPr>
        <w:pStyle w:val="38"/>
        <w:ind w:left="360" w:hanging="360" w:hangingChars="200"/>
        <w:rPr>
          <w:rFonts w:hint="eastAsia" w:ascii="宋体" w:hAnsi="宋体" w:cs="宋体"/>
          <w:color w:val="auto"/>
        </w:rPr>
      </w:pPr>
      <w:r>
        <w:rPr>
          <w:rStyle w:val="59"/>
          <w:rFonts w:hint="eastAsia" w:ascii="宋体" w:hAnsi="宋体" w:cs="宋体"/>
          <w:color w:val="auto"/>
          <w:vertAlign w:val="baseline"/>
        </w:rPr>
        <w:footnoteRef/>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指</w:t>
      </w:r>
      <w:r>
        <w:rPr>
          <w:rFonts w:hint="eastAsia" w:ascii="宋体" w:hAnsi="宋体" w:cs="宋体"/>
          <w:color w:val="auto"/>
          <w:lang w:val="en-US" w:eastAsia="zh-CN"/>
        </w:rPr>
        <w:t>第九章“投标文件格式”第二个信封（报价文件）“一、</w:t>
      </w:r>
      <w:r>
        <w:rPr>
          <w:rFonts w:hint="eastAsia" w:ascii="宋体" w:hAnsi="宋体" w:cs="宋体"/>
          <w:color w:val="auto"/>
        </w:rPr>
        <w:t>投标函</w:t>
      </w:r>
      <w:r>
        <w:rPr>
          <w:rFonts w:hint="eastAsia" w:ascii="宋体" w:hAnsi="宋体" w:cs="宋体"/>
          <w:color w:val="auto"/>
          <w:lang w:eastAsia="zh-CN"/>
        </w:rPr>
        <w:t>（</w:t>
      </w:r>
      <w:r>
        <w:rPr>
          <w:rFonts w:hint="eastAsia" w:ascii="宋体" w:hAnsi="宋体" w:cs="宋体"/>
          <w:color w:val="auto"/>
          <w:lang w:val="en-US" w:eastAsia="zh-CN"/>
        </w:rPr>
        <w:t>第二个信封</w:t>
      </w:r>
      <w:r>
        <w:rPr>
          <w:rFonts w:hint="eastAsia" w:ascii="宋体" w:hAnsi="宋体" w:cs="宋体"/>
          <w:color w:val="auto"/>
          <w:lang w:eastAsia="zh-CN"/>
        </w:rPr>
        <w:t>）</w:t>
      </w:r>
      <w:r>
        <w:rPr>
          <w:rFonts w:hint="eastAsia" w:ascii="宋体" w:hAnsi="宋体" w:cs="宋体"/>
          <w:color w:val="auto"/>
          <w:lang w:val="en-US" w:eastAsia="zh-CN"/>
        </w:rPr>
        <w:t>”</w:t>
      </w:r>
      <w:r>
        <w:rPr>
          <w:rFonts w:hint="eastAsia" w:ascii="宋体" w:hAnsi="宋体" w:cs="宋体"/>
          <w:color w:val="auto"/>
        </w:rPr>
        <w:t>中“投标总报价”的报价方式。</w:t>
      </w:r>
    </w:p>
  </w:footnote>
  <w:footnote w:id="33">
    <w:p w14:paraId="6863891E">
      <w:pPr>
        <w:pStyle w:val="38"/>
        <w:ind w:left="360" w:hanging="360" w:hangingChars="200"/>
        <w:rPr>
          <w:rFonts w:hint="eastAsia" w:ascii="宋体" w:hAnsi="宋体" w:cs="宋体"/>
          <w:color w:val="auto"/>
        </w:rPr>
      </w:pPr>
      <w:r>
        <w:rPr>
          <w:rStyle w:val="59"/>
          <w:rFonts w:hint="eastAsia" w:ascii="宋体" w:hAnsi="宋体" w:cs="宋体"/>
          <w:color w:val="auto"/>
          <w:vertAlign w:val="baseline"/>
        </w:rPr>
        <w:footnoteRef/>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当报价方式采用</w:t>
      </w:r>
      <w:r>
        <w:rPr>
          <w:rFonts w:hint="eastAsia" w:ascii="宋体" w:hAnsi="宋体" w:cs="宋体"/>
          <w:color w:val="auto"/>
          <w:lang w:val="en-US" w:eastAsia="zh-CN"/>
        </w:rPr>
        <w:t>单价或</w:t>
      </w:r>
      <w:r>
        <w:rPr>
          <w:rFonts w:hint="eastAsia" w:ascii="宋体" w:hAnsi="宋体" w:cs="宋体"/>
          <w:color w:val="auto"/>
        </w:rPr>
        <w:t>总价以外的其他情形时，在此约定具体内容</w:t>
      </w:r>
      <w:r>
        <w:rPr>
          <w:rFonts w:hint="eastAsia" w:ascii="宋体" w:hAnsi="宋体" w:cs="宋体"/>
          <w:color w:val="auto"/>
          <w:lang w:eastAsia="zh-CN"/>
        </w:rPr>
        <w:t>，</w:t>
      </w:r>
      <w:r>
        <w:rPr>
          <w:rFonts w:hint="eastAsia" w:ascii="宋体" w:hAnsi="宋体" w:cs="宋体"/>
          <w:color w:val="auto"/>
          <w:lang w:val="en-US" w:eastAsia="zh-CN"/>
        </w:rPr>
        <w:t>同时工程量清单的填写方式需做相应调整</w:t>
      </w:r>
      <w:r>
        <w:rPr>
          <w:rFonts w:hint="eastAsia" w:ascii="宋体" w:hAnsi="宋体" w:cs="宋体"/>
          <w:color w:val="auto"/>
        </w:rPr>
        <w:t>。</w:t>
      </w:r>
    </w:p>
  </w:footnote>
  <w:footnote w:id="34">
    <w:p w14:paraId="0643F7F4">
      <w:pPr>
        <w:pStyle w:val="38"/>
        <w:ind w:left="360" w:hanging="360" w:hangingChars="200"/>
        <w:jc w:val="both"/>
        <w:rPr>
          <w:rFonts w:hint="eastAsia" w:ascii="宋体" w:hAnsi="宋体" w:cs="宋体"/>
          <w:color w:val="auto"/>
        </w:rPr>
      </w:pPr>
      <w:r>
        <w:rPr>
          <w:rStyle w:val="59"/>
          <w:rFonts w:hint="eastAsia" w:ascii="宋体" w:hAnsi="宋体" w:cs="宋体"/>
          <w:color w:val="auto"/>
          <w:vertAlign w:val="baseline"/>
        </w:rPr>
        <w:footnoteRef/>
      </w:r>
      <w:r>
        <w:rPr>
          <w:rFonts w:hint="eastAsia" w:ascii="宋体" w:hAnsi="宋体" w:cs="宋体"/>
          <w:color w:val="auto"/>
          <w:lang w:val="en-US" w:eastAsia="zh-CN"/>
        </w:rPr>
        <w:t xml:space="preserve"> </w:t>
      </w:r>
      <w:r>
        <w:rPr>
          <w:rFonts w:hint="eastAsia" w:ascii="宋体" w:hAnsi="宋体" w:cs="宋体"/>
          <w:color w:val="auto"/>
        </w:rPr>
        <w:t xml:space="preserve"> 招标人将招标项目公布的各标段的最高投标限价相关内容填写在该图框内，图框中为总价方式的最高投标限价示例，招标人根据不同的报价方式，对项目的最高投标限价在该图框内进行</w:t>
      </w:r>
      <w:r>
        <w:rPr>
          <w:rFonts w:hint="eastAsia" w:ascii="宋体" w:hAnsi="宋体" w:cs="宋体"/>
          <w:color w:val="auto"/>
          <w:lang w:val="en-US" w:eastAsia="zh-CN"/>
        </w:rPr>
        <w:t>修改</w:t>
      </w:r>
      <w:r>
        <w:rPr>
          <w:rFonts w:hint="eastAsia" w:ascii="宋体" w:hAnsi="宋体" w:cs="宋体"/>
          <w:color w:val="auto"/>
        </w:rPr>
        <w:t>。</w:t>
      </w:r>
    </w:p>
  </w:footnote>
  <w:footnote w:id="35">
    <w:p w14:paraId="346BC3B6">
      <w:pPr>
        <w:pStyle w:val="38"/>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投标保证金不得超过招标标段最高投标限价的2%，招标人应据此测算出具体金额。</w:t>
      </w:r>
    </w:p>
  </w:footnote>
  <w:footnote w:id="36">
    <w:p w14:paraId="0D548C6B">
      <w:pPr>
        <w:pStyle w:val="38"/>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招标人不得强制限定投标保证金必须采用现金或支票方式缴纳，不得拒绝银行保函形式的投标保证金。</w:t>
      </w:r>
    </w:p>
  </w:footnote>
  <w:footnote w:id="37">
    <w:p w14:paraId="5C22899F">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电子保函不适用。</w:t>
      </w:r>
    </w:p>
  </w:footnote>
  <w:footnote w:id="38">
    <w:p w14:paraId="49AA3E49">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当采用</w:t>
      </w:r>
      <w:r>
        <w:rPr>
          <w:color w:val="auto"/>
          <w:highlight w:val="none"/>
        </w:rPr>
        <w:t>现金</w:t>
      </w:r>
      <w:r>
        <w:rPr>
          <w:rFonts w:hint="eastAsia"/>
          <w:color w:val="auto"/>
          <w:highlight w:val="none"/>
        </w:rPr>
        <w:t>、</w:t>
      </w:r>
      <w:r>
        <w:rPr>
          <w:color w:val="auto"/>
          <w:highlight w:val="none"/>
        </w:rPr>
        <w:t>支票、银行保函之外的其他形式</w:t>
      </w:r>
      <w:r>
        <w:rPr>
          <w:rFonts w:hint="eastAsia"/>
          <w:color w:val="auto"/>
          <w:highlight w:val="none"/>
        </w:rPr>
        <w:t>提交投标保证金</w:t>
      </w:r>
      <w:r>
        <w:rPr>
          <w:color w:val="auto"/>
          <w:highlight w:val="none"/>
        </w:rPr>
        <w:t>时</w:t>
      </w:r>
      <w:r>
        <w:rPr>
          <w:rFonts w:hint="eastAsia"/>
          <w:color w:val="auto"/>
          <w:highlight w:val="none"/>
        </w:rPr>
        <w:t>，招标人</w:t>
      </w:r>
      <w:r>
        <w:rPr>
          <w:color w:val="auto"/>
          <w:highlight w:val="none"/>
        </w:rPr>
        <w:t>可</w:t>
      </w:r>
      <w:r>
        <w:rPr>
          <w:rFonts w:hint="eastAsia"/>
          <w:color w:val="auto"/>
          <w:highlight w:val="none"/>
        </w:rPr>
        <w:t>列明</w:t>
      </w:r>
      <w:r>
        <w:rPr>
          <w:color w:val="auto"/>
          <w:highlight w:val="none"/>
        </w:rPr>
        <w:t>相应</w:t>
      </w:r>
      <w:r>
        <w:rPr>
          <w:rFonts w:hint="eastAsia"/>
          <w:color w:val="auto"/>
          <w:highlight w:val="none"/>
        </w:rPr>
        <w:t>的</w:t>
      </w:r>
      <w:r>
        <w:rPr>
          <w:color w:val="auto"/>
          <w:highlight w:val="none"/>
        </w:rPr>
        <w:t>要求。</w:t>
      </w:r>
    </w:p>
  </w:footnote>
  <w:footnote w:id="39">
    <w:p w14:paraId="2376578A">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此内容适用于投标保证金采用现金或者支票形式提交时。</w:t>
      </w:r>
    </w:p>
  </w:footnote>
  <w:footnote w:id="40">
    <w:p w14:paraId="5318D313">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ascii="宋体" w:hAnsi="宋体" w:cs="宋体"/>
          <w:color w:val="auto"/>
          <w:highlight w:val="none"/>
        </w:rPr>
        <w:t>投标保证金以现金或者支票形式递交的，投标保证金的利息计算原则与上述要求不同的</w:t>
      </w:r>
      <w:r>
        <w:rPr>
          <w:rFonts w:ascii="宋体" w:hAnsi="宋体" w:cs="宋体"/>
          <w:color w:val="auto"/>
          <w:highlight w:val="none"/>
        </w:rPr>
        <w:t>，在此列明。</w:t>
      </w:r>
    </w:p>
  </w:footnote>
  <w:footnote w:id="41">
    <w:p w14:paraId="20EFA870">
      <w:pPr>
        <w:pStyle w:val="38"/>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招标人若选择多种方式提交投标保证金的，本项投标保证金退还方式可同时选择多种方式。</w:t>
      </w:r>
    </w:p>
  </w:footnote>
  <w:footnote w:id="42">
    <w:p w14:paraId="4426B70D">
      <w:pPr>
        <w:pStyle w:val="38"/>
        <w:snapToGrid w:val="0"/>
        <w:rPr>
          <w:rFonts w:hint="default" w:eastAsia="宋体"/>
          <w:color w:val="auto"/>
          <w:lang w:val="en-US" w:eastAsia="zh-CN"/>
        </w:rPr>
      </w:pPr>
      <w:r>
        <w:rPr>
          <w:rStyle w:val="59"/>
          <w:color w:val="auto"/>
          <w:vertAlign w:val="baseline"/>
        </w:rPr>
        <w:footnoteRef/>
      </w:r>
      <w:r>
        <w:rPr>
          <w:color w:val="auto"/>
          <w:vertAlign w:val="baseline"/>
        </w:rPr>
        <w:t xml:space="preserve"> </w:t>
      </w:r>
      <w:r>
        <w:rPr>
          <w:rFonts w:hint="eastAsia"/>
          <w:color w:val="auto"/>
          <w:vertAlign w:val="baseline"/>
          <w:lang w:val="en-US" w:eastAsia="zh-CN"/>
        </w:rPr>
        <w:t xml:space="preserve"> </w:t>
      </w:r>
      <w:r>
        <w:rPr>
          <w:rFonts w:hint="eastAsia"/>
          <w:color w:val="auto"/>
          <w:lang w:val="en-US" w:eastAsia="zh-CN"/>
        </w:rPr>
        <w:t>本项为单选项。</w:t>
      </w:r>
    </w:p>
  </w:footnote>
  <w:footnote w:id="43">
    <w:p w14:paraId="3C19E52A">
      <w:pPr>
        <w:pStyle w:val="38"/>
        <w:snapToGrid w:val="0"/>
        <w:ind w:left="360" w:hanging="360" w:hangingChars="200"/>
        <w:rPr>
          <w:color w:val="auto"/>
          <w:highlight w:val="none"/>
        </w:rPr>
      </w:pPr>
      <w:r>
        <w:rPr>
          <w:rStyle w:val="59"/>
          <w:color w:val="auto"/>
          <w:highlight w:val="none"/>
          <w:vertAlign w:val="baseline"/>
        </w:rPr>
        <w:footnoteRef/>
      </w:r>
      <w:r>
        <w:rPr>
          <w:color w:val="auto"/>
          <w:highlight w:val="none"/>
          <w:vertAlign w:val="baseline"/>
        </w:rPr>
        <w:t xml:space="preserve"> </w:t>
      </w:r>
      <w:r>
        <w:rPr>
          <w:rFonts w:hint="eastAsia"/>
          <w:color w:val="auto"/>
          <w:highlight w:val="none"/>
          <w:vertAlign w:val="baseline"/>
          <w:lang w:val="en-US" w:eastAsia="zh-CN"/>
        </w:rPr>
        <w:t xml:space="preserve"> </w:t>
      </w:r>
      <w:r>
        <w:rPr>
          <w:rFonts w:hint="eastAsia" w:ascii="宋体" w:hAnsi="宋体"/>
          <w:color w:val="auto"/>
          <w:highlight w:val="none"/>
          <w:lang w:val="en-US" w:eastAsia="zh-CN"/>
        </w:rPr>
        <w:t>当项目在市（州）交易中心分平台交易时，相应调整为市（州）“电子招标投标系统”的电子投标文件格式名称。</w:t>
      </w:r>
    </w:p>
  </w:footnote>
  <w:footnote w:id="44">
    <w:p w14:paraId="0854B265">
      <w:pPr>
        <w:pStyle w:val="38"/>
        <w:snapToGrid w:val="0"/>
        <w:ind w:left="360" w:hanging="360" w:hangingChars="200"/>
        <w:rPr>
          <w:color w:val="auto"/>
          <w:highlight w:val="none"/>
        </w:rPr>
      </w:pPr>
      <w:r>
        <w:rPr>
          <w:rStyle w:val="59"/>
          <w:color w:val="auto"/>
          <w:highlight w:val="none"/>
          <w:vertAlign w:val="baseline"/>
        </w:rPr>
        <w:footnoteRef/>
      </w:r>
      <w:r>
        <w:rPr>
          <w:color w:val="auto"/>
          <w:highlight w:val="none"/>
          <w:vertAlign w:val="baseline"/>
        </w:rPr>
        <w:t xml:space="preserve"> </w:t>
      </w:r>
      <w:r>
        <w:rPr>
          <w:rFonts w:hint="eastAsia"/>
          <w:color w:val="auto"/>
          <w:highlight w:val="none"/>
          <w:vertAlign w:val="baseline"/>
          <w:lang w:val="en-US" w:eastAsia="zh-CN"/>
        </w:rPr>
        <w:t xml:space="preserve"> </w:t>
      </w:r>
      <w:r>
        <w:rPr>
          <w:rFonts w:hint="eastAsia" w:ascii="宋体" w:hAnsi="宋体"/>
          <w:color w:val="auto"/>
          <w:highlight w:val="none"/>
          <w:lang w:val="en-US" w:eastAsia="zh-CN"/>
        </w:rPr>
        <w:t>当项目在市（州）交易中心分平台交易时，相应调整为市（州）“电子招标投标系统”的电子投标文件格式名称。</w:t>
      </w:r>
    </w:p>
  </w:footnote>
  <w:footnote w:id="45">
    <w:p w14:paraId="1163BD3F">
      <w:pPr>
        <w:pStyle w:val="38"/>
        <w:ind w:left="360" w:hanging="360" w:hangingChars="200"/>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第二个信封</w:t>
      </w:r>
      <w:r>
        <w:rPr>
          <w:color w:val="auto"/>
          <w:highlight w:val="none"/>
        </w:rPr>
        <w:t>（</w:t>
      </w:r>
      <w:r>
        <w:rPr>
          <w:rFonts w:hint="eastAsia"/>
          <w:color w:val="auto"/>
          <w:highlight w:val="none"/>
        </w:rPr>
        <w:t>报价文件</w:t>
      </w:r>
      <w:r>
        <w:rPr>
          <w:color w:val="auto"/>
          <w:highlight w:val="none"/>
        </w:rPr>
        <w:t>）</w:t>
      </w:r>
      <w:r>
        <w:rPr>
          <w:rFonts w:hint="eastAsia"/>
          <w:color w:val="auto"/>
          <w:highlight w:val="none"/>
        </w:rPr>
        <w:t>开标时间</w:t>
      </w:r>
      <w:r>
        <w:rPr>
          <w:color w:val="auto"/>
          <w:highlight w:val="none"/>
        </w:rPr>
        <w:t>由</w:t>
      </w:r>
      <w:r>
        <w:rPr>
          <w:rFonts w:hint="eastAsia"/>
          <w:color w:val="auto"/>
          <w:highlight w:val="none"/>
        </w:rPr>
        <w:t>招标人通过</w:t>
      </w:r>
      <w:r>
        <w:rPr>
          <w:color w:val="auto"/>
          <w:highlight w:val="none"/>
        </w:rPr>
        <w:t>系统</w:t>
      </w:r>
      <w:r>
        <w:rPr>
          <w:rFonts w:hint="eastAsia"/>
          <w:color w:val="auto"/>
          <w:highlight w:val="none"/>
        </w:rPr>
        <w:t>发送短信方式，或</w:t>
      </w:r>
      <w:r>
        <w:rPr>
          <w:color w:val="auto"/>
          <w:highlight w:val="none"/>
        </w:rPr>
        <w:t>人工</w:t>
      </w:r>
      <w:r>
        <w:rPr>
          <w:rFonts w:hint="eastAsia"/>
          <w:color w:val="auto"/>
          <w:highlight w:val="none"/>
        </w:rPr>
        <w:t>电话通知方式或</w:t>
      </w:r>
      <w:r>
        <w:rPr>
          <w:color w:val="auto"/>
          <w:highlight w:val="none"/>
        </w:rPr>
        <w:t>其他有效方式</w:t>
      </w:r>
      <w:r>
        <w:rPr>
          <w:rFonts w:hint="eastAsia"/>
          <w:color w:val="auto"/>
          <w:highlight w:val="none"/>
        </w:rPr>
        <w:t>告知</w:t>
      </w:r>
      <w:r>
        <w:rPr>
          <w:color w:val="auto"/>
          <w:highlight w:val="none"/>
        </w:rPr>
        <w:t>投标人。</w:t>
      </w:r>
    </w:p>
  </w:footnote>
  <w:footnote w:id="46">
    <w:p w14:paraId="1BE1AFE4">
      <w:pPr>
        <w:pStyle w:val="38"/>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解密</w:t>
      </w:r>
      <w:r>
        <w:rPr>
          <w:rFonts w:hint="eastAsia" w:ascii="宋体" w:hAnsi="宋体"/>
          <w:color w:val="auto"/>
          <w:highlight w:val="none"/>
        </w:rPr>
        <w:t>时间建议</w:t>
      </w:r>
      <w:r>
        <w:rPr>
          <w:rFonts w:ascii="宋体" w:hAnsi="宋体"/>
          <w:color w:val="auto"/>
          <w:highlight w:val="none"/>
        </w:rPr>
        <w:t>在30分钟以内。</w:t>
      </w:r>
    </w:p>
  </w:footnote>
  <w:footnote w:id="47">
    <w:p w14:paraId="7444702F">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投标人</w:t>
      </w:r>
      <w:r>
        <w:rPr>
          <w:rFonts w:hint="eastAsia" w:ascii="宋体" w:hAnsi="宋体"/>
          <w:color w:val="auto"/>
          <w:highlight w:val="none"/>
          <w:lang w:val="en-US" w:eastAsia="zh-CN"/>
        </w:rPr>
        <w:t>应</w:t>
      </w:r>
      <w:r>
        <w:rPr>
          <w:rFonts w:hint="eastAsia" w:ascii="宋体" w:hAnsi="宋体"/>
          <w:color w:val="auto"/>
          <w:highlight w:val="none"/>
        </w:rPr>
        <w:t>在</w:t>
      </w:r>
      <w:r>
        <w:rPr>
          <w:rFonts w:hint="eastAsia" w:ascii="宋体" w:hAnsi="宋体"/>
          <w:color w:val="auto"/>
          <w:highlight w:val="none"/>
          <w:lang w:val="en-US" w:eastAsia="zh-CN"/>
        </w:rPr>
        <w:t>规定时间</w:t>
      </w:r>
      <w:r>
        <w:rPr>
          <w:rFonts w:ascii="宋体" w:hAnsi="宋体"/>
          <w:color w:val="auto"/>
          <w:highlight w:val="none"/>
        </w:rPr>
        <w:t>内在线提出异议，招标人在线即时答复处理。如投标人未提出异议的，视为其认可开标过程、开标内容和开标结果。</w:t>
      </w:r>
    </w:p>
  </w:footnote>
  <w:footnote w:id="48">
    <w:p w14:paraId="46914D3B">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投标人</w:t>
      </w:r>
      <w:r>
        <w:rPr>
          <w:rFonts w:hint="eastAsia" w:ascii="宋体" w:hAnsi="宋体"/>
          <w:color w:val="auto"/>
          <w:highlight w:val="none"/>
          <w:lang w:val="en-US" w:eastAsia="zh-CN"/>
        </w:rPr>
        <w:t>应在规定的时间</w:t>
      </w:r>
      <w:r>
        <w:rPr>
          <w:rFonts w:ascii="宋体" w:hAnsi="宋体"/>
          <w:color w:val="auto"/>
          <w:highlight w:val="none"/>
        </w:rPr>
        <w:t>内在线提出异议，招标人在线即时答复处理。如投标人未提出异议的，视为其认可开标过程、开标内容和开标结果。</w:t>
      </w:r>
    </w:p>
  </w:footnote>
  <w:footnote w:id="49">
    <w:p w14:paraId="4974ED2C">
      <w:pPr>
        <w:pStyle w:val="38"/>
        <w:ind w:left="360" w:hanging="360" w:hangingChars="200"/>
        <w:jc w:val="both"/>
        <w:rPr>
          <w:color w:val="auto"/>
          <w:highlight w:val="none"/>
        </w:rPr>
      </w:pPr>
      <w:r>
        <w:rPr>
          <w:rStyle w:val="59"/>
          <w:rFonts w:ascii="宋体" w:hAnsi="宋体"/>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eastAsia="宋体" w:cs="宋体"/>
          <w:color w:val="auto"/>
          <w:highlight w:val="none"/>
        </w:rPr>
        <w:t>评标委员会由评标专家和招标人代表共同组成，人数为五人以上单数。其中，评标专家人数不得少于成员总数的三分之二。</w:t>
      </w:r>
    </w:p>
  </w:footnote>
  <w:footnote w:id="50">
    <w:p w14:paraId="297EDDD5">
      <w:pPr>
        <w:pStyle w:val="38"/>
        <w:ind w:left="360" w:hanging="360" w:hangingChars="200"/>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eastAsia="宋体" w:cs="宋体"/>
          <w:color w:val="auto"/>
          <w:highlight w:val="none"/>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r>
        <w:rPr>
          <w:rFonts w:hint="eastAsia" w:ascii="宋体" w:hAnsi="宋体"/>
          <w:color w:val="auto"/>
          <w:highlight w:val="none"/>
        </w:rPr>
        <w:t>。</w:t>
      </w:r>
    </w:p>
  </w:footnote>
  <w:footnote w:id="51">
    <w:p w14:paraId="69F6531B">
      <w:pPr>
        <w:rPr>
          <w:color w:val="auto"/>
          <w:sz w:val="18"/>
          <w:szCs w:val="18"/>
          <w:highlight w:val="none"/>
        </w:rPr>
      </w:pPr>
      <w:r>
        <w:rPr>
          <w:color w:val="auto"/>
          <w:sz w:val="18"/>
          <w:szCs w:val="18"/>
          <w:highlight w:val="none"/>
        </w:rPr>
        <w:footnoteRef/>
      </w:r>
      <w:r>
        <w:rPr>
          <w:rFonts w:hint="eastAsia"/>
          <w:color w:val="auto"/>
          <w:sz w:val="18"/>
          <w:szCs w:val="18"/>
          <w:highlight w:val="none"/>
        </w:rPr>
        <w:t xml:space="preserve"> </w:t>
      </w:r>
      <w:r>
        <w:rPr>
          <w:rFonts w:hint="eastAsia"/>
          <w:color w:val="auto"/>
          <w:sz w:val="18"/>
          <w:szCs w:val="18"/>
          <w:highlight w:val="none"/>
          <w:lang w:val="en-US" w:eastAsia="zh-CN"/>
        </w:rPr>
        <w:t xml:space="preserve"> </w:t>
      </w:r>
      <w:r>
        <w:rPr>
          <w:rFonts w:hint="eastAsia"/>
          <w:color w:val="auto"/>
          <w:sz w:val="18"/>
          <w:szCs w:val="18"/>
          <w:highlight w:val="none"/>
        </w:rPr>
        <w:t>招标人可选择电子形式、书面形式中的一种或两种发出中标通知书及中标结果通知。</w:t>
      </w:r>
    </w:p>
  </w:footnote>
  <w:footnote w:id="52">
    <w:p w14:paraId="1ED67F84">
      <w:pPr>
        <w:ind w:left="360" w:hanging="360" w:hangingChars="200"/>
        <w:rPr>
          <w:color w:val="auto"/>
          <w:sz w:val="18"/>
          <w:szCs w:val="18"/>
          <w:highlight w:val="none"/>
        </w:rPr>
      </w:pPr>
      <w:r>
        <w:rPr>
          <w:color w:val="auto"/>
          <w:sz w:val="18"/>
          <w:szCs w:val="18"/>
          <w:highlight w:val="none"/>
        </w:rPr>
        <w:footnoteRef/>
      </w:r>
      <w:r>
        <w:rPr>
          <w:color w:val="auto"/>
          <w:sz w:val="18"/>
          <w:szCs w:val="18"/>
          <w:highlight w:val="none"/>
        </w:rPr>
        <w:t xml:space="preserve"> </w:t>
      </w:r>
      <w:r>
        <w:rPr>
          <w:rFonts w:hint="eastAsia"/>
          <w:color w:val="auto"/>
          <w:sz w:val="18"/>
          <w:szCs w:val="18"/>
          <w:highlight w:val="none"/>
          <w:lang w:val="en-US" w:eastAsia="zh-CN"/>
        </w:rPr>
        <w:t xml:space="preserve"> </w:t>
      </w:r>
      <w:r>
        <w:rPr>
          <w:rFonts w:hint="eastAsia"/>
          <w:color w:val="auto"/>
          <w:sz w:val="18"/>
          <w:szCs w:val="18"/>
          <w:highlight w:val="none"/>
        </w:rPr>
        <w:t>招标人不得强制限定履约保证金必须采用现金或支票方式缴纳，不得拒绝银行保函形式的履约保证金。投标人可选择其中</w:t>
      </w:r>
      <w:r>
        <w:rPr>
          <w:rFonts w:hint="eastAsia"/>
          <w:color w:val="auto"/>
          <w:sz w:val="18"/>
          <w:szCs w:val="18"/>
          <w:highlight w:val="none"/>
          <w:lang w:val="en-US" w:eastAsia="zh-CN"/>
        </w:rPr>
        <w:t>任意</w:t>
      </w:r>
      <w:r>
        <w:rPr>
          <w:rFonts w:hint="eastAsia"/>
          <w:color w:val="auto"/>
          <w:sz w:val="18"/>
          <w:szCs w:val="18"/>
          <w:highlight w:val="none"/>
        </w:rPr>
        <w:t>的方式提交其履约保证金。</w:t>
      </w:r>
    </w:p>
  </w:footnote>
  <w:footnote w:id="53">
    <w:p w14:paraId="60646547">
      <w:pPr>
        <w:pStyle w:val="38"/>
        <w:jc w:val="both"/>
        <w:rPr>
          <w:rFonts w:ascii="宋体" w:hAnsi="宋体"/>
          <w:color w:val="auto"/>
          <w:highlight w:val="none"/>
        </w:rPr>
      </w:pPr>
      <w:r>
        <w:rPr>
          <w:rStyle w:val="59"/>
          <w:rFonts w:ascii="宋体" w:hAnsi="宋体"/>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履约保证金不超过签约合同价的</w:t>
      </w:r>
      <w:r>
        <w:rPr>
          <w:rFonts w:ascii="宋体" w:hAnsi="宋体"/>
          <w:color w:val="auto"/>
          <w:highlight w:val="none"/>
        </w:rPr>
        <w:t>10%。</w:t>
      </w:r>
    </w:p>
  </w:footnote>
  <w:footnote w:id="54">
    <w:p w14:paraId="4068A270">
      <w:pPr>
        <w:pStyle w:val="38"/>
        <w:rPr>
          <w:rFonts w:hint="eastAsia" w:ascii="宋体" w:hAnsi="宋体" w:cs="宋体"/>
          <w:color w:val="auto"/>
        </w:rPr>
      </w:pPr>
      <w:r>
        <w:rPr>
          <w:rStyle w:val="59"/>
          <w:rFonts w:hint="eastAsia" w:ascii="宋体" w:hAnsi="宋体" w:cs="宋体"/>
          <w:color w:val="auto"/>
          <w:vertAlign w:val="baseline"/>
        </w:rPr>
        <w:footnoteRef/>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总价以外的其他情形时，在此约定具体</w:t>
      </w:r>
      <w:r>
        <w:rPr>
          <w:rFonts w:hint="eastAsia"/>
          <w:color w:val="auto"/>
          <w:lang w:val="en-US" w:eastAsia="zh-CN"/>
        </w:rPr>
        <w:t>签约合同价</w:t>
      </w:r>
      <w:r>
        <w:rPr>
          <w:rFonts w:hint="eastAsia" w:ascii="宋体" w:hAnsi="宋体" w:cs="宋体"/>
          <w:color w:val="auto"/>
        </w:rPr>
        <w:t>。</w:t>
      </w:r>
    </w:p>
  </w:footnote>
  <w:footnote w:id="55">
    <w:p w14:paraId="12D2E770">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总价以外的其他情形时，在此约定具体</w:t>
      </w:r>
      <w:r>
        <w:rPr>
          <w:rFonts w:hint="eastAsia"/>
          <w:color w:val="auto"/>
          <w:lang w:val="en-US" w:eastAsia="zh-CN"/>
        </w:rPr>
        <w:t>修正原则</w:t>
      </w:r>
      <w:r>
        <w:rPr>
          <w:rFonts w:hint="eastAsia"/>
          <w:color w:val="auto"/>
        </w:rPr>
        <w:t>内容。</w:t>
      </w:r>
    </w:p>
  </w:footnote>
  <w:footnote w:id="56">
    <w:p w14:paraId="56F3EFDA">
      <w:pPr>
        <w:pStyle w:val="38"/>
        <w:ind w:left="360" w:hanging="360" w:hangingChars="200"/>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当评标办法采用综合评分法或技术评分最低标价法时，招标人</w:t>
      </w:r>
      <w:r>
        <w:rPr>
          <w:rFonts w:hint="eastAsia" w:ascii="Calibri" w:hAnsi="Calibri"/>
          <w:color w:val="auto"/>
          <w:highlight w:val="none"/>
        </w:rPr>
        <w:t>可根据项目具体情况，选择是否采用暗标方式进行施工组织设计评审</w:t>
      </w:r>
      <w:r>
        <w:rPr>
          <w:rFonts w:hint="eastAsia"/>
          <w:color w:val="auto"/>
          <w:highlight w:val="none"/>
        </w:rPr>
        <w:t>。</w:t>
      </w:r>
    </w:p>
  </w:footnote>
  <w:footnote w:id="57">
    <w:p w14:paraId="3351400C">
      <w:pPr>
        <w:pStyle w:val="38"/>
        <w:ind w:left="360" w:hanging="360" w:hangingChars="200"/>
        <w:jc w:val="both"/>
        <w:rPr>
          <w:rStyle w:val="59"/>
          <w:color w:val="auto"/>
          <w:szCs w:val="20"/>
          <w:highlight w:val="none"/>
          <w:vertAlign w:val="baseli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Style w:val="59"/>
          <w:rFonts w:hint="eastAsia"/>
          <w:color w:val="auto"/>
          <w:szCs w:val="20"/>
          <w:highlight w:val="none"/>
          <w:vertAlign w:val="baseline"/>
        </w:rPr>
        <w:t>具体资质要求由招标人在满足国家相关法律法规前提下，根据招标项目具体特点和实际情况确定</w:t>
      </w:r>
      <w:r>
        <w:rPr>
          <w:rFonts w:hint="eastAsia"/>
          <w:color w:val="auto"/>
          <w:szCs w:val="20"/>
          <w:highlight w:val="none"/>
        </w:rPr>
        <w:t>。</w:t>
      </w:r>
    </w:p>
  </w:footnote>
  <w:footnote w:id="58">
    <w:p w14:paraId="41A5B461">
      <w:pPr>
        <w:pStyle w:val="38"/>
        <w:ind w:left="360" w:hanging="360" w:hangingChars="200"/>
        <w:jc w:val="both"/>
        <w:rPr>
          <w:rFonts w:ascii="宋体" w:hAnsi="宋体"/>
          <w:color w:val="auto"/>
          <w:szCs w:val="21"/>
          <w:highlight w:val="none"/>
        </w:rPr>
      </w:pPr>
      <w:r>
        <w:rPr>
          <w:rStyle w:val="59"/>
          <w:rFonts w:ascii="宋体" w:hAnsi="宋体"/>
          <w:color w:val="auto"/>
          <w:highlight w:val="none"/>
          <w:vertAlign w:val="baseline"/>
        </w:rPr>
        <w:footnoteRef/>
      </w:r>
      <w:r>
        <w:rPr>
          <w:rFonts w:ascii="宋体" w:hAnsi="宋体"/>
          <w:color w:val="auto"/>
          <w:highlight w:val="none"/>
        </w:rPr>
        <w:t xml:space="preserve"> </w:t>
      </w:r>
      <w:bookmarkStart w:id="972" w:name="_Hlk93947033"/>
      <w:r>
        <w:rPr>
          <w:rFonts w:hint="eastAsia" w:ascii="宋体" w:hAnsi="宋体"/>
          <w:color w:val="auto"/>
          <w:highlight w:val="none"/>
          <w:lang w:val="en-US" w:eastAsia="zh-CN"/>
        </w:rPr>
        <w:t xml:space="preserve"> </w:t>
      </w:r>
      <w:r>
        <w:rPr>
          <w:rFonts w:ascii="宋体" w:hAnsi="宋体"/>
          <w:color w:val="auto"/>
          <w:highlight w:val="none"/>
        </w:rPr>
        <w:t>a.</w:t>
      </w:r>
      <w:bookmarkStart w:id="973" w:name="_Hlk93947240"/>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w:t>
      </w:r>
      <w:r>
        <w:rPr>
          <w:rFonts w:hint="eastAsia" w:ascii="宋体" w:hAnsi="宋体"/>
          <w:color w:val="auto"/>
          <w:szCs w:val="21"/>
          <w:highlight w:val="none"/>
        </w:rPr>
        <w:t>〕</w:t>
      </w:r>
      <w:r>
        <w:rPr>
          <w:rFonts w:ascii="宋体" w:hAnsi="宋体"/>
          <w:color w:val="auto"/>
          <w:szCs w:val="21"/>
          <w:highlight w:val="none"/>
        </w:rPr>
        <w:t>114</w:t>
      </w:r>
      <w:r>
        <w:rPr>
          <w:rFonts w:hint="eastAsia" w:ascii="宋体" w:hAnsi="宋体"/>
          <w:color w:val="auto"/>
          <w:szCs w:val="21"/>
          <w:highlight w:val="none"/>
        </w:rPr>
        <w:t>号）要求，招标人应通过名录对投标人资质条件进行审核的公路施工企业。</w:t>
      </w:r>
      <w:bookmarkEnd w:id="973"/>
    </w:p>
    <w:p w14:paraId="7A693109">
      <w:pPr>
        <w:pStyle w:val="38"/>
        <w:wordWrap w:val="0"/>
        <w:ind w:left="379" w:leftChars="95" w:hanging="180" w:hangingChars="100"/>
        <w:jc w:val="both"/>
        <w:rPr>
          <w:rFonts w:ascii="宋体" w:hAnsi="宋体"/>
          <w:color w:val="auto"/>
          <w:szCs w:val="21"/>
          <w:highlight w:val="none"/>
        </w:rPr>
      </w:pPr>
      <w:r>
        <w:rPr>
          <w:rFonts w:ascii="宋体" w:hAnsi="宋体"/>
          <w:color w:val="auto"/>
          <w:szCs w:val="21"/>
          <w:highlight w:val="none"/>
        </w:rPr>
        <w:t xml:space="preserve">  b.</w:t>
      </w:r>
      <w:bookmarkEnd w:id="972"/>
      <w:r>
        <w:rPr>
          <w:rFonts w:hint="eastAsia" w:ascii="宋体" w:hAnsi="宋体"/>
          <w:color w:val="auto"/>
          <w:szCs w:val="21"/>
          <w:highlight w:val="none"/>
        </w:rPr>
        <w:t>投标人名称和资质有变更，与</w:t>
      </w:r>
      <w:r>
        <w:rPr>
          <w:rFonts w:ascii="宋体" w:hAnsi="宋体"/>
          <w:color w:val="auto"/>
          <w:szCs w:val="21"/>
          <w:highlight w:val="none"/>
        </w:rPr>
        <w:t>交通运输部</w:t>
      </w:r>
      <w:r>
        <w:rPr>
          <w:rFonts w:hint="eastAsia" w:ascii="宋体" w:hAnsi="宋体"/>
          <w:color w:val="auto"/>
          <w:szCs w:val="21"/>
          <w:highlight w:val="none"/>
        </w:rPr>
        <w:t>“</w:t>
      </w:r>
      <w:r>
        <w:rPr>
          <w:rFonts w:hint="eastAsia" w:ascii="宋体" w:hAnsi="宋体" w:cs="Times New Roman"/>
          <w:color w:val="auto"/>
          <w:kern w:val="2"/>
          <w:szCs w:val="21"/>
          <w:highlight w:val="none"/>
          <w:lang w:eastAsia="zh-CN"/>
        </w:rPr>
        <w:t>全国公路建设市场监督管理系统（https://hwdms.mot.gov.cn/BMWebSite/）</w:t>
      </w:r>
      <w:r>
        <w:rPr>
          <w:rFonts w:hint="eastAsia" w:ascii="宋体" w:hAnsi="宋体"/>
          <w:color w:val="auto"/>
          <w:szCs w:val="21"/>
          <w:highlight w:val="none"/>
        </w:rPr>
        <w:t>”</w:t>
      </w:r>
      <w:r>
        <w:rPr>
          <w:rFonts w:ascii="宋体" w:hAnsi="宋体"/>
          <w:color w:val="auto"/>
          <w:szCs w:val="21"/>
          <w:highlight w:val="none"/>
        </w:rPr>
        <w:t>中的</w:t>
      </w:r>
      <w:r>
        <w:rPr>
          <w:rFonts w:hint="eastAsia" w:ascii="宋体" w:hAnsi="宋体"/>
          <w:color w:val="auto"/>
          <w:szCs w:val="21"/>
          <w:highlight w:val="none"/>
        </w:rPr>
        <w:t>“</w:t>
      </w:r>
      <w:r>
        <w:rPr>
          <w:rFonts w:ascii="宋体" w:hAnsi="宋体"/>
          <w:color w:val="auto"/>
          <w:szCs w:val="21"/>
          <w:highlight w:val="none"/>
        </w:rPr>
        <w:t>公路</w:t>
      </w:r>
      <w:r>
        <w:rPr>
          <w:rFonts w:hint="eastAsia" w:ascii="宋体" w:hAnsi="宋体"/>
          <w:color w:val="auto"/>
          <w:szCs w:val="21"/>
          <w:highlight w:val="none"/>
        </w:rPr>
        <w:t>工程施工资质</w:t>
      </w:r>
      <w:r>
        <w:rPr>
          <w:rFonts w:ascii="宋体" w:hAnsi="宋体"/>
          <w:color w:val="auto"/>
          <w:szCs w:val="21"/>
          <w:highlight w:val="none"/>
        </w:rPr>
        <w:t>企业名录</w:t>
      </w:r>
      <w:r>
        <w:rPr>
          <w:rFonts w:hint="eastAsia" w:ascii="宋体" w:hAnsi="宋体"/>
          <w:color w:val="auto"/>
          <w:szCs w:val="21"/>
          <w:highlight w:val="none"/>
        </w:rPr>
        <w:t>”中的相应企业名称和资质不一致时，投标人应提供相关证明材料。</w:t>
      </w:r>
    </w:p>
  </w:footnote>
  <w:footnote w:id="59">
    <w:p w14:paraId="18EFCBA9">
      <w:pPr>
        <w:pStyle w:val="38"/>
        <w:ind w:left="360" w:hanging="360" w:hangingChars="200"/>
        <w:jc w:val="both"/>
        <w:rPr>
          <w:rFonts w:ascii="宋体" w:hAnsi="宋体"/>
          <w:color w:val="auto"/>
        </w:rPr>
      </w:pPr>
      <w:r>
        <w:rPr>
          <w:rStyle w:val="59"/>
          <w:rFonts w:ascii="宋体" w:hAnsi="宋体"/>
          <w:color w:val="auto"/>
          <w:vertAlign w:val="baseline"/>
        </w:rPr>
        <w:footnoteRef/>
      </w:r>
      <w:r>
        <w:rPr>
          <w:rFonts w:ascii="宋体" w:hAnsi="宋体"/>
          <w:color w:val="auto"/>
        </w:rPr>
        <w:t xml:space="preserve"> </w:t>
      </w:r>
      <w:r>
        <w:rPr>
          <w:rFonts w:hint="eastAsia" w:ascii="宋体" w:hAnsi="宋体"/>
          <w:color w:val="auto"/>
        </w:rPr>
        <w:t xml:space="preserve"> 在</w:t>
      </w:r>
      <w:r>
        <w:rPr>
          <w:rStyle w:val="59"/>
          <w:rFonts w:hint="eastAsia" w:ascii="宋体" w:hAnsi="宋体"/>
          <w:color w:val="auto"/>
          <w:szCs w:val="20"/>
          <w:vertAlign w:val="baseline"/>
        </w:rPr>
        <w:t>满足国家相关法律法规</w:t>
      </w:r>
      <w:r>
        <w:rPr>
          <w:rFonts w:hint="eastAsia" w:ascii="宋体" w:hAnsi="宋体"/>
          <w:color w:val="auto"/>
          <w:szCs w:val="20"/>
        </w:rPr>
        <w:t>的前提下，</w:t>
      </w:r>
      <w:r>
        <w:rPr>
          <w:rFonts w:hint="eastAsia" w:ascii="宋体" w:hAnsi="宋体"/>
          <w:color w:val="auto"/>
        </w:rPr>
        <w:t>根据招标项目具体特点和实际情况，招标人可以对上述以外的其他资质提出要求。</w:t>
      </w:r>
    </w:p>
  </w:footnote>
  <w:footnote w:id="60">
    <w:p w14:paraId="1FD671AF">
      <w:pPr>
        <w:pStyle w:val="38"/>
        <w:ind w:left="360" w:hanging="360" w:hangingChars="200"/>
        <w:rPr>
          <w:color w:val="auto"/>
          <w:highlight w:val="none"/>
        </w:rPr>
      </w:pPr>
      <w:r>
        <w:rPr>
          <w:rStyle w:val="59"/>
          <w:color w:val="auto"/>
          <w:highlight w:val="none"/>
          <w:vertAlign w:val="baseline"/>
        </w:rPr>
        <w:footnoteRef/>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具体财务要求由招标人在满足国家相关法律法规前提下，根据招标项目具体特点和实际情况中确定，但不得设置过高的要求。</w:t>
      </w:r>
    </w:p>
  </w:footnote>
  <w:footnote w:id="61">
    <w:p w14:paraId="502B76D4">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指投标人近一年的财务状况。</w:t>
      </w:r>
    </w:p>
  </w:footnote>
  <w:footnote w:id="62">
    <w:p w14:paraId="2BD9B103">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szCs w:val="21"/>
        </w:rPr>
        <w:t>在满足国家相关法律法规前提下</w:t>
      </w:r>
      <w:r>
        <w:rPr>
          <w:rFonts w:hint="eastAsia" w:ascii="宋体" w:hAnsi="宋体"/>
          <w:color w:val="auto"/>
          <w:highlight w:val="none"/>
        </w:rPr>
        <w:t>可以对其他财务指标提出要求。</w:t>
      </w:r>
    </w:p>
  </w:footnote>
  <w:footnote w:id="63">
    <w:p w14:paraId="69F456E0">
      <w:pPr>
        <w:spacing w:line="240" w:lineRule="auto"/>
        <w:ind w:left="540" w:hanging="540" w:hangingChars="300"/>
        <w:rPr>
          <w:rFonts w:hint="eastAsia" w:ascii="宋体" w:hAnsi="宋体"/>
          <w:color w:val="auto"/>
          <w:sz w:val="18"/>
          <w:szCs w:val="18"/>
          <w:highlight w:val="none"/>
        </w:rPr>
      </w:pPr>
      <w:r>
        <w:rPr>
          <w:rStyle w:val="59"/>
          <w:color w:val="auto"/>
          <w:sz w:val="18"/>
          <w:szCs w:val="21"/>
          <w:highlight w:val="none"/>
          <w:vertAlign w:val="baseline"/>
        </w:rPr>
        <w:footnoteRef/>
      </w:r>
      <w:r>
        <w:rPr>
          <w:rFonts w:hint="eastAsia"/>
          <w:color w:val="auto"/>
          <w:highlight w:val="none"/>
          <w:lang w:val="en-US" w:eastAsia="zh-CN"/>
        </w:rPr>
        <w:t xml:space="preserve">  </w:t>
      </w:r>
      <w:r>
        <w:rPr>
          <w:rFonts w:hint="eastAsia" w:ascii="宋体" w:hAnsi="宋体"/>
          <w:color w:val="auto"/>
          <w:sz w:val="18"/>
          <w:szCs w:val="18"/>
          <w:highlight w:val="none"/>
        </w:rPr>
        <w:t>具体业绩要求由招标人在满足国家相关法律法规前提下，根据招标项目具体特点和实际情况确定，但不得设</w:t>
      </w:r>
    </w:p>
    <w:p w14:paraId="0279F76E">
      <w:pPr>
        <w:spacing w:line="240" w:lineRule="auto"/>
        <w:ind w:left="537" w:leftChars="170" w:hanging="180" w:hangingChars="100"/>
        <w:rPr>
          <w:rFonts w:hint="default" w:eastAsia="宋体"/>
          <w:color w:val="auto"/>
          <w:highlight w:val="none"/>
          <w:lang w:val="en-US" w:eastAsia="zh-CN"/>
        </w:rPr>
      </w:pPr>
      <w:r>
        <w:rPr>
          <w:rFonts w:hint="eastAsia" w:ascii="宋体" w:hAnsi="宋体"/>
          <w:color w:val="auto"/>
          <w:sz w:val="18"/>
          <w:szCs w:val="18"/>
          <w:highlight w:val="none"/>
        </w:rPr>
        <w:t>置过高的业绩条件。</w:t>
      </w:r>
      <w:r>
        <w:rPr>
          <w:rFonts w:hint="eastAsia" w:ascii="宋体" w:hAnsi="宋体"/>
          <w:color w:val="auto"/>
          <w:sz w:val="18"/>
          <w:szCs w:val="18"/>
          <w:highlight w:val="none"/>
          <w:lang w:val="en-US" w:eastAsia="zh-CN"/>
        </w:rPr>
        <w:t>企业资质级别已是最低资质等级的，不宜设置业绩要求。</w:t>
      </w:r>
    </w:p>
  </w:footnote>
  <w:footnote w:id="64">
    <w:p w14:paraId="47581797">
      <w:pPr>
        <w:pStyle w:val="38"/>
        <w:jc w:val="both"/>
        <w:rPr>
          <w:rFonts w:ascii="宋体" w:hAnsi="宋体"/>
          <w:color w:val="auto"/>
        </w:rPr>
      </w:pPr>
      <w:r>
        <w:rPr>
          <w:rStyle w:val="59"/>
          <w:rFonts w:ascii="宋体" w:hAnsi="宋体"/>
          <w:color w:val="auto"/>
          <w:vertAlign w:val="baseline"/>
        </w:rPr>
        <w:footnoteRef/>
      </w:r>
      <w:r>
        <w:rPr>
          <w:rFonts w:ascii="宋体" w:hAnsi="宋体"/>
          <w:color w:val="auto"/>
        </w:rPr>
        <w:t xml:space="preserve"> </w:t>
      </w:r>
      <w:r>
        <w:rPr>
          <w:rFonts w:hint="eastAsia" w:ascii="宋体" w:hAnsi="宋体"/>
          <w:color w:val="auto"/>
        </w:rPr>
        <w:t xml:space="preserve"> 本项为单选项，下同。</w:t>
      </w:r>
    </w:p>
  </w:footnote>
  <w:footnote w:id="65">
    <w:p w14:paraId="4FF5DEC2">
      <w:pPr>
        <w:pStyle w:val="38"/>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招标人在编制招标文件时，根据项目实际情况设置并填入具体数值。</w:t>
      </w:r>
    </w:p>
  </w:footnote>
  <w:footnote w:id="66">
    <w:p w14:paraId="44ED3523">
      <w:pPr>
        <w:pStyle w:val="38"/>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w:t>
      </w:r>
      <w:r>
        <w:rPr>
          <w:rFonts w:hint="eastAsia"/>
          <w:color w:val="auto"/>
          <w:highlight w:val="none"/>
          <w:lang w:eastAsia="zh-CN"/>
        </w:rPr>
        <w:t>“路基工程、桥涵工程”或“路基工程、隧道工程”</w:t>
      </w:r>
      <w:r>
        <w:rPr>
          <w:rFonts w:hint="eastAsia"/>
          <w:color w:val="auto"/>
          <w:highlight w:val="none"/>
        </w:rPr>
        <w:t>的项目。</w:t>
      </w:r>
    </w:p>
  </w:footnote>
  <w:footnote w:id="67">
    <w:p w14:paraId="1ECE0C38">
      <w:pPr>
        <w:pStyle w:val="38"/>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该桥梁工程可为路基土建工程中包含的</w:t>
      </w:r>
      <w:r>
        <w:rPr>
          <w:rFonts w:hint="eastAsia"/>
          <w:color w:val="auto"/>
          <w:highlight w:val="none"/>
          <w:lang w:val="en-US" w:eastAsia="zh-CN"/>
        </w:rPr>
        <w:t>内容</w:t>
      </w:r>
      <w:r>
        <w:rPr>
          <w:rFonts w:hint="eastAsia"/>
          <w:color w:val="auto"/>
          <w:highlight w:val="none"/>
        </w:rPr>
        <w:t>或者单独桥梁</w:t>
      </w:r>
      <w:r>
        <w:rPr>
          <w:rFonts w:hint="eastAsia"/>
          <w:color w:val="auto"/>
          <w:highlight w:val="none"/>
          <w:lang w:val="en-US" w:eastAsia="zh-CN"/>
        </w:rPr>
        <w:t>工程</w:t>
      </w:r>
      <w:r>
        <w:rPr>
          <w:rFonts w:hint="eastAsia"/>
          <w:color w:val="auto"/>
          <w:highlight w:val="none"/>
        </w:rPr>
        <w:t>合同的项目。</w:t>
      </w:r>
    </w:p>
  </w:footnote>
  <w:footnote w:id="68">
    <w:p w14:paraId="546F2CDA">
      <w:pPr>
        <w:pStyle w:val="38"/>
        <w:ind w:left="360" w:hanging="360" w:hangingChars="200"/>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根据项目具体情况，若存在特殊桥梁或特大桥或特别复杂的桥梁，需要增加特殊要求时，可对桥梁主跨桥型或跨径进行要求，但不得设置过高的要求。桥梁类型应从“拱式桥、悬索桥、</w:t>
      </w:r>
      <w:r>
        <w:rPr>
          <w:color w:val="auto"/>
          <w:highlight w:val="none"/>
        </w:rPr>
        <w:t>斜拉桥</w:t>
      </w:r>
      <w:r>
        <w:rPr>
          <w:rFonts w:hint="eastAsia"/>
          <w:color w:val="auto"/>
          <w:highlight w:val="none"/>
        </w:rPr>
        <w:t>、刚构桥、组合体系桥、其他”中</w:t>
      </w:r>
      <w:r>
        <w:rPr>
          <w:rFonts w:hint="eastAsia"/>
          <w:color w:val="auto"/>
          <w:highlight w:val="none"/>
          <w:lang w:val="en-US" w:eastAsia="zh-CN"/>
        </w:rPr>
        <w:t>选择</w:t>
      </w:r>
      <w:r>
        <w:rPr>
          <w:rFonts w:hint="eastAsia"/>
          <w:color w:val="auto"/>
          <w:highlight w:val="none"/>
        </w:rPr>
        <w:t>，但建议原则上最多不超过2种类型。</w:t>
      </w:r>
    </w:p>
  </w:footnote>
  <w:footnote w:id="69">
    <w:p w14:paraId="395E570F">
      <w:pPr>
        <w:pStyle w:val="38"/>
        <w:ind w:left="360" w:hanging="360" w:hangingChars="200"/>
        <w:rPr>
          <w:color w:val="auto"/>
          <w:highlight w:val="none"/>
        </w:rPr>
      </w:pPr>
      <w:r>
        <w:rPr>
          <w:rStyle w:val="59"/>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对于左右幅桥长不相同的</w:t>
      </w:r>
      <w:r>
        <w:rPr>
          <w:rFonts w:hint="eastAsia" w:ascii="宋体" w:hAnsi="宋体"/>
          <w:color w:val="auto"/>
          <w:highlight w:val="none"/>
          <w:lang w:val="en-US" w:eastAsia="zh-CN"/>
        </w:rPr>
        <w:t>桥梁，其桥梁</w:t>
      </w:r>
      <w:r>
        <w:rPr>
          <w:rFonts w:hint="eastAsia" w:ascii="宋体" w:hAnsi="宋体"/>
          <w:color w:val="auto"/>
          <w:highlight w:val="none"/>
        </w:rPr>
        <w:t>长度</w:t>
      </w:r>
      <w:r>
        <w:rPr>
          <w:rFonts w:hint="eastAsia" w:ascii="宋体" w:hAnsi="宋体"/>
          <w:color w:val="auto"/>
          <w:highlight w:val="none"/>
          <w:lang w:val="en-US" w:eastAsia="zh-CN"/>
        </w:rPr>
        <w:t>以</w:t>
      </w:r>
      <w:r>
        <w:rPr>
          <w:rFonts w:hint="eastAsia" w:ascii="宋体" w:hAnsi="宋体" w:cs="宋体"/>
          <w:color w:val="auto"/>
          <w:sz w:val="18"/>
          <w:szCs w:val="18"/>
          <w:highlight w:val="none"/>
          <w:lang w:val="en-US" w:eastAsia="zh-CN"/>
        </w:rPr>
        <w:t>左右幅长度</w:t>
      </w:r>
      <w:r>
        <w:rPr>
          <w:rFonts w:hint="eastAsia" w:ascii="宋体" w:hAnsi="宋体"/>
          <w:color w:val="auto"/>
          <w:highlight w:val="none"/>
          <w:lang w:val="en-US" w:eastAsia="zh-CN"/>
        </w:rPr>
        <w:t>较</w:t>
      </w:r>
      <w:r>
        <w:rPr>
          <w:rFonts w:hint="eastAsia" w:ascii="宋体" w:hAnsi="宋体"/>
          <w:color w:val="auto"/>
          <w:highlight w:val="none"/>
        </w:rPr>
        <w:t>长的为准；若只有单幅的，则以单幅桥梁</w:t>
      </w:r>
      <w:r>
        <w:rPr>
          <w:rFonts w:hint="eastAsia" w:ascii="宋体" w:hAnsi="宋体"/>
          <w:color w:val="auto"/>
          <w:highlight w:val="none"/>
          <w:lang w:val="en-US" w:eastAsia="zh-CN"/>
        </w:rPr>
        <w:t>长度</w:t>
      </w:r>
      <w:r>
        <w:rPr>
          <w:rFonts w:hint="eastAsia" w:ascii="宋体" w:hAnsi="宋体"/>
          <w:color w:val="auto"/>
          <w:highlight w:val="none"/>
        </w:rPr>
        <w:t>数据为准。</w:t>
      </w:r>
    </w:p>
  </w:footnote>
  <w:footnote w:id="70">
    <w:p w14:paraId="02075D70">
      <w:pPr>
        <w:pStyle w:val="38"/>
        <w:ind w:left="360" w:hanging="360" w:hangingChars="200"/>
        <w:rPr>
          <w:rFonts w:hint="eastAsia" w:eastAsia="宋体"/>
          <w:color w:val="auto"/>
          <w:highlight w:val="none"/>
          <w:lang w:val="en-US" w:eastAsia="zh-CN"/>
        </w:rPr>
      </w:pPr>
      <w:r>
        <w:rPr>
          <w:rStyle w:val="59"/>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长的为准；若只有单洞的，则以承担单洞隧道长度数据为准。隧道单洞长度不含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p>
  </w:footnote>
  <w:footnote w:id="71">
    <w:p w14:paraId="20144191">
      <w:pPr>
        <w:pStyle w:val="38"/>
        <w:ind w:left="360" w:hanging="360" w:hangingChars="200"/>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该隧道工程可为路基土建工程中包含的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color w:val="auto"/>
          <w:highlight w:val="none"/>
        </w:rPr>
        <w:t>。</w:t>
      </w:r>
      <w:r>
        <w:rPr>
          <w:rFonts w:hint="eastAsia"/>
          <w:color w:val="auto"/>
          <w:highlight w:val="none"/>
        </w:rPr>
        <w:t>根据项目具体情况，若存在特殊隧道或特长隧道或特别复杂的隧道，需要增加特殊要求时，可对隧道形式或隧道单洞长度进行要求，但不得设置过高的要求。</w:t>
      </w:r>
    </w:p>
  </w:footnote>
  <w:footnote w:id="72">
    <w:p w14:paraId="67A683F3">
      <w:pPr>
        <w:pStyle w:val="38"/>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该选择项为单选或多选，多选时由招标人根据实际需要设定选择项之间是“或”还是“同时”的关系。</w:t>
      </w:r>
    </w:p>
  </w:footnote>
  <w:footnote w:id="73">
    <w:p w14:paraId="6CEB5ADD">
      <w:pPr>
        <w:pStyle w:val="38"/>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color w:val="auto"/>
          <w:highlight w:val="none"/>
        </w:rPr>
        <w:t>招标人根据项目实际情况需要设置其他业绩条件的</w:t>
      </w:r>
      <w:r>
        <w:rPr>
          <w:rFonts w:hint="eastAsia"/>
          <w:color w:val="auto"/>
          <w:highlight w:val="none"/>
        </w:rPr>
        <w:t>，</w:t>
      </w:r>
      <w:r>
        <w:rPr>
          <w:rFonts w:hint="eastAsia" w:ascii="宋体" w:hAnsi="宋体"/>
          <w:color w:val="auto"/>
          <w:sz w:val="18"/>
          <w:szCs w:val="18"/>
          <w:highlight w:val="none"/>
        </w:rPr>
        <w:t>在满足国家相关法律法规前提下</w:t>
      </w:r>
      <w:r>
        <w:rPr>
          <w:rFonts w:hint="eastAsia" w:ascii="宋体" w:hAnsi="宋体"/>
          <w:color w:val="auto"/>
          <w:sz w:val="18"/>
          <w:szCs w:val="18"/>
          <w:highlight w:val="none"/>
          <w:lang w:eastAsia="zh-CN"/>
        </w:rPr>
        <w:t>，</w:t>
      </w:r>
      <w:r>
        <w:rPr>
          <w:color w:val="auto"/>
          <w:highlight w:val="none"/>
        </w:rPr>
        <w:t>在此进行补充</w:t>
      </w:r>
      <w:r>
        <w:rPr>
          <w:rFonts w:hint="eastAsia"/>
          <w:color w:val="auto"/>
          <w:highlight w:val="none"/>
        </w:rPr>
        <w:t>。</w:t>
      </w:r>
    </w:p>
  </w:footnote>
  <w:footnote w:id="74">
    <w:p w14:paraId="66774694">
      <w:pPr>
        <w:pStyle w:val="38"/>
        <w:wordWrap w:val="0"/>
        <w:spacing w:line="276" w:lineRule="auto"/>
        <w:ind w:left="0" w:hanging="360" w:hangingChars="200"/>
        <w:jc w:val="both"/>
        <w:rPr>
          <w:rFonts w:ascii="宋体" w:hAnsi="宋体"/>
          <w:color w:val="000000" w:themeColor="text1"/>
          <w:szCs w:val="21"/>
          <w14:textFill>
            <w14:solidFill>
              <w14:schemeClr w14:val="tx1"/>
            </w14:solidFill>
          </w14:textFill>
        </w:rPr>
      </w:pPr>
      <w:r>
        <w:rPr>
          <w:rStyle w:val="59"/>
          <w:rFonts w:ascii="宋体" w:hAnsi="宋体"/>
          <w:color w:val="000000" w:themeColor="text1"/>
          <w:vertAlign w:val="baseline"/>
          <w14:textFill>
            <w14:solidFill>
              <w14:schemeClr w14:val="tx1"/>
            </w14:solidFill>
          </w14:textFill>
        </w:rPr>
        <w:footnoteRef/>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a.本项规定仅适用于根据《关于发布公路工程从业企业资质名录的通知》（厅公路字〔</w:t>
      </w:r>
      <w:r>
        <w:rPr>
          <w:rFonts w:ascii="宋体" w:hAnsi="宋体"/>
          <w:color w:val="000000" w:themeColor="text1"/>
          <w:szCs w:val="21"/>
          <w14:textFill>
            <w14:solidFill>
              <w14:schemeClr w14:val="tx1"/>
            </w14:solidFill>
          </w14:textFill>
        </w:rPr>
        <w:t>2011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114</w:t>
      </w:r>
      <w:r>
        <w:rPr>
          <w:rFonts w:hint="eastAsia" w:ascii="宋体" w:hAnsi="宋体"/>
          <w:color w:val="000000" w:themeColor="text1"/>
          <w:szCs w:val="21"/>
          <w14:textFill>
            <w14:solidFill>
              <w14:schemeClr w14:val="tx1"/>
            </w14:solidFill>
          </w14:textFill>
        </w:rPr>
        <w:t>号）要求，招标人应通过名录对投标人资质条件进行审核的公路施工企业。</w:t>
      </w:r>
      <w:r>
        <w:rPr>
          <w:rFonts w:hint="eastAsia" w:ascii="宋体" w:hAnsi="宋体"/>
          <w:color w:val="000000" w:themeColor="text1"/>
          <w:szCs w:val="21"/>
          <w:highlight w:val="none"/>
          <w:lang w:val="en-US" w:eastAsia="zh-CN"/>
          <w14:textFill>
            <w14:solidFill>
              <w14:schemeClr w14:val="tx1"/>
            </w14:solidFill>
          </w14:textFill>
        </w:rPr>
        <w:t>否则，招标人可对相关业绩提出其他证明材料要求。</w:t>
      </w:r>
    </w:p>
    <w:p w14:paraId="50946689">
      <w:pPr>
        <w:pStyle w:val="38"/>
        <w:wordWrap w:val="0"/>
        <w:spacing w:line="276" w:lineRule="auto"/>
        <w:ind w:left="0" w:hanging="360" w:hangingChars="200"/>
        <w:jc w:val="both"/>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b.</w:t>
      </w:r>
      <w:r>
        <w:rPr>
          <w:rFonts w:hint="eastAsia" w:ascii="宋体" w:hAnsi="宋体"/>
          <w:color w:val="000000" w:themeColor="text1"/>
          <w:szCs w:val="21"/>
          <w14:textFill>
            <w14:solidFill>
              <w14:schemeClr w14:val="tx1"/>
            </w14:solidFill>
          </w14:textFill>
        </w:rPr>
        <w:t>招标人要求业绩经验的证明材料采用</w:t>
      </w:r>
      <w:r>
        <w:rPr>
          <w:rFonts w:hint="eastAsia" w:ascii="宋体" w:hAnsi="宋体" w:cs="Times New Roman"/>
          <w:color w:val="000000" w:themeColor="text1"/>
          <w:szCs w:val="21"/>
          <w14:textFill>
            <w14:solidFill>
              <w14:schemeClr w14:val="tx1"/>
            </w14:solidFill>
          </w14:textFill>
        </w:rPr>
        <w:t>交通运输部“</w:t>
      </w:r>
      <w:r>
        <w:rPr>
          <w:rFonts w:hint="eastAsia" w:ascii="宋体" w:hAnsi="宋体" w:cs="Times New Roman"/>
          <w:color w:val="000000" w:themeColor="text1"/>
          <w:kern w:val="2"/>
          <w:szCs w:val="21"/>
          <w:lang w:eastAsia="zh-CN"/>
          <w14:textFill>
            <w14:solidFill>
              <w14:schemeClr w14:val="tx1"/>
            </w14:solidFill>
          </w14:textFill>
        </w:rPr>
        <w:t>全国公路建设市场监督管理系统（https://hwdms.mot.gov.cn/BMWebSite/）</w:t>
      </w:r>
      <w:r>
        <w:rPr>
          <w:rFonts w:hint="eastAsia" w:ascii="宋体" w:hAnsi="宋体" w:cs="Times New Roman"/>
          <w:color w:val="000000" w:themeColor="text1"/>
          <w:szCs w:val="21"/>
          <w14:textFill>
            <w14:solidFill>
              <w14:schemeClr w14:val="tx1"/>
            </w14:solidFill>
          </w14:textFill>
        </w:rPr>
        <w:t>”中查询到的企业“业绩信息”相关项目网页截图的。除网页截图外，不再要求投标人提供其他任何证明材料。</w:t>
      </w:r>
    </w:p>
  </w:footnote>
  <w:footnote w:id="75">
    <w:p w14:paraId="3F520243">
      <w:pPr>
        <w:pStyle w:val="38"/>
        <w:ind w:left="360" w:hanging="360" w:hangingChars="200"/>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ascii="宋体" w:hAnsi="宋体"/>
          <w:color w:val="auto"/>
          <w:highlight w:val="none"/>
        </w:rPr>
        <w:t>本表所列信誉要求中</w:t>
      </w:r>
      <w:r>
        <w:rPr>
          <w:rFonts w:hint="eastAsia" w:ascii="宋体" w:hAnsi="宋体"/>
          <w:color w:val="auto"/>
          <w:highlight w:val="none"/>
          <w:lang w:eastAsia="zh-CN"/>
        </w:rPr>
        <w:t>“</w:t>
      </w:r>
      <w:r>
        <w:rPr>
          <w:rFonts w:hint="eastAsia" w:ascii="宋体" w:hAnsi="宋体"/>
          <w:color w:val="auto"/>
          <w:highlight w:val="none"/>
        </w:rPr>
        <w:t>其他</w:t>
      </w:r>
      <w:r>
        <w:rPr>
          <w:rFonts w:hint="eastAsia" w:ascii="宋体" w:hAnsi="宋体"/>
          <w:color w:val="auto"/>
          <w:highlight w:val="none"/>
          <w:lang w:eastAsia="zh-CN"/>
        </w:rPr>
        <w:t>”</w:t>
      </w:r>
      <w:r>
        <w:rPr>
          <w:rFonts w:hint="eastAsia" w:ascii="宋体" w:hAnsi="宋体"/>
          <w:color w:val="auto"/>
          <w:highlight w:val="none"/>
        </w:rPr>
        <w:t>栏由招标人根据项目情况自行选择并填写，在满足国家相关法律法规前提下，根据</w:t>
      </w:r>
      <w:bookmarkStart w:id="974" w:name="_Hlk98868220"/>
      <w:r>
        <w:rPr>
          <w:rFonts w:hint="eastAsia" w:ascii="宋体" w:hAnsi="宋体"/>
          <w:color w:val="auto"/>
          <w:highlight w:val="none"/>
        </w:rPr>
        <w:t>招标项目具体特点和实际情况</w:t>
      </w:r>
      <w:bookmarkEnd w:id="974"/>
      <w:r>
        <w:rPr>
          <w:rFonts w:hint="eastAsia" w:ascii="宋体" w:hAnsi="宋体"/>
          <w:color w:val="auto"/>
          <w:highlight w:val="none"/>
        </w:rPr>
        <w:t>确定，但不得设置过高的信誉条件</w:t>
      </w:r>
      <w:r>
        <w:rPr>
          <w:rFonts w:hint="eastAsia"/>
          <w:color w:val="auto"/>
          <w:highlight w:val="none"/>
        </w:rPr>
        <w:t>。</w:t>
      </w:r>
    </w:p>
  </w:footnote>
  <w:footnote w:id="76">
    <w:p w14:paraId="0C90A101">
      <w:pPr>
        <w:pStyle w:val="38"/>
        <w:snapToGrid w:val="0"/>
        <w:rPr>
          <w:rFonts w:hint="eastAsia" w:ascii="宋体" w:hAnsi="宋体" w:eastAsia="宋体" w:cs="宋体"/>
          <w:color w:val="auto"/>
          <w:highlight w:val="none"/>
          <w:lang w:val="en-US" w:eastAsia="zh-CN"/>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eastAsia="宋体" w:cs="宋体"/>
          <w:color w:val="auto"/>
          <w:highlight w:val="none"/>
        </w:rPr>
        <w:t>该选择项为单选或多选，多选时由招标人根据</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实际需要设定选择项之间</w:t>
      </w:r>
      <w:r>
        <w:rPr>
          <w:rFonts w:hint="eastAsia" w:ascii="宋体" w:hAnsi="宋体" w:eastAsia="宋体" w:cs="宋体"/>
          <w:color w:val="auto"/>
          <w:highlight w:val="none"/>
          <w:lang w:val="en-US" w:eastAsia="zh-CN"/>
        </w:rPr>
        <w:t>是否为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”的关系。</w:t>
      </w:r>
    </w:p>
  </w:footnote>
  <w:footnote w:id="77">
    <w:p w14:paraId="0158C0E4">
      <w:pPr>
        <w:pStyle w:val="38"/>
        <w:rPr>
          <w:rFonts w:hint="eastAsia" w:eastAsia="宋体"/>
          <w:color w:val="auto"/>
          <w:highlight w:val="none"/>
          <w:lang w:val="en-US" w:eastAsia="zh-CN"/>
        </w:rPr>
      </w:pPr>
      <w:r>
        <w:rPr>
          <w:rStyle w:val="133"/>
          <w:color w:val="auto"/>
          <w:highlight w:val="none"/>
        </w:rPr>
        <w:footnoteRef/>
      </w:r>
      <w:r>
        <w:rPr>
          <w:rStyle w:val="133"/>
          <w:color w:val="auto"/>
          <w:highlight w:val="none"/>
        </w:rPr>
        <w:t xml:space="preserve"> </w:t>
      </w:r>
      <w:r>
        <w:rPr>
          <w:rStyle w:val="133"/>
          <w:rFonts w:hint="eastAsia"/>
          <w:color w:val="auto"/>
          <w:highlight w:val="none"/>
          <w:lang w:val="en-US"/>
        </w:rPr>
        <w:t xml:space="preserve"> </w:t>
      </w:r>
      <w:r>
        <w:rPr>
          <w:rFonts w:hint="eastAsia"/>
          <w:color w:val="auto"/>
          <w:highlight w:val="none"/>
        </w:rPr>
        <w:t>主要人员被列入资格审查条件时，相应的人员也须对该项信誉条件进行资格审查。</w:t>
      </w:r>
    </w:p>
  </w:footnote>
  <w:footnote w:id="78">
    <w:p w14:paraId="3FD8E552">
      <w:pPr>
        <w:pStyle w:val="38"/>
        <w:ind w:left="360" w:hanging="360" w:hangingChars="200"/>
        <w:jc w:val="both"/>
        <w:rPr>
          <w:rFonts w:ascii="宋体" w:hAnsi="宋体"/>
          <w:color w:val="auto"/>
        </w:rPr>
      </w:pPr>
      <w:r>
        <w:rPr>
          <w:rFonts w:ascii="宋体" w:hAnsi="宋体"/>
          <w:color w:val="auto"/>
        </w:rPr>
        <w:footnoteRef/>
      </w:r>
      <w:r>
        <w:rPr>
          <w:rFonts w:hint="eastAsia" w:ascii="宋体" w:hAnsi="宋体"/>
          <w:color w:val="auto"/>
        </w:rPr>
        <w:t xml:space="preserve">  对主要人员</w:t>
      </w:r>
      <w:r>
        <w:rPr>
          <w:rFonts w:hint="eastAsia" w:ascii="宋体" w:hAnsi="宋体"/>
          <w:color w:val="auto"/>
          <w:sz w:val="18"/>
          <w:szCs w:val="18"/>
        </w:rPr>
        <w:t>[</w:t>
      </w:r>
      <w:r>
        <w:rPr>
          <w:rFonts w:hint="eastAsia" w:ascii="宋体" w:hAnsi="宋体"/>
          <w:color w:val="auto"/>
        </w:rPr>
        <w:t>指项目</w:t>
      </w:r>
      <w:r>
        <w:rPr>
          <w:rFonts w:hint="eastAsia" w:ascii="宋体" w:hAnsi="宋体"/>
          <w:color w:val="auto"/>
          <w:lang w:val="en-US" w:eastAsia="zh-CN"/>
        </w:rPr>
        <w:t>经理（如有）</w:t>
      </w:r>
      <w:r>
        <w:rPr>
          <w:rFonts w:hint="eastAsia" w:ascii="宋体" w:hAnsi="宋体"/>
          <w:color w:val="auto"/>
        </w:rPr>
        <w:t>、</w:t>
      </w:r>
      <w:r>
        <w:rPr>
          <w:rFonts w:hint="eastAsia" w:ascii="宋体" w:hAnsi="宋体"/>
          <w:color w:val="auto"/>
          <w:lang w:val="en-US" w:eastAsia="zh-CN"/>
        </w:rPr>
        <w:t>项目总工</w:t>
      </w:r>
      <w:r>
        <w:rPr>
          <w:rFonts w:hint="eastAsia" w:ascii="宋体" w:hAnsi="宋体"/>
          <w:color w:val="auto"/>
        </w:rPr>
        <w:t>（如有）</w:t>
      </w:r>
      <w:r>
        <w:rPr>
          <w:rFonts w:hint="eastAsia" w:ascii="宋体" w:hAnsi="宋体"/>
          <w:color w:val="auto"/>
          <w:sz w:val="18"/>
          <w:szCs w:val="18"/>
        </w:rPr>
        <w:t>]</w:t>
      </w:r>
      <w:r>
        <w:rPr>
          <w:rFonts w:hint="eastAsia" w:ascii="宋体" w:hAnsi="宋体"/>
          <w:color w:val="auto"/>
        </w:rPr>
        <w:t>的最低要求由招标人在满足国家相关法律、法规前提下，根据招标项目具体特点和实际情况确定。</w:t>
      </w:r>
    </w:p>
  </w:footnote>
  <w:footnote w:id="79">
    <w:p w14:paraId="399A52CC">
      <w:pPr>
        <w:pStyle w:val="38"/>
        <w:jc w:val="both"/>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如项目经理仍在其他项目上任职，则投标人在投标函</w:t>
      </w:r>
      <w:r>
        <w:rPr>
          <w:color w:val="auto"/>
          <w:highlight w:val="none"/>
        </w:rPr>
        <w:t>中</w:t>
      </w:r>
      <w:r>
        <w:rPr>
          <w:rFonts w:hint="eastAsia"/>
          <w:color w:val="auto"/>
          <w:highlight w:val="none"/>
        </w:rPr>
        <w:t>应承诺上述人员能够从该项目撤离。</w:t>
      </w:r>
    </w:p>
  </w:footnote>
  <w:footnote w:id="80">
    <w:p w14:paraId="4AC27FD3">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w:t>
      </w:r>
    </w:p>
  </w:footnote>
  <w:footnote w:id="81">
    <w:p w14:paraId="1D0073C0">
      <w:pPr>
        <w:pStyle w:val="38"/>
        <w:jc w:val="both"/>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招标人在编制招标文件时，根据项目实际情况设置并填写具体数值。</w:t>
      </w:r>
    </w:p>
  </w:footnote>
  <w:footnote w:id="82">
    <w:p w14:paraId="1DAD8992">
      <w:pPr>
        <w:pStyle w:val="38"/>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本项为单选项，下同。</w:t>
      </w:r>
    </w:p>
  </w:footnote>
  <w:footnote w:id="83">
    <w:p w14:paraId="2DA0C901">
      <w:pPr>
        <w:pStyle w:val="38"/>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w:t>
      </w:r>
      <w:r>
        <w:rPr>
          <w:rFonts w:hint="eastAsia"/>
          <w:color w:val="auto"/>
          <w:highlight w:val="none"/>
          <w:lang w:eastAsia="zh-CN"/>
        </w:rPr>
        <w:t>“路基工程、桥涵工程”或“路基工程、隧道工程”</w:t>
      </w:r>
      <w:r>
        <w:rPr>
          <w:rFonts w:hint="eastAsia"/>
          <w:color w:val="auto"/>
          <w:highlight w:val="none"/>
        </w:rPr>
        <w:t>的项目。</w:t>
      </w:r>
    </w:p>
  </w:footnote>
  <w:footnote w:id="84">
    <w:p w14:paraId="3C2C34B9">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本表该选择项由招标人对主要人员业绩经验担任的相应职务进行要求，可为单选或多选，下同。</w:t>
      </w:r>
    </w:p>
  </w:footnote>
  <w:footnote w:id="85">
    <w:p w14:paraId="5533D3CF">
      <w:pPr>
        <w:pStyle w:val="38"/>
        <w:ind w:left="360" w:hanging="360" w:hangingChars="200"/>
        <w:jc w:val="both"/>
        <w:rPr>
          <w:rFonts w:hint="eastAsia" w:ascii="宋体" w:hAnsi="宋体" w:eastAsia="宋体" w:cs="宋体"/>
          <w:color w:val="auto"/>
          <w:highlight w:val="none"/>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p>
  </w:footnote>
  <w:footnote w:id="86">
    <w:p w14:paraId="770ACB67">
      <w:pPr>
        <w:pStyle w:val="38"/>
        <w:ind w:left="360" w:hanging="360" w:hangingChars="200"/>
        <w:jc w:val="both"/>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根据项目具体情况，若存在特殊桥梁或特大桥或特别复杂的桥梁，需要增加特殊要求时，可对桥梁主跨桥型或跨径进行要求，但不得设置过高的要求。桥梁类型应从“拱式桥、悬索桥、</w:t>
      </w:r>
      <w:r>
        <w:rPr>
          <w:color w:val="auto"/>
          <w:highlight w:val="none"/>
        </w:rPr>
        <w:t>斜拉桥</w:t>
      </w:r>
      <w:r>
        <w:rPr>
          <w:rFonts w:hint="eastAsia"/>
          <w:color w:val="auto"/>
          <w:highlight w:val="none"/>
        </w:rPr>
        <w:t>、刚构桥、组合体系桥、其他”中</w:t>
      </w:r>
      <w:r>
        <w:rPr>
          <w:rFonts w:hint="eastAsia"/>
          <w:color w:val="auto"/>
          <w:highlight w:val="none"/>
          <w:lang w:val="en-US" w:eastAsia="zh-CN"/>
        </w:rPr>
        <w:t>选择</w:t>
      </w:r>
      <w:r>
        <w:rPr>
          <w:rFonts w:hint="eastAsia"/>
          <w:color w:val="auto"/>
          <w:highlight w:val="none"/>
        </w:rPr>
        <w:t>，但建议原则上最多不超过2种类型。</w:t>
      </w:r>
    </w:p>
  </w:footnote>
  <w:footnote w:id="87">
    <w:p w14:paraId="28FA19EC">
      <w:pPr>
        <w:pStyle w:val="38"/>
        <w:ind w:left="360" w:hanging="360" w:hangingChars="200"/>
        <w:jc w:val="both"/>
        <w:rPr>
          <w:color w:val="auto"/>
          <w:highlight w:val="none"/>
        </w:rPr>
      </w:pPr>
      <w:r>
        <w:rPr>
          <w:rStyle w:val="59"/>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对于左右幅桥长不相同的</w:t>
      </w:r>
      <w:r>
        <w:rPr>
          <w:rFonts w:hint="eastAsia" w:ascii="宋体" w:hAnsi="宋体"/>
          <w:color w:val="auto"/>
          <w:highlight w:val="none"/>
          <w:lang w:val="en-US" w:eastAsia="zh-CN"/>
        </w:rPr>
        <w:t>桥梁，其桥梁长度</w:t>
      </w:r>
      <w:r>
        <w:rPr>
          <w:rFonts w:hint="eastAsia" w:ascii="宋体" w:hAnsi="宋体"/>
          <w:color w:val="auto"/>
          <w:highlight w:val="none"/>
        </w:rPr>
        <w:t>以</w:t>
      </w:r>
      <w:r>
        <w:rPr>
          <w:rFonts w:hint="eastAsia" w:ascii="宋体" w:hAnsi="宋体" w:cs="宋体"/>
          <w:color w:val="auto"/>
          <w:sz w:val="18"/>
          <w:szCs w:val="18"/>
          <w:highlight w:val="none"/>
          <w:lang w:val="en-US" w:eastAsia="zh-CN"/>
        </w:rPr>
        <w:t>左右幅长度</w:t>
      </w:r>
      <w:r>
        <w:rPr>
          <w:rFonts w:hint="eastAsia" w:ascii="宋体" w:hAnsi="宋体"/>
          <w:color w:val="auto"/>
          <w:highlight w:val="none"/>
          <w:lang w:val="en-US" w:eastAsia="zh-CN"/>
        </w:rPr>
        <w:t>较</w:t>
      </w:r>
      <w:r>
        <w:rPr>
          <w:rFonts w:hint="eastAsia" w:ascii="宋体" w:hAnsi="宋体"/>
          <w:color w:val="auto"/>
          <w:highlight w:val="none"/>
        </w:rPr>
        <w:t>长的为准；若只有单幅的，则以单幅桥梁</w:t>
      </w:r>
      <w:r>
        <w:rPr>
          <w:rFonts w:hint="eastAsia" w:ascii="宋体" w:hAnsi="宋体"/>
          <w:color w:val="auto"/>
          <w:highlight w:val="none"/>
          <w:lang w:val="en-US" w:eastAsia="zh-CN"/>
        </w:rPr>
        <w:t>长度</w:t>
      </w:r>
      <w:r>
        <w:rPr>
          <w:rFonts w:hint="eastAsia" w:ascii="宋体" w:hAnsi="宋体"/>
          <w:color w:val="auto"/>
          <w:highlight w:val="none"/>
        </w:rPr>
        <w:t>数据为准。</w:t>
      </w:r>
    </w:p>
  </w:footnote>
  <w:footnote w:id="88">
    <w:p w14:paraId="0A37C076">
      <w:pPr>
        <w:pStyle w:val="38"/>
        <w:ind w:left="360" w:hanging="360" w:hangingChars="200"/>
        <w:jc w:val="both"/>
        <w:rPr>
          <w:rFonts w:hint="eastAsia" w:eastAsia="宋体"/>
          <w:color w:val="auto"/>
          <w:highlight w:val="none"/>
          <w:lang w:val="en-US" w:eastAsia="zh-CN"/>
        </w:rPr>
      </w:pPr>
      <w:r>
        <w:rPr>
          <w:rStyle w:val="59"/>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长的为准；若只有单洞的，则以承担单洞隧道长度数据为准。隧道单洞长度不含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p>
  </w:footnote>
  <w:footnote w:id="89">
    <w:p w14:paraId="10F7A05C">
      <w:pPr>
        <w:pStyle w:val="38"/>
        <w:ind w:left="360" w:hanging="360" w:hangingChars="200"/>
        <w:rPr>
          <w:rFonts w:hint="eastAsia" w:eastAsia="宋体"/>
          <w:color w:val="auto"/>
          <w:highlight w:val="none"/>
          <w:lang w:val="en-US" w:eastAsia="zh-CN"/>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该隧道工程可为路基土建工程中包含的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color w:val="auto"/>
          <w:highlight w:val="none"/>
        </w:rPr>
        <w:t>。</w:t>
      </w:r>
      <w:r>
        <w:rPr>
          <w:rFonts w:hint="eastAsia"/>
          <w:color w:val="auto"/>
          <w:highlight w:val="none"/>
        </w:rPr>
        <w:t>根据项目具体情况，若存在特殊隧道或特长隧道或特别复杂的隧道，需要增加特殊要求时，可对隧道形式或隧道单洞长度进行要求，但不得设置过高的要求。</w:t>
      </w:r>
    </w:p>
  </w:footnote>
  <w:footnote w:id="90">
    <w:p w14:paraId="4E35134A">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91">
    <w:p w14:paraId="1940F7D3">
      <w:pPr>
        <w:pStyle w:val="38"/>
        <w:jc w:val="both"/>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如项目总工仍在其他项目上任职，则投标人在投标函</w:t>
      </w:r>
      <w:r>
        <w:rPr>
          <w:color w:val="auto"/>
          <w:highlight w:val="none"/>
        </w:rPr>
        <w:t>中</w:t>
      </w:r>
      <w:r>
        <w:rPr>
          <w:rFonts w:hint="eastAsia"/>
          <w:color w:val="auto"/>
          <w:highlight w:val="none"/>
        </w:rPr>
        <w:t>应承诺上述人员能够从该项目撤离。</w:t>
      </w:r>
    </w:p>
  </w:footnote>
  <w:footnote w:id="92">
    <w:p w14:paraId="2A1B848D">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w:t>
      </w:r>
    </w:p>
  </w:footnote>
  <w:footnote w:id="93">
    <w:p w14:paraId="71EDB0A7">
      <w:pPr>
        <w:pStyle w:val="38"/>
        <w:jc w:val="both"/>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招标人在编制招标文件时，根据项目实际情况设置并填写具体数值。</w:t>
      </w:r>
    </w:p>
  </w:footnote>
  <w:footnote w:id="94">
    <w:p w14:paraId="22A89F5C">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本项为单选项，下同。</w:t>
      </w:r>
    </w:p>
  </w:footnote>
  <w:footnote w:id="95">
    <w:p w14:paraId="66B0A3E6">
      <w:pPr>
        <w:pStyle w:val="38"/>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w:t>
      </w:r>
      <w:r>
        <w:rPr>
          <w:rFonts w:hint="eastAsia"/>
          <w:color w:val="auto"/>
          <w:highlight w:val="none"/>
          <w:lang w:eastAsia="zh-CN"/>
        </w:rPr>
        <w:t>“路基工程、桥涵工程”或“路基工程、隧道工程”</w:t>
      </w:r>
      <w:r>
        <w:rPr>
          <w:rFonts w:hint="eastAsia"/>
          <w:color w:val="auto"/>
          <w:highlight w:val="none"/>
        </w:rPr>
        <w:t>的项目。</w:t>
      </w:r>
    </w:p>
  </w:footnote>
  <w:footnote w:id="96">
    <w:p w14:paraId="07E4990D">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本表该选择项由招标人对主要人员业绩经验担任的相应职务进行要求，可为单选或多选，下同。</w:t>
      </w:r>
    </w:p>
  </w:footnote>
  <w:footnote w:id="97">
    <w:p w14:paraId="1B5CD285">
      <w:pPr>
        <w:pStyle w:val="38"/>
        <w:ind w:left="360" w:hanging="360" w:hangingChars="200"/>
        <w:jc w:val="both"/>
        <w:rPr>
          <w:rFonts w:hint="eastAsia" w:ascii="宋体" w:hAnsi="宋体" w:eastAsia="宋体" w:cs="宋体"/>
          <w:color w:val="auto"/>
          <w:highlight w:val="none"/>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p>
  </w:footnote>
  <w:footnote w:id="98">
    <w:p w14:paraId="7C2EDE96">
      <w:pPr>
        <w:pStyle w:val="38"/>
        <w:ind w:left="360" w:hanging="360" w:hangingChars="200"/>
        <w:jc w:val="both"/>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根据项目具体情况，若存在特殊桥梁或特大桥或特别复杂的桥梁，需要增加特殊要求时，可对桥梁主跨桥型或跨径进行要求，但不得设置过高的要求。桥梁类型应从“拱式桥、悬索桥、</w:t>
      </w:r>
      <w:r>
        <w:rPr>
          <w:color w:val="auto"/>
          <w:highlight w:val="none"/>
        </w:rPr>
        <w:t>斜拉桥</w:t>
      </w:r>
      <w:r>
        <w:rPr>
          <w:rFonts w:hint="eastAsia"/>
          <w:color w:val="auto"/>
          <w:highlight w:val="none"/>
        </w:rPr>
        <w:t>、刚构桥、组合体系桥、其他”中</w:t>
      </w:r>
      <w:r>
        <w:rPr>
          <w:rFonts w:hint="eastAsia"/>
          <w:color w:val="auto"/>
          <w:highlight w:val="none"/>
          <w:lang w:val="en-US" w:eastAsia="zh-CN"/>
        </w:rPr>
        <w:t>选择</w:t>
      </w:r>
      <w:r>
        <w:rPr>
          <w:rFonts w:hint="eastAsia"/>
          <w:color w:val="auto"/>
          <w:highlight w:val="none"/>
        </w:rPr>
        <w:t>，但建议原则上最多不超过2种类型。</w:t>
      </w:r>
    </w:p>
  </w:footnote>
  <w:footnote w:id="99">
    <w:p w14:paraId="350E1090">
      <w:pPr>
        <w:pStyle w:val="38"/>
        <w:ind w:left="360" w:hanging="360" w:hangingChars="200"/>
        <w:jc w:val="both"/>
        <w:rPr>
          <w:color w:val="auto"/>
          <w:highlight w:val="none"/>
        </w:rPr>
      </w:pPr>
      <w:r>
        <w:rPr>
          <w:rStyle w:val="59"/>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对于左右幅桥长不相同的</w:t>
      </w:r>
      <w:r>
        <w:rPr>
          <w:rFonts w:hint="eastAsia" w:ascii="宋体" w:hAnsi="宋体"/>
          <w:color w:val="auto"/>
          <w:highlight w:val="none"/>
          <w:lang w:val="en-US" w:eastAsia="zh-CN"/>
        </w:rPr>
        <w:t>桥梁，其桥梁长度</w:t>
      </w:r>
      <w:r>
        <w:rPr>
          <w:rFonts w:hint="eastAsia" w:ascii="宋体" w:hAnsi="宋体"/>
          <w:color w:val="auto"/>
          <w:highlight w:val="none"/>
        </w:rPr>
        <w:t>以</w:t>
      </w:r>
      <w:r>
        <w:rPr>
          <w:rFonts w:hint="eastAsia" w:ascii="宋体" w:hAnsi="宋体" w:cs="宋体"/>
          <w:color w:val="auto"/>
          <w:sz w:val="18"/>
          <w:szCs w:val="18"/>
          <w:highlight w:val="none"/>
          <w:lang w:val="en-US" w:eastAsia="zh-CN"/>
        </w:rPr>
        <w:t>左右幅长度</w:t>
      </w:r>
      <w:r>
        <w:rPr>
          <w:rFonts w:hint="eastAsia" w:ascii="宋体" w:hAnsi="宋体"/>
          <w:color w:val="auto"/>
          <w:highlight w:val="none"/>
          <w:lang w:val="en-US" w:eastAsia="zh-CN"/>
        </w:rPr>
        <w:t>较</w:t>
      </w:r>
      <w:r>
        <w:rPr>
          <w:rFonts w:hint="eastAsia" w:ascii="宋体" w:hAnsi="宋体"/>
          <w:color w:val="auto"/>
          <w:highlight w:val="none"/>
        </w:rPr>
        <w:t>长的为准；若只有单幅的，则以单幅桥梁</w:t>
      </w:r>
      <w:r>
        <w:rPr>
          <w:rFonts w:hint="eastAsia" w:ascii="宋体" w:hAnsi="宋体"/>
          <w:color w:val="auto"/>
          <w:highlight w:val="none"/>
          <w:lang w:val="en-US" w:eastAsia="zh-CN"/>
        </w:rPr>
        <w:t>长度</w:t>
      </w:r>
      <w:r>
        <w:rPr>
          <w:rFonts w:hint="eastAsia" w:ascii="宋体" w:hAnsi="宋体"/>
          <w:color w:val="auto"/>
          <w:highlight w:val="none"/>
        </w:rPr>
        <w:t>数据为准。</w:t>
      </w:r>
    </w:p>
  </w:footnote>
  <w:footnote w:id="100">
    <w:p w14:paraId="496B3984">
      <w:pPr>
        <w:pStyle w:val="38"/>
        <w:ind w:left="360" w:hanging="360" w:hangingChars="200"/>
        <w:jc w:val="both"/>
        <w:rPr>
          <w:rFonts w:hint="eastAsia" w:eastAsia="宋体"/>
          <w:color w:val="auto"/>
          <w:highlight w:val="none"/>
          <w:lang w:val="en-US" w:eastAsia="zh-CN"/>
        </w:rPr>
      </w:pPr>
      <w:r>
        <w:rPr>
          <w:rStyle w:val="59"/>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隧道单洞长度（隧道长度）</w:t>
      </w:r>
      <w:r>
        <w:rPr>
          <w:rFonts w:hint="eastAsia" w:ascii="宋体" w:hAnsi="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长的为准；若只有单洞的，则以承担单洞隧道长度数据为准。隧道单洞长度不含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p>
  </w:footnote>
  <w:footnote w:id="101">
    <w:p w14:paraId="6E2F2F61">
      <w:pPr>
        <w:pStyle w:val="38"/>
        <w:ind w:left="360" w:hanging="360" w:hangingChars="200"/>
        <w:rPr>
          <w:rFonts w:hint="eastAsia" w:eastAsia="宋体"/>
          <w:color w:val="auto"/>
          <w:highlight w:val="none"/>
          <w:lang w:val="en-US" w:eastAsia="zh-CN"/>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该隧道工程可为路基土建工程中包含的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color w:val="auto"/>
          <w:highlight w:val="none"/>
        </w:rPr>
        <w:t>。</w:t>
      </w:r>
      <w:r>
        <w:rPr>
          <w:rFonts w:hint="eastAsia"/>
          <w:color w:val="auto"/>
          <w:highlight w:val="none"/>
        </w:rPr>
        <w:t>根据项目具体情况，若存在特殊隧道或特长隧道或特别复杂的隧道，需要增加特殊要求时，可对隧道形式或隧道单洞长度进行要求，但不得设置过高的要求。</w:t>
      </w:r>
    </w:p>
  </w:footnote>
  <w:footnote w:id="102">
    <w:p w14:paraId="62DCECD3">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103">
    <w:p w14:paraId="000A6BB6">
      <w:pPr>
        <w:pStyle w:val="38"/>
        <w:ind w:left="360" w:hanging="360" w:hangingChars="200"/>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本表仅适用于特别复杂的特大桥和特长隧道项目主体工程以及其他有特殊要求的工程。对其他管理和技术人员（例如项目副经理、专业工程师等）的最低要求，由招标人在满足国家相关法律法规前提下，根据招标项目具体特点和实际情况确定，但不得设置过高的资格条件。</w:t>
      </w:r>
    </w:p>
  </w:footnote>
  <w:footnote w:id="104">
    <w:p w14:paraId="3C344D98">
      <w:pPr>
        <w:pStyle w:val="38"/>
        <w:ind w:left="360" w:hanging="360" w:hangingChars="200"/>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本表仅适用于特别复杂的特大桥和特长隧道项目主体工程以及其他有特殊要求的工程。对主要机械设备和试验检测设备的最低要求，由招标人在满足国家相关法律法规前提下，根据招标项目具体特点和实际情况确定。</w:t>
      </w:r>
    </w:p>
  </w:footnote>
  <w:footnote w:id="105">
    <w:p w14:paraId="56CA77ED">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招标范围包含机电工程时，</w:t>
      </w:r>
      <w:r>
        <w:rPr>
          <w:rFonts w:hint="eastAsia" w:ascii="宋体" w:hAnsi="宋体"/>
          <w:color w:val="auto"/>
          <w:highlight w:val="none"/>
        </w:rPr>
        <w:t>招标人根据项目施工图设计及技术规范要求，可对关键机电工程设备提出具体技术指标要求。</w:t>
      </w:r>
    </w:p>
  </w:footnote>
  <w:footnote w:id="106">
    <w:p w14:paraId="129913B6">
      <w:pPr>
        <w:pStyle w:val="38"/>
        <w:ind w:left="360" w:hanging="360" w:hangingChars="200"/>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人对关键机电设备的技术指标要求，从三大系统（通信、监控、收费），或者隧道机电（监控、通风、供配电、照明、消防、其他）等方面分系统描述。例如“通信系统”、“监控系统”、“隧道监控系统”、…。</w:t>
      </w:r>
    </w:p>
  </w:footnote>
  <w:footnote w:id="107">
    <w:p w14:paraId="5C477EF0">
      <w:pPr>
        <w:pStyle w:val="38"/>
        <w:ind w:left="360" w:hanging="360" w:hangingChars="200"/>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招标人对关键机电设备技术指标要求，此栏列明需要提出要求的具体“设备名称”，例如“高清智能球机”“高清车辆识别一体机”</w:t>
      </w:r>
      <w:r>
        <w:rPr>
          <w:rFonts w:hint="eastAsia" w:ascii="宋体" w:hAnsi="宋体" w:eastAsia="宋体" w:cs="宋体"/>
          <w:color w:val="auto"/>
          <w:highlight w:val="none"/>
        </w:rPr>
        <w:t>…</w:t>
      </w:r>
      <w:r>
        <w:rPr>
          <w:rFonts w:hint="eastAsia" w:ascii="宋体" w:hAnsi="宋体"/>
          <w:color w:val="auto"/>
          <w:highlight w:val="none"/>
        </w:rPr>
        <w:t>…。</w:t>
      </w:r>
    </w:p>
  </w:footnote>
  <w:footnote w:id="108">
    <w:p w14:paraId="24304037">
      <w:pPr>
        <w:pStyle w:val="38"/>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此栏逐一列出各项技术指标，主要技术性能指标可为具体的参数或是功能性的要求或是使用业绩要求。</w:t>
      </w:r>
    </w:p>
  </w:footnote>
  <w:footnote w:id="109">
    <w:p w14:paraId="3E44A304">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p>
  </w:footnote>
  <w:footnote w:id="110">
    <w:p w14:paraId="2AAF39FB">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p>
  </w:footnote>
  <w:footnote w:id="111">
    <w:p w14:paraId="6E649F26">
      <w:pPr>
        <w:pStyle w:val="38"/>
        <w:snapToGrid w:val="0"/>
        <w:rPr>
          <w:rFonts w:hint="default" w:eastAsia="宋体"/>
          <w:color w:val="auto"/>
          <w:lang w:val="en-US" w:eastAsia="zh-CN"/>
        </w:rPr>
      </w:pPr>
      <w:r>
        <w:rPr>
          <w:rStyle w:val="59"/>
          <w:rFonts w:hint="eastAsia" w:ascii="宋体" w:hAnsi="宋体" w:eastAsia="宋体" w:cs="宋体"/>
          <w:color w:val="auto"/>
          <w:vertAlign w:val="baseline"/>
        </w:rPr>
        <w:footnoteRef/>
      </w:r>
      <w:r>
        <w:rPr>
          <w:rFonts w:hint="eastAsia" w:ascii="宋体" w:hAnsi="宋体" w:eastAsia="宋体" w:cs="宋体"/>
          <w:color w:val="auto"/>
          <w:vertAlign w:val="baseline"/>
        </w:rPr>
        <w:t xml:space="preserve"> </w:t>
      </w:r>
      <w:r>
        <w:rPr>
          <w:rFonts w:hint="eastAsia" w:ascii="宋体" w:hAnsi="宋体" w:cs="宋体"/>
          <w:color w:val="auto"/>
          <w:vertAlign w:val="baseline"/>
          <w:lang w:val="en-US" w:eastAsia="zh-CN"/>
        </w:rPr>
        <w:t xml:space="preserve"> </w:t>
      </w:r>
      <w:r>
        <w:rPr>
          <w:rFonts w:hint="eastAsia" w:ascii="宋体" w:hAnsi="宋体" w:eastAsia="宋体" w:cs="宋体"/>
          <w:color w:val="auto"/>
          <w:vertAlign w:val="baseline"/>
          <w:lang w:val="en-US" w:eastAsia="zh-CN"/>
        </w:rPr>
        <w:t>一般情况下</w:t>
      </w:r>
      <w:r>
        <w:rPr>
          <w:rFonts w:hint="eastAsia"/>
          <w:color w:val="auto"/>
          <w:lang w:val="en-US" w:eastAsia="zh-CN"/>
        </w:rPr>
        <w:t>投标报价单位指人民币“元”，有特殊情形的可进行调整。</w:t>
      </w:r>
    </w:p>
  </w:footnote>
  <w:footnote w:id="112">
    <w:p w14:paraId="5016B801">
      <w:pPr>
        <w:pStyle w:val="38"/>
        <w:snapToGrid w:val="0"/>
        <w:rPr>
          <w:rFonts w:hint="default" w:eastAsia="宋体"/>
          <w:color w:val="auto"/>
          <w:lang w:val="en-US" w:eastAsia="zh-CN"/>
        </w:rPr>
      </w:pPr>
      <w:r>
        <w:rPr>
          <w:rStyle w:val="59"/>
          <w:rFonts w:hint="eastAsia" w:ascii="宋体" w:hAnsi="宋体" w:eastAsia="宋体" w:cs="宋体"/>
          <w:color w:val="auto"/>
          <w:vertAlign w:val="baseline"/>
        </w:rPr>
        <w:footnoteRef/>
      </w:r>
      <w:r>
        <w:rPr>
          <w:rFonts w:hint="eastAsia" w:ascii="宋体" w:hAnsi="宋体" w:eastAsia="宋体" w:cs="宋体"/>
          <w:color w:val="auto"/>
          <w:vertAlign w:val="baseline"/>
        </w:rPr>
        <w:t xml:space="preserve"> </w:t>
      </w:r>
      <w:r>
        <w:rPr>
          <w:rFonts w:hint="eastAsia" w:ascii="宋体" w:hAnsi="宋体" w:cs="宋体"/>
          <w:color w:val="auto"/>
          <w:vertAlign w:val="baseline"/>
          <w:lang w:val="en-US" w:eastAsia="zh-CN"/>
        </w:rPr>
        <w:t xml:space="preserve"> </w:t>
      </w:r>
      <w:r>
        <w:rPr>
          <w:rFonts w:hint="eastAsia" w:ascii="宋体" w:hAnsi="宋体" w:eastAsia="宋体" w:cs="宋体"/>
          <w:color w:val="auto"/>
          <w:vertAlign w:val="baseline"/>
          <w:lang w:val="en-US" w:eastAsia="zh-CN"/>
        </w:rPr>
        <w:t>一般情况下</w:t>
      </w:r>
      <w:r>
        <w:rPr>
          <w:rFonts w:hint="eastAsia"/>
          <w:color w:val="auto"/>
          <w:lang w:val="en-US" w:eastAsia="zh-CN"/>
        </w:rPr>
        <w:t>中标价单位指人民币“元”，有特殊情形的可进行调整。</w:t>
      </w:r>
    </w:p>
  </w:footnote>
  <w:footnote w:id="113">
    <w:p w14:paraId="3E1B0046">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此处指只有招标人设置了</w:t>
      </w:r>
      <w:r>
        <w:rPr>
          <w:rFonts w:ascii="宋体" w:hAnsi="宋体"/>
          <w:color w:val="auto"/>
          <w:highlight w:val="none"/>
        </w:rPr>
        <w:t>投标人须知附录6资格审查条件（</w:t>
      </w:r>
      <w:r>
        <w:rPr>
          <w:rFonts w:hint="eastAsia" w:ascii="宋体" w:hAnsi="宋体"/>
          <w:color w:val="auto"/>
          <w:highlight w:val="none"/>
        </w:rPr>
        <w:t>其他管理</w:t>
      </w:r>
      <w:r>
        <w:rPr>
          <w:rFonts w:ascii="宋体" w:hAnsi="宋体"/>
          <w:color w:val="auto"/>
          <w:highlight w:val="none"/>
        </w:rPr>
        <w:t>和人技术</w:t>
      </w:r>
      <w:r>
        <w:rPr>
          <w:rFonts w:hint="eastAsia" w:ascii="宋体" w:hAnsi="宋体"/>
          <w:color w:val="auto"/>
          <w:highlight w:val="none"/>
        </w:rPr>
        <w:t>人员最低要求</w:t>
      </w:r>
      <w:r>
        <w:rPr>
          <w:rFonts w:ascii="宋体" w:hAnsi="宋体"/>
          <w:color w:val="auto"/>
          <w:highlight w:val="none"/>
        </w:rPr>
        <w:t>）</w:t>
      </w:r>
      <w:r>
        <w:rPr>
          <w:rFonts w:hint="eastAsia" w:ascii="宋体" w:hAnsi="宋体"/>
          <w:color w:val="auto"/>
          <w:highlight w:val="none"/>
        </w:rPr>
        <w:t>或</w:t>
      </w:r>
      <w:r>
        <w:rPr>
          <w:rFonts w:ascii="宋体" w:hAnsi="宋体"/>
          <w:color w:val="auto"/>
          <w:highlight w:val="none"/>
        </w:rPr>
        <w:t>附录7资格审查条件（</w:t>
      </w:r>
      <w:r>
        <w:rPr>
          <w:rFonts w:hint="eastAsia" w:ascii="宋体" w:hAnsi="宋体"/>
          <w:color w:val="auto"/>
          <w:highlight w:val="none"/>
        </w:rPr>
        <w:t>主要机械设备和试验检测设备最低要求</w:t>
      </w:r>
      <w:r>
        <w:rPr>
          <w:rFonts w:ascii="宋体" w:hAnsi="宋体"/>
          <w:color w:val="auto"/>
          <w:highlight w:val="none"/>
        </w:rPr>
        <w:t>）</w:t>
      </w:r>
      <w:r>
        <w:rPr>
          <w:rFonts w:hint="eastAsia" w:ascii="宋体" w:hAnsi="宋体"/>
          <w:color w:val="auto"/>
          <w:highlight w:val="none"/>
        </w:rPr>
        <w:t>或附录</w:t>
      </w:r>
      <w:r>
        <w:rPr>
          <w:rFonts w:ascii="宋体" w:hAnsi="宋体"/>
          <w:color w:val="auto"/>
          <w:highlight w:val="none"/>
        </w:rPr>
        <w:t>8</w:t>
      </w:r>
      <w:r>
        <w:rPr>
          <w:rFonts w:hint="eastAsia" w:ascii="宋体" w:hAnsi="宋体"/>
          <w:color w:val="auto"/>
          <w:highlight w:val="none"/>
        </w:rPr>
        <w:t>资格审查条件（</w:t>
      </w:r>
      <w:r>
        <w:rPr>
          <w:rFonts w:hint="eastAsia" w:ascii="宋体" w:hAnsi="宋体"/>
          <w:color w:val="auto"/>
          <w:szCs w:val="21"/>
          <w:highlight w:val="none"/>
        </w:rPr>
        <w:t>关键机电设备</w:t>
      </w:r>
      <w:r>
        <w:rPr>
          <w:rFonts w:ascii="宋体" w:hAnsi="宋体"/>
          <w:color w:val="auto"/>
          <w:szCs w:val="21"/>
          <w:highlight w:val="none"/>
        </w:rPr>
        <w:t>主要</w:t>
      </w:r>
      <w:r>
        <w:rPr>
          <w:rFonts w:hint="eastAsia" w:ascii="宋体" w:hAnsi="宋体"/>
          <w:color w:val="auto"/>
          <w:szCs w:val="21"/>
          <w:highlight w:val="none"/>
        </w:rPr>
        <w:t>技术性能</w:t>
      </w:r>
      <w:r>
        <w:rPr>
          <w:rFonts w:ascii="宋体" w:hAnsi="宋体"/>
          <w:color w:val="auto"/>
          <w:szCs w:val="21"/>
          <w:highlight w:val="none"/>
        </w:rPr>
        <w:t>指标</w:t>
      </w:r>
      <w:r>
        <w:rPr>
          <w:rFonts w:hint="eastAsia" w:ascii="宋体" w:hAnsi="宋体"/>
          <w:color w:val="auto"/>
          <w:szCs w:val="21"/>
          <w:highlight w:val="none"/>
        </w:rPr>
        <w:t>最低要求</w:t>
      </w:r>
      <w:r>
        <w:rPr>
          <w:rFonts w:hint="eastAsia" w:ascii="宋体" w:hAnsi="宋体"/>
          <w:color w:val="auto"/>
          <w:highlight w:val="none"/>
        </w:rPr>
        <w:t>）时</w:t>
      </w:r>
      <w:r>
        <w:rPr>
          <w:rFonts w:ascii="宋体" w:hAnsi="宋体"/>
          <w:color w:val="auto"/>
          <w:highlight w:val="none"/>
        </w:rPr>
        <w:t>对应</w:t>
      </w:r>
      <w:r>
        <w:rPr>
          <w:rFonts w:hint="eastAsia" w:ascii="宋体" w:hAnsi="宋体"/>
          <w:color w:val="auto"/>
          <w:highlight w:val="none"/>
        </w:rPr>
        <w:t>的</w:t>
      </w:r>
      <w:r>
        <w:rPr>
          <w:rFonts w:ascii="宋体" w:hAnsi="宋体"/>
          <w:color w:val="auto"/>
          <w:highlight w:val="none"/>
        </w:rPr>
        <w:t>资格评审标准</w:t>
      </w:r>
      <w:r>
        <w:rPr>
          <w:rFonts w:hint="eastAsia" w:ascii="宋体" w:hAnsi="宋体"/>
          <w:color w:val="auto"/>
          <w:highlight w:val="none"/>
        </w:rPr>
        <w:t>。</w:t>
      </w:r>
    </w:p>
  </w:footnote>
  <w:footnote w:id="114">
    <w:p w14:paraId="5BB4CF72">
      <w:pPr>
        <w:pStyle w:val="38"/>
        <w:rPr>
          <w:color w:val="auto"/>
        </w:rPr>
      </w:pPr>
      <w:r>
        <w:rPr>
          <w:rStyle w:val="59"/>
          <w:color w:val="auto"/>
          <w:vertAlign w:val="baseline"/>
        </w:rPr>
        <w:footnoteRef/>
      </w:r>
      <w:r>
        <w:rPr>
          <w:color w:val="auto"/>
        </w:rPr>
        <w:t xml:space="preserve"> </w:t>
      </w:r>
      <w:r>
        <w:rPr>
          <w:rFonts w:hint="eastAsia"/>
          <w:color w:val="auto"/>
        </w:rPr>
        <w:t xml:space="preserve"> </w:t>
      </w:r>
      <w:r>
        <w:rPr>
          <w:rFonts w:hint="eastAsia" w:ascii="宋体" w:hAnsi="宋体" w:cs="宋体"/>
          <w:color w:val="auto"/>
        </w:rPr>
        <w:t>当报价方式采用</w:t>
      </w:r>
      <w:r>
        <w:rPr>
          <w:rFonts w:hint="eastAsia" w:ascii="宋体" w:hAnsi="宋体" w:cs="宋体"/>
          <w:color w:val="auto"/>
          <w:lang w:val="en-US" w:eastAsia="zh-CN"/>
        </w:rPr>
        <w:t>单价或</w:t>
      </w:r>
      <w:r>
        <w:rPr>
          <w:rFonts w:hint="eastAsia" w:ascii="宋体" w:hAnsi="宋体" w:cs="宋体"/>
          <w:color w:val="auto"/>
        </w:rPr>
        <w:t>总价以外的其他情形时，</w:t>
      </w:r>
      <w:r>
        <w:rPr>
          <w:rFonts w:hint="eastAsia"/>
          <w:color w:val="auto"/>
        </w:rPr>
        <w:t>投标报价能</w:t>
      </w:r>
      <w:r>
        <w:rPr>
          <w:rFonts w:hint="eastAsia"/>
          <w:color w:val="auto"/>
          <w:lang w:val="en-US" w:eastAsia="zh-CN"/>
        </w:rPr>
        <w:t>够</w:t>
      </w:r>
      <w:r>
        <w:rPr>
          <w:rFonts w:hint="eastAsia"/>
          <w:color w:val="auto"/>
        </w:rPr>
        <w:t>确定具体数值。</w:t>
      </w:r>
    </w:p>
  </w:footnote>
  <w:footnote w:id="115">
    <w:p w14:paraId="5983B773">
      <w:pPr>
        <w:pStyle w:val="38"/>
        <w:ind w:left="360" w:hanging="360" w:hangingChars="200"/>
        <w:jc w:val="both"/>
        <w:rPr>
          <w:rFonts w:hint="eastAsia" w:eastAsia="宋体" w:asciiTheme="minorEastAsia" w:hAnsiTheme="minorEastAsia"/>
          <w:color w:val="auto"/>
          <w:kern w:val="0"/>
          <w:highlight w:val="none"/>
        </w:rPr>
      </w:pPr>
      <w:r>
        <w:rPr>
          <w:rStyle w:val="59"/>
          <w:rFonts w:asciiTheme="minorEastAsia" w:hAnsiTheme="minorEastAsia" w:eastAsiaTheme="minorEastAsia"/>
          <w:color w:val="auto"/>
          <w:kern w:val="0"/>
          <w:highlight w:val="none"/>
          <w:vertAlign w:val="baseline"/>
        </w:rPr>
        <w:footnoteRef/>
      </w:r>
      <w:r>
        <w:rPr>
          <w:rFonts w:hint="eastAsia" w:asciiTheme="minorEastAsia" w:hAnsiTheme="minorEastAsia" w:eastAsiaTheme="minorEastAsia"/>
          <w:color w:val="auto"/>
          <w:kern w:val="0"/>
          <w:highlight w:val="none"/>
        </w:rPr>
        <w:t xml:space="preserve"> </w:t>
      </w:r>
      <w:r>
        <w:rPr>
          <w:rFonts w:hint="eastAsia" w:asciiTheme="minorEastAsia" w:hAnsiTheme="minorEastAsia" w:eastAsiaTheme="minorEastAsia"/>
          <w:color w:val="auto"/>
          <w:kern w:val="0"/>
          <w:highlight w:val="none"/>
          <w:lang w:val="en-US" w:eastAsia="zh-CN"/>
        </w:rPr>
        <w:t xml:space="preserve"> </w:t>
      </w:r>
      <w:r>
        <w:rPr>
          <w:rFonts w:hint="eastAsia" w:ascii="宋体" w:hAnsi="宋体"/>
          <w:color w:val="auto"/>
          <w:highlight w:val="none"/>
        </w:rPr>
        <w:t>招标人根据投标人</w:t>
      </w:r>
      <w:r>
        <w:rPr>
          <w:rFonts w:hint="eastAsia" w:ascii="宋体" w:hAnsi="宋体"/>
          <w:color w:val="auto"/>
          <w:highlight w:val="none"/>
          <w:lang w:val="en-US" w:eastAsia="zh-CN"/>
        </w:rPr>
        <w:t>投标截止时间</w:t>
      </w:r>
      <w:r>
        <w:rPr>
          <w:rFonts w:hint="eastAsia" w:ascii="宋体" w:hAnsi="宋体"/>
          <w:color w:val="auto"/>
          <w:highlight w:val="none"/>
        </w:rPr>
        <w:t>在四川省交通运输厅网站公布的四川省重点公路</w:t>
      </w:r>
      <w:r>
        <w:rPr>
          <w:rFonts w:hint="eastAsia" w:ascii="宋体" w:hAnsi="宋体" w:cs="宋体"/>
          <w:bCs/>
          <w:color w:val="auto"/>
          <w:kern w:val="0"/>
          <w:szCs w:val="21"/>
          <w:highlight w:val="none"/>
        </w:rPr>
        <w:t>建设从业单位信用评价等级</w:t>
      </w:r>
      <w:r>
        <w:rPr>
          <w:rFonts w:hint="eastAsia" w:ascii="宋体" w:hAnsi="宋体" w:cs="宋体"/>
          <w:bCs/>
          <w:color w:val="auto"/>
          <w:kern w:val="0"/>
          <w:szCs w:val="21"/>
          <w:highlight w:val="none"/>
          <w:lang w:val="en-US" w:eastAsia="zh-CN"/>
        </w:rPr>
        <w:t>或</w:t>
      </w:r>
      <w:r>
        <w:rPr>
          <w:rFonts w:hint="eastAsia" w:ascii="宋体" w:hAnsi="宋体"/>
          <w:color w:val="auto"/>
          <w:highlight w:val="none"/>
        </w:rPr>
        <w:t>四川省</w:t>
      </w:r>
      <w:r>
        <w:rPr>
          <w:rFonts w:hint="eastAsia" w:ascii="宋体" w:hAnsi="宋体"/>
          <w:color w:val="auto"/>
          <w:highlight w:val="none"/>
          <w:lang w:val="en-US" w:eastAsia="zh-CN"/>
        </w:rPr>
        <w:t>农村公路</w:t>
      </w:r>
      <w:r>
        <w:rPr>
          <w:rFonts w:hint="eastAsia" w:ascii="宋体" w:hAnsi="宋体" w:cs="宋体"/>
          <w:bCs/>
          <w:color w:val="auto"/>
          <w:kern w:val="0"/>
          <w:szCs w:val="21"/>
          <w:highlight w:val="none"/>
        </w:rPr>
        <w:t>建设从业单位信用评价等级对其履约信用进行评分，</w:t>
      </w:r>
      <w:r>
        <w:rPr>
          <w:rFonts w:hint="eastAsia" w:ascii="宋体" w:hAnsi="宋体" w:cs="宋体"/>
          <w:bCs/>
          <w:color w:val="000000" w:themeColor="text1"/>
          <w:kern w:val="0"/>
          <w:szCs w:val="21"/>
          <w14:textFill>
            <w14:solidFill>
              <w14:schemeClr w14:val="tx1"/>
            </w14:solidFill>
          </w14:textFill>
        </w:rPr>
        <w:t>信用评分设置分值不超过总满分的</w:t>
      </w:r>
      <w:r>
        <w:rPr>
          <w:rFonts w:ascii="宋体" w:hAnsi="宋体" w:cs="宋体"/>
          <w:bCs/>
          <w:color w:val="000000" w:themeColor="text1"/>
          <w:kern w:val="0"/>
          <w:szCs w:val="21"/>
          <w14:textFill>
            <w14:solidFill>
              <w14:schemeClr w14:val="tx1"/>
            </w14:solidFill>
          </w14:textFill>
        </w:rPr>
        <w:t>2%</w:t>
      </w:r>
      <w:r>
        <w:rPr>
          <w:rFonts w:hint="eastAsia" w:ascii="宋体" w:hAnsi="宋体" w:cs="宋体"/>
          <w:bCs/>
          <w:color w:val="auto"/>
          <w:kern w:val="0"/>
          <w:szCs w:val="21"/>
          <w:highlight w:val="none"/>
          <w:lang w:eastAsia="zh-CN"/>
        </w:rPr>
        <w:t>。</w:t>
      </w:r>
    </w:p>
  </w:footnote>
  <w:footnote w:id="116">
    <w:p w14:paraId="2C17D2AA">
      <w:pPr>
        <w:pStyle w:val="38"/>
        <w:snapToGrid w:val="0"/>
        <w:ind w:left="360" w:hanging="360" w:hangingChars="200"/>
        <w:rPr>
          <w:rFonts w:hint="default" w:eastAsia="宋体"/>
          <w:lang w:val="en-US" w:eastAsia="zh-CN"/>
        </w:rPr>
      </w:pPr>
      <w:r>
        <w:rPr>
          <w:rStyle w:val="59"/>
          <w:vertAlign w:val="baseline"/>
        </w:rPr>
        <w:footnoteRef/>
      </w:r>
      <w:r>
        <w:t xml:space="preserve"> </w:t>
      </w:r>
      <w:r>
        <w:rPr>
          <w:rFonts w:hint="eastAsia"/>
          <w:lang w:val="en-US" w:eastAsia="zh-CN"/>
        </w:rPr>
        <w:t xml:space="preserve"> 投标报价单位采用人民币“元”时，评标基准价计算结果应“四舍五入”取整到元。投标报价单位采用比例时，评标基准价计算结果应明确保留小数点位数。</w:t>
      </w:r>
    </w:p>
  </w:footnote>
  <w:footnote w:id="117">
    <w:p w14:paraId="5770D808">
      <w:pPr>
        <w:pStyle w:val="38"/>
        <w:ind w:left="360" w:hanging="360" w:hangingChars="200"/>
        <w:jc w:val="both"/>
        <w:rPr>
          <w:rFonts w:hint="default" w:ascii="宋体" w:hAnsi="宋体" w:eastAsia="宋体" w:cs="宋体"/>
          <w:color w:val="auto"/>
          <w:lang w:val="en-US" w:eastAsia="zh-CN"/>
        </w:rPr>
      </w:pPr>
      <w:r>
        <w:rPr>
          <w:rStyle w:val="59"/>
          <w:rFonts w:hint="eastAsia" w:ascii="宋体" w:hAnsi="宋体" w:cs="宋体"/>
          <w:color w:val="auto"/>
          <w:vertAlign w:val="baseline"/>
        </w:rPr>
        <w:footnoteRef/>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根据</w:t>
      </w:r>
      <w:r>
        <w:rPr>
          <w:rFonts w:hint="eastAsia" w:ascii="宋体" w:hAnsi="宋体" w:cs="宋体"/>
          <w:color w:val="auto"/>
          <w:lang w:val="en-US" w:eastAsia="zh-CN"/>
        </w:rPr>
        <w:t>招标项目具体特点和实际情况，招标人</w:t>
      </w:r>
      <w:r>
        <w:rPr>
          <w:rFonts w:hint="eastAsia" w:ascii="宋体" w:hAnsi="宋体" w:cs="宋体"/>
          <w:color w:val="auto"/>
        </w:rPr>
        <w:t>可调整评标价的定义。</w:t>
      </w:r>
      <w:r>
        <w:rPr>
          <w:rFonts w:hint="eastAsia" w:ascii="宋体" w:hAnsi="宋体" w:cs="宋体"/>
          <w:color w:val="auto"/>
          <w:lang w:val="en-US" w:eastAsia="zh-CN"/>
        </w:rPr>
        <w:t>例如：评标价</w:t>
      </w:r>
      <w:r>
        <w:rPr>
          <w:rFonts w:hint="eastAsia" w:ascii="宋体" w:hAnsi="宋体" w:eastAsia="宋体" w:cs="宋体"/>
          <w:color w:val="auto"/>
          <w:lang w:val="en-US" w:eastAsia="zh-CN"/>
        </w:rPr>
        <w:t>＝</w:t>
      </w:r>
      <w:r>
        <w:rPr>
          <w:rFonts w:hint="eastAsia" w:ascii="宋体" w:hAnsi="宋体" w:cs="宋体"/>
          <w:color w:val="auto"/>
          <w:lang w:val="en-US" w:eastAsia="zh-CN"/>
        </w:rPr>
        <w:t>投标人投标报价</w:t>
      </w:r>
      <w:r>
        <w:rPr>
          <w:rFonts w:hint="eastAsia" w:ascii="宋体" w:hAnsi="宋体" w:eastAsia="宋体" w:cs="宋体"/>
          <w:color w:val="auto"/>
          <w:lang w:val="en-US" w:eastAsia="zh-CN"/>
        </w:rPr>
        <w:t>－</w:t>
      </w:r>
      <w:r>
        <w:rPr>
          <w:rFonts w:hint="eastAsia" w:ascii="宋体" w:hAnsi="宋体" w:cs="宋体"/>
          <w:color w:val="auto"/>
          <w:lang w:val="en-US" w:eastAsia="zh-CN"/>
        </w:rPr>
        <w:t>非竞争性部分报价。</w:t>
      </w:r>
    </w:p>
  </w:footnote>
  <w:footnote w:id="118">
    <w:p w14:paraId="2A13CB0E">
      <w:pPr>
        <w:pStyle w:val="38"/>
        <w:ind w:left="360" w:hanging="360" w:hangingChars="200"/>
        <w:jc w:val="both"/>
        <w:rPr>
          <w:rFonts w:ascii="宋体" w:hAnsi="宋体"/>
          <w:color w:val="auto"/>
          <w:kern w:val="0"/>
          <w:highlight w:val="none"/>
        </w:rPr>
      </w:pPr>
      <w:r>
        <w:rPr>
          <w:rFonts w:ascii="宋体" w:hAnsi="宋体"/>
          <w:color w:val="auto"/>
          <w:kern w:val="0"/>
          <w:highlight w:val="none"/>
        </w:rPr>
        <w:footnoteRef/>
      </w:r>
      <w:r>
        <w:rPr>
          <w:rFonts w:ascii="宋体" w:hAnsi="宋体"/>
          <w:color w:val="auto"/>
          <w:kern w:val="0"/>
          <w:highlight w:val="none"/>
        </w:rPr>
        <w:t xml:space="preserve"> </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招标人</w:t>
      </w:r>
      <w:r>
        <w:rPr>
          <w:rFonts w:ascii="宋体" w:hAnsi="宋体"/>
          <w:color w:val="auto"/>
          <w:kern w:val="0"/>
          <w:highlight w:val="none"/>
        </w:rPr>
        <w:t>可在招标文件中约定低于投标最高限价一定范围值的投标报价（</w:t>
      </w:r>
      <w:r>
        <w:rPr>
          <w:rFonts w:hint="eastAsia" w:ascii="宋体" w:hAnsi="宋体"/>
          <w:color w:val="auto"/>
          <w:kern w:val="0"/>
          <w:highlight w:val="none"/>
        </w:rPr>
        <w:t>该范围值</w:t>
      </w:r>
      <w:r>
        <w:rPr>
          <w:rFonts w:ascii="宋体" w:hAnsi="宋体"/>
          <w:color w:val="auto"/>
          <w:kern w:val="0"/>
          <w:highlight w:val="none"/>
        </w:rPr>
        <w:t>一般不应小于15%）</w:t>
      </w:r>
      <w:r>
        <w:rPr>
          <w:rFonts w:hint="eastAsia" w:ascii="宋体" w:hAnsi="宋体"/>
          <w:color w:val="auto"/>
          <w:kern w:val="0"/>
          <w:highlight w:val="none"/>
        </w:rPr>
        <w:t>不参与</w:t>
      </w:r>
      <w:r>
        <w:rPr>
          <w:rFonts w:ascii="宋体" w:hAnsi="宋体"/>
          <w:color w:val="auto"/>
          <w:kern w:val="0"/>
          <w:highlight w:val="none"/>
        </w:rPr>
        <w:t>评标基准价</w:t>
      </w:r>
      <w:r>
        <w:rPr>
          <w:rFonts w:hint="eastAsia" w:ascii="宋体" w:hAnsi="宋体"/>
          <w:color w:val="auto"/>
          <w:kern w:val="0"/>
          <w:highlight w:val="none"/>
        </w:rPr>
        <w:t>的</w:t>
      </w:r>
      <w:r>
        <w:rPr>
          <w:rFonts w:ascii="宋体" w:hAnsi="宋体"/>
          <w:color w:val="auto"/>
          <w:kern w:val="0"/>
          <w:highlight w:val="none"/>
        </w:rPr>
        <w:t>计算</w:t>
      </w:r>
      <w:r>
        <w:rPr>
          <w:rFonts w:hint="eastAsia" w:ascii="宋体" w:hAnsi="宋体"/>
          <w:color w:val="auto"/>
          <w:kern w:val="0"/>
          <w:highlight w:val="none"/>
        </w:rPr>
        <w:t>。</w:t>
      </w:r>
    </w:p>
  </w:footnote>
  <w:footnote w:id="119">
    <w:p w14:paraId="0AA12248">
      <w:pPr>
        <w:pStyle w:val="38"/>
        <w:ind w:left="360" w:hanging="360" w:hangingChars="200"/>
        <w:jc w:val="both"/>
        <w:rPr>
          <w:rFonts w:ascii="宋体" w:hAnsi="宋体"/>
          <w:color w:val="auto"/>
          <w:highlight w:val="none"/>
        </w:rPr>
      </w:pPr>
      <w:r>
        <w:rPr>
          <w:rStyle w:val="59"/>
          <w:rFonts w:ascii="宋体" w:hAnsi="宋体"/>
          <w:color w:val="auto"/>
          <w:kern w:val="0"/>
          <w:highlight w:val="none"/>
          <w:vertAlign w:val="baseline"/>
        </w:rPr>
        <w:footnoteRef/>
      </w:r>
      <w:r>
        <w:rPr>
          <w:rFonts w:ascii="宋体" w:hAnsi="宋体"/>
          <w:color w:val="auto"/>
          <w:kern w:val="0"/>
          <w:highlight w:val="none"/>
        </w:rPr>
        <w:t xml:space="preserve"> </w:t>
      </w:r>
      <w:r>
        <w:rPr>
          <w:rFonts w:hint="eastAsia" w:ascii="宋体" w:hAnsi="宋体"/>
          <w:color w:val="auto"/>
          <w:kern w:val="0"/>
          <w:highlight w:val="none"/>
          <w:lang w:val="en-US" w:eastAsia="zh-CN"/>
        </w:rPr>
        <w:t xml:space="preserve"> </w:t>
      </w:r>
      <w:r>
        <w:rPr>
          <w:rFonts w:ascii="宋体" w:hAnsi="宋体"/>
          <w:color w:val="auto"/>
          <w:kern w:val="0"/>
          <w:highlight w:val="none"/>
        </w:rPr>
        <w:t>上述评标基准价的计算方法供招标人参考，招标人应依据招标项目特点和实际需要，选择或制定适合项目的评标基准价的计算方法。</w:t>
      </w:r>
    </w:p>
  </w:footnote>
  <w:footnote w:id="120">
    <w:p w14:paraId="2657D8BF">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s="宋体"/>
          <w:color w:val="auto"/>
          <w:highlight w:val="none"/>
        </w:rPr>
        <w:t>Q</w:t>
      </w:r>
      <w:r>
        <w:rPr>
          <w:rFonts w:ascii="宋体" w:hAnsi="宋体" w:cs="宋体"/>
          <w:color w:val="auto"/>
          <w:highlight w:val="none"/>
          <w:vertAlign w:val="subscript"/>
        </w:rPr>
        <w:t>1</w:t>
      </w:r>
      <w:r>
        <w:rPr>
          <w:rFonts w:ascii="宋体" w:hAnsi="宋体" w:cs="宋体"/>
          <w:color w:val="auto"/>
          <w:highlight w:val="none"/>
        </w:rPr>
        <w:t>取值范围30%～70%,Q</w:t>
      </w:r>
      <w:r>
        <w:rPr>
          <w:rFonts w:ascii="宋体" w:hAnsi="宋体" w:cs="宋体"/>
          <w:color w:val="auto"/>
          <w:highlight w:val="none"/>
          <w:vertAlign w:val="subscript"/>
        </w:rPr>
        <w:t>1</w:t>
      </w:r>
      <w:r>
        <w:rPr>
          <w:rFonts w:ascii="宋体" w:hAnsi="宋体" w:cs="宋体"/>
          <w:color w:val="auto"/>
          <w:highlight w:val="none"/>
        </w:rPr>
        <w:t>取值的步长不大于1%。</w:t>
      </w:r>
    </w:p>
  </w:footnote>
  <w:footnote w:id="121">
    <w:p w14:paraId="2B512DA1">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s="宋体"/>
          <w:color w:val="auto"/>
          <w:highlight w:val="none"/>
        </w:rPr>
        <w:t>K</w:t>
      </w:r>
      <w:r>
        <w:rPr>
          <w:rFonts w:ascii="宋体" w:hAnsi="宋体" w:cs="宋体"/>
          <w:color w:val="auto"/>
          <w:highlight w:val="none"/>
          <w:vertAlign w:val="subscript"/>
        </w:rPr>
        <w:t>1</w:t>
      </w:r>
      <w:r>
        <w:rPr>
          <w:rFonts w:ascii="宋体" w:hAnsi="宋体" w:cs="宋体"/>
          <w:color w:val="auto"/>
          <w:highlight w:val="none"/>
        </w:rPr>
        <w:t>取值范围95%～100%, K</w:t>
      </w:r>
      <w:r>
        <w:rPr>
          <w:rFonts w:ascii="宋体" w:hAnsi="宋体" w:cs="宋体"/>
          <w:color w:val="auto"/>
          <w:highlight w:val="none"/>
          <w:vertAlign w:val="subscript"/>
        </w:rPr>
        <w:t>1</w:t>
      </w:r>
      <w:r>
        <w:rPr>
          <w:rFonts w:ascii="宋体" w:hAnsi="宋体" w:cs="宋体"/>
          <w:color w:val="auto"/>
          <w:highlight w:val="none"/>
        </w:rPr>
        <w:t>取值的步长不大于0.5%。</w:t>
      </w:r>
    </w:p>
  </w:footnote>
  <w:footnote w:id="122">
    <w:p w14:paraId="797F42F2">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s="宋体"/>
          <w:color w:val="auto"/>
          <w:highlight w:val="none"/>
        </w:rPr>
        <w:t>K</w:t>
      </w:r>
      <w:r>
        <w:rPr>
          <w:rFonts w:ascii="宋体" w:hAnsi="宋体" w:cs="宋体"/>
          <w:color w:val="auto"/>
          <w:highlight w:val="none"/>
          <w:vertAlign w:val="subscript"/>
        </w:rPr>
        <w:t>2</w:t>
      </w:r>
      <w:r>
        <w:rPr>
          <w:rFonts w:hint="eastAsia" w:ascii="宋体" w:hAnsi="宋体" w:cs="宋体"/>
          <w:color w:val="auto"/>
          <w:highlight w:val="none"/>
        </w:rPr>
        <w:t>取值范围</w:t>
      </w:r>
      <w:r>
        <w:rPr>
          <w:rFonts w:ascii="宋体" w:hAnsi="宋体" w:cs="宋体"/>
          <w:color w:val="auto"/>
          <w:highlight w:val="none"/>
        </w:rPr>
        <w:t>(85%+M%)～(90%+M%)，其中M为0</w:t>
      </w:r>
      <w:r>
        <w:rPr>
          <w:rFonts w:hint="eastAsia" w:ascii="宋体" w:hAnsi="宋体" w:eastAsia="宋体" w:cs="宋体"/>
          <w:color w:val="auto"/>
          <w:highlight w:val="none"/>
        </w:rPr>
        <w:t>～</w:t>
      </w:r>
      <w:r>
        <w:rPr>
          <w:rFonts w:ascii="宋体" w:hAnsi="宋体" w:cs="宋体"/>
          <w:color w:val="auto"/>
          <w:highlight w:val="none"/>
        </w:rPr>
        <w:t>5的自然数，K</w:t>
      </w:r>
      <w:r>
        <w:rPr>
          <w:rFonts w:ascii="宋体" w:hAnsi="宋体" w:cs="宋体"/>
          <w:color w:val="auto"/>
          <w:highlight w:val="none"/>
          <w:vertAlign w:val="subscript"/>
        </w:rPr>
        <w:t>2</w:t>
      </w:r>
      <w:r>
        <w:rPr>
          <w:rFonts w:ascii="宋体" w:hAnsi="宋体" w:cs="宋体"/>
          <w:color w:val="auto"/>
          <w:highlight w:val="none"/>
        </w:rPr>
        <w:t>取值的步长不大于0.5%。</w:t>
      </w:r>
    </w:p>
  </w:footnote>
  <w:footnote w:id="123">
    <w:p w14:paraId="1D6E5AA6">
      <w:pPr>
        <w:pStyle w:val="38"/>
        <w:jc w:val="both"/>
        <w:rPr>
          <w:rStyle w:val="59"/>
          <w:rFonts w:ascii="宋体" w:hAnsi="宋体"/>
          <w:color w:val="auto"/>
          <w:sz w:val="21"/>
          <w:szCs w:val="24"/>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招标人根据项目情况在取值范围中设定。</w:t>
      </w:r>
    </w:p>
  </w:footnote>
  <w:footnote w:id="124">
    <w:p w14:paraId="24B61ACE">
      <w:pPr>
        <w:pStyle w:val="38"/>
        <w:ind w:left="360" w:hanging="360" w:hangingChars="200"/>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招标人根据项目情况在取值范围中设定随机下浮系数</w:t>
      </w:r>
      <w:r>
        <w:rPr>
          <w:rFonts w:hint="eastAsia" w:ascii="宋体" w:hAnsi="宋体"/>
          <w:color w:val="auto"/>
          <w:highlight w:val="none"/>
        </w:rPr>
        <w:t>，</w:t>
      </w:r>
      <w:r>
        <w:rPr>
          <w:rFonts w:ascii="宋体" w:hAnsi="宋体"/>
          <w:color w:val="auto"/>
          <w:highlight w:val="none"/>
        </w:rPr>
        <w:t>该系数的取值范围为85%</w:t>
      </w:r>
      <w:r>
        <w:rPr>
          <w:rFonts w:hint="eastAsia" w:ascii="宋体" w:hAnsi="宋体"/>
          <w:color w:val="auto"/>
          <w:highlight w:val="none"/>
        </w:rPr>
        <w:t>～</w:t>
      </w:r>
      <w:r>
        <w:rPr>
          <w:rFonts w:ascii="宋体" w:hAnsi="宋体"/>
          <w:color w:val="auto"/>
          <w:highlight w:val="none"/>
        </w:rPr>
        <w:t>95%，在第二</w:t>
      </w:r>
      <w:r>
        <w:rPr>
          <w:rFonts w:hint="eastAsia" w:ascii="宋体" w:hAnsi="宋体"/>
          <w:color w:val="auto"/>
          <w:highlight w:val="none"/>
          <w:lang w:val="en-US" w:eastAsia="zh-CN"/>
        </w:rPr>
        <w:t>个</w:t>
      </w:r>
      <w:r>
        <w:rPr>
          <w:rFonts w:ascii="宋体" w:hAnsi="宋体"/>
          <w:color w:val="auto"/>
          <w:highlight w:val="none"/>
        </w:rPr>
        <w:t>信封</w:t>
      </w:r>
      <w:r>
        <w:rPr>
          <w:rFonts w:hint="eastAsia" w:ascii="宋体" w:hAnsi="宋体"/>
          <w:color w:val="auto"/>
          <w:highlight w:val="none"/>
          <w:lang w:eastAsia="zh-CN"/>
        </w:rPr>
        <w:t>（</w:t>
      </w:r>
      <w:r>
        <w:rPr>
          <w:rFonts w:hint="eastAsia" w:ascii="宋体" w:hAnsi="宋体"/>
          <w:color w:val="auto"/>
          <w:highlight w:val="none"/>
          <w:lang w:val="en-US" w:eastAsia="zh-CN"/>
        </w:rPr>
        <w:t>报价文件</w:t>
      </w:r>
      <w:r>
        <w:rPr>
          <w:rFonts w:hint="eastAsia" w:ascii="宋体" w:hAnsi="宋体"/>
          <w:color w:val="auto"/>
          <w:highlight w:val="none"/>
          <w:lang w:eastAsia="zh-CN"/>
        </w:rPr>
        <w:t>）</w:t>
      </w:r>
      <w:r>
        <w:rPr>
          <w:rFonts w:ascii="宋体" w:hAnsi="宋体"/>
          <w:color w:val="auto"/>
          <w:highlight w:val="none"/>
        </w:rPr>
        <w:t>开标现场随机抽取确定三个数，三个数的算术平均值即为随机下浮系数，其取值的步长不大于0.5%。</w:t>
      </w:r>
    </w:p>
  </w:footnote>
  <w:footnote w:id="125">
    <w:p w14:paraId="733FC61C">
      <w:pPr>
        <w:pStyle w:val="38"/>
        <w:rPr>
          <w:rFonts w:asciiTheme="minorEastAsia" w:hAnsiTheme="minorEastAsia" w:eastAsiaTheme="minorEastAsia"/>
          <w:color w:val="auto"/>
          <w:highlight w:val="none"/>
        </w:rPr>
      </w:pPr>
      <w:r>
        <w:rPr>
          <w:rFonts w:asciiTheme="minorEastAsia" w:hAnsiTheme="minorEastAsia" w:eastAsiaTheme="minorEastAsia"/>
          <w:color w:val="auto"/>
          <w:highlight w:val="none"/>
        </w:rPr>
        <w:footnoteRef/>
      </w:r>
      <w:r>
        <w:rPr>
          <w:rFonts w:hint="eastAsia" w:ascii="宋体" w:hAnsi="宋体"/>
          <w:color w:val="auto"/>
          <w:highlight w:val="none"/>
          <w:lang w:val="en-US" w:eastAsia="zh-CN"/>
        </w:rPr>
        <w:t xml:space="preserve">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招标人可以结合招标项目具体特点和实际需要设置E</w:t>
      </w:r>
      <w:r>
        <w:rPr>
          <w:rFonts w:asciiTheme="minorEastAsia" w:hAnsiTheme="minorEastAsia" w:eastAsiaTheme="minorEastAsia"/>
          <w:color w:val="auto"/>
          <w:highlight w:val="none"/>
          <w:vertAlign w:val="subscript"/>
        </w:rPr>
        <w:t>1</w:t>
      </w:r>
      <w:r>
        <w:rPr>
          <w:rFonts w:hint="eastAsia" w:asciiTheme="minorEastAsia" w:hAnsiTheme="minorEastAsia" w:eastAsiaTheme="minorEastAsia"/>
          <w:color w:val="auto"/>
          <w:highlight w:val="none"/>
        </w:rPr>
        <w:t>、E</w:t>
      </w:r>
      <w:r>
        <w:rPr>
          <w:rFonts w:asciiTheme="minorEastAsia" w:hAnsiTheme="minorEastAsia" w:eastAsiaTheme="minorEastAsia"/>
          <w:color w:val="auto"/>
          <w:highlight w:val="none"/>
          <w:vertAlign w:val="subscript"/>
        </w:rPr>
        <w:t>2</w:t>
      </w:r>
      <w:r>
        <w:rPr>
          <w:rFonts w:hint="eastAsia" w:asciiTheme="minorEastAsia" w:hAnsiTheme="minorEastAsia" w:eastAsiaTheme="minorEastAsia"/>
          <w:color w:val="auto"/>
          <w:highlight w:val="none"/>
        </w:rPr>
        <w:t>，E</w:t>
      </w:r>
      <w:r>
        <w:rPr>
          <w:rFonts w:asciiTheme="minorEastAsia" w:hAnsiTheme="minorEastAsia" w:eastAsiaTheme="minorEastAsia"/>
          <w:color w:val="auto"/>
          <w:highlight w:val="none"/>
          <w:vertAlign w:val="subscript"/>
        </w:rPr>
        <w:t>2</w:t>
      </w:r>
      <w:r>
        <w:rPr>
          <w:rFonts w:hint="eastAsia" w:asciiTheme="minorEastAsia" w:hAnsiTheme="minorEastAsia" w:eastAsiaTheme="minorEastAsia"/>
          <w:color w:val="auto"/>
          <w:highlight w:val="none"/>
        </w:rPr>
        <w:t>值不宜低于1，E</w:t>
      </w:r>
      <w:r>
        <w:rPr>
          <w:rFonts w:asciiTheme="minorEastAsia" w:hAnsiTheme="minorEastAsia" w:eastAsiaTheme="minorEastAsia"/>
          <w:color w:val="auto"/>
          <w:highlight w:val="none"/>
          <w:vertAlign w:val="subscript"/>
        </w:rPr>
        <w:t>1</w:t>
      </w:r>
      <w:r>
        <w:rPr>
          <w:rFonts w:hint="eastAsia" w:asciiTheme="minorEastAsia" w:hAnsiTheme="minorEastAsia" w:eastAsiaTheme="minorEastAsia"/>
          <w:color w:val="auto"/>
          <w:highlight w:val="none"/>
        </w:rPr>
        <w:t>值应大于E</w:t>
      </w:r>
      <w:r>
        <w:rPr>
          <w:rFonts w:asciiTheme="minorEastAsia" w:hAnsiTheme="minorEastAsia" w:eastAsiaTheme="minorEastAsia"/>
          <w:color w:val="auto"/>
          <w:highlight w:val="none"/>
          <w:vertAlign w:val="subscript"/>
        </w:rPr>
        <w:t>2</w:t>
      </w:r>
      <w:r>
        <w:rPr>
          <w:rFonts w:hint="eastAsia" w:asciiTheme="minorEastAsia" w:hAnsiTheme="minorEastAsia" w:eastAsiaTheme="minorEastAsia"/>
          <w:color w:val="auto"/>
          <w:highlight w:val="none"/>
        </w:rPr>
        <w:t>值。</w:t>
      </w:r>
    </w:p>
  </w:footnote>
  <w:footnote w:id="126">
    <w:p w14:paraId="46BB0F8F">
      <w:pPr>
        <w:pStyle w:val="38"/>
        <w:rPr>
          <w:color w:val="auto"/>
          <w:highlight w:val="none"/>
        </w:rPr>
      </w:pPr>
      <w:r>
        <w:rPr>
          <w:rFonts w:asciiTheme="minorEastAsia" w:hAnsiTheme="minorEastAsia" w:eastAsiaTheme="minorEastAsia"/>
          <w:color w:val="auto"/>
          <w:highlight w:val="none"/>
        </w:rPr>
        <w:footnoteRef/>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方式二仅适</w:t>
      </w:r>
      <w:r>
        <w:rPr>
          <w:rFonts w:hint="eastAsia" w:asciiTheme="minorEastAsia" w:hAnsiTheme="minorEastAsia" w:eastAsiaTheme="minorEastAsia"/>
          <w:color w:val="auto"/>
          <w:highlight w:val="none"/>
          <w:lang w:val="en-US" w:eastAsia="zh-CN"/>
        </w:rPr>
        <w:t>用</w:t>
      </w:r>
      <w:r>
        <w:rPr>
          <w:rFonts w:hint="eastAsia" w:asciiTheme="minorEastAsia" w:hAnsiTheme="minorEastAsia" w:eastAsiaTheme="minorEastAsia"/>
          <w:color w:val="auto"/>
          <w:highlight w:val="none"/>
        </w:rPr>
        <w:t>于以有效投标文件的最低投标报价为评标基准价的情形。</w:t>
      </w:r>
    </w:p>
  </w:footnote>
  <w:footnote w:id="127">
    <w:p w14:paraId="7A2DDAE3">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总价以外的其他情形时，在此约定其他投标报价修正方式。</w:t>
      </w:r>
    </w:p>
  </w:footnote>
  <w:footnote w:id="128">
    <w:p w14:paraId="2345A2F1">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总价以外的其他情形时，在此约定其他投标报价修正方式。</w:t>
      </w:r>
    </w:p>
  </w:footnote>
  <w:footnote w:id="129">
    <w:p w14:paraId="23DDFA8F">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p>
  </w:footnote>
  <w:footnote w:id="130">
    <w:p w14:paraId="7E6C64E1">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此处指只有招标人设置了</w:t>
      </w:r>
      <w:r>
        <w:rPr>
          <w:rFonts w:ascii="宋体" w:hAnsi="宋体"/>
          <w:color w:val="auto"/>
          <w:highlight w:val="none"/>
        </w:rPr>
        <w:t>投标人须知附录6资格审查条件（</w:t>
      </w:r>
      <w:r>
        <w:rPr>
          <w:rFonts w:hint="eastAsia" w:ascii="宋体" w:hAnsi="宋体"/>
          <w:color w:val="auto"/>
          <w:highlight w:val="none"/>
        </w:rPr>
        <w:t>其他管理</w:t>
      </w:r>
      <w:r>
        <w:rPr>
          <w:rFonts w:ascii="宋体" w:hAnsi="宋体"/>
          <w:color w:val="auto"/>
          <w:highlight w:val="none"/>
        </w:rPr>
        <w:t>和人技术人</w:t>
      </w:r>
      <w:r>
        <w:rPr>
          <w:rFonts w:hint="eastAsia" w:ascii="宋体" w:hAnsi="宋体"/>
          <w:color w:val="auto"/>
          <w:highlight w:val="none"/>
        </w:rPr>
        <w:t>员最低要求</w:t>
      </w:r>
      <w:r>
        <w:rPr>
          <w:rFonts w:ascii="宋体" w:hAnsi="宋体"/>
          <w:color w:val="auto"/>
          <w:highlight w:val="none"/>
        </w:rPr>
        <w:t>）</w:t>
      </w:r>
      <w:r>
        <w:rPr>
          <w:rFonts w:hint="eastAsia" w:ascii="宋体" w:hAnsi="宋体"/>
          <w:color w:val="auto"/>
          <w:highlight w:val="none"/>
        </w:rPr>
        <w:t>或</w:t>
      </w:r>
      <w:r>
        <w:rPr>
          <w:rFonts w:ascii="宋体" w:hAnsi="宋体"/>
          <w:color w:val="auto"/>
          <w:highlight w:val="none"/>
        </w:rPr>
        <w:t>附录7资格审查条件（</w:t>
      </w:r>
      <w:r>
        <w:rPr>
          <w:rFonts w:hint="eastAsia" w:ascii="宋体" w:hAnsi="宋体"/>
          <w:color w:val="auto"/>
          <w:highlight w:val="none"/>
        </w:rPr>
        <w:t>主要机械设备和试验检测设备最低要求</w:t>
      </w:r>
      <w:r>
        <w:rPr>
          <w:rFonts w:ascii="宋体" w:hAnsi="宋体"/>
          <w:color w:val="auto"/>
          <w:highlight w:val="none"/>
        </w:rPr>
        <w:t>）</w:t>
      </w:r>
      <w:r>
        <w:rPr>
          <w:rFonts w:hint="eastAsia" w:ascii="宋体" w:hAnsi="宋体"/>
          <w:color w:val="auto"/>
          <w:highlight w:val="none"/>
        </w:rPr>
        <w:t>或附录</w:t>
      </w:r>
      <w:r>
        <w:rPr>
          <w:rFonts w:ascii="宋体" w:hAnsi="宋体"/>
          <w:color w:val="auto"/>
          <w:highlight w:val="none"/>
        </w:rPr>
        <w:t>8</w:t>
      </w:r>
      <w:r>
        <w:rPr>
          <w:rFonts w:hint="eastAsia" w:ascii="宋体" w:hAnsi="宋体"/>
          <w:color w:val="auto"/>
          <w:highlight w:val="none"/>
        </w:rPr>
        <w:t>资格审查条件（</w:t>
      </w:r>
      <w:r>
        <w:rPr>
          <w:rFonts w:hint="eastAsia" w:ascii="宋体" w:hAnsi="宋体"/>
          <w:color w:val="auto"/>
          <w:szCs w:val="21"/>
          <w:highlight w:val="none"/>
        </w:rPr>
        <w:t>关键机电设备</w:t>
      </w:r>
      <w:r>
        <w:rPr>
          <w:rFonts w:ascii="宋体" w:hAnsi="宋体"/>
          <w:color w:val="auto"/>
          <w:szCs w:val="21"/>
          <w:highlight w:val="none"/>
        </w:rPr>
        <w:t>主要</w:t>
      </w:r>
      <w:r>
        <w:rPr>
          <w:rFonts w:hint="eastAsia" w:ascii="宋体" w:hAnsi="宋体"/>
          <w:color w:val="auto"/>
          <w:szCs w:val="21"/>
          <w:highlight w:val="none"/>
        </w:rPr>
        <w:t>技术性能</w:t>
      </w:r>
      <w:r>
        <w:rPr>
          <w:rFonts w:ascii="宋体" w:hAnsi="宋体"/>
          <w:color w:val="auto"/>
          <w:szCs w:val="21"/>
          <w:highlight w:val="none"/>
        </w:rPr>
        <w:t>指标</w:t>
      </w:r>
      <w:r>
        <w:rPr>
          <w:rFonts w:hint="eastAsia" w:ascii="宋体" w:hAnsi="宋体"/>
          <w:color w:val="auto"/>
          <w:szCs w:val="21"/>
          <w:highlight w:val="none"/>
        </w:rPr>
        <w:t>最低要求</w:t>
      </w:r>
      <w:r>
        <w:rPr>
          <w:rFonts w:hint="eastAsia" w:ascii="宋体" w:hAnsi="宋体"/>
          <w:color w:val="auto"/>
          <w:highlight w:val="none"/>
        </w:rPr>
        <w:t>）时</w:t>
      </w:r>
      <w:r>
        <w:rPr>
          <w:rFonts w:ascii="宋体" w:hAnsi="宋体"/>
          <w:color w:val="auto"/>
          <w:highlight w:val="none"/>
        </w:rPr>
        <w:t>对应</w:t>
      </w:r>
      <w:r>
        <w:rPr>
          <w:rFonts w:hint="eastAsia" w:ascii="宋体" w:hAnsi="宋体"/>
          <w:color w:val="auto"/>
          <w:highlight w:val="none"/>
        </w:rPr>
        <w:t>的</w:t>
      </w:r>
      <w:r>
        <w:rPr>
          <w:rFonts w:ascii="宋体" w:hAnsi="宋体"/>
          <w:color w:val="auto"/>
          <w:highlight w:val="none"/>
        </w:rPr>
        <w:t>资格评审标准</w:t>
      </w:r>
      <w:r>
        <w:rPr>
          <w:rFonts w:hint="eastAsia" w:ascii="宋体" w:hAnsi="宋体"/>
          <w:color w:val="auto"/>
          <w:highlight w:val="none"/>
        </w:rPr>
        <w:t>。</w:t>
      </w:r>
    </w:p>
  </w:footnote>
  <w:footnote w:id="131">
    <w:p w14:paraId="20C9796C">
      <w:pPr>
        <w:pStyle w:val="38"/>
        <w:rPr>
          <w:color w:val="auto"/>
        </w:rPr>
      </w:pPr>
      <w:r>
        <w:rPr>
          <w:rStyle w:val="59"/>
          <w:color w:val="auto"/>
          <w:vertAlign w:val="baseline"/>
        </w:rPr>
        <w:footnoteRef/>
      </w:r>
      <w:r>
        <w:rPr>
          <w:color w:val="auto"/>
        </w:rPr>
        <w:t xml:space="preserve"> </w:t>
      </w:r>
      <w:r>
        <w:rPr>
          <w:rFonts w:hint="eastAsia"/>
          <w:color w:val="auto"/>
        </w:rPr>
        <w:t xml:space="preserve"> </w:t>
      </w:r>
      <w:r>
        <w:rPr>
          <w:rFonts w:hint="eastAsia" w:ascii="宋体" w:hAnsi="宋体" w:cs="宋体"/>
          <w:color w:val="auto"/>
        </w:rPr>
        <w:t>当报价方式采用</w:t>
      </w:r>
      <w:r>
        <w:rPr>
          <w:rFonts w:hint="eastAsia" w:ascii="宋体" w:hAnsi="宋体" w:cs="宋体"/>
          <w:color w:val="auto"/>
          <w:lang w:val="en-US" w:eastAsia="zh-CN"/>
        </w:rPr>
        <w:t>单价或</w:t>
      </w:r>
      <w:r>
        <w:rPr>
          <w:rFonts w:hint="eastAsia" w:ascii="宋体" w:hAnsi="宋体" w:cs="宋体"/>
          <w:color w:val="auto"/>
        </w:rPr>
        <w:t>总价以外的其他情形时，</w:t>
      </w:r>
      <w:r>
        <w:rPr>
          <w:rFonts w:hint="eastAsia"/>
          <w:color w:val="auto"/>
        </w:rPr>
        <w:t>投标报价能</w:t>
      </w:r>
      <w:r>
        <w:rPr>
          <w:rFonts w:hint="eastAsia"/>
          <w:color w:val="auto"/>
          <w:lang w:val="en-US" w:eastAsia="zh-CN"/>
        </w:rPr>
        <w:t>够</w:t>
      </w:r>
      <w:r>
        <w:rPr>
          <w:rFonts w:hint="eastAsia"/>
          <w:color w:val="auto"/>
        </w:rPr>
        <w:t>确定具体数值。</w:t>
      </w:r>
    </w:p>
  </w:footnote>
  <w:footnote w:id="132">
    <w:p w14:paraId="4927C035">
      <w:pPr>
        <w:pStyle w:val="38"/>
        <w:ind w:left="360" w:hanging="360" w:hangingChars="200"/>
        <w:jc w:val="both"/>
        <w:rPr>
          <w:rFonts w:hint="default" w:asciiTheme="minorEastAsia" w:hAnsiTheme="minorEastAsia" w:eastAsiaTheme="minorEastAsia"/>
          <w:snapToGrid w:val="0"/>
          <w:color w:val="auto"/>
          <w:kern w:val="0"/>
          <w:highlight w:val="none"/>
          <w:lang w:val="en-US" w:eastAsia="zh-CN"/>
        </w:rPr>
      </w:pPr>
      <w:r>
        <w:rPr>
          <w:rStyle w:val="59"/>
          <w:rFonts w:asciiTheme="minorEastAsia" w:hAnsiTheme="minorEastAsia" w:eastAsiaTheme="minorEastAsia"/>
          <w:snapToGrid w:val="0"/>
          <w:color w:val="auto"/>
          <w:kern w:val="0"/>
          <w:highlight w:val="none"/>
          <w:vertAlign w:val="baseline"/>
        </w:rPr>
        <w:footnoteRef/>
      </w:r>
      <w:r>
        <w:rPr>
          <w:rFonts w:hint="eastAsia" w:asciiTheme="minorEastAsia" w:hAnsiTheme="minorEastAsia" w:eastAsiaTheme="minorEastAsia"/>
          <w:snapToGrid w:val="0"/>
          <w:color w:val="auto"/>
          <w:kern w:val="0"/>
          <w:highlight w:val="none"/>
        </w:rPr>
        <w:t xml:space="preserve"> </w:t>
      </w:r>
      <w:r>
        <w:rPr>
          <w:rFonts w:hint="eastAsia" w:asciiTheme="minorEastAsia" w:hAnsiTheme="minorEastAsia" w:eastAsiaTheme="minorEastAsia"/>
          <w:snapToGrid w:val="0"/>
          <w:color w:val="auto"/>
          <w:kern w:val="0"/>
          <w:highlight w:val="none"/>
          <w:lang w:val="en-US" w:eastAsia="zh-CN"/>
        </w:rPr>
        <w:t xml:space="preserve"> </w:t>
      </w:r>
      <w:r>
        <w:rPr>
          <w:rFonts w:hint="eastAsia" w:asciiTheme="minorEastAsia" w:hAnsiTheme="minorEastAsia" w:eastAsiaTheme="minorEastAsia"/>
          <w:snapToGrid w:val="0"/>
          <w:color w:val="auto"/>
          <w:kern w:val="0"/>
          <w:highlight w:val="none"/>
        </w:rPr>
        <w:t>各评分因素权重范围如下：施工组织设计</w:t>
      </w:r>
      <w:r>
        <w:rPr>
          <w:rFonts w:asciiTheme="minorEastAsia" w:hAnsiTheme="minorEastAsia" w:eastAsiaTheme="minorEastAsia"/>
          <w:snapToGrid w:val="0"/>
          <w:color w:val="auto"/>
          <w:kern w:val="0"/>
          <w:highlight w:val="none"/>
        </w:rPr>
        <w:t>25</w:t>
      </w:r>
      <w:r>
        <w:rPr>
          <w:rFonts w:hint="eastAsia" w:asciiTheme="minorEastAsia" w:hAnsiTheme="minorEastAsia" w:eastAsiaTheme="minorEastAsia"/>
          <w:snapToGrid w:val="0"/>
          <w:color w:val="auto"/>
          <w:kern w:val="0"/>
          <w:highlight w:val="none"/>
        </w:rPr>
        <w:t>～</w:t>
      </w:r>
      <w:r>
        <w:rPr>
          <w:rFonts w:asciiTheme="minorEastAsia" w:hAnsiTheme="minorEastAsia" w:eastAsiaTheme="minorEastAsia"/>
          <w:snapToGrid w:val="0"/>
          <w:color w:val="auto"/>
          <w:kern w:val="0"/>
          <w:highlight w:val="none"/>
        </w:rPr>
        <w:t>40</w:t>
      </w:r>
      <w:r>
        <w:rPr>
          <w:rFonts w:hint="eastAsia" w:asciiTheme="minorEastAsia" w:hAnsiTheme="minorEastAsia" w:eastAsiaTheme="minorEastAsia"/>
          <w:snapToGrid w:val="0"/>
          <w:color w:val="auto"/>
          <w:kern w:val="0"/>
          <w:highlight w:val="none"/>
        </w:rPr>
        <w:t>分；主要人员</w:t>
      </w:r>
      <w:r>
        <w:rPr>
          <w:rFonts w:asciiTheme="minorEastAsia" w:hAnsiTheme="minorEastAsia" w:eastAsiaTheme="minorEastAsia"/>
          <w:snapToGrid w:val="0"/>
          <w:color w:val="auto"/>
          <w:kern w:val="0"/>
          <w:highlight w:val="none"/>
        </w:rPr>
        <w:t>25</w:t>
      </w:r>
      <w:r>
        <w:rPr>
          <w:rFonts w:hint="eastAsia" w:asciiTheme="minorEastAsia" w:hAnsiTheme="minorEastAsia" w:eastAsiaTheme="minorEastAsia"/>
          <w:snapToGrid w:val="0"/>
          <w:color w:val="auto"/>
          <w:kern w:val="0"/>
          <w:highlight w:val="none"/>
        </w:rPr>
        <w:t>～</w:t>
      </w:r>
      <w:r>
        <w:rPr>
          <w:rFonts w:asciiTheme="minorEastAsia" w:hAnsiTheme="minorEastAsia" w:eastAsiaTheme="minorEastAsia"/>
          <w:snapToGrid w:val="0"/>
          <w:color w:val="auto"/>
          <w:kern w:val="0"/>
          <w:highlight w:val="none"/>
        </w:rPr>
        <w:t>4</w:t>
      </w:r>
      <w:r>
        <w:rPr>
          <w:rFonts w:hint="eastAsia" w:asciiTheme="minorEastAsia" w:hAnsiTheme="minorEastAsia" w:eastAsiaTheme="minorEastAsia"/>
          <w:snapToGrid w:val="0"/>
          <w:color w:val="auto"/>
          <w:kern w:val="0"/>
          <w:highlight w:val="none"/>
        </w:rPr>
        <w:t>0分</w:t>
      </w:r>
      <w:r>
        <w:rPr>
          <w:rFonts w:hint="eastAsia" w:asciiTheme="minorEastAsia" w:hAnsiTheme="minorEastAsia" w:eastAsiaTheme="minorEastAsia"/>
          <w:snapToGrid w:val="0"/>
          <w:color w:val="auto"/>
          <w:kern w:val="0"/>
          <w:highlight w:val="none"/>
          <w:lang w:eastAsia="zh-CN"/>
        </w:rPr>
        <w:t>；</w:t>
      </w:r>
      <w:r>
        <w:rPr>
          <w:rFonts w:hint="eastAsia" w:asciiTheme="minorEastAsia" w:hAnsiTheme="minorEastAsia" w:eastAsiaTheme="minorEastAsia"/>
          <w:snapToGrid w:val="0"/>
          <w:color w:val="auto"/>
          <w:kern w:val="0"/>
          <w:highlight w:val="none"/>
        </w:rPr>
        <w:t>其他因素包括：技术能力</w:t>
      </w:r>
      <w:r>
        <w:rPr>
          <w:rFonts w:asciiTheme="minorEastAsia" w:hAnsiTheme="minorEastAsia" w:eastAsiaTheme="minorEastAsia"/>
          <w:snapToGrid w:val="0"/>
          <w:color w:val="auto"/>
          <w:kern w:val="0"/>
          <w:highlight w:val="none"/>
        </w:rPr>
        <w:t>10</w:t>
      </w:r>
      <w:r>
        <w:rPr>
          <w:rFonts w:hint="eastAsia" w:asciiTheme="minorEastAsia" w:hAnsiTheme="minorEastAsia" w:eastAsiaTheme="minorEastAsia"/>
          <w:snapToGrid w:val="0"/>
          <w:color w:val="auto"/>
          <w:kern w:val="0"/>
          <w:highlight w:val="none"/>
        </w:rPr>
        <w:t>～</w:t>
      </w:r>
      <w:r>
        <w:rPr>
          <w:rFonts w:asciiTheme="minorEastAsia" w:hAnsiTheme="minorEastAsia" w:eastAsiaTheme="minorEastAsia"/>
          <w:snapToGrid w:val="0"/>
          <w:color w:val="auto"/>
          <w:kern w:val="0"/>
          <w:highlight w:val="none"/>
        </w:rPr>
        <w:t>20</w:t>
      </w:r>
      <w:r>
        <w:rPr>
          <w:rFonts w:hint="eastAsia" w:asciiTheme="minorEastAsia" w:hAnsiTheme="minorEastAsia" w:eastAsiaTheme="minorEastAsia"/>
          <w:snapToGrid w:val="0"/>
          <w:color w:val="auto"/>
          <w:kern w:val="0"/>
          <w:highlight w:val="none"/>
        </w:rPr>
        <w:t>分</w:t>
      </w:r>
      <w:r>
        <w:rPr>
          <w:rFonts w:hint="eastAsia" w:asciiTheme="minorEastAsia" w:hAnsiTheme="minorEastAsia" w:eastAsiaTheme="minorEastAsia"/>
          <w:snapToGrid w:val="0"/>
          <w:color w:val="auto"/>
          <w:kern w:val="0"/>
          <w:highlight w:val="none"/>
          <w:lang w:eastAsia="zh-CN"/>
        </w:rPr>
        <w:t>，</w:t>
      </w:r>
      <w:r>
        <w:rPr>
          <w:rFonts w:hint="eastAsia" w:asciiTheme="minorEastAsia" w:hAnsiTheme="minorEastAsia" w:eastAsiaTheme="minorEastAsia"/>
          <w:snapToGrid w:val="0"/>
          <w:color w:val="auto"/>
          <w:kern w:val="0"/>
          <w:highlight w:val="none"/>
        </w:rPr>
        <w:t>业绩</w:t>
      </w:r>
      <w:r>
        <w:rPr>
          <w:rFonts w:hint="eastAsia" w:asciiTheme="minorEastAsia" w:hAnsiTheme="minorEastAsia" w:eastAsiaTheme="minorEastAsia"/>
          <w:snapToGrid w:val="0"/>
          <w:color w:val="auto"/>
          <w:kern w:val="0"/>
          <w:highlight w:val="none"/>
          <w:lang w:val="en-US" w:eastAsia="zh-CN"/>
        </w:rPr>
        <w:t>0</w:t>
      </w:r>
      <w:r>
        <w:rPr>
          <w:rFonts w:hint="eastAsia" w:asciiTheme="minorEastAsia" w:hAnsiTheme="minorEastAsia" w:eastAsiaTheme="minorEastAsia"/>
          <w:snapToGrid w:val="0"/>
          <w:color w:val="auto"/>
          <w:kern w:val="0"/>
          <w:highlight w:val="none"/>
        </w:rPr>
        <w:t>～</w:t>
      </w:r>
      <w:r>
        <w:rPr>
          <w:rFonts w:hint="eastAsia" w:asciiTheme="minorEastAsia" w:hAnsiTheme="minorEastAsia" w:eastAsiaTheme="minorEastAsia"/>
          <w:snapToGrid w:val="0"/>
          <w:color w:val="auto"/>
          <w:kern w:val="0"/>
          <w:highlight w:val="none"/>
          <w:lang w:val="en-US" w:eastAsia="zh-CN"/>
        </w:rPr>
        <w:t>25</w:t>
      </w:r>
      <w:r>
        <w:rPr>
          <w:rFonts w:hint="eastAsia" w:asciiTheme="minorEastAsia" w:hAnsiTheme="minorEastAsia" w:eastAsiaTheme="minorEastAsia"/>
          <w:snapToGrid w:val="0"/>
          <w:color w:val="auto"/>
          <w:kern w:val="0"/>
          <w:highlight w:val="none"/>
        </w:rPr>
        <w:t>分</w:t>
      </w:r>
      <w:r>
        <w:rPr>
          <w:rFonts w:hint="eastAsia" w:asciiTheme="minorEastAsia" w:hAnsiTheme="minorEastAsia" w:eastAsiaTheme="minorEastAsia"/>
          <w:snapToGrid w:val="0"/>
          <w:color w:val="auto"/>
          <w:kern w:val="0"/>
          <w:highlight w:val="none"/>
          <w:lang w:eastAsia="zh-CN"/>
        </w:rPr>
        <w:t>，</w:t>
      </w:r>
      <w:r>
        <w:rPr>
          <w:rFonts w:hint="eastAsia" w:asciiTheme="minorEastAsia" w:hAnsiTheme="minorEastAsia" w:eastAsiaTheme="minorEastAsia"/>
          <w:snapToGrid w:val="0"/>
          <w:color w:val="auto"/>
          <w:kern w:val="0"/>
          <w:highlight w:val="none"/>
        </w:rPr>
        <w:t>履约信誉</w:t>
      </w:r>
      <w:r>
        <w:rPr>
          <w:rFonts w:hint="eastAsia" w:asciiTheme="minorEastAsia" w:hAnsiTheme="minorEastAsia" w:eastAsiaTheme="minorEastAsia"/>
          <w:snapToGrid w:val="0"/>
          <w:color w:val="auto"/>
          <w:kern w:val="0"/>
          <w:highlight w:val="none"/>
          <w:lang w:val="en-US" w:eastAsia="zh-CN"/>
        </w:rPr>
        <w:t>0</w:t>
      </w:r>
      <w:r>
        <w:rPr>
          <w:rFonts w:hint="eastAsia" w:asciiTheme="minorEastAsia" w:hAnsiTheme="minorEastAsia" w:eastAsiaTheme="minorEastAsia"/>
          <w:snapToGrid w:val="0"/>
          <w:color w:val="auto"/>
          <w:kern w:val="0"/>
          <w:highlight w:val="none"/>
        </w:rPr>
        <w:t>～</w:t>
      </w:r>
      <w:r>
        <w:rPr>
          <w:rFonts w:asciiTheme="minorEastAsia" w:hAnsiTheme="minorEastAsia" w:eastAsiaTheme="minorEastAsia"/>
          <w:snapToGrid w:val="0"/>
          <w:color w:val="auto"/>
          <w:kern w:val="0"/>
          <w:highlight w:val="none"/>
        </w:rPr>
        <w:t>5</w:t>
      </w:r>
      <w:r>
        <w:rPr>
          <w:rFonts w:hint="eastAsia" w:asciiTheme="minorEastAsia" w:hAnsiTheme="minorEastAsia" w:eastAsiaTheme="minorEastAsia"/>
          <w:snapToGrid w:val="0"/>
          <w:color w:val="auto"/>
          <w:kern w:val="0"/>
          <w:highlight w:val="none"/>
        </w:rPr>
        <w:t>分。</w:t>
      </w:r>
      <w:r>
        <w:rPr>
          <w:rFonts w:hint="eastAsia" w:asciiTheme="minorEastAsia" w:hAnsiTheme="minorEastAsia" w:eastAsiaTheme="minorEastAsia"/>
          <w:snapToGrid w:val="0"/>
          <w:color w:val="auto"/>
          <w:kern w:val="0"/>
          <w:highlight w:val="none"/>
          <w:lang w:val="en-US" w:eastAsia="zh-CN"/>
        </w:rPr>
        <w:t>各评分因素权重分值合计应为100分。</w:t>
      </w:r>
    </w:p>
  </w:footnote>
  <w:footnote w:id="133">
    <w:p w14:paraId="14A7D3E1">
      <w:pPr>
        <w:pStyle w:val="38"/>
        <w:ind w:left="360" w:hanging="360" w:hangingChars="200"/>
        <w:jc w:val="both"/>
        <w:rPr>
          <w:snapToGrid w:val="0"/>
          <w:color w:val="auto"/>
          <w:kern w:val="0"/>
          <w:highlight w:val="none"/>
        </w:rPr>
      </w:pPr>
      <w:r>
        <w:rPr>
          <w:rStyle w:val="59"/>
          <w:rFonts w:asciiTheme="minorEastAsia" w:hAnsiTheme="minorEastAsia" w:eastAsiaTheme="minorEastAsia"/>
          <w:snapToGrid w:val="0"/>
          <w:color w:val="auto"/>
          <w:kern w:val="0"/>
          <w:highlight w:val="none"/>
          <w:vertAlign w:val="baseline"/>
        </w:rPr>
        <w:footnoteRef/>
      </w:r>
      <w:r>
        <w:rPr>
          <w:rFonts w:hint="eastAsia" w:asciiTheme="minorEastAsia" w:hAnsiTheme="minorEastAsia" w:eastAsiaTheme="minorEastAsia"/>
          <w:snapToGrid w:val="0"/>
          <w:color w:val="auto"/>
          <w:kern w:val="0"/>
          <w:highlight w:val="none"/>
        </w:rPr>
        <w:t xml:space="preserve"> </w:t>
      </w:r>
      <w:r>
        <w:rPr>
          <w:rFonts w:hint="eastAsia" w:asciiTheme="minorEastAsia" w:hAnsiTheme="minorEastAsia" w:eastAsiaTheme="minorEastAsia"/>
          <w:snapToGrid w:val="0"/>
          <w:color w:val="auto"/>
          <w:kern w:val="0"/>
          <w:highlight w:val="none"/>
          <w:lang w:val="en-US" w:eastAsia="zh-CN"/>
        </w:rPr>
        <w:t xml:space="preserve"> </w:t>
      </w:r>
      <w:r>
        <w:rPr>
          <w:rFonts w:ascii="宋体" w:hAnsi="宋体"/>
          <w:snapToGrid w:val="0"/>
          <w:color w:val="auto"/>
          <w:kern w:val="0"/>
          <w:highlight w:val="none"/>
        </w:rPr>
        <w:t>技术能力指投标人的科研开发和技术创新能力，招标人可结合招标项目的具体情况提出相关要求，包括投标人获得的与项目施工有关的国家级工法、</w:t>
      </w:r>
      <w:r>
        <w:rPr>
          <w:rFonts w:hint="eastAsia" w:ascii="宋体" w:hAnsi="宋体"/>
          <w:snapToGrid w:val="0"/>
          <w:color w:val="auto"/>
          <w:kern w:val="0"/>
          <w:highlight w:val="none"/>
        </w:rPr>
        <w:t>专利（发明专利或实用新型专利）、国家或省级科学技术进步奖，主编或参编过的国家、行业或地方标准等</w:t>
      </w:r>
      <w:r>
        <w:rPr>
          <w:rFonts w:hint="eastAsia" w:asciiTheme="minorEastAsia" w:hAnsiTheme="minorEastAsia" w:eastAsiaTheme="minorEastAsia"/>
          <w:snapToGrid w:val="0"/>
          <w:color w:val="auto"/>
          <w:kern w:val="0"/>
          <w:highlight w:val="none"/>
        </w:rPr>
        <w:t>。</w:t>
      </w:r>
    </w:p>
  </w:footnote>
  <w:footnote w:id="134">
    <w:p w14:paraId="5EB6A9AF">
      <w:pPr>
        <w:pStyle w:val="38"/>
        <w:ind w:left="360" w:hanging="360" w:hangingChars="200"/>
        <w:rPr>
          <w:rFonts w:ascii="宋体" w:hAnsi="宋体" w:cs="宋体"/>
          <w:color w:val="auto"/>
        </w:rPr>
      </w:pPr>
      <w:r>
        <w:rPr>
          <w:rStyle w:val="59"/>
          <w:rFonts w:hint="eastAsia" w:ascii="宋体" w:hAnsi="宋体" w:cs="宋体"/>
          <w:color w:val="auto"/>
          <w:vertAlign w:val="baseline"/>
        </w:rPr>
        <w:footnoteRef/>
      </w:r>
      <w:r>
        <w:rPr>
          <w:rFonts w:hint="eastAsia" w:ascii="宋体" w:hAnsi="宋体" w:cs="宋体"/>
          <w:color w:val="auto"/>
        </w:rPr>
        <w:t xml:space="preserve"> </w:t>
      </w:r>
      <w:r>
        <w:rPr>
          <w:rFonts w:hint="eastAsia" w:ascii="宋体" w:hAnsi="宋体" w:cs="宋体"/>
          <w:color w:val="auto"/>
          <w:lang w:val="en-US" w:eastAsia="zh-CN"/>
        </w:rPr>
        <w:t xml:space="preserve"> 根据项目具体特点和实际情况，招标人可以</w:t>
      </w:r>
      <w:r>
        <w:rPr>
          <w:rFonts w:hint="eastAsia" w:ascii="宋体" w:hAnsi="宋体" w:cs="宋体"/>
          <w:color w:val="auto"/>
        </w:rPr>
        <w:t>调整评标价的定义</w:t>
      </w:r>
      <w:r>
        <w:rPr>
          <w:rFonts w:hint="eastAsia" w:ascii="宋体" w:hAnsi="宋体" w:cs="宋体"/>
          <w:color w:val="auto"/>
          <w:lang w:eastAsia="zh-CN"/>
        </w:rPr>
        <w:t>，</w:t>
      </w:r>
      <w:r>
        <w:rPr>
          <w:rFonts w:hint="eastAsia" w:ascii="宋体" w:hAnsi="宋体" w:cs="宋体"/>
          <w:color w:val="auto"/>
          <w:lang w:val="en-US" w:eastAsia="zh-CN"/>
        </w:rPr>
        <w:t>例如：评标价</w:t>
      </w:r>
      <w:r>
        <w:rPr>
          <w:rFonts w:hint="eastAsia" w:ascii="宋体" w:hAnsi="宋体" w:eastAsia="宋体" w:cs="宋体"/>
          <w:color w:val="auto"/>
          <w:lang w:val="en-US" w:eastAsia="zh-CN"/>
        </w:rPr>
        <w:t>＝</w:t>
      </w:r>
      <w:r>
        <w:rPr>
          <w:rFonts w:hint="eastAsia" w:ascii="宋体" w:hAnsi="宋体" w:cs="宋体"/>
          <w:color w:val="auto"/>
          <w:lang w:val="en-US" w:eastAsia="zh-CN"/>
        </w:rPr>
        <w:t>投标人投标报价</w:t>
      </w:r>
      <w:r>
        <w:rPr>
          <w:rFonts w:hint="eastAsia" w:ascii="宋体" w:hAnsi="宋体" w:eastAsia="宋体" w:cs="宋体"/>
          <w:color w:val="auto"/>
          <w:lang w:val="en-US" w:eastAsia="zh-CN"/>
        </w:rPr>
        <w:t>－</w:t>
      </w:r>
      <w:r>
        <w:rPr>
          <w:rFonts w:hint="eastAsia" w:ascii="宋体" w:hAnsi="宋体" w:cs="宋体"/>
          <w:color w:val="auto"/>
          <w:lang w:val="en-US" w:eastAsia="zh-CN"/>
        </w:rPr>
        <w:t>非竞争性部分报价</w:t>
      </w:r>
      <w:r>
        <w:rPr>
          <w:rFonts w:hint="eastAsia" w:ascii="宋体" w:hAnsi="宋体" w:cs="宋体"/>
          <w:color w:val="auto"/>
        </w:rPr>
        <w:t>。</w:t>
      </w:r>
    </w:p>
  </w:footnote>
  <w:footnote w:id="135">
    <w:p w14:paraId="7973DD4F">
      <w:pPr>
        <w:pStyle w:val="38"/>
        <w:ind w:left="360" w:hanging="360" w:hangingChars="200"/>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ascii="宋体" w:hAnsi="宋体"/>
          <w:color w:val="auto"/>
          <w:highlight w:val="none"/>
        </w:rPr>
        <w:t>该数量的设置应避免</w:t>
      </w:r>
      <w:r>
        <w:rPr>
          <w:rFonts w:ascii="宋体" w:hAnsi="宋体"/>
          <w:color w:val="auto"/>
          <w:highlight w:val="none"/>
        </w:rPr>
        <w:t>本办法演变为经评审的最低投标价法，该数量应不少于3名，最高不宜超过10名。此外</w:t>
      </w:r>
      <w:r>
        <w:rPr>
          <w:rFonts w:hint="eastAsia" w:ascii="宋体" w:hAnsi="宋体"/>
          <w:color w:val="auto"/>
          <w:highlight w:val="none"/>
        </w:rPr>
        <w:t>，</w:t>
      </w:r>
      <w:r>
        <w:rPr>
          <w:rFonts w:ascii="宋体" w:hAnsi="宋体"/>
          <w:color w:val="auto"/>
          <w:highlight w:val="none"/>
        </w:rPr>
        <w:t>招标人可</w:t>
      </w:r>
      <w:r>
        <w:rPr>
          <w:rFonts w:hint="eastAsia" w:ascii="宋体" w:hAnsi="宋体"/>
          <w:color w:val="auto"/>
          <w:highlight w:val="none"/>
        </w:rPr>
        <w:t>规定</w:t>
      </w:r>
      <w:r>
        <w:rPr>
          <w:rFonts w:ascii="宋体" w:hAnsi="宋体"/>
          <w:color w:val="auto"/>
          <w:highlight w:val="none"/>
        </w:rPr>
        <w:t>技术文件采用暗标</w:t>
      </w:r>
      <w:r>
        <w:rPr>
          <w:rFonts w:hint="eastAsia" w:ascii="宋体" w:hAnsi="宋体"/>
          <w:color w:val="auto"/>
          <w:highlight w:val="none"/>
        </w:rPr>
        <w:t>形式</w:t>
      </w:r>
      <w:r>
        <w:rPr>
          <w:rFonts w:ascii="宋体" w:hAnsi="宋体"/>
          <w:color w:val="auto"/>
          <w:highlight w:val="none"/>
        </w:rPr>
        <w:t>编制</w:t>
      </w:r>
      <w:r>
        <w:rPr>
          <w:color w:val="auto"/>
          <w:highlight w:val="none"/>
        </w:rPr>
        <w:t>。</w:t>
      </w:r>
    </w:p>
  </w:footnote>
  <w:footnote w:id="136">
    <w:p w14:paraId="4F5AB2EF">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总价以外的其他情形时，在此约定其他投标报价修正方式。</w:t>
      </w:r>
    </w:p>
  </w:footnote>
  <w:footnote w:id="137">
    <w:p w14:paraId="744CC664">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总价以外的其他情形时，在此约定其他投标报价修正方式。</w:t>
      </w:r>
    </w:p>
  </w:footnote>
  <w:footnote w:id="138">
    <w:p w14:paraId="01233851">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p>
  </w:footnote>
  <w:footnote w:id="139">
    <w:p w14:paraId="0609488B">
      <w:pPr>
        <w:pStyle w:val="38"/>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招标人应明确各</w:t>
      </w:r>
      <w:r>
        <w:rPr>
          <w:color w:val="auto"/>
          <w:highlight w:val="none"/>
        </w:rPr>
        <w:t>评分因素或</w:t>
      </w:r>
      <w:r>
        <w:rPr>
          <w:rFonts w:hint="eastAsia"/>
          <w:color w:val="auto"/>
          <w:highlight w:val="none"/>
        </w:rPr>
        <w:t>各</w:t>
      </w:r>
      <w:r>
        <w:rPr>
          <w:color w:val="auto"/>
          <w:highlight w:val="none"/>
        </w:rPr>
        <w:t>评分</w:t>
      </w:r>
      <w:r>
        <w:rPr>
          <w:rFonts w:hint="eastAsia"/>
          <w:color w:val="auto"/>
          <w:highlight w:val="none"/>
        </w:rPr>
        <w:t>因素</w:t>
      </w:r>
      <w:r>
        <w:rPr>
          <w:color w:val="auto"/>
          <w:highlight w:val="none"/>
        </w:rPr>
        <w:t>细分项（</w:t>
      </w:r>
      <w:r>
        <w:rPr>
          <w:rFonts w:hint="eastAsia"/>
          <w:color w:val="auto"/>
          <w:highlight w:val="none"/>
        </w:rPr>
        <w:t>如有</w:t>
      </w:r>
      <w:r>
        <w:rPr>
          <w:color w:val="auto"/>
          <w:highlight w:val="none"/>
        </w:rPr>
        <w:t>）</w:t>
      </w:r>
      <w:r>
        <w:rPr>
          <w:rFonts w:hint="eastAsia"/>
          <w:color w:val="auto"/>
          <w:highlight w:val="none"/>
        </w:rPr>
        <w:t>的</w:t>
      </w:r>
      <w:r>
        <w:rPr>
          <w:color w:val="auto"/>
          <w:highlight w:val="none"/>
        </w:rPr>
        <w:t>评分标准并作为评标委员会进行评分的依据。</w:t>
      </w:r>
    </w:p>
  </w:footnote>
  <w:footnote w:id="140">
    <w:p w14:paraId="71B723DE">
      <w:pPr>
        <w:pStyle w:val="38"/>
        <w:ind w:left="360" w:hanging="360" w:hangingChars="200"/>
        <w:jc w:val="both"/>
        <w:rPr>
          <w:rFonts w:hint="eastAsia" w:ascii="宋体" w:hAnsi="宋体" w:cs="宋体"/>
          <w:color w:val="auto"/>
        </w:rPr>
      </w:pPr>
      <w:r>
        <w:rPr>
          <w:rStyle w:val="59"/>
          <w:rFonts w:hint="eastAsia" w:ascii="宋体" w:hAnsi="宋体" w:cs="宋体"/>
          <w:color w:val="auto"/>
          <w:vertAlign w:val="baseline"/>
        </w:rPr>
        <w:footnoteRef/>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招标人应根据项目具体情况确定各评分因素及评分因素权重分值，并对各评分因素进行细分（如有）、确定各评分因素细分项的分值，各评分因素</w:t>
      </w:r>
      <w:r>
        <w:rPr>
          <w:rFonts w:hint="eastAsia" w:ascii="宋体" w:hAnsi="宋体" w:cs="宋体"/>
          <w:color w:val="auto"/>
          <w:lang w:val="en-US" w:eastAsia="zh-CN"/>
        </w:rPr>
        <w:t>细分项</w:t>
      </w:r>
      <w:r>
        <w:rPr>
          <w:rFonts w:hint="eastAsia" w:ascii="宋体" w:hAnsi="宋体" w:cs="宋体"/>
          <w:color w:val="auto"/>
        </w:rPr>
        <w:t>权重分值合计应为</w:t>
      </w:r>
      <w:r>
        <w:rPr>
          <w:rFonts w:hint="eastAsia" w:ascii="宋体" w:hAnsi="宋体" w:cs="宋体"/>
          <w:color w:val="auto"/>
          <w:lang w:val="en-US" w:eastAsia="zh-CN"/>
        </w:rPr>
        <w:t>各项评分因素权重分值满分</w:t>
      </w:r>
      <w:r>
        <w:rPr>
          <w:rFonts w:hint="eastAsia" w:ascii="宋体" w:hAnsi="宋体" w:cs="宋体"/>
          <w:color w:val="auto"/>
        </w:rPr>
        <w:t>。各评分因素（履约信誉评分项除外）得分一般不得低于其权重分值的60%。评标委员会成员对某一项评分因素的评分低于权重分值60%的，应在评标报告中作出说明。</w:t>
      </w:r>
    </w:p>
  </w:footnote>
  <w:footnote w:id="141">
    <w:p w14:paraId="17740107">
      <w:pPr>
        <w:pStyle w:val="38"/>
        <w:jc w:val="both"/>
        <w:rPr>
          <w:rFonts w:hint="eastAsia" w:ascii="宋体" w:hAnsi="宋体" w:cs="宋体"/>
          <w:color w:val="auto"/>
          <w:highlight w:val="none"/>
        </w:rPr>
      </w:pPr>
      <w:r>
        <w:rPr>
          <w:rStyle w:val="59"/>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主要人员得分为各人员得分合计，即：B=B</w:t>
      </w:r>
      <w:r>
        <w:rPr>
          <w:rFonts w:hint="eastAsia" w:ascii="宋体" w:hAnsi="宋体" w:cs="宋体"/>
          <w:color w:val="auto"/>
          <w:highlight w:val="none"/>
          <w:vertAlign w:val="subscript"/>
        </w:rPr>
        <w:t>1</w:t>
      </w:r>
      <w:r>
        <w:rPr>
          <w:rFonts w:hint="eastAsia" w:ascii="宋体" w:hAnsi="宋体" w:cs="宋体"/>
          <w:color w:val="auto"/>
          <w:highlight w:val="none"/>
        </w:rPr>
        <w:t>+B</w:t>
      </w:r>
      <w:r>
        <w:rPr>
          <w:rFonts w:hint="eastAsia" w:ascii="宋体" w:hAnsi="宋体" w:cs="宋体"/>
          <w:color w:val="auto"/>
          <w:highlight w:val="none"/>
          <w:vertAlign w:val="subscript"/>
        </w:rPr>
        <w:t>2</w:t>
      </w:r>
      <w:r>
        <w:rPr>
          <w:rFonts w:hint="eastAsia" w:ascii="宋体" w:hAnsi="宋体" w:cs="宋体"/>
          <w:color w:val="auto"/>
          <w:highlight w:val="none"/>
        </w:rPr>
        <w:t>+B</w:t>
      </w:r>
      <w:r>
        <w:rPr>
          <w:rFonts w:hint="eastAsia" w:ascii="宋体" w:hAnsi="宋体" w:cs="宋体"/>
          <w:color w:val="auto"/>
          <w:highlight w:val="none"/>
          <w:vertAlign w:val="subscript"/>
        </w:rPr>
        <w:t>3</w:t>
      </w:r>
      <w:r>
        <w:rPr>
          <w:rFonts w:hint="eastAsia" w:ascii="宋体" w:hAnsi="宋体" w:cs="宋体"/>
          <w:color w:val="auto"/>
          <w:highlight w:val="none"/>
        </w:rPr>
        <w:t>+…。</w:t>
      </w:r>
    </w:p>
  </w:footnote>
  <w:footnote w:id="142">
    <w:p w14:paraId="2524405E">
      <w:pPr>
        <w:pStyle w:val="38"/>
        <w:ind w:left="360" w:hanging="360" w:hangingChars="200"/>
        <w:jc w:val="both"/>
        <w:rPr>
          <w:rFonts w:hint="eastAsia" w:ascii="宋体" w:hAnsi="宋体" w:cs="宋体"/>
          <w:color w:val="auto"/>
          <w:highlight w:val="none"/>
        </w:rPr>
      </w:pPr>
      <w:r>
        <w:rPr>
          <w:rStyle w:val="59"/>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每个字母代号代表着对应的具体要求的数值，招标人在编制招标文件时，根据项目实际情况设置，且全文统一表述。</w:t>
      </w:r>
    </w:p>
  </w:footnote>
  <w:footnote w:id="143">
    <w:p w14:paraId="7875C994">
      <w:pPr>
        <w:pStyle w:val="38"/>
        <w:jc w:val="both"/>
        <w:rPr>
          <w:rFonts w:hint="eastAsia" w:ascii="宋体" w:hAnsi="宋体" w:cs="宋体"/>
          <w:color w:val="auto"/>
          <w:highlight w:val="none"/>
        </w:rPr>
      </w:pPr>
      <w:r>
        <w:rPr>
          <w:rStyle w:val="59"/>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资格条件最低要求为工程师时，最多按升高2级考虑，即最多加分至正（教授级或研究员级）高级工程师。</w:t>
      </w:r>
    </w:p>
  </w:footnote>
  <w:footnote w:id="144">
    <w:p w14:paraId="2FB035B1">
      <w:pPr>
        <w:pStyle w:val="38"/>
        <w:jc w:val="both"/>
        <w:rPr>
          <w:rFonts w:hint="eastAsia" w:ascii="宋体" w:hAnsi="宋体" w:cs="宋体"/>
          <w:color w:val="auto"/>
          <w:highlight w:val="none"/>
        </w:rPr>
      </w:pPr>
      <w:r>
        <w:rPr>
          <w:rStyle w:val="59"/>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本项为单选项，下同。</w:t>
      </w:r>
    </w:p>
  </w:footnote>
  <w:footnote w:id="145">
    <w:p w14:paraId="3230EAE8">
      <w:pPr>
        <w:pStyle w:val="38"/>
        <w:rPr>
          <w:rFonts w:hint="eastAsia" w:eastAsia="宋体"/>
          <w:color w:val="auto"/>
          <w:highlight w:val="none"/>
          <w:lang w:val="en-US" w:eastAsia="zh-CN"/>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w:t>
      </w:r>
      <w:r>
        <w:rPr>
          <w:rFonts w:hint="eastAsia"/>
          <w:color w:val="auto"/>
          <w:highlight w:val="none"/>
          <w:lang w:eastAsia="zh-CN"/>
        </w:rPr>
        <w:t>“路基工程、桥涵工程”或“路基工程、隧道工程”</w:t>
      </w:r>
      <w:r>
        <w:rPr>
          <w:rFonts w:hint="eastAsia"/>
          <w:color w:val="auto"/>
          <w:highlight w:val="none"/>
        </w:rPr>
        <w:t>的项目。</w:t>
      </w:r>
      <w:r>
        <w:rPr>
          <w:rFonts w:hint="eastAsia"/>
          <w:color w:val="auto"/>
          <w:highlight w:val="none"/>
          <w:lang w:val="en-US" w:eastAsia="zh-CN"/>
        </w:rPr>
        <w:t>下同。</w:t>
      </w:r>
    </w:p>
  </w:footnote>
  <w:footnote w:id="146">
    <w:p w14:paraId="767E7B21">
      <w:pPr>
        <w:pStyle w:val="38"/>
        <w:ind w:left="360" w:hanging="360" w:hangingChars="200"/>
        <w:jc w:val="both"/>
        <w:rPr>
          <w:rFonts w:hint="eastAsia" w:ascii="宋体" w:hAnsi="宋体" w:eastAsia="宋体" w:cs="宋体"/>
          <w:color w:val="auto"/>
          <w:highlight w:val="none"/>
          <w:lang w:val="en-US" w:eastAsia="zh-CN"/>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r>
        <w:rPr>
          <w:rFonts w:hint="eastAsia" w:ascii="宋体" w:hAnsi="宋体"/>
          <w:color w:val="auto"/>
          <w:highlight w:val="none"/>
          <w:lang w:val="en-US" w:eastAsia="zh-CN"/>
        </w:rPr>
        <w:t>下同。</w:t>
      </w:r>
    </w:p>
  </w:footnote>
  <w:footnote w:id="147">
    <w:p w14:paraId="2CB51884">
      <w:pPr>
        <w:pStyle w:val="38"/>
        <w:ind w:left="360" w:hanging="360" w:hangingChars="200"/>
        <w:jc w:val="both"/>
        <w:rPr>
          <w:rFonts w:hint="eastAsia" w:ascii="宋体" w:hAnsi="宋体" w:eastAsia="宋体" w:cs="宋体"/>
          <w:color w:val="auto"/>
          <w:highlight w:val="none"/>
          <w:lang w:val="en-US" w:eastAsia="zh-CN"/>
        </w:rPr>
      </w:pPr>
      <w:r>
        <w:rPr>
          <w:rStyle w:val="59"/>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此编号为资格审查条件中招标人作了桥型要求的桥梁类型顺序编号，按照设置前后顺序编列。原则上建议桥梁类型不超过2种。</w:t>
      </w:r>
      <w:r>
        <w:rPr>
          <w:rFonts w:hint="eastAsia" w:ascii="宋体" w:hAnsi="宋体" w:cs="宋体"/>
          <w:color w:val="auto"/>
          <w:highlight w:val="none"/>
          <w:lang w:val="en-US" w:eastAsia="zh-CN"/>
        </w:rPr>
        <w:t>下同。</w:t>
      </w:r>
    </w:p>
  </w:footnote>
  <w:footnote w:id="148">
    <w:p w14:paraId="2021A9F6">
      <w:pPr>
        <w:pStyle w:val="38"/>
        <w:ind w:left="360" w:hanging="360" w:hangingChars="200"/>
        <w:jc w:val="both"/>
        <w:rPr>
          <w:rFonts w:hint="eastAsia" w:eastAsia="宋体"/>
          <w:color w:val="auto"/>
          <w:highlight w:val="none"/>
          <w:lang w:val="en-US" w:eastAsia="zh-CN"/>
        </w:rPr>
      </w:pPr>
      <w:r>
        <w:rPr>
          <w:rStyle w:val="59"/>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长的为准；若只有单洞的，则以承担单洞隧道长度数据为准。隧道单洞长度不含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r>
        <w:rPr>
          <w:rFonts w:hint="eastAsia"/>
          <w:color w:val="auto"/>
          <w:szCs w:val="21"/>
          <w:highlight w:val="none"/>
          <w:lang w:val="en-US" w:eastAsia="zh-CN"/>
        </w:rPr>
        <w:t>下同。</w:t>
      </w:r>
    </w:p>
  </w:footnote>
  <w:footnote w:id="149">
    <w:p w14:paraId="0A4BF7B6">
      <w:pPr>
        <w:pStyle w:val="38"/>
        <w:jc w:val="both"/>
        <w:rPr>
          <w:rFonts w:hint="eastAsia"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本项为单选项，该隧道工程可为路基土建工程中包含的</w:t>
      </w:r>
      <w:r>
        <w:rPr>
          <w:rFonts w:hint="eastAsia" w:ascii="宋体" w:hAnsi="宋体"/>
          <w:color w:val="auto"/>
          <w:highlight w:val="none"/>
          <w:lang w:val="en-US" w:eastAsia="zh-CN"/>
        </w:rPr>
        <w:t>内容</w:t>
      </w:r>
      <w:r>
        <w:rPr>
          <w:rFonts w:hint="eastAsia" w:ascii="宋体" w:hAnsi="宋体"/>
          <w:color w:val="auto"/>
          <w:highlight w:val="none"/>
        </w:rPr>
        <w:t>或者单独隧道</w:t>
      </w:r>
      <w:r>
        <w:rPr>
          <w:rFonts w:hint="eastAsia" w:ascii="宋体" w:hAnsi="宋体"/>
          <w:color w:val="auto"/>
          <w:highlight w:val="none"/>
          <w:lang w:val="en-US" w:eastAsia="zh-CN"/>
        </w:rPr>
        <w:t>工程</w:t>
      </w:r>
      <w:r>
        <w:rPr>
          <w:rFonts w:hint="eastAsia" w:ascii="宋体" w:hAnsi="宋体"/>
          <w:color w:val="auto"/>
          <w:highlight w:val="none"/>
        </w:rPr>
        <w:t>合同的项目。</w:t>
      </w:r>
      <w:r>
        <w:rPr>
          <w:rFonts w:hint="eastAsia" w:ascii="宋体" w:hAnsi="宋体"/>
          <w:color w:val="auto"/>
          <w:highlight w:val="none"/>
          <w:lang w:val="en-US" w:eastAsia="zh-CN"/>
        </w:rPr>
        <w:t>下同。</w:t>
      </w:r>
    </w:p>
  </w:footnote>
  <w:footnote w:id="150">
    <w:p w14:paraId="13C65B58">
      <w:pPr>
        <w:pStyle w:val="38"/>
        <w:ind w:left="360" w:hanging="360" w:hangingChars="200"/>
        <w:jc w:val="both"/>
        <w:rPr>
          <w:rFonts w:hint="eastAsia" w:ascii="宋体" w:hAnsi="宋体" w:eastAsia="宋体" w:cs="宋体"/>
          <w:color w:val="auto"/>
          <w:highlight w:val="none"/>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仅适用于特别复杂的特大桥和特长隧道项目主体工程以及其他有特殊要求的工程。对附录6资格审查条件（其他主要管理和技术人员最低要求）所列人员的资格条件内容进行详细评审综合打分。其他主要人员得分为各专业工程师人员得分合计，即：B</w:t>
      </w:r>
      <w:r>
        <w:rPr>
          <w:rFonts w:hint="eastAsia" w:ascii="宋体" w:hAnsi="宋体" w:eastAsia="宋体" w:cs="宋体"/>
          <w:color w:val="auto"/>
          <w:highlight w:val="none"/>
          <w:vertAlign w:val="subscript"/>
        </w:rPr>
        <w:t>3</w:t>
      </w:r>
      <w:r>
        <w:rPr>
          <w:rFonts w:hint="eastAsia" w:ascii="宋体" w:hAnsi="宋体" w:eastAsia="宋体" w:cs="宋体"/>
          <w:color w:val="auto"/>
          <w:highlight w:val="none"/>
        </w:rPr>
        <w:t>=B</w:t>
      </w:r>
      <w:r>
        <w:rPr>
          <w:rFonts w:hint="eastAsia" w:ascii="宋体" w:hAnsi="宋体" w:eastAsia="宋体" w:cs="宋体"/>
          <w:color w:val="auto"/>
          <w:highlight w:val="none"/>
          <w:vertAlign w:val="subscript"/>
        </w:rPr>
        <w:t>3.1</w:t>
      </w:r>
      <w:r>
        <w:rPr>
          <w:rFonts w:hint="eastAsia" w:ascii="宋体" w:hAnsi="宋体" w:eastAsia="宋体" w:cs="宋体"/>
          <w:color w:val="auto"/>
          <w:highlight w:val="none"/>
        </w:rPr>
        <w:t>+B</w:t>
      </w:r>
      <w:r>
        <w:rPr>
          <w:rFonts w:hint="eastAsia" w:ascii="宋体" w:hAnsi="宋体" w:eastAsia="宋体" w:cs="宋体"/>
          <w:color w:val="auto"/>
          <w:highlight w:val="none"/>
          <w:vertAlign w:val="subscript"/>
        </w:rPr>
        <w:t>3.2</w:t>
      </w:r>
      <w:r>
        <w:rPr>
          <w:rFonts w:hint="eastAsia" w:ascii="宋体" w:hAnsi="宋体" w:eastAsia="宋体" w:cs="宋体"/>
          <w:color w:val="auto"/>
          <w:highlight w:val="none"/>
        </w:rPr>
        <w:t>+…。</w:t>
      </w:r>
    </w:p>
  </w:footnote>
  <w:footnote w:id="151">
    <w:p w14:paraId="149AD7DC">
      <w:pPr>
        <w:pStyle w:val="38"/>
        <w:jc w:val="both"/>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其他因素D得分为技术能力G</w:t>
      </w:r>
      <w:r>
        <w:rPr>
          <w:color w:val="auto"/>
          <w:highlight w:val="none"/>
        </w:rPr>
        <w:t>、</w:t>
      </w:r>
      <w:r>
        <w:rPr>
          <w:rFonts w:hint="eastAsia"/>
          <w:color w:val="auto"/>
          <w:highlight w:val="none"/>
        </w:rPr>
        <w:t>业绩C、履约信誉H等得分合计，即：D=G</w:t>
      </w:r>
      <w:r>
        <w:rPr>
          <w:color w:val="auto"/>
          <w:highlight w:val="none"/>
        </w:rPr>
        <w:t>+</w:t>
      </w:r>
      <w:r>
        <w:rPr>
          <w:rFonts w:hint="eastAsia"/>
          <w:color w:val="auto"/>
          <w:highlight w:val="none"/>
        </w:rPr>
        <w:t>C+H+…。</w:t>
      </w:r>
    </w:p>
  </w:footnote>
  <w:footnote w:id="152">
    <w:p w14:paraId="42A41DD4">
      <w:pPr>
        <w:pStyle w:val="38"/>
        <w:jc w:val="both"/>
        <w:rPr>
          <w:rFonts w:ascii="宋体" w:hAnsi="宋体"/>
          <w:color w:val="000000" w:themeColor="text1"/>
          <w14:textFill>
            <w14:solidFill>
              <w14:schemeClr w14:val="tx1"/>
            </w14:solidFill>
          </w14:textFill>
        </w:rPr>
      </w:pPr>
      <w:r>
        <w:rPr>
          <w:rStyle w:val="59"/>
          <w:rFonts w:ascii="宋体" w:hAnsi="宋体"/>
          <w:color w:val="000000" w:themeColor="text1"/>
          <w:vertAlign w:val="baseline"/>
          <w14:textFill>
            <w14:solidFill>
              <w14:schemeClr w14:val="tx1"/>
            </w14:solidFill>
          </w14:textFill>
        </w:rPr>
        <w:footnoteRef/>
      </w:r>
      <w:r>
        <w:rPr>
          <w:rFonts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技术能力评分因素</w:t>
      </w:r>
      <w:r>
        <w:rPr>
          <w:rFonts w:hint="eastAsia" w:ascii="宋体" w:hAnsi="宋体"/>
          <w:color w:val="000000" w:themeColor="text1"/>
          <w14:textFill>
            <w14:solidFill>
              <w14:schemeClr w14:val="tx1"/>
            </w14:solidFill>
          </w14:textFill>
        </w:rPr>
        <w:t>为可选项，由招标人根据招标项目具体情况选择是否采用。</w:t>
      </w:r>
    </w:p>
  </w:footnote>
  <w:footnote w:id="153">
    <w:p w14:paraId="7B1E196E">
      <w:pPr>
        <w:pStyle w:val="38"/>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业绩得分为各分项业绩得分合计，即：C=</w:t>
      </w:r>
      <w:r>
        <w:rPr>
          <w:color w:val="auto"/>
          <w:highlight w:val="none"/>
        </w:rPr>
        <w:t>C</w:t>
      </w:r>
      <w:r>
        <w:rPr>
          <w:color w:val="auto"/>
          <w:highlight w:val="none"/>
          <w:vertAlign w:val="subscript"/>
        </w:rPr>
        <w:t>0</w:t>
      </w:r>
      <w:r>
        <w:rPr>
          <w:color w:val="auto"/>
          <w:highlight w:val="none"/>
        </w:rPr>
        <w:t>+</w:t>
      </w:r>
      <w:r>
        <w:rPr>
          <w:rFonts w:hint="eastAsia"/>
          <w:color w:val="auto"/>
          <w:highlight w:val="none"/>
        </w:rPr>
        <w:t>C</w:t>
      </w:r>
      <w:r>
        <w:rPr>
          <w:rFonts w:hint="eastAsia"/>
          <w:color w:val="auto"/>
          <w:highlight w:val="none"/>
          <w:vertAlign w:val="subscript"/>
        </w:rPr>
        <w:t>1</w:t>
      </w:r>
      <w:r>
        <w:rPr>
          <w:rFonts w:hint="eastAsia"/>
          <w:color w:val="auto"/>
          <w:highlight w:val="none"/>
        </w:rPr>
        <w:t>+C</w:t>
      </w:r>
      <w:r>
        <w:rPr>
          <w:rFonts w:hint="eastAsia"/>
          <w:color w:val="auto"/>
          <w:highlight w:val="none"/>
          <w:vertAlign w:val="subscript"/>
        </w:rPr>
        <w:t>2</w:t>
      </w:r>
      <w:r>
        <w:rPr>
          <w:rFonts w:hint="eastAsia"/>
          <w:color w:val="auto"/>
          <w:highlight w:val="none"/>
        </w:rPr>
        <w:t>+C</w:t>
      </w:r>
      <w:r>
        <w:rPr>
          <w:rFonts w:hint="eastAsia"/>
          <w:color w:val="auto"/>
          <w:highlight w:val="none"/>
          <w:vertAlign w:val="subscript"/>
        </w:rPr>
        <w:t>3</w:t>
      </w:r>
      <w:r>
        <w:rPr>
          <w:rFonts w:hint="eastAsia"/>
          <w:color w:val="auto"/>
          <w:highlight w:val="none"/>
        </w:rPr>
        <w:t>+C</w:t>
      </w:r>
      <w:r>
        <w:rPr>
          <w:rFonts w:hint="eastAsia"/>
          <w:color w:val="auto"/>
          <w:highlight w:val="none"/>
          <w:vertAlign w:val="subscript"/>
        </w:rPr>
        <w:t>4</w:t>
      </w:r>
      <w:r>
        <w:rPr>
          <w:rFonts w:hint="eastAsia"/>
          <w:color w:val="auto"/>
          <w:highlight w:val="none"/>
        </w:rPr>
        <w:t>+C</w:t>
      </w:r>
      <w:r>
        <w:rPr>
          <w:rFonts w:hint="eastAsia"/>
          <w:color w:val="auto"/>
          <w:highlight w:val="none"/>
          <w:vertAlign w:val="subscript"/>
        </w:rPr>
        <w:t>5</w:t>
      </w:r>
      <w:r>
        <w:rPr>
          <w:rFonts w:hint="eastAsia"/>
          <w:color w:val="auto"/>
          <w:highlight w:val="none"/>
        </w:rPr>
        <w:t>+C</w:t>
      </w:r>
      <w:r>
        <w:rPr>
          <w:rFonts w:hint="eastAsia"/>
          <w:color w:val="auto"/>
          <w:highlight w:val="none"/>
          <w:vertAlign w:val="subscript"/>
        </w:rPr>
        <w:t>6</w:t>
      </w:r>
      <w:r>
        <w:rPr>
          <w:rFonts w:hint="eastAsia"/>
          <w:color w:val="auto"/>
          <w:highlight w:val="none"/>
        </w:rPr>
        <w:t>+…。</w:t>
      </w:r>
    </w:p>
  </w:footnote>
  <w:footnote w:id="154">
    <w:p w14:paraId="63BC72C5">
      <w:pPr>
        <w:pStyle w:val="38"/>
        <w:ind w:left="360" w:hanging="360" w:hangingChars="200"/>
        <w:rPr>
          <w:rFonts w:hint="default" w:eastAsia="宋体"/>
          <w:color w:val="auto"/>
          <w:highlight w:val="none"/>
          <w:lang w:val="en-US" w:eastAsia="zh-CN"/>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此编号为资格审查条件中招标人作了桥型要求的桥梁类型顺序编号，按照设置前后顺序编列。原则上建议桥梁类型不超过2种。</w:t>
      </w:r>
      <w:r>
        <w:rPr>
          <w:rFonts w:hint="eastAsia"/>
          <w:color w:val="auto"/>
          <w:highlight w:val="none"/>
          <w:lang w:val="en-US" w:eastAsia="zh-CN"/>
        </w:rPr>
        <w:t>下同。</w:t>
      </w:r>
    </w:p>
  </w:footnote>
  <w:footnote w:id="155">
    <w:p w14:paraId="5BDCF62F">
      <w:pPr>
        <w:pStyle w:val="38"/>
        <w:ind w:left="360" w:hanging="360" w:hangingChars="200"/>
        <w:jc w:val="both"/>
        <w:rPr>
          <w:rFonts w:ascii="宋体" w:hAnsi="宋体"/>
          <w:color w:val="000000" w:themeColor="text1"/>
          <w14:textFill>
            <w14:solidFill>
              <w14:schemeClr w14:val="tx1"/>
            </w14:solidFill>
          </w14:textFill>
        </w:rPr>
      </w:pPr>
      <w:r>
        <w:rPr>
          <w:rStyle w:val="59"/>
          <w:rFonts w:ascii="宋体" w:hAnsi="宋体"/>
          <w:color w:val="000000" w:themeColor="text1"/>
          <w:vertAlign w:val="baseline"/>
          <w14:textFill>
            <w14:solidFill>
              <w14:schemeClr w14:val="tx1"/>
            </w14:solidFill>
          </w14:textFill>
        </w:rPr>
        <w:footnoteRef/>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根据项目具体情况，若存在特殊隧道或特长隧道或特别复杂的隧道，需要增加特殊要求时，可对隧道形式或隧道单洞长度进行要求，但不得设置过高的要求。</w:t>
      </w:r>
    </w:p>
  </w:footnote>
  <w:footnote w:id="156">
    <w:p w14:paraId="302A0972">
      <w:pPr>
        <w:pStyle w:val="38"/>
        <w:ind w:left="360" w:hanging="360" w:hangingChars="200"/>
        <w:jc w:val="both"/>
        <w:rPr>
          <w:rFonts w:ascii="宋体" w:hAnsi="宋体"/>
          <w:color w:val="000000" w:themeColor="text1"/>
          <w14:textFill>
            <w14:solidFill>
              <w14:schemeClr w14:val="tx1"/>
            </w14:solidFill>
          </w14:textFill>
        </w:rPr>
      </w:pPr>
      <w:r>
        <w:rPr>
          <w:rStyle w:val="59"/>
          <w:rFonts w:ascii="宋体" w:hAnsi="宋体"/>
          <w:color w:val="000000" w:themeColor="text1"/>
          <w:vertAlign w:val="baseline"/>
          <w14:textFill>
            <w14:solidFill>
              <w14:schemeClr w14:val="tx1"/>
            </w14:solidFill>
          </w14:textFill>
        </w:rPr>
        <w:footnoteRef/>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对于具有双洞的隧道，其承担隧道长度以左右线隧道长度</w:t>
      </w:r>
      <w:r>
        <w:rPr>
          <w:rFonts w:hint="eastAsia" w:ascii="宋体" w:hAnsi="宋体" w:cs="宋体"/>
          <w:color w:val="000000" w:themeColor="text1"/>
          <w:lang w:val="en-US" w:eastAsia="zh-CN"/>
          <w14:textFill>
            <w14:solidFill>
              <w14:schemeClr w14:val="tx1"/>
            </w14:solidFill>
          </w14:textFill>
        </w:rPr>
        <w:t>较</w:t>
      </w:r>
      <w:r>
        <w:rPr>
          <w:rFonts w:hint="eastAsia" w:ascii="宋体" w:hAnsi="宋体" w:cs="宋体"/>
          <w:color w:val="000000" w:themeColor="text1"/>
          <w14:textFill>
            <w14:solidFill>
              <w14:schemeClr w14:val="tx1"/>
            </w14:solidFill>
          </w14:textFill>
        </w:rPr>
        <w:t>长的为准；若只有单洞的，则以承担单洞隧道长度数据为准。隧道单洞长度不含</w:t>
      </w:r>
      <w:r>
        <w:rPr>
          <w:rFonts w:hint="eastAsia" w:ascii="宋体" w:hAnsi="宋体"/>
          <w:color w:val="000000" w:themeColor="text1"/>
          <w:szCs w:val="21"/>
          <w14:textFill>
            <w14:solidFill>
              <w14:schemeClr w14:val="tx1"/>
            </w14:solidFill>
          </w14:textFill>
        </w:rPr>
        <w:t>斜井、竖井</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支洞</w:t>
      </w:r>
      <w:r>
        <w:rPr>
          <w:rFonts w:hint="eastAsia" w:ascii="宋体" w:hAnsi="宋体"/>
          <w:color w:val="000000" w:themeColor="text1"/>
          <w:szCs w:val="21"/>
          <w14:textFill>
            <w14:solidFill>
              <w14:schemeClr w14:val="tx1"/>
            </w14:solidFill>
          </w14:textFill>
        </w:rPr>
        <w:t>。</w:t>
      </w:r>
    </w:p>
  </w:footnote>
  <w:footnote w:id="157">
    <w:p w14:paraId="7340C281">
      <w:pPr>
        <w:pStyle w:val="38"/>
        <w:jc w:val="both"/>
        <w:rPr>
          <w:rFonts w:ascii="宋体" w:hAnsi="宋体"/>
          <w:color w:val="000000" w:themeColor="text1"/>
          <w14:textFill>
            <w14:solidFill>
              <w14:schemeClr w14:val="tx1"/>
            </w14:solidFill>
          </w14:textFill>
        </w:rPr>
      </w:pPr>
      <w:r>
        <w:rPr>
          <w:rStyle w:val="59"/>
          <w:rFonts w:ascii="宋体" w:hAnsi="宋体"/>
          <w:color w:val="000000" w:themeColor="text1"/>
          <w:vertAlign w:val="baseline"/>
          <w14:textFill>
            <w14:solidFill>
              <w14:schemeClr w14:val="tx1"/>
            </w14:solidFill>
          </w14:textFill>
        </w:rPr>
        <w:footnoteRef/>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本项为单选项，该隧道工程可为路基土建工程中包含的</w:t>
      </w:r>
      <w:r>
        <w:rPr>
          <w:rFonts w:hint="eastAsia" w:ascii="宋体" w:hAnsi="宋体"/>
          <w:color w:val="000000" w:themeColor="text1"/>
          <w:lang w:val="en-US" w:eastAsia="zh-CN"/>
          <w14:textFill>
            <w14:solidFill>
              <w14:schemeClr w14:val="tx1"/>
            </w14:solidFill>
          </w14:textFill>
        </w:rPr>
        <w:t>内容</w:t>
      </w:r>
      <w:r>
        <w:rPr>
          <w:rFonts w:hint="eastAsia" w:ascii="宋体" w:hAnsi="宋体"/>
          <w:color w:val="000000" w:themeColor="text1"/>
          <w14:textFill>
            <w14:solidFill>
              <w14:schemeClr w14:val="tx1"/>
            </w14:solidFill>
          </w14:textFill>
        </w:rPr>
        <w:t>或者单独隧道</w:t>
      </w:r>
      <w:r>
        <w:rPr>
          <w:rFonts w:hint="eastAsia" w:ascii="宋体" w:hAnsi="宋体"/>
          <w:color w:val="000000" w:themeColor="text1"/>
          <w:lang w:val="en-US" w:eastAsia="zh-CN"/>
          <w14:textFill>
            <w14:solidFill>
              <w14:schemeClr w14:val="tx1"/>
            </w14:solidFill>
          </w14:textFill>
        </w:rPr>
        <w:t>工程</w:t>
      </w:r>
      <w:r>
        <w:rPr>
          <w:rFonts w:hint="eastAsia" w:ascii="宋体" w:hAnsi="宋体"/>
          <w:color w:val="000000" w:themeColor="text1"/>
          <w14:textFill>
            <w14:solidFill>
              <w14:schemeClr w14:val="tx1"/>
            </w14:solidFill>
          </w14:textFill>
        </w:rPr>
        <w:t>合同的项目。</w:t>
      </w:r>
    </w:p>
  </w:footnote>
  <w:footnote w:id="158">
    <w:p w14:paraId="004149C2">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招标人根据投标人在四川省交通运输厅网站公布的四川省重点公路</w:t>
      </w:r>
      <w:r>
        <w:rPr>
          <w:rFonts w:hint="eastAsia" w:ascii="宋体" w:hAnsi="宋体" w:cs="宋体"/>
          <w:bCs/>
          <w:color w:val="auto"/>
          <w:kern w:val="0"/>
          <w:szCs w:val="21"/>
          <w:highlight w:val="none"/>
        </w:rPr>
        <w:t>建设从业单位信用评价等级</w:t>
      </w:r>
      <w:r>
        <w:rPr>
          <w:rFonts w:hint="eastAsia" w:ascii="宋体" w:hAnsi="宋体" w:cs="宋体"/>
          <w:bCs/>
          <w:color w:val="auto"/>
          <w:kern w:val="0"/>
          <w:szCs w:val="21"/>
          <w:highlight w:val="none"/>
          <w:lang w:val="en-US" w:eastAsia="zh-CN"/>
        </w:rPr>
        <w:t>或</w:t>
      </w:r>
      <w:r>
        <w:rPr>
          <w:rFonts w:hint="eastAsia" w:ascii="宋体" w:hAnsi="宋体"/>
          <w:color w:val="auto"/>
          <w:highlight w:val="none"/>
        </w:rPr>
        <w:t>四川省</w:t>
      </w:r>
      <w:r>
        <w:rPr>
          <w:rFonts w:hint="eastAsia" w:ascii="宋体" w:hAnsi="宋体"/>
          <w:color w:val="auto"/>
          <w:highlight w:val="none"/>
          <w:lang w:val="en-US" w:eastAsia="zh-CN"/>
        </w:rPr>
        <w:t>农村</w:t>
      </w:r>
      <w:r>
        <w:rPr>
          <w:rFonts w:hint="eastAsia" w:ascii="宋体" w:hAnsi="宋体"/>
          <w:color w:val="auto"/>
          <w:highlight w:val="none"/>
        </w:rPr>
        <w:t>公路</w:t>
      </w:r>
      <w:r>
        <w:rPr>
          <w:rFonts w:hint="eastAsia" w:ascii="宋体" w:hAnsi="宋体" w:cs="宋体"/>
          <w:bCs/>
          <w:color w:val="auto"/>
          <w:kern w:val="0"/>
          <w:szCs w:val="21"/>
          <w:highlight w:val="none"/>
        </w:rPr>
        <w:t>建设从业单位信用评价等级对其履约信用进行评分。</w:t>
      </w:r>
    </w:p>
  </w:footnote>
  <w:footnote w:id="159">
    <w:p w14:paraId="17571FE9">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hint="eastAsia" w:ascii="宋体" w:hAnsi="宋体"/>
          <w:color w:val="auto"/>
          <w:highlight w:val="none"/>
          <w:lang w:val="en-US" w:eastAsia="zh-CN"/>
        </w:rPr>
        <w:t xml:space="preserve"> </w:t>
      </w:r>
      <w:r>
        <w:rPr>
          <w:rFonts w:ascii="宋体" w:hAnsi="宋体"/>
          <w:color w:val="auto"/>
          <w:highlight w:val="none"/>
        </w:rPr>
        <w:t xml:space="preserve"> </w:t>
      </w:r>
      <w:r>
        <w:rPr>
          <w:rFonts w:hint="eastAsia" w:ascii="宋体" w:hAnsi="宋体"/>
          <w:color w:val="auto"/>
          <w:highlight w:val="none"/>
        </w:rPr>
        <w:t>此处指只有招标人设置了</w:t>
      </w:r>
      <w:r>
        <w:rPr>
          <w:rFonts w:ascii="宋体" w:hAnsi="宋体"/>
          <w:color w:val="auto"/>
          <w:highlight w:val="none"/>
        </w:rPr>
        <w:t>投标人须知附录6资格审查条件（</w:t>
      </w:r>
      <w:r>
        <w:rPr>
          <w:rFonts w:hint="eastAsia" w:ascii="宋体" w:hAnsi="宋体"/>
          <w:color w:val="auto"/>
          <w:highlight w:val="none"/>
        </w:rPr>
        <w:t>其他管理</w:t>
      </w:r>
      <w:r>
        <w:rPr>
          <w:rFonts w:ascii="宋体" w:hAnsi="宋体"/>
          <w:color w:val="auto"/>
          <w:highlight w:val="none"/>
        </w:rPr>
        <w:t>和人技术人</w:t>
      </w:r>
      <w:r>
        <w:rPr>
          <w:rFonts w:hint="eastAsia" w:ascii="宋体" w:hAnsi="宋体"/>
          <w:color w:val="auto"/>
          <w:highlight w:val="none"/>
        </w:rPr>
        <w:t>员最低要求</w:t>
      </w:r>
      <w:r>
        <w:rPr>
          <w:rFonts w:ascii="宋体" w:hAnsi="宋体"/>
          <w:color w:val="auto"/>
          <w:highlight w:val="none"/>
        </w:rPr>
        <w:t>）</w:t>
      </w:r>
      <w:r>
        <w:rPr>
          <w:rFonts w:hint="eastAsia" w:ascii="宋体" w:hAnsi="宋体"/>
          <w:color w:val="auto"/>
          <w:highlight w:val="none"/>
        </w:rPr>
        <w:t>或</w:t>
      </w:r>
      <w:r>
        <w:rPr>
          <w:rFonts w:ascii="宋体" w:hAnsi="宋体"/>
          <w:color w:val="auto"/>
          <w:highlight w:val="none"/>
        </w:rPr>
        <w:t>附录7资格审查条件（</w:t>
      </w:r>
      <w:r>
        <w:rPr>
          <w:rFonts w:hint="eastAsia" w:ascii="宋体" w:hAnsi="宋体"/>
          <w:color w:val="auto"/>
          <w:highlight w:val="none"/>
        </w:rPr>
        <w:t>主要机械设备和试验检测设备最低要求</w:t>
      </w:r>
      <w:r>
        <w:rPr>
          <w:rFonts w:ascii="宋体" w:hAnsi="宋体"/>
          <w:color w:val="auto"/>
          <w:highlight w:val="none"/>
        </w:rPr>
        <w:t>）</w:t>
      </w:r>
      <w:r>
        <w:rPr>
          <w:rFonts w:hint="eastAsia" w:ascii="宋体" w:hAnsi="宋体"/>
          <w:color w:val="auto"/>
          <w:highlight w:val="none"/>
        </w:rPr>
        <w:t>或附录</w:t>
      </w:r>
      <w:r>
        <w:rPr>
          <w:rFonts w:ascii="宋体" w:hAnsi="宋体"/>
          <w:color w:val="auto"/>
          <w:highlight w:val="none"/>
        </w:rPr>
        <w:t>8</w:t>
      </w:r>
      <w:r>
        <w:rPr>
          <w:rFonts w:hint="eastAsia" w:ascii="宋体" w:hAnsi="宋体"/>
          <w:color w:val="auto"/>
          <w:highlight w:val="none"/>
        </w:rPr>
        <w:t>资格审查条件（</w:t>
      </w:r>
      <w:r>
        <w:rPr>
          <w:rFonts w:hint="eastAsia" w:ascii="宋体" w:hAnsi="宋体"/>
          <w:color w:val="auto"/>
          <w:szCs w:val="21"/>
          <w:highlight w:val="none"/>
        </w:rPr>
        <w:t>关键机电设备</w:t>
      </w:r>
      <w:r>
        <w:rPr>
          <w:rFonts w:ascii="宋体" w:hAnsi="宋体"/>
          <w:color w:val="auto"/>
          <w:szCs w:val="21"/>
          <w:highlight w:val="none"/>
        </w:rPr>
        <w:t>主要</w:t>
      </w:r>
      <w:r>
        <w:rPr>
          <w:rFonts w:hint="eastAsia" w:ascii="宋体" w:hAnsi="宋体"/>
          <w:color w:val="auto"/>
          <w:szCs w:val="21"/>
          <w:highlight w:val="none"/>
        </w:rPr>
        <w:t>技术性能</w:t>
      </w:r>
      <w:r>
        <w:rPr>
          <w:rFonts w:ascii="宋体" w:hAnsi="宋体"/>
          <w:color w:val="auto"/>
          <w:szCs w:val="21"/>
          <w:highlight w:val="none"/>
        </w:rPr>
        <w:t>指标</w:t>
      </w:r>
      <w:r>
        <w:rPr>
          <w:rFonts w:hint="eastAsia" w:ascii="宋体" w:hAnsi="宋体"/>
          <w:color w:val="auto"/>
          <w:szCs w:val="21"/>
          <w:highlight w:val="none"/>
        </w:rPr>
        <w:t>最低要求</w:t>
      </w:r>
      <w:r>
        <w:rPr>
          <w:rFonts w:hint="eastAsia" w:ascii="宋体" w:hAnsi="宋体"/>
          <w:color w:val="auto"/>
          <w:highlight w:val="none"/>
        </w:rPr>
        <w:t>）时</w:t>
      </w:r>
      <w:r>
        <w:rPr>
          <w:rFonts w:ascii="宋体" w:hAnsi="宋体"/>
          <w:color w:val="auto"/>
          <w:highlight w:val="none"/>
        </w:rPr>
        <w:t>对应</w:t>
      </w:r>
      <w:r>
        <w:rPr>
          <w:rFonts w:hint="eastAsia" w:ascii="宋体" w:hAnsi="宋体"/>
          <w:color w:val="auto"/>
          <w:highlight w:val="none"/>
        </w:rPr>
        <w:t>的</w:t>
      </w:r>
      <w:r>
        <w:rPr>
          <w:rFonts w:ascii="宋体" w:hAnsi="宋体"/>
          <w:color w:val="auto"/>
          <w:highlight w:val="none"/>
        </w:rPr>
        <w:t>资格评审标准</w:t>
      </w:r>
      <w:r>
        <w:rPr>
          <w:rFonts w:hint="eastAsia" w:ascii="宋体" w:hAnsi="宋体"/>
          <w:color w:val="auto"/>
          <w:highlight w:val="none"/>
        </w:rPr>
        <w:t>。</w:t>
      </w:r>
    </w:p>
  </w:footnote>
  <w:footnote w:id="160">
    <w:p w14:paraId="7A85D987">
      <w:pPr>
        <w:pStyle w:val="38"/>
        <w:rPr>
          <w:color w:val="auto"/>
        </w:rPr>
      </w:pPr>
      <w:r>
        <w:rPr>
          <w:rStyle w:val="59"/>
          <w:color w:val="auto"/>
          <w:vertAlign w:val="baseline"/>
        </w:rPr>
        <w:footnoteRef/>
      </w:r>
      <w:r>
        <w:rPr>
          <w:color w:val="auto"/>
        </w:rPr>
        <w:t xml:space="preserve"> </w:t>
      </w:r>
      <w:r>
        <w:rPr>
          <w:rFonts w:hint="eastAsia"/>
          <w:color w:val="auto"/>
        </w:rPr>
        <w:t xml:space="preserve"> </w:t>
      </w:r>
      <w:r>
        <w:rPr>
          <w:rFonts w:hint="eastAsia" w:ascii="宋体" w:hAnsi="宋体" w:cs="宋体"/>
          <w:color w:val="auto"/>
        </w:rPr>
        <w:t>当报价方式采用</w:t>
      </w:r>
      <w:r>
        <w:rPr>
          <w:rFonts w:hint="eastAsia" w:ascii="宋体" w:hAnsi="宋体" w:cs="宋体"/>
          <w:color w:val="auto"/>
          <w:lang w:val="en-US" w:eastAsia="zh-CN"/>
        </w:rPr>
        <w:t>单价或</w:t>
      </w:r>
      <w:r>
        <w:rPr>
          <w:rFonts w:hint="eastAsia" w:ascii="宋体" w:hAnsi="宋体" w:cs="宋体"/>
          <w:color w:val="auto"/>
        </w:rPr>
        <w:t>总价以外的其他情形时，</w:t>
      </w:r>
      <w:r>
        <w:rPr>
          <w:rFonts w:hint="eastAsia"/>
          <w:color w:val="auto"/>
        </w:rPr>
        <w:t>投标报价能</w:t>
      </w:r>
      <w:r>
        <w:rPr>
          <w:rFonts w:hint="eastAsia"/>
          <w:color w:val="auto"/>
          <w:lang w:val="en-US" w:eastAsia="zh-CN"/>
        </w:rPr>
        <w:t>够</w:t>
      </w:r>
      <w:r>
        <w:rPr>
          <w:rFonts w:hint="eastAsia"/>
          <w:color w:val="auto"/>
        </w:rPr>
        <w:t>确定具体数值。</w:t>
      </w:r>
    </w:p>
  </w:footnote>
  <w:footnote w:id="161">
    <w:p w14:paraId="7823B05E">
      <w:pPr>
        <w:pStyle w:val="38"/>
        <w:ind w:left="360" w:hanging="360" w:hangingChars="200"/>
        <w:jc w:val="both"/>
        <w:rPr>
          <w:color w:val="auto"/>
          <w:highlight w:val="none"/>
        </w:rPr>
      </w:pPr>
      <w:r>
        <w:rPr>
          <w:rStyle w:val="59"/>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各评分因素权重范围如下：施工组织设计</w:t>
      </w:r>
      <w:r>
        <w:rPr>
          <w:rFonts w:ascii="宋体" w:hAnsi="宋体"/>
          <w:color w:val="auto"/>
          <w:highlight w:val="none"/>
        </w:rPr>
        <w:t>5</w:t>
      </w:r>
      <w:r>
        <w:rPr>
          <w:rFonts w:hint="eastAsia" w:ascii="宋体" w:hAnsi="宋体"/>
          <w:color w:val="auto"/>
          <w:highlight w:val="none"/>
        </w:rPr>
        <w:t>～</w:t>
      </w:r>
      <w:r>
        <w:rPr>
          <w:rFonts w:ascii="宋体" w:hAnsi="宋体"/>
          <w:color w:val="auto"/>
          <w:highlight w:val="none"/>
        </w:rPr>
        <w:t>20</w:t>
      </w:r>
      <w:r>
        <w:rPr>
          <w:rFonts w:hint="eastAsia" w:ascii="宋体" w:hAnsi="宋体"/>
          <w:color w:val="auto"/>
          <w:highlight w:val="none"/>
        </w:rPr>
        <w:t>分；主要人员</w:t>
      </w:r>
      <w:r>
        <w:rPr>
          <w:rFonts w:ascii="宋体" w:hAnsi="宋体"/>
          <w:color w:val="auto"/>
          <w:highlight w:val="none"/>
        </w:rPr>
        <w:t>10</w:t>
      </w:r>
      <w:r>
        <w:rPr>
          <w:rFonts w:hint="eastAsia" w:ascii="宋体" w:hAnsi="宋体"/>
          <w:color w:val="auto"/>
          <w:highlight w:val="none"/>
        </w:rPr>
        <w:t>～</w:t>
      </w:r>
      <w:r>
        <w:rPr>
          <w:rFonts w:ascii="宋体" w:hAnsi="宋体"/>
          <w:color w:val="auto"/>
          <w:highlight w:val="none"/>
        </w:rPr>
        <w:t>20分。其他因素包括：技术能力0～5分；</w:t>
      </w:r>
      <w:r>
        <w:rPr>
          <w:rFonts w:hint="eastAsia" w:ascii="宋体" w:hAnsi="宋体"/>
          <w:color w:val="auto"/>
          <w:highlight w:val="none"/>
        </w:rPr>
        <w:t>财务能力</w:t>
      </w:r>
      <w:r>
        <w:rPr>
          <w:rFonts w:ascii="宋体" w:hAnsi="宋体"/>
          <w:color w:val="auto"/>
          <w:highlight w:val="none"/>
        </w:rPr>
        <w:t>5</w:t>
      </w: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分；业绩</w:t>
      </w:r>
      <w:r>
        <w:rPr>
          <w:rFonts w:ascii="宋体" w:hAnsi="宋体"/>
          <w:color w:val="auto"/>
          <w:highlight w:val="none"/>
        </w:rPr>
        <w:t>5</w:t>
      </w:r>
      <w:r>
        <w:rPr>
          <w:rFonts w:hint="eastAsia" w:ascii="宋体" w:hAnsi="宋体"/>
          <w:color w:val="auto"/>
          <w:highlight w:val="none"/>
        </w:rPr>
        <w:t>～</w:t>
      </w:r>
      <w:r>
        <w:rPr>
          <w:rFonts w:ascii="宋体" w:hAnsi="宋体"/>
          <w:color w:val="auto"/>
          <w:highlight w:val="none"/>
        </w:rPr>
        <w:t>15</w:t>
      </w:r>
      <w:r>
        <w:rPr>
          <w:rFonts w:hint="eastAsia" w:ascii="宋体" w:hAnsi="宋体"/>
          <w:color w:val="auto"/>
          <w:highlight w:val="none"/>
        </w:rPr>
        <w:t>分；履约信誉</w:t>
      </w:r>
      <w:r>
        <w:rPr>
          <w:rFonts w:hint="default" w:ascii="宋体" w:hAnsi="宋体"/>
          <w:color w:val="auto"/>
          <w:highlight w:val="none"/>
          <w:lang w:val="en-US"/>
        </w:rPr>
        <w:t>2</w:t>
      </w:r>
      <w:r>
        <w:rPr>
          <w:rFonts w:hint="eastAsia" w:ascii="宋体" w:hAnsi="宋体"/>
          <w:color w:val="auto"/>
          <w:highlight w:val="none"/>
        </w:rPr>
        <w:t>～</w:t>
      </w:r>
      <w:r>
        <w:rPr>
          <w:rFonts w:ascii="宋体" w:hAnsi="宋体"/>
          <w:color w:val="auto"/>
          <w:highlight w:val="none"/>
        </w:rPr>
        <w:t>5分。</w:t>
      </w:r>
      <w:r>
        <w:rPr>
          <w:rFonts w:hint="eastAsia" w:asciiTheme="minorEastAsia" w:hAnsiTheme="minorEastAsia" w:eastAsiaTheme="minorEastAsia"/>
          <w:snapToGrid w:val="0"/>
          <w:color w:val="auto"/>
          <w:kern w:val="0"/>
          <w:highlight w:val="none"/>
          <w:lang w:val="en-US" w:eastAsia="zh-CN"/>
        </w:rPr>
        <w:t>各评分因素权重分值（含评标价）合计应为100分。</w:t>
      </w:r>
    </w:p>
  </w:footnote>
  <w:footnote w:id="162">
    <w:p w14:paraId="45687508">
      <w:pPr>
        <w:pStyle w:val="38"/>
        <w:ind w:left="360" w:hanging="360" w:hangingChars="200"/>
        <w:jc w:val="both"/>
        <w:rPr>
          <w:color w:val="auto"/>
          <w:highlight w:val="none"/>
        </w:rPr>
      </w:pPr>
      <w:r>
        <w:rPr>
          <w:rStyle w:val="59"/>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技术能力指投标人的科研开发和技术创新能力，招标人可结合招标项目的具体情况提出相关要求，包括投标人获得的与项目施工有关的国家级</w:t>
      </w:r>
      <w:r>
        <w:rPr>
          <w:rFonts w:ascii="宋体" w:hAnsi="宋体"/>
          <w:color w:val="auto"/>
          <w:highlight w:val="none"/>
        </w:rPr>
        <w:t>工法、</w:t>
      </w:r>
      <w:r>
        <w:rPr>
          <w:rFonts w:hint="eastAsia" w:ascii="宋体" w:hAnsi="宋体"/>
          <w:color w:val="auto"/>
          <w:highlight w:val="none"/>
        </w:rPr>
        <w:t>专利（发明专利或实用新型专利）、国家或省级科学技术进步奖，主编或参编过的国家、行业或地方标准等。根据项目具体情况，若存在有特别复杂的情形或特殊结构，需要增加特殊要求时，才可对技术能力设置评分要求，但不得</w:t>
      </w:r>
      <w:r>
        <w:rPr>
          <w:rFonts w:hint="eastAsia"/>
          <w:color w:val="auto"/>
          <w:highlight w:val="none"/>
        </w:rPr>
        <w:t>设置过高的条件。</w:t>
      </w:r>
    </w:p>
  </w:footnote>
  <w:footnote w:id="163">
    <w:p w14:paraId="3A5A95D7">
      <w:pPr>
        <w:pStyle w:val="38"/>
        <w:rPr>
          <w:color w:val="auto"/>
          <w:highlight w:val="none"/>
        </w:rPr>
      </w:pPr>
      <w:r>
        <w:rPr>
          <w:rStyle w:val="59"/>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评标价权重分值不应低于50分。</w:t>
      </w:r>
    </w:p>
  </w:footnote>
  <w:footnote w:id="164">
    <w:p w14:paraId="7031715C">
      <w:pPr>
        <w:pStyle w:val="38"/>
        <w:snapToGrid w:val="0"/>
        <w:ind w:left="360" w:hanging="360" w:hangingChars="200"/>
        <w:rPr>
          <w:rFonts w:hint="default" w:eastAsia="宋体"/>
          <w:lang w:val="en-US" w:eastAsia="zh-CN"/>
        </w:rPr>
      </w:pPr>
      <w:r>
        <w:rPr>
          <w:rStyle w:val="59"/>
          <w:vertAlign w:val="baseline"/>
        </w:rPr>
        <w:footnoteRef/>
      </w:r>
      <w:r>
        <w:t xml:space="preserve"> </w:t>
      </w:r>
      <w:r>
        <w:rPr>
          <w:rFonts w:hint="eastAsia"/>
          <w:lang w:val="en-US" w:eastAsia="zh-CN"/>
        </w:rPr>
        <w:t xml:space="preserve"> 投标报价单位采用人民币“元”时，评标基准价计算结果应“四舍五入”取整到元。投标报价单位采用比例时，评标基准价计算结果应明确保留小数点位数。</w:t>
      </w:r>
    </w:p>
  </w:footnote>
  <w:footnote w:id="165">
    <w:p w14:paraId="37C01A58">
      <w:pPr>
        <w:pStyle w:val="38"/>
        <w:ind w:left="360" w:hanging="360" w:hangingChars="200"/>
        <w:rPr>
          <w:rFonts w:hint="default" w:ascii="宋体" w:hAnsi="宋体" w:eastAsia="宋体" w:cs="宋体"/>
          <w:color w:val="auto"/>
          <w:lang w:val="en-US" w:eastAsia="zh-CN"/>
        </w:rPr>
      </w:pPr>
      <w:r>
        <w:rPr>
          <w:rStyle w:val="59"/>
          <w:rFonts w:hint="eastAsia" w:ascii="宋体" w:hAnsi="宋体" w:cs="宋体"/>
          <w:color w:val="auto"/>
          <w:vertAlign w:val="baseline"/>
        </w:rPr>
        <w:footnoteRef/>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根据</w:t>
      </w:r>
      <w:r>
        <w:rPr>
          <w:rFonts w:hint="eastAsia" w:ascii="宋体" w:hAnsi="宋体" w:cs="宋体"/>
          <w:color w:val="auto"/>
          <w:lang w:val="en-US" w:eastAsia="zh-CN"/>
        </w:rPr>
        <w:t>招标项目具体特点和实际情况，招标人</w:t>
      </w:r>
      <w:r>
        <w:rPr>
          <w:rFonts w:hint="eastAsia" w:ascii="宋体" w:hAnsi="宋体" w:cs="宋体"/>
          <w:color w:val="auto"/>
        </w:rPr>
        <w:t>可调整评标价的定义。</w:t>
      </w:r>
      <w:r>
        <w:rPr>
          <w:rFonts w:hint="eastAsia" w:ascii="宋体" w:hAnsi="宋体" w:cs="宋体"/>
          <w:color w:val="auto"/>
          <w:lang w:val="en-US" w:eastAsia="zh-CN"/>
        </w:rPr>
        <w:t>例如：评标价</w:t>
      </w:r>
      <w:r>
        <w:rPr>
          <w:rFonts w:hint="eastAsia" w:ascii="宋体" w:hAnsi="宋体" w:eastAsia="宋体" w:cs="宋体"/>
          <w:color w:val="auto"/>
          <w:lang w:val="en-US" w:eastAsia="zh-CN"/>
        </w:rPr>
        <w:t>＝</w:t>
      </w:r>
      <w:r>
        <w:rPr>
          <w:rFonts w:hint="eastAsia" w:ascii="宋体" w:hAnsi="宋体" w:cs="宋体"/>
          <w:color w:val="auto"/>
          <w:lang w:val="en-US" w:eastAsia="zh-CN"/>
        </w:rPr>
        <w:t>投标人投标报价</w:t>
      </w:r>
      <w:r>
        <w:rPr>
          <w:rFonts w:hint="eastAsia" w:ascii="宋体" w:hAnsi="宋体" w:eastAsia="宋体" w:cs="宋体"/>
          <w:color w:val="auto"/>
          <w:lang w:val="en-US" w:eastAsia="zh-CN"/>
        </w:rPr>
        <w:t>－</w:t>
      </w:r>
      <w:r>
        <w:rPr>
          <w:rFonts w:hint="eastAsia" w:ascii="宋体" w:hAnsi="宋体" w:cs="宋体"/>
          <w:color w:val="auto"/>
          <w:lang w:val="en-US" w:eastAsia="zh-CN"/>
        </w:rPr>
        <w:t>非竞争性部分报价。</w:t>
      </w:r>
    </w:p>
  </w:footnote>
  <w:footnote w:id="166">
    <w:p w14:paraId="562DDE4B">
      <w:pPr>
        <w:pStyle w:val="38"/>
        <w:rPr>
          <w:color w:val="auto"/>
        </w:rPr>
      </w:pPr>
      <w:r>
        <w:rPr>
          <w:rStyle w:val="59"/>
          <w:rFonts w:hint="eastAsia" w:ascii="宋体" w:hAnsi="宋体" w:cs="宋体"/>
          <w:color w:val="auto"/>
          <w:vertAlign w:val="baseline"/>
        </w:rPr>
        <w:footnoteRef/>
      </w:r>
      <w:r>
        <w:rPr>
          <w:rFonts w:hint="eastAsia" w:ascii="宋体" w:hAnsi="宋体" w:cs="宋体"/>
          <w:color w:val="auto"/>
        </w:rPr>
        <w:t xml:space="preserve">  当报价方式采用</w:t>
      </w:r>
      <w:r>
        <w:rPr>
          <w:rFonts w:hint="eastAsia" w:ascii="宋体" w:hAnsi="宋体" w:cs="宋体"/>
          <w:color w:val="auto"/>
          <w:lang w:val="en-US" w:eastAsia="zh-CN"/>
        </w:rPr>
        <w:t>单价或</w:t>
      </w:r>
      <w:r>
        <w:rPr>
          <w:rFonts w:hint="eastAsia" w:ascii="宋体" w:hAnsi="宋体" w:cs="宋体"/>
          <w:color w:val="auto"/>
        </w:rPr>
        <w:t>总价以外的其他情形时，</w:t>
      </w:r>
      <w:r>
        <w:rPr>
          <w:rFonts w:hint="eastAsia"/>
          <w:color w:val="auto"/>
        </w:rPr>
        <w:t>投标报价无法确定具体数值。</w:t>
      </w:r>
    </w:p>
  </w:footnote>
  <w:footnote w:id="167">
    <w:p w14:paraId="76F95D7F">
      <w:pPr>
        <w:pStyle w:val="38"/>
        <w:ind w:left="360" w:hanging="360" w:hangingChars="200"/>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招标人</w:t>
      </w:r>
      <w:r>
        <w:rPr>
          <w:color w:val="auto"/>
          <w:highlight w:val="none"/>
        </w:rPr>
        <w:t>可在招标文件中约定低于投标最高限价一定范围值的投标报价（</w:t>
      </w:r>
      <w:r>
        <w:rPr>
          <w:rFonts w:hint="eastAsia"/>
          <w:color w:val="auto"/>
          <w:highlight w:val="none"/>
        </w:rPr>
        <w:t>该范围值</w:t>
      </w:r>
      <w:r>
        <w:rPr>
          <w:color w:val="auto"/>
          <w:highlight w:val="none"/>
        </w:rPr>
        <w:t>一般不应小于</w:t>
      </w:r>
      <w:r>
        <w:rPr>
          <w:rFonts w:hint="eastAsia"/>
          <w:color w:val="auto"/>
          <w:highlight w:val="none"/>
        </w:rPr>
        <w:t>15</w:t>
      </w:r>
      <w:r>
        <w:rPr>
          <w:color w:val="auto"/>
          <w:highlight w:val="none"/>
        </w:rPr>
        <w:t>%）</w:t>
      </w:r>
      <w:r>
        <w:rPr>
          <w:rFonts w:hint="eastAsia"/>
          <w:color w:val="auto"/>
          <w:highlight w:val="none"/>
        </w:rPr>
        <w:t>不参与</w:t>
      </w:r>
      <w:r>
        <w:rPr>
          <w:color w:val="auto"/>
          <w:highlight w:val="none"/>
        </w:rPr>
        <w:t>评标基准价</w:t>
      </w:r>
      <w:r>
        <w:rPr>
          <w:rFonts w:hint="eastAsia"/>
          <w:color w:val="auto"/>
          <w:highlight w:val="none"/>
        </w:rPr>
        <w:t>的</w:t>
      </w:r>
      <w:r>
        <w:rPr>
          <w:color w:val="auto"/>
          <w:highlight w:val="none"/>
        </w:rPr>
        <w:t>计算</w:t>
      </w:r>
      <w:r>
        <w:rPr>
          <w:rFonts w:hint="eastAsia"/>
          <w:color w:val="auto"/>
          <w:highlight w:val="none"/>
        </w:rPr>
        <w:t>。</w:t>
      </w:r>
    </w:p>
  </w:footnote>
  <w:footnote w:id="168">
    <w:p w14:paraId="048731D0">
      <w:pPr>
        <w:pStyle w:val="38"/>
        <w:ind w:left="360" w:hanging="360" w:hangingChars="200"/>
        <w:rPr>
          <w:color w:val="auto"/>
          <w:highlight w:val="none"/>
        </w:rPr>
      </w:pPr>
      <w:r>
        <w:rPr>
          <w:rStyle w:val="59"/>
          <w:color w:val="auto"/>
          <w:highlight w:val="none"/>
          <w:vertAlign w:val="baseline"/>
        </w:rPr>
        <w:footnoteRef/>
      </w:r>
      <w:r>
        <w:rPr>
          <w:rFonts w:hint="eastAsia"/>
          <w:color w:val="auto"/>
          <w:highlight w:val="none"/>
          <w:lang w:val="en-US" w:eastAsia="zh-CN"/>
        </w:rPr>
        <w:t xml:space="preserve"> </w:t>
      </w:r>
      <w:r>
        <w:rPr>
          <w:rFonts w:hint="eastAsia"/>
          <w:color w:val="auto"/>
          <w:highlight w:val="none"/>
        </w:rPr>
        <w:t xml:space="preserve"> 上述评标基准价的计算方法供招标人参考，招标人应依据招标项目特点和实际需要，选择或制定适合项目的评标基准价的计算方法。</w:t>
      </w:r>
    </w:p>
  </w:footnote>
  <w:footnote w:id="169">
    <w:p w14:paraId="43764EDD">
      <w:pPr>
        <w:pStyle w:val="38"/>
        <w:jc w:val="both"/>
        <w:rPr>
          <w:rFonts w:ascii="宋体" w:hAnsi="宋体"/>
          <w:color w:val="auto"/>
          <w:highlight w:val="none"/>
        </w:rPr>
      </w:pPr>
      <w:r>
        <w:rPr>
          <w:rStyle w:val="59"/>
          <w:rFonts w:ascii="宋体" w:hAnsi="宋体"/>
          <w:color w:val="auto"/>
          <w:highlight w:val="none"/>
          <w:vertAlign w:val="baseline"/>
        </w:rPr>
        <w:footnoteRef/>
      </w:r>
      <w:r>
        <w:rPr>
          <w:rFonts w:hint="eastAsia"/>
          <w:color w:val="auto"/>
          <w:highlight w:val="none"/>
          <w:lang w:val="en-US" w:eastAsia="zh-CN"/>
        </w:rPr>
        <w:t xml:space="preserve"> </w:t>
      </w:r>
      <w:r>
        <w:rPr>
          <w:rFonts w:ascii="宋体" w:hAnsi="宋体"/>
          <w:color w:val="auto"/>
          <w:highlight w:val="none"/>
        </w:rPr>
        <w:t xml:space="preserve"> </w:t>
      </w:r>
      <w:r>
        <w:rPr>
          <w:rFonts w:ascii="宋体" w:hAnsi="宋体" w:cs="宋体"/>
          <w:color w:val="auto"/>
          <w:highlight w:val="none"/>
        </w:rPr>
        <w:t>Q</w:t>
      </w:r>
      <w:r>
        <w:rPr>
          <w:rFonts w:ascii="宋体" w:hAnsi="宋体" w:cs="宋体"/>
          <w:color w:val="auto"/>
          <w:highlight w:val="none"/>
          <w:vertAlign w:val="subscript"/>
        </w:rPr>
        <w:t>1</w:t>
      </w:r>
      <w:r>
        <w:rPr>
          <w:rFonts w:ascii="宋体" w:hAnsi="宋体" w:cs="宋体"/>
          <w:color w:val="auto"/>
          <w:highlight w:val="none"/>
        </w:rPr>
        <w:t>取值范围30%～70%,Q</w:t>
      </w:r>
      <w:r>
        <w:rPr>
          <w:rFonts w:ascii="宋体" w:hAnsi="宋体" w:cs="宋体"/>
          <w:color w:val="auto"/>
          <w:highlight w:val="none"/>
          <w:vertAlign w:val="subscript"/>
        </w:rPr>
        <w:t>1</w:t>
      </w:r>
      <w:r>
        <w:rPr>
          <w:rFonts w:ascii="宋体" w:hAnsi="宋体" w:cs="宋体"/>
          <w:color w:val="auto"/>
          <w:highlight w:val="none"/>
        </w:rPr>
        <w:t>取值的步长不大于1%。</w:t>
      </w:r>
    </w:p>
  </w:footnote>
  <w:footnote w:id="170">
    <w:p w14:paraId="174846EA">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s="宋体"/>
          <w:color w:val="auto"/>
          <w:highlight w:val="none"/>
        </w:rPr>
        <w:t>K</w:t>
      </w:r>
      <w:r>
        <w:rPr>
          <w:rFonts w:ascii="宋体" w:hAnsi="宋体" w:cs="宋体"/>
          <w:color w:val="auto"/>
          <w:highlight w:val="none"/>
          <w:vertAlign w:val="subscript"/>
        </w:rPr>
        <w:t>1</w:t>
      </w:r>
      <w:r>
        <w:rPr>
          <w:rFonts w:ascii="宋体" w:hAnsi="宋体" w:cs="宋体"/>
          <w:color w:val="auto"/>
          <w:highlight w:val="none"/>
        </w:rPr>
        <w:t>取值范围95%～100%, K</w:t>
      </w:r>
      <w:r>
        <w:rPr>
          <w:rFonts w:ascii="宋体" w:hAnsi="宋体" w:cs="宋体"/>
          <w:color w:val="auto"/>
          <w:highlight w:val="none"/>
          <w:vertAlign w:val="subscript"/>
        </w:rPr>
        <w:t>1</w:t>
      </w:r>
      <w:r>
        <w:rPr>
          <w:rFonts w:ascii="宋体" w:hAnsi="宋体" w:cs="宋体"/>
          <w:color w:val="auto"/>
          <w:highlight w:val="none"/>
        </w:rPr>
        <w:t>取值的步长不大于0.5%。</w:t>
      </w:r>
    </w:p>
  </w:footnote>
  <w:footnote w:id="171">
    <w:p w14:paraId="1A108CD3">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s="宋体"/>
          <w:color w:val="auto"/>
          <w:highlight w:val="none"/>
        </w:rPr>
        <w:t>K</w:t>
      </w:r>
      <w:r>
        <w:rPr>
          <w:rFonts w:ascii="宋体" w:hAnsi="宋体" w:cs="宋体"/>
          <w:color w:val="auto"/>
          <w:highlight w:val="none"/>
          <w:vertAlign w:val="subscript"/>
        </w:rPr>
        <w:t>2</w:t>
      </w:r>
      <w:r>
        <w:rPr>
          <w:rFonts w:hint="eastAsia" w:ascii="宋体" w:hAnsi="宋体" w:cs="宋体"/>
          <w:color w:val="auto"/>
          <w:highlight w:val="none"/>
        </w:rPr>
        <w:t>取值范围</w:t>
      </w:r>
      <w:r>
        <w:rPr>
          <w:rFonts w:ascii="宋体" w:hAnsi="宋体" w:cs="宋体"/>
          <w:color w:val="auto"/>
          <w:highlight w:val="none"/>
        </w:rPr>
        <w:t>(85%+M%)～(90%+M%)，其中M为0</w:t>
      </w:r>
      <w:r>
        <w:rPr>
          <w:rFonts w:hint="eastAsia" w:ascii="宋体" w:hAnsi="宋体" w:eastAsia="宋体" w:cs="宋体"/>
          <w:color w:val="auto"/>
          <w:highlight w:val="none"/>
        </w:rPr>
        <w:t>～</w:t>
      </w:r>
      <w:r>
        <w:rPr>
          <w:rFonts w:ascii="宋体" w:hAnsi="宋体" w:cs="宋体"/>
          <w:color w:val="auto"/>
          <w:highlight w:val="none"/>
        </w:rPr>
        <w:t>5的自然数，K</w:t>
      </w:r>
      <w:r>
        <w:rPr>
          <w:rFonts w:ascii="宋体" w:hAnsi="宋体" w:cs="宋体"/>
          <w:color w:val="auto"/>
          <w:highlight w:val="none"/>
          <w:vertAlign w:val="subscript"/>
        </w:rPr>
        <w:t>2</w:t>
      </w:r>
      <w:r>
        <w:rPr>
          <w:rFonts w:ascii="宋体" w:hAnsi="宋体" w:cs="宋体"/>
          <w:color w:val="auto"/>
          <w:highlight w:val="none"/>
        </w:rPr>
        <w:t>取值的步长不大于0.5%。</w:t>
      </w:r>
    </w:p>
  </w:footnote>
  <w:footnote w:id="172">
    <w:p w14:paraId="62DC4FD0">
      <w:pPr>
        <w:pStyle w:val="38"/>
        <w:jc w:val="both"/>
        <w:rPr>
          <w:rStyle w:val="59"/>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招标人根据项目情况在取值范围中设定。</w:t>
      </w:r>
    </w:p>
  </w:footnote>
  <w:footnote w:id="173">
    <w:p w14:paraId="11AC09F0">
      <w:pPr>
        <w:pStyle w:val="38"/>
        <w:ind w:left="360" w:hanging="360" w:hangingChars="200"/>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color w:val="auto"/>
          <w:highlight w:val="none"/>
        </w:rPr>
        <w:t>招标人根据项目情况在取值范围中设定随机下浮系数</w:t>
      </w:r>
      <w:r>
        <w:rPr>
          <w:rFonts w:hint="eastAsia"/>
          <w:color w:val="auto"/>
          <w:highlight w:val="none"/>
        </w:rPr>
        <w:t>，</w:t>
      </w:r>
      <w:r>
        <w:rPr>
          <w:color w:val="auto"/>
          <w:highlight w:val="none"/>
        </w:rPr>
        <w:t>该系数的取值范围为85%~95%，在第二</w:t>
      </w:r>
      <w:r>
        <w:rPr>
          <w:rFonts w:hint="eastAsia"/>
          <w:color w:val="auto"/>
          <w:highlight w:val="none"/>
          <w:lang w:val="en-US" w:eastAsia="zh-CN"/>
        </w:rPr>
        <w:t>个</w:t>
      </w:r>
      <w:r>
        <w:rPr>
          <w:color w:val="auto"/>
          <w:highlight w:val="none"/>
        </w:rPr>
        <w:t>信封</w:t>
      </w:r>
      <w:r>
        <w:rPr>
          <w:rFonts w:hint="eastAsia"/>
          <w:color w:val="auto"/>
          <w:highlight w:val="none"/>
          <w:lang w:eastAsia="zh-CN"/>
        </w:rPr>
        <w:t>（</w:t>
      </w:r>
      <w:r>
        <w:rPr>
          <w:rFonts w:hint="eastAsia"/>
          <w:color w:val="auto"/>
          <w:highlight w:val="none"/>
          <w:lang w:val="en-US" w:eastAsia="zh-CN"/>
        </w:rPr>
        <w:t>报价文件</w:t>
      </w:r>
      <w:r>
        <w:rPr>
          <w:rFonts w:hint="eastAsia"/>
          <w:color w:val="auto"/>
          <w:highlight w:val="none"/>
          <w:lang w:eastAsia="zh-CN"/>
        </w:rPr>
        <w:t>）</w:t>
      </w:r>
      <w:r>
        <w:rPr>
          <w:color w:val="auto"/>
          <w:highlight w:val="none"/>
        </w:rPr>
        <w:t>开标现场随机抽取确定三个数，三个数的算术平均值即为随机下浮系数，其取值的步长不大于0.5%。</w:t>
      </w:r>
    </w:p>
  </w:footnote>
  <w:footnote w:id="174">
    <w:p w14:paraId="424CE757">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总价以外的其他情形时，在此约定其他投标报价修正方式。</w:t>
      </w:r>
    </w:p>
  </w:footnote>
  <w:footnote w:id="175">
    <w:p w14:paraId="0BB34AB1">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总价以外的其他情形时，在此约定其他投标报价修正方式。</w:t>
      </w:r>
    </w:p>
  </w:footnote>
  <w:footnote w:id="176">
    <w:p w14:paraId="6AA95EF4">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p>
  </w:footnote>
  <w:footnote w:id="177">
    <w:p w14:paraId="6BBE651A">
      <w:pPr>
        <w:pStyle w:val="38"/>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招标人应明确各</w:t>
      </w:r>
      <w:r>
        <w:rPr>
          <w:color w:val="auto"/>
          <w:highlight w:val="none"/>
        </w:rPr>
        <w:t>评分因素或</w:t>
      </w:r>
      <w:r>
        <w:rPr>
          <w:rFonts w:hint="eastAsia"/>
          <w:color w:val="auto"/>
          <w:highlight w:val="none"/>
        </w:rPr>
        <w:t>各</w:t>
      </w:r>
      <w:r>
        <w:rPr>
          <w:color w:val="auto"/>
          <w:highlight w:val="none"/>
        </w:rPr>
        <w:t>评分</w:t>
      </w:r>
      <w:r>
        <w:rPr>
          <w:rFonts w:hint="eastAsia"/>
          <w:color w:val="auto"/>
          <w:highlight w:val="none"/>
        </w:rPr>
        <w:t>因素</w:t>
      </w:r>
      <w:r>
        <w:rPr>
          <w:color w:val="auto"/>
          <w:highlight w:val="none"/>
        </w:rPr>
        <w:t>细分项（</w:t>
      </w:r>
      <w:r>
        <w:rPr>
          <w:rFonts w:hint="eastAsia"/>
          <w:color w:val="auto"/>
          <w:highlight w:val="none"/>
        </w:rPr>
        <w:t>如有</w:t>
      </w:r>
      <w:r>
        <w:rPr>
          <w:color w:val="auto"/>
          <w:highlight w:val="none"/>
        </w:rPr>
        <w:t>）</w:t>
      </w:r>
      <w:r>
        <w:rPr>
          <w:rFonts w:hint="eastAsia"/>
          <w:color w:val="auto"/>
          <w:highlight w:val="none"/>
        </w:rPr>
        <w:t>的</w:t>
      </w:r>
      <w:r>
        <w:rPr>
          <w:color w:val="auto"/>
          <w:highlight w:val="none"/>
        </w:rPr>
        <w:t>评分标准并作为评标委员会进行评分的依据。</w:t>
      </w:r>
    </w:p>
  </w:footnote>
  <w:footnote w:id="178">
    <w:p w14:paraId="6A4FE60D">
      <w:pPr>
        <w:pStyle w:val="38"/>
        <w:ind w:left="360" w:hanging="360" w:hangingChars="200"/>
        <w:jc w:val="both"/>
        <w:rPr>
          <w:rFonts w:ascii="宋体" w:hAnsi="宋体"/>
          <w:color w:val="auto"/>
        </w:rPr>
      </w:pPr>
      <w:r>
        <w:rPr>
          <w:rStyle w:val="59"/>
          <w:rFonts w:ascii="宋体" w:hAnsi="宋体"/>
          <w:color w:val="auto"/>
          <w:vertAlign w:val="baseline"/>
        </w:rPr>
        <w:footnoteRef/>
      </w:r>
      <w:r>
        <w:rPr>
          <w:rFonts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招标人应根据项目具体情况确定各评分因素及评分因素权重分值，并对各评分因素进行细分（如有）、确定各评分因素细分项的分值，</w:t>
      </w:r>
      <w:r>
        <w:rPr>
          <w:rFonts w:hint="eastAsia" w:ascii="宋体" w:hAnsi="宋体" w:cs="宋体"/>
          <w:color w:val="auto"/>
        </w:rPr>
        <w:t>各评分因素</w:t>
      </w:r>
      <w:r>
        <w:rPr>
          <w:rFonts w:hint="eastAsia" w:ascii="宋体" w:hAnsi="宋体" w:cs="宋体"/>
          <w:color w:val="auto"/>
          <w:lang w:val="en-US" w:eastAsia="zh-CN"/>
        </w:rPr>
        <w:t>细分项</w:t>
      </w:r>
      <w:r>
        <w:rPr>
          <w:rFonts w:hint="eastAsia" w:ascii="宋体" w:hAnsi="宋体" w:cs="宋体"/>
          <w:color w:val="auto"/>
        </w:rPr>
        <w:t>权重分值合计应为</w:t>
      </w:r>
      <w:r>
        <w:rPr>
          <w:rFonts w:hint="eastAsia" w:ascii="宋体" w:hAnsi="宋体" w:cs="宋体"/>
          <w:color w:val="auto"/>
          <w:lang w:val="en-US" w:eastAsia="zh-CN"/>
        </w:rPr>
        <w:t>各项评分因素权重分值满分</w:t>
      </w:r>
      <w:r>
        <w:rPr>
          <w:rFonts w:hint="eastAsia" w:ascii="宋体" w:hAnsi="宋体"/>
          <w:color w:val="auto"/>
        </w:rPr>
        <w:t>。各评分因素（评标价和履约信誉评分项除外）得分一般不得低于其权重分值的</w:t>
      </w:r>
      <w:r>
        <w:rPr>
          <w:rFonts w:ascii="宋体" w:hAnsi="宋体"/>
          <w:color w:val="auto"/>
        </w:rPr>
        <w:t>60%</w:t>
      </w:r>
      <w:r>
        <w:rPr>
          <w:rFonts w:hint="eastAsia" w:ascii="宋体" w:hAnsi="宋体"/>
          <w:color w:val="auto"/>
        </w:rPr>
        <w:t>。评标委员会成员对某一项评分因素的评分低于权重分值60%的，应在评标报告中作出说明。</w:t>
      </w:r>
    </w:p>
  </w:footnote>
  <w:footnote w:id="179">
    <w:p w14:paraId="170B853B">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主要人员得分为各人员得分合计，即：B=B</w:t>
      </w:r>
      <w:r>
        <w:rPr>
          <w:rFonts w:hint="eastAsia"/>
          <w:color w:val="auto"/>
          <w:highlight w:val="none"/>
          <w:vertAlign w:val="subscript"/>
        </w:rPr>
        <w:t>1</w:t>
      </w:r>
      <w:r>
        <w:rPr>
          <w:rFonts w:hint="eastAsia"/>
          <w:color w:val="auto"/>
          <w:highlight w:val="none"/>
        </w:rPr>
        <w:t>+B</w:t>
      </w:r>
      <w:r>
        <w:rPr>
          <w:rFonts w:hint="eastAsia"/>
          <w:color w:val="auto"/>
          <w:highlight w:val="none"/>
          <w:vertAlign w:val="subscript"/>
        </w:rPr>
        <w:t>2</w:t>
      </w:r>
      <w:r>
        <w:rPr>
          <w:rFonts w:hint="eastAsia"/>
          <w:color w:val="auto"/>
          <w:highlight w:val="none"/>
        </w:rPr>
        <w:t>+B</w:t>
      </w:r>
      <w:r>
        <w:rPr>
          <w:rFonts w:hint="eastAsia"/>
          <w:color w:val="auto"/>
          <w:highlight w:val="none"/>
          <w:vertAlign w:val="subscript"/>
        </w:rPr>
        <w:t>3</w:t>
      </w:r>
      <w:r>
        <w:rPr>
          <w:rFonts w:hint="eastAsia"/>
          <w:color w:val="auto"/>
          <w:highlight w:val="none"/>
        </w:rPr>
        <w:t xml:space="preserve"> +…。</w:t>
      </w:r>
    </w:p>
  </w:footnote>
  <w:footnote w:id="180">
    <w:p w14:paraId="3515DDFE">
      <w:pPr>
        <w:pStyle w:val="38"/>
        <w:ind w:left="360" w:hanging="360" w:hangingChars="200"/>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每个字母代号代表着对应的具体要求的数值，招标人在编制招标文件时，根据项目实际情况设置，且全文统一表述。</w:t>
      </w:r>
    </w:p>
  </w:footnote>
  <w:footnote w:id="181">
    <w:p w14:paraId="02E6C500">
      <w:pPr>
        <w:pStyle w:val="38"/>
        <w:ind w:left="360" w:hanging="360" w:hangingChars="200"/>
        <w:jc w:val="both"/>
        <w:rPr>
          <w:rFonts w:hint="eastAsia"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资格条件最低要求为工程师时，最多按升高2级考虑，即最多加分至正（教授级或研究员级）高级工程师。</w:t>
      </w:r>
      <w:r>
        <w:rPr>
          <w:rFonts w:hint="eastAsia" w:ascii="宋体" w:hAnsi="宋体"/>
          <w:color w:val="auto"/>
          <w:highlight w:val="none"/>
          <w:lang w:val="en-US" w:eastAsia="zh-CN"/>
        </w:rPr>
        <w:t>下同。</w:t>
      </w:r>
    </w:p>
  </w:footnote>
  <w:footnote w:id="182">
    <w:p w14:paraId="2E487370">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本项为单选项，下同。</w:t>
      </w:r>
    </w:p>
  </w:footnote>
  <w:footnote w:id="183">
    <w:p w14:paraId="461FFA0E">
      <w:pPr>
        <w:pStyle w:val="38"/>
        <w:rPr>
          <w:rFonts w:hint="eastAsia" w:eastAsia="宋体"/>
          <w:color w:val="auto"/>
          <w:highlight w:val="none"/>
          <w:lang w:val="en-US" w:eastAsia="zh-CN"/>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w:t>
      </w:r>
      <w:r>
        <w:rPr>
          <w:rFonts w:hint="eastAsia"/>
          <w:color w:val="auto"/>
          <w:highlight w:val="none"/>
          <w:lang w:eastAsia="zh-CN"/>
        </w:rPr>
        <w:t>“路基工程、桥涵工程”或“路基工程、隧道工程”</w:t>
      </w:r>
      <w:r>
        <w:rPr>
          <w:rFonts w:hint="eastAsia"/>
          <w:color w:val="auto"/>
          <w:highlight w:val="none"/>
        </w:rPr>
        <w:t>的项目</w:t>
      </w:r>
      <w:r>
        <w:rPr>
          <w:rFonts w:hint="eastAsia"/>
          <w:color w:val="auto"/>
          <w:highlight w:val="none"/>
          <w:lang w:eastAsia="zh-CN"/>
        </w:rPr>
        <w:t>。</w:t>
      </w:r>
      <w:r>
        <w:rPr>
          <w:rFonts w:hint="eastAsia"/>
          <w:color w:val="auto"/>
          <w:highlight w:val="none"/>
          <w:lang w:val="en-US" w:eastAsia="zh-CN"/>
        </w:rPr>
        <w:t>下同。</w:t>
      </w:r>
    </w:p>
  </w:footnote>
  <w:footnote w:id="184">
    <w:p w14:paraId="6BB770A3">
      <w:pPr>
        <w:pStyle w:val="38"/>
        <w:ind w:left="360" w:hanging="360" w:hangingChars="200"/>
        <w:jc w:val="both"/>
        <w:rPr>
          <w:rFonts w:hint="eastAsia" w:ascii="宋体" w:hAnsi="宋体" w:eastAsia="宋体" w:cs="宋体"/>
          <w:color w:val="auto"/>
          <w:highlight w:val="none"/>
          <w:lang w:val="en-US" w:eastAsia="zh-CN"/>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lang w:eastAsia="zh-CN"/>
        </w:rPr>
        <w:t>。</w:t>
      </w:r>
      <w:r>
        <w:rPr>
          <w:rFonts w:hint="eastAsia" w:ascii="宋体" w:hAnsi="宋体"/>
          <w:color w:val="auto"/>
          <w:highlight w:val="none"/>
          <w:lang w:val="en-US" w:eastAsia="zh-CN"/>
        </w:rPr>
        <w:t>下同。</w:t>
      </w:r>
    </w:p>
  </w:footnote>
  <w:footnote w:id="185">
    <w:p w14:paraId="3B376EFC">
      <w:pPr>
        <w:pStyle w:val="38"/>
        <w:ind w:left="360" w:hanging="360" w:hangingChars="200"/>
        <w:rPr>
          <w:rFonts w:hint="default" w:eastAsia="宋体"/>
          <w:color w:val="auto"/>
          <w:highlight w:val="none"/>
          <w:lang w:val="en-US" w:eastAsia="zh-CN"/>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此编号为资格审查条件中招标人作了桥型要求的桥梁类型顺序编号，按照设置前后顺序编列。原则上建议桥梁类型不超过2种。</w:t>
      </w:r>
      <w:r>
        <w:rPr>
          <w:rFonts w:hint="eastAsia"/>
          <w:color w:val="auto"/>
          <w:highlight w:val="none"/>
          <w:lang w:val="en-US" w:eastAsia="zh-CN"/>
        </w:rPr>
        <w:t>下同。</w:t>
      </w:r>
    </w:p>
  </w:footnote>
  <w:footnote w:id="186">
    <w:p w14:paraId="539AC8DB">
      <w:pPr>
        <w:pStyle w:val="38"/>
        <w:ind w:left="360" w:hanging="360" w:hangingChars="200"/>
        <w:jc w:val="both"/>
        <w:rPr>
          <w:rFonts w:hint="eastAsia" w:eastAsia="宋体"/>
          <w:color w:val="auto"/>
          <w:highlight w:val="none"/>
          <w:lang w:val="en-US" w:eastAsia="zh-CN"/>
        </w:rPr>
      </w:pPr>
      <w:r>
        <w:rPr>
          <w:rStyle w:val="59"/>
          <w:color w:val="auto"/>
          <w:highlight w:val="none"/>
          <w:vertAlign w:val="baseline"/>
        </w:rPr>
        <w:footnoteRef/>
      </w:r>
      <w:r>
        <w:rPr>
          <w:rFonts w:hint="eastAsia"/>
          <w:color w:val="auto"/>
          <w:highlight w:val="none"/>
          <w:lang w:val="en-US" w:eastAsia="zh-CN"/>
        </w:rPr>
        <w:t xml:space="preserve"> </w:t>
      </w:r>
      <w:r>
        <w:rPr>
          <w:rFonts w:hint="eastAsia" w:ascii="宋体" w:hAnsi="宋体" w:cs="宋体"/>
          <w:color w:val="auto"/>
          <w:highlight w:val="none"/>
        </w:rPr>
        <w:t xml:space="preserve"> 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长的为准；若只有单洞的，则以承担单洞隧道长度数据为准。隧道单洞长度不含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r>
        <w:rPr>
          <w:rFonts w:hint="eastAsia"/>
          <w:color w:val="auto"/>
          <w:szCs w:val="21"/>
          <w:highlight w:val="none"/>
          <w:lang w:val="en-US" w:eastAsia="zh-CN"/>
        </w:rPr>
        <w:t>下同。</w:t>
      </w:r>
    </w:p>
  </w:footnote>
  <w:footnote w:id="187">
    <w:p w14:paraId="200B940B">
      <w:pPr>
        <w:pStyle w:val="38"/>
        <w:jc w:val="both"/>
        <w:rPr>
          <w:rFonts w:hint="eastAsia"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本项为单选项，该隧道工程可为路基土建工程中包含的</w:t>
      </w:r>
      <w:r>
        <w:rPr>
          <w:rFonts w:hint="eastAsia" w:ascii="宋体" w:hAnsi="宋体"/>
          <w:color w:val="auto"/>
          <w:highlight w:val="none"/>
          <w:lang w:val="en-US" w:eastAsia="zh-CN"/>
        </w:rPr>
        <w:t>内容</w:t>
      </w:r>
      <w:r>
        <w:rPr>
          <w:rFonts w:hint="eastAsia" w:ascii="宋体" w:hAnsi="宋体"/>
          <w:color w:val="auto"/>
          <w:highlight w:val="none"/>
        </w:rPr>
        <w:t>或者单独隧道</w:t>
      </w:r>
      <w:r>
        <w:rPr>
          <w:rFonts w:hint="eastAsia" w:ascii="宋体" w:hAnsi="宋体"/>
          <w:color w:val="auto"/>
          <w:highlight w:val="none"/>
          <w:lang w:val="en-US" w:eastAsia="zh-CN"/>
        </w:rPr>
        <w:t>工程</w:t>
      </w:r>
      <w:r>
        <w:rPr>
          <w:rFonts w:hint="eastAsia" w:ascii="宋体" w:hAnsi="宋体"/>
          <w:color w:val="auto"/>
          <w:highlight w:val="none"/>
        </w:rPr>
        <w:t>合同的项目。</w:t>
      </w:r>
      <w:r>
        <w:rPr>
          <w:rFonts w:hint="eastAsia" w:ascii="宋体" w:hAnsi="宋体"/>
          <w:color w:val="auto"/>
          <w:highlight w:val="none"/>
          <w:lang w:val="en-US" w:eastAsia="zh-CN"/>
        </w:rPr>
        <w:t>下同。</w:t>
      </w:r>
    </w:p>
  </w:footnote>
  <w:footnote w:id="188">
    <w:p w14:paraId="6F7C7B80">
      <w:pPr>
        <w:pStyle w:val="38"/>
        <w:ind w:left="360" w:hanging="360" w:hangingChars="200"/>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本项仅适用于特别复杂的特大桥和特长隧道项目主体工程以及其他有特殊要求的工程。对附录</w:t>
      </w:r>
      <w:r>
        <w:rPr>
          <w:color w:val="auto"/>
          <w:highlight w:val="none"/>
        </w:rPr>
        <w:t>5</w:t>
      </w:r>
      <w:r>
        <w:rPr>
          <w:rFonts w:hint="eastAsia"/>
          <w:color w:val="auto"/>
          <w:highlight w:val="none"/>
        </w:rPr>
        <w:t>资格审查条件（其他主要管理和</w:t>
      </w:r>
      <w:r>
        <w:rPr>
          <w:color w:val="auto"/>
          <w:highlight w:val="none"/>
        </w:rPr>
        <w:t>技术</w:t>
      </w:r>
      <w:r>
        <w:rPr>
          <w:rFonts w:hint="eastAsia"/>
          <w:color w:val="auto"/>
          <w:highlight w:val="none"/>
        </w:rPr>
        <w:t>人员最低要求）所列人员的资格条件内容进行详细评审综合打分。其他主要人员得分为各专业工程师人员得分合计，即：B</w:t>
      </w:r>
      <w:r>
        <w:rPr>
          <w:color w:val="auto"/>
          <w:highlight w:val="none"/>
          <w:vertAlign w:val="subscript"/>
        </w:rPr>
        <w:t>3</w:t>
      </w:r>
      <w:r>
        <w:rPr>
          <w:rFonts w:hint="eastAsia"/>
          <w:color w:val="auto"/>
          <w:highlight w:val="none"/>
        </w:rPr>
        <w:t xml:space="preserve"> = B</w:t>
      </w:r>
      <w:r>
        <w:rPr>
          <w:color w:val="auto"/>
          <w:highlight w:val="none"/>
          <w:vertAlign w:val="subscript"/>
        </w:rPr>
        <w:t>3</w:t>
      </w:r>
      <w:r>
        <w:rPr>
          <w:rFonts w:hint="eastAsia"/>
          <w:color w:val="auto"/>
          <w:highlight w:val="none"/>
          <w:vertAlign w:val="subscript"/>
        </w:rPr>
        <w:t>.1</w:t>
      </w:r>
      <w:r>
        <w:rPr>
          <w:rFonts w:hint="eastAsia"/>
          <w:color w:val="auto"/>
          <w:highlight w:val="none"/>
        </w:rPr>
        <w:t>+ B</w:t>
      </w:r>
      <w:r>
        <w:rPr>
          <w:color w:val="auto"/>
          <w:highlight w:val="none"/>
          <w:vertAlign w:val="subscript"/>
        </w:rPr>
        <w:t>3</w:t>
      </w:r>
      <w:r>
        <w:rPr>
          <w:rFonts w:hint="eastAsia"/>
          <w:color w:val="auto"/>
          <w:highlight w:val="none"/>
          <w:vertAlign w:val="subscript"/>
        </w:rPr>
        <w:t>.2</w:t>
      </w:r>
      <w:r>
        <w:rPr>
          <w:rFonts w:hint="eastAsia"/>
          <w:color w:val="auto"/>
          <w:highlight w:val="none"/>
        </w:rPr>
        <w:t>+…。</w:t>
      </w:r>
    </w:p>
  </w:footnote>
  <w:footnote w:id="189">
    <w:p w14:paraId="6325C82E">
      <w:pPr>
        <w:pStyle w:val="38"/>
        <w:ind w:left="360" w:hanging="360" w:hangingChars="200"/>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ascii="宋体" w:hAnsi="宋体" w:cs="宋体"/>
          <w:color w:val="auto"/>
          <w:highlight w:val="none"/>
        </w:rPr>
        <w:t>招标人可以结合招标项目具体特点和实际需要设置E</w:t>
      </w:r>
      <w:r>
        <w:rPr>
          <w:rFonts w:hint="eastAsia" w:ascii="宋体" w:hAnsi="宋体" w:cs="宋体"/>
          <w:color w:val="auto"/>
          <w:highlight w:val="none"/>
          <w:vertAlign w:val="subscript"/>
        </w:rPr>
        <w:t>1</w:t>
      </w:r>
      <w:r>
        <w:rPr>
          <w:rFonts w:hint="eastAsia" w:ascii="宋体" w:hAnsi="宋体" w:cs="宋体"/>
          <w:color w:val="auto"/>
          <w:highlight w:val="none"/>
        </w:rPr>
        <w:t>、E</w:t>
      </w:r>
      <w:r>
        <w:rPr>
          <w:rFonts w:hint="eastAsia" w:ascii="宋体" w:hAnsi="宋体" w:cs="宋体"/>
          <w:color w:val="auto"/>
          <w:highlight w:val="none"/>
          <w:vertAlign w:val="subscript"/>
        </w:rPr>
        <w:t>2</w:t>
      </w:r>
      <w:r>
        <w:rPr>
          <w:rFonts w:hint="eastAsia" w:ascii="宋体" w:hAnsi="宋体" w:cs="宋体"/>
          <w:color w:val="auto"/>
          <w:highlight w:val="none"/>
        </w:rPr>
        <w:t>，</w:t>
      </w:r>
      <w:r>
        <w:rPr>
          <w:rFonts w:hint="eastAsia"/>
          <w:color w:val="auto"/>
          <w:highlight w:val="none"/>
        </w:rPr>
        <w:t xml:space="preserve"> E</w:t>
      </w:r>
      <w:r>
        <w:rPr>
          <w:rFonts w:hint="eastAsia"/>
          <w:color w:val="auto"/>
          <w:highlight w:val="none"/>
          <w:vertAlign w:val="subscript"/>
        </w:rPr>
        <w:t>2</w:t>
      </w:r>
      <w:r>
        <w:rPr>
          <w:rFonts w:hint="eastAsia"/>
          <w:color w:val="auto"/>
          <w:highlight w:val="none"/>
        </w:rPr>
        <w:t>值取值不宜低于1，</w:t>
      </w:r>
      <w:r>
        <w:rPr>
          <w:rFonts w:hint="eastAsia" w:ascii="宋体" w:hAnsi="宋体" w:cs="宋体"/>
          <w:color w:val="auto"/>
          <w:highlight w:val="none"/>
        </w:rPr>
        <w:t>E</w:t>
      </w:r>
      <w:r>
        <w:rPr>
          <w:rFonts w:hint="eastAsia" w:ascii="宋体" w:hAnsi="宋体" w:cs="宋体"/>
          <w:color w:val="auto"/>
          <w:highlight w:val="none"/>
          <w:vertAlign w:val="subscript"/>
        </w:rPr>
        <w:t>1</w:t>
      </w:r>
      <w:r>
        <w:rPr>
          <w:rFonts w:hint="eastAsia" w:ascii="宋体" w:hAnsi="宋体" w:cs="宋体"/>
          <w:color w:val="auto"/>
          <w:highlight w:val="none"/>
        </w:rPr>
        <w:t>值应大于E</w:t>
      </w:r>
      <w:r>
        <w:rPr>
          <w:rFonts w:hint="eastAsia" w:ascii="宋体" w:hAnsi="宋体" w:cs="宋体"/>
          <w:color w:val="auto"/>
          <w:highlight w:val="none"/>
          <w:vertAlign w:val="subscript"/>
        </w:rPr>
        <w:t>2</w:t>
      </w:r>
      <w:r>
        <w:rPr>
          <w:rFonts w:hint="eastAsia" w:ascii="宋体" w:hAnsi="宋体" w:cs="宋体"/>
          <w:color w:val="auto"/>
          <w:highlight w:val="none"/>
        </w:rPr>
        <w:t>值</w:t>
      </w:r>
      <w:r>
        <w:rPr>
          <w:rFonts w:hint="eastAsia"/>
          <w:color w:val="auto"/>
          <w:highlight w:val="none"/>
        </w:rPr>
        <w:t>。</w:t>
      </w:r>
    </w:p>
  </w:footnote>
  <w:footnote w:id="190">
    <w:p w14:paraId="3F1613F2">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方式二仅适</w:t>
      </w:r>
      <w:r>
        <w:rPr>
          <w:rFonts w:hint="eastAsia"/>
          <w:color w:val="auto"/>
          <w:highlight w:val="none"/>
          <w:lang w:val="en-US" w:eastAsia="zh-CN"/>
        </w:rPr>
        <w:t>用</w:t>
      </w:r>
      <w:r>
        <w:rPr>
          <w:rFonts w:hint="eastAsia"/>
          <w:color w:val="auto"/>
          <w:highlight w:val="none"/>
        </w:rPr>
        <w:t>于以有效投标文件的最低投标报价为评标基准价的情形。</w:t>
      </w:r>
    </w:p>
  </w:footnote>
  <w:footnote w:id="191">
    <w:p w14:paraId="275AE6BD">
      <w:pPr>
        <w:pStyle w:val="38"/>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其他因素D得分为技术能力G、财务能力J</w:t>
      </w:r>
      <w:r>
        <w:rPr>
          <w:color w:val="auto"/>
          <w:highlight w:val="none"/>
        </w:rPr>
        <w:t>、</w:t>
      </w:r>
      <w:r>
        <w:rPr>
          <w:rFonts w:hint="eastAsia"/>
          <w:color w:val="auto"/>
          <w:highlight w:val="none"/>
        </w:rPr>
        <w:t>业绩C、履约信誉H等得分合计，即：D=G+</w:t>
      </w:r>
      <w:r>
        <w:rPr>
          <w:color w:val="auto"/>
          <w:highlight w:val="none"/>
        </w:rPr>
        <w:t>J+</w:t>
      </w:r>
      <w:r>
        <w:rPr>
          <w:rFonts w:hint="eastAsia"/>
          <w:color w:val="auto"/>
          <w:highlight w:val="none"/>
        </w:rPr>
        <w:t>C+H+…。</w:t>
      </w:r>
    </w:p>
  </w:footnote>
  <w:footnote w:id="192">
    <w:p w14:paraId="6B02470D">
      <w:pPr>
        <w:pStyle w:val="38"/>
        <w:jc w:val="both"/>
        <w:rPr>
          <w:rFonts w:ascii="宋体" w:hAnsi="宋体"/>
          <w:color w:val="000000" w:themeColor="text1"/>
          <w14:textFill>
            <w14:solidFill>
              <w14:schemeClr w14:val="tx1"/>
            </w14:solidFill>
          </w14:textFill>
        </w:rPr>
      </w:pPr>
      <w:r>
        <w:rPr>
          <w:rStyle w:val="59"/>
          <w:rFonts w:ascii="宋体" w:hAnsi="宋体"/>
          <w:color w:val="000000" w:themeColor="text1"/>
          <w:vertAlign w:val="baseline"/>
          <w14:textFill>
            <w14:solidFill>
              <w14:schemeClr w14:val="tx1"/>
            </w14:solidFill>
          </w14:textFill>
        </w:rPr>
        <w:footnoteRef/>
      </w:r>
      <w:r>
        <w:rPr>
          <w:rFonts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技术能力评分因素</w:t>
      </w:r>
      <w:r>
        <w:rPr>
          <w:rFonts w:hint="eastAsia" w:ascii="宋体" w:hAnsi="宋体"/>
          <w:color w:val="000000" w:themeColor="text1"/>
          <w14:textFill>
            <w14:solidFill>
              <w14:schemeClr w14:val="tx1"/>
            </w14:solidFill>
          </w14:textFill>
        </w:rPr>
        <w:t>为可选项，若不存在特别复杂或特殊结构需要特殊要求时，原则上不采用。</w:t>
      </w:r>
    </w:p>
  </w:footnote>
  <w:footnote w:id="193">
    <w:p w14:paraId="6158936B">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财务能力评分因素</w:t>
      </w:r>
      <w:r>
        <w:rPr>
          <w:rFonts w:ascii="宋体" w:hAnsi="宋体"/>
          <w:color w:val="auto"/>
          <w:highlight w:val="none"/>
        </w:rPr>
        <w:t>为可选项，若</w:t>
      </w:r>
      <w:r>
        <w:rPr>
          <w:rFonts w:hint="eastAsia" w:ascii="宋体" w:hAnsi="宋体"/>
          <w:color w:val="auto"/>
          <w:highlight w:val="none"/>
        </w:rPr>
        <w:t>对</w:t>
      </w:r>
      <w:r>
        <w:rPr>
          <w:rFonts w:ascii="宋体" w:hAnsi="宋体"/>
          <w:color w:val="auto"/>
          <w:highlight w:val="none"/>
        </w:rPr>
        <w:t>财务</w:t>
      </w:r>
      <w:r>
        <w:rPr>
          <w:rFonts w:hint="eastAsia" w:ascii="宋体" w:hAnsi="宋体"/>
          <w:color w:val="auto"/>
          <w:highlight w:val="none"/>
        </w:rPr>
        <w:t>无较高</w:t>
      </w:r>
      <w:r>
        <w:rPr>
          <w:rFonts w:ascii="宋体" w:hAnsi="宋体"/>
          <w:color w:val="auto"/>
          <w:highlight w:val="none"/>
        </w:rPr>
        <w:t>要求</w:t>
      </w:r>
      <w:r>
        <w:rPr>
          <w:rFonts w:hint="eastAsia" w:ascii="宋体" w:hAnsi="宋体"/>
          <w:color w:val="auto"/>
          <w:highlight w:val="none"/>
        </w:rPr>
        <w:t>时</w:t>
      </w:r>
      <w:r>
        <w:rPr>
          <w:rFonts w:ascii="宋体" w:hAnsi="宋体"/>
          <w:color w:val="auto"/>
          <w:highlight w:val="none"/>
        </w:rPr>
        <w:t>，</w:t>
      </w:r>
      <w:r>
        <w:rPr>
          <w:rFonts w:hint="eastAsia" w:ascii="宋体" w:hAnsi="宋体"/>
          <w:color w:val="auto"/>
          <w:highlight w:val="none"/>
        </w:rPr>
        <w:t>可不采用</w:t>
      </w:r>
      <w:r>
        <w:rPr>
          <w:rFonts w:ascii="宋体" w:hAnsi="宋体"/>
          <w:color w:val="auto"/>
          <w:highlight w:val="none"/>
        </w:rPr>
        <w:t>。</w:t>
      </w:r>
    </w:p>
  </w:footnote>
  <w:footnote w:id="194">
    <w:p w14:paraId="72243A0C">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业绩得分为各分项业绩得分合计，即：C=</w:t>
      </w:r>
      <w:r>
        <w:rPr>
          <w:color w:val="auto"/>
          <w:highlight w:val="none"/>
        </w:rPr>
        <w:t>C</w:t>
      </w:r>
      <w:r>
        <w:rPr>
          <w:color w:val="auto"/>
          <w:highlight w:val="none"/>
          <w:vertAlign w:val="subscript"/>
        </w:rPr>
        <w:t>0</w:t>
      </w:r>
      <w:r>
        <w:rPr>
          <w:color w:val="auto"/>
          <w:highlight w:val="none"/>
        </w:rPr>
        <w:t>+</w:t>
      </w:r>
      <w:r>
        <w:rPr>
          <w:rFonts w:hint="eastAsia"/>
          <w:color w:val="auto"/>
          <w:highlight w:val="none"/>
        </w:rPr>
        <w:t>C</w:t>
      </w:r>
      <w:r>
        <w:rPr>
          <w:rFonts w:hint="eastAsia"/>
          <w:color w:val="auto"/>
          <w:highlight w:val="none"/>
          <w:vertAlign w:val="subscript"/>
        </w:rPr>
        <w:t>1</w:t>
      </w:r>
      <w:r>
        <w:rPr>
          <w:rFonts w:hint="eastAsia"/>
          <w:color w:val="auto"/>
          <w:highlight w:val="none"/>
        </w:rPr>
        <w:t>+C</w:t>
      </w:r>
      <w:r>
        <w:rPr>
          <w:rFonts w:hint="eastAsia"/>
          <w:color w:val="auto"/>
          <w:highlight w:val="none"/>
          <w:vertAlign w:val="subscript"/>
        </w:rPr>
        <w:t>2</w:t>
      </w:r>
      <w:r>
        <w:rPr>
          <w:rFonts w:hint="eastAsia"/>
          <w:color w:val="auto"/>
          <w:highlight w:val="none"/>
        </w:rPr>
        <w:t>+C</w:t>
      </w:r>
      <w:r>
        <w:rPr>
          <w:rFonts w:hint="eastAsia"/>
          <w:color w:val="auto"/>
          <w:highlight w:val="none"/>
          <w:vertAlign w:val="subscript"/>
        </w:rPr>
        <w:t>3</w:t>
      </w:r>
      <w:r>
        <w:rPr>
          <w:rFonts w:hint="eastAsia"/>
          <w:color w:val="auto"/>
          <w:highlight w:val="none"/>
        </w:rPr>
        <w:t>+C</w:t>
      </w:r>
      <w:r>
        <w:rPr>
          <w:rFonts w:hint="eastAsia"/>
          <w:color w:val="auto"/>
          <w:highlight w:val="none"/>
          <w:vertAlign w:val="subscript"/>
        </w:rPr>
        <w:t>4</w:t>
      </w:r>
      <w:r>
        <w:rPr>
          <w:rFonts w:hint="eastAsia"/>
          <w:color w:val="auto"/>
          <w:highlight w:val="none"/>
        </w:rPr>
        <w:t>+C</w:t>
      </w:r>
      <w:r>
        <w:rPr>
          <w:rFonts w:hint="eastAsia"/>
          <w:color w:val="auto"/>
          <w:highlight w:val="none"/>
          <w:vertAlign w:val="subscript"/>
        </w:rPr>
        <w:t>5</w:t>
      </w:r>
      <w:r>
        <w:rPr>
          <w:rFonts w:hint="eastAsia"/>
          <w:color w:val="auto"/>
          <w:highlight w:val="none"/>
        </w:rPr>
        <w:t>+C</w:t>
      </w:r>
      <w:r>
        <w:rPr>
          <w:rFonts w:hint="eastAsia"/>
          <w:color w:val="auto"/>
          <w:highlight w:val="none"/>
          <w:vertAlign w:val="subscript"/>
        </w:rPr>
        <w:t>6</w:t>
      </w:r>
      <w:r>
        <w:rPr>
          <w:rFonts w:hint="eastAsia"/>
          <w:color w:val="auto"/>
          <w:highlight w:val="none"/>
        </w:rPr>
        <w:t>+…。</w:t>
      </w:r>
    </w:p>
  </w:footnote>
  <w:footnote w:id="195">
    <w:p w14:paraId="71C619EA">
      <w:pPr>
        <w:pStyle w:val="38"/>
        <w:ind w:left="360" w:hanging="360" w:hangingChars="200"/>
        <w:rPr>
          <w:rFonts w:hint="default" w:eastAsia="宋体"/>
          <w:color w:val="auto"/>
          <w:highlight w:val="none"/>
          <w:lang w:val="en-US" w:eastAsia="zh-CN"/>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此编号为资格审查条件中招标人作了桥型要求的桥梁类型顺序编号，按照设置前后顺序编列。原则上建议桥梁类型不超过2种。</w:t>
      </w:r>
      <w:r>
        <w:rPr>
          <w:rFonts w:hint="eastAsia"/>
          <w:color w:val="auto"/>
          <w:highlight w:val="none"/>
          <w:lang w:val="en-US" w:eastAsia="zh-CN"/>
        </w:rPr>
        <w:t>下同。</w:t>
      </w:r>
    </w:p>
  </w:footnote>
  <w:footnote w:id="196">
    <w:p w14:paraId="03ABFF32">
      <w:pPr>
        <w:pStyle w:val="38"/>
        <w:ind w:left="360" w:hanging="360" w:hangingChars="200"/>
        <w:jc w:val="both"/>
        <w:rPr>
          <w:rFonts w:ascii="宋体" w:hAnsi="宋体"/>
          <w:color w:val="000000" w:themeColor="text1"/>
          <w14:textFill>
            <w14:solidFill>
              <w14:schemeClr w14:val="tx1"/>
            </w14:solidFill>
          </w14:textFill>
        </w:rPr>
      </w:pPr>
      <w:r>
        <w:rPr>
          <w:rStyle w:val="59"/>
          <w:rFonts w:ascii="宋体" w:hAnsi="宋体"/>
          <w:color w:val="000000" w:themeColor="text1"/>
          <w:vertAlign w:val="baseline"/>
          <w14:textFill>
            <w14:solidFill>
              <w14:schemeClr w14:val="tx1"/>
            </w14:solidFill>
          </w14:textFill>
        </w:rPr>
        <w:footnoteRef/>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根据项目具体情况，若存在特殊隧道或特长隧道或特别复杂的隧道，需要增加特殊要求时，可对隧道形式或隧道单洞长度进行要求，但不得设置过高的要求。</w:t>
      </w:r>
    </w:p>
  </w:footnote>
  <w:footnote w:id="197">
    <w:p w14:paraId="3D8B5507">
      <w:pPr>
        <w:pStyle w:val="38"/>
        <w:ind w:left="360" w:hanging="360" w:hangingChars="200"/>
        <w:jc w:val="both"/>
        <w:rPr>
          <w:rFonts w:ascii="宋体" w:hAnsi="宋体"/>
          <w:color w:val="000000" w:themeColor="text1"/>
          <w14:textFill>
            <w14:solidFill>
              <w14:schemeClr w14:val="tx1"/>
            </w14:solidFill>
          </w14:textFill>
        </w:rPr>
      </w:pPr>
      <w:r>
        <w:rPr>
          <w:rStyle w:val="59"/>
          <w:rFonts w:ascii="宋体" w:hAnsi="宋体"/>
          <w:color w:val="000000" w:themeColor="text1"/>
          <w:vertAlign w:val="baseline"/>
          <w14:textFill>
            <w14:solidFill>
              <w14:schemeClr w14:val="tx1"/>
            </w14:solidFill>
          </w14:textFill>
        </w:rPr>
        <w:footnoteRef/>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对于具有双洞的隧道，其承担隧道长度以左右线隧道长度</w:t>
      </w:r>
      <w:r>
        <w:rPr>
          <w:rFonts w:hint="eastAsia" w:ascii="宋体" w:hAnsi="宋体" w:cs="宋体"/>
          <w:color w:val="000000" w:themeColor="text1"/>
          <w:lang w:val="en-US" w:eastAsia="zh-CN"/>
          <w14:textFill>
            <w14:solidFill>
              <w14:schemeClr w14:val="tx1"/>
            </w14:solidFill>
          </w14:textFill>
        </w:rPr>
        <w:t>较</w:t>
      </w:r>
      <w:r>
        <w:rPr>
          <w:rFonts w:hint="eastAsia" w:ascii="宋体" w:hAnsi="宋体" w:cs="宋体"/>
          <w:color w:val="000000" w:themeColor="text1"/>
          <w14:textFill>
            <w14:solidFill>
              <w14:schemeClr w14:val="tx1"/>
            </w14:solidFill>
          </w14:textFill>
        </w:rPr>
        <w:t>长的为准；若只有单洞的，则以承担单洞隧道长度数据为准。隧道单洞长度不含</w:t>
      </w:r>
      <w:r>
        <w:rPr>
          <w:rFonts w:hint="eastAsia" w:ascii="宋体" w:hAnsi="宋体"/>
          <w:color w:val="000000" w:themeColor="text1"/>
          <w:szCs w:val="21"/>
          <w14:textFill>
            <w14:solidFill>
              <w14:schemeClr w14:val="tx1"/>
            </w14:solidFill>
          </w14:textFill>
        </w:rPr>
        <w:t>斜井、竖井</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支洞</w:t>
      </w:r>
      <w:r>
        <w:rPr>
          <w:rFonts w:hint="eastAsia" w:ascii="宋体" w:hAnsi="宋体"/>
          <w:color w:val="000000" w:themeColor="text1"/>
          <w:szCs w:val="21"/>
          <w14:textFill>
            <w14:solidFill>
              <w14:schemeClr w14:val="tx1"/>
            </w14:solidFill>
          </w14:textFill>
        </w:rPr>
        <w:t>。</w:t>
      </w:r>
    </w:p>
  </w:footnote>
  <w:footnote w:id="198">
    <w:p w14:paraId="657CC5E9">
      <w:pPr>
        <w:pStyle w:val="38"/>
        <w:jc w:val="both"/>
        <w:rPr>
          <w:rFonts w:ascii="宋体" w:hAnsi="宋体"/>
          <w:color w:val="000000" w:themeColor="text1"/>
          <w14:textFill>
            <w14:solidFill>
              <w14:schemeClr w14:val="tx1"/>
            </w14:solidFill>
          </w14:textFill>
        </w:rPr>
      </w:pPr>
      <w:r>
        <w:rPr>
          <w:rStyle w:val="59"/>
          <w:rFonts w:ascii="宋体" w:hAnsi="宋体"/>
          <w:color w:val="000000" w:themeColor="text1"/>
          <w:vertAlign w:val="baseline"/>
          <w14:textFill>
            <w14:solidFill>
              <w14:schemeClr w14:val="tx1"/>
            </w14:solidFill>
          </w14:textFill>
        </w:rPr>
        <w:footnoteRef/>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本项为单选项，该隧道工程可为路基土建工程中包含的</w:t>
      </w:r>
      <w:r>
        <w:rPr>
          <w:rFonts w:hint="eastAsia" w:ascii="宋体" w:hAnsi="宋体"/>
          <w:color w:val="000000" w:themeColor="text1"/>
          <w:lang w:val="en-US" w:eastAsia="zh-CN"/>
          <w14:textFill>
            <w14:solidFill>
              <w14:schemeClr w14:val="tx1"/>
            </w14:solidFill>
          </w14:textFill>
        </w:rPr>
        <w:t>内容</w:t>
      </w:r>
      <w:r>
        <w:rPr>
          <w:rFonts w:hint="eastAsia" w:ascii="宋体" w:hAnsi="宋体"/>
          <w:color w:val="000000" w:themeColor="text1"/>
          <w14:textFill>
            <w14:solidFill>
              <w14:schemeClr w14:val="tx1"/>
            </w14:solidFill>
          </w14:textFill>
        </w:rPr>
        <w:t>或者单独隧道</w:t>
      </w:r>
      <w:r>
        <w:rPr>
          <w:rFonts w:hint="eastAsia" w:ascii="宋体" w:hAnsi="宋体"/>
          <w:color w:val="000000" w:themeColor="text1"/>
          <w:lang w:val="en-US" w:eastAsia="zh-CN"/>
          <w14:textFill>
            <w14:solidFill>
              <w14:schemeClr w14:val="tx1"/>
            </w14:solidFill>
          </w14:textFill>
        </w:rPr>
        <w:t>工程</w:t>
      </w:r>
      <w:r>
        <w:rPr>
          <w:rFonts w:hint="eastAsia" w:ascii="宋体" w:hAnsi="宋体"/>
          <w:color w:val="000000" w:themeColor="text1"/>
          <w14:textFill>
            <w14:solidFill>
              <w14:schemeClr w14:val="tx1"/>
            </w14:solidFill>
          </w14:textFill>
        </w:rPr>
        <w:t>合同的项目。</w:t>
      </w:r>
    </w:p>
  </w:footnote>
  <w:footnote w:id="199">
    <w:p w14:paraId="77BD295C">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招标人根据投标人在四川省交通运输厅网站公布的四川省重点公路</w:t>
      </w:r>
      <w:r>
        <w:rPr>
          <w:rFonts w:hint="eastAsia" w:ascii="宋体" w:hAnsi="宋体" w:cs="宋体"/>
          <w:bCs/>
          <w:color w:val="auto"/>
          <w:kern w:val="0"/>
          <w:szCs w:val="21"/>
          <w:highlight w:val="none"/>
        </w:rPr>
        <w:t>建设从业单位信用评价等级</w:t>
      </w:r>
      <w:r>
        <w:rPr>
          <w:rFonts w:hint="eastAsia" w:ascii="宋体" w:hAnsi="宋体" w:cs="宋体"/>
          <w:bCs/>
          <w:color w:val="auto"/>
          <w:kern w:val="0"/>
          <w:szCs w:val="21"/>
          <w:highlight w:val="none"/>
          <w:lang w:val="en-US" w:eastAsia="zh-CN"/>
        </w:rPr>
        <w:t>或</w:t>
      </w:r>
      <w:r>
        <w:rPr>
          <w:rFonts w:hint="eastAsia" w:ascii="宋体" w:hAnsi="宋体"/>
          <w:color w:val="auto"/>
          <w:highlight w:val="none"/>
        </w:rPr>
        <w:t>四川省</w:t>
      </w:r>
      <w:r>
        <w:rPr>
          <w:rFonts w:hint="eastAsia" w:ascii="宋体" w:hAnsi="宋体"/>
          <w:color w:val="auto"/>
          <w:highlight w:val="none"/>
          <w:lang w:val="en-US" w:eastAsia="zh-CN"/>
        </w:rPr>
        <w:t>农村</w:t>
      </w:r>
      <w:r>
        <w:rPr>
          <w:rFonts w:hint="eastAsia" w:ascii="宋体" w:hAnsi="宋体"/>
          <w:color w:val="auto"/>
          <w:highlight w:val="none"/>
        </w:rPr>
        <w:t>公路</w:t>
      </w:r>
      <w:r>
        <w:rPr>
          <w:rFonts w:hint="eastAsia" w:ascii="宋体" w:hAnsi="宋体" w:cs="宋体"/>
          <w:bCs/>
          <w:color w:val="auto"/>
          <w:kern w:val="0"/>
          <w:szCs w:val="21"/>
          <w:highlight w:val="none"/>
        </w:rPr>
        <w:t>建设从业单位信用评价等级对其履约信用进行评分。</w:t>
      </w:r>
    </w:p>
  </w:footnote>
  <w:footnote w:id="200">
    <w:p w14:paraId="0C8B2730">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此处指只有招标人设置了</w:t>
      </w:r>
      <w:r>
        <w:rPr>
          <w:rFonts w:ascii="宋体" w:hAnsi="宋体"/>
          <w:color w:val="auto"/>
          <w:highlight w:val="none"/>
        </w:rPr>
        <w:t>投标人须知附录6资格审查条件（</w:t>
      </w:r>
      <w:r>
        <w:rPr>
          <w:rFonts w:hint="eastAsia" w:ascii="宋体" w:hAnsi="宋体"/>
          <w:color w:val="auto"/>
          <w:highlight w:val="none"/>
        </w:rPr>
        <w:t>其他管理</w:t>
      </w:r>
      <w:r>
        <w:rPr>
          <w:rFonts w:ascii="宋体" w:hAnsi="宋体"/>
          <w:color w:val="auto"/>
          <w:highlight w:val="none"/>
        </w:rPr>
        <w:t>和人技术人</w:t>
      </w:r>
      <w:r>
        <w:rPr>
          <w:rFonts w:hint="eastAsia" w:ascii="宋体" w:hAnsi="宋体"/>
          <w:color w:val="auto"/>
          <w:highlight w:val="none"/>
        </w:rPr>
        <w:t>员最低要求</w:t>
      </w:r>
      <w:r>
        <w:rPr>
          <w:rFonts w:ascii="宋体" w:hAnsi="宋体"/>
          <w:color w:val="auto"/>
          <w:highlight w:val="none"/>
        </w:rPr>
        <w:t>）</w:t>
      </w:r>
      <w:r>
        <w:rPr>
          <w:rFonts w:hint="eastAsia" w:ascii="宋体" w:hAnsi="宋体"/>
          <w:color w:val="auto"/>
          <w:highlight w:val="none"/>
        </w:rPr>
        <w:t>或</w:t>
      </w:r>
      <w:r>
        <w:rPr>
          <w:rFonts w:ascii="宋体" w:hAnsi="宋体"/>
          <w:color w:val="auto"/>
          <w:highlight w:val="none"/>
        </w:rPr>
        <w:t>附录7资格审查条件（</w:t>
      </w:r>
      <w:r>
        <w:rPr>
          <w:rFonts w:hint="eastAsia" w:ascii="宋体" w:hAnsi="宋体"/>
          <w:color w:val="auto"/>
          <w:highlight w:val="none"/>
        </w:rPr>
        <w:t>主要机械设备和试验检测设备最低要求</w:t>
      </w:r>
      <w:r>
        <w:rPr>
          <w:rFonts w:ascii="宋体" w:hAnsi="宋体"/>
          <w:color w:val="auto"/>
          <w:highlight w:val="none"/>
        </w:rPr>
        <w:t>）</w:t>
      </w:r>
      <w:r>
        <w:rPr>
          <w:rFonts w:hint="eastAsia" w:ascii="宋体" w:hAnsi="宋体"/>
          <w:color w:val="auto"/>
          <w:highlight w:val="none"/>
        </w:rPr>
        <w:t>或附录</w:t>
      </w:r>
      <w:r>
        <w:rPr>
          <w:rFonts w:ascii="宋体" w:hAnsi="宋体"/>
          <w:color w:val="auto"/>
          <w:highlight w:val="none"/>
        </w:rPr>
        <w:t>8</w:t>
      </w:r>
      <w:r>
        <w:rPr>
          <w:rFonts w:hint="eastAsia" w:ascii="宋体" w:hAnsi="宋体"/>
          <w:color w:val="auto"/>
          <w:highlight w:val="none"/>
        </w:rPr>
        <w:t>资格审查条件（</w:t>
      </w:r>
      <w:r>
        <w:rPr>
          <w:rFonts w:hint="eastAsia" w:ascii="宋体" w:hAnsi="宋体"/>
          <w:color w:val="auto"/>
          <w:szCs w:val="21"/>
          <w:highlight w:val="none"/>
        </w:rPr>
        <w:t>关键机电设备</w:t>
      </w:r>
      <w:r>
        <w:rPr>
          <w:rFonts w:ascii="宋体" w:hAnsi="宋体"/>
          <w:color w:val="auto"/>
          <w:szCs w:val="21"/>
          <w:highlight w:val="none"/>
        </w:rPr>
        <w:t>主要</w:t>
      </w:r>
      <w:r>
        <w:rPr>
          <w:rFonts w:hint="eastAsia" w:ascii="宋体" w:hAnsi="宋体"/>
          <w:color w:val="auto"/>
          <w:szCs w:val="21"/>
          <w:highlight w:val="none"/>
        </w:rPr>
        <w:t>技术性能</w:t>
      </w:r>
      <w:r>
        <w:rPr>
          <w:rFonts w:ascii="宋体" w:hAnsi="宋体"/>
          <w:color w:val="auto"/>
          <w:szCs w:val="21"/>
          <w:highlight w:val="none"/>
        </w:rPr>
        <w:t>指标</w:t>
      </w:r>
      <w:r>
        <w:rPr>
          <w:rFonts w:hint="eastAsia" w:ascii="宋体" w:hAnsi="宋体"/>
          <w:color w:val="auto"/>
          <w:szCs w:val="21"/>
          <w:highlight w:val="none"/>
        </w:rPr>
        <w:t>最低要求</w:t>
      </w:r>
      <w:r>
        <w:rPr>
          <w:rFonts w:hint="eastAsia" w:ascii="宋体" w:hAnsi="宋体"/>
          <w:color w:val="auto"/>
          <w:highlight w:val="none"/>
        </w:rPr>
        <w:t>）时</w:t>
      </w:r>
      <w:r>
        <w:rPr>
          <w:rFonts w:ascii="宋体" w:hAnsi="宋体"/>
          <w:color w:val="auto"/>
          <w:highlight w:val="none"/>
        </w:rPr>
        <w:t>对应</w:t>
      </w:r>
      <w:r>
        <w:rPr>
          <w:rFonts w:hint="eastAsia" w:ascii="宋体" w:hAnsi="宋体"/>
          <w:color w:val="auto"/>
          <w:highlight w:val="none"/>
        </w:rPr>
        <w:t>的</w:t>
      </w:r>
      <w:r>
        <w:rPr>
          <w:rFonts w:ascii="宋体" w:hAnsi="宋体"/>
          <w:color w:val="auto"/>
          <w:highlight w:val="none"/>
        </w:rPr>
        <w:t>资格评审标准</w:t>
      </w:r>
      <w:r>
        <w:rPr>
          <w:rFonts w:hint="eastAsia" w:ascii="宋体" w:hAnsi="宋体"/>
          <w:color w:val="auto"/>
          <w:highlight w:val="none"/>
        </w:rPr>
        <w:t>。</w:t>
      </w:r>
    </w:p>
  </w:footnote>
  <w:footnote w:id="201">
    <w:p w14:paraId="64EEF2D2">
      <w:pPr>
        <w:pStyle w:val="38"/>
        <w:rPr>
          <w:color w:val="auto"/>
        </w:rPr>
      </w:pPr>
      <w:r>
        <w:rPr>
          <w:rStyle w:val="59"/>
          <w:rFonts w:hint="eastAsia" w:ascii="宋体" w:hAnsi="宋体" w:cs="宋体"/>
          <w:color w:val="auto"/>
          <w:vertAlign w:val="baseline"/>
        </w:rPr>
        <w:footnoteRef/>
      </w:r>
      <w:r>
        <w:rPr>
          <w:rFonts w:hint="eastAsia" w:ascii="宋体" w:hAnsi="宋体" w:cs="宋体"/>
          <w:color w:val="auto"/>
        </w:rPr>
        <w:t xml:space="preserve">  当报价方式采用</w:t>
      </w:r>
      <w:r>
        <w:rPr>
          <w:rFonts w:hint="eastAsia" w:ascii="宋体" w:hAnsi="宋体" w:cs="宋体"/>
          <w:color w:val="auto"/>
          <w:lang w:val="en-US" w:eastAsia="zh-CN"/>
        </w:rPr>
        <w:t>单价或</w:t>
      </w:r>
      <w:r>
        <w:rPr>
          <w:rFonts w:hint="eastAsia" w:ascii="宋体" w:hAnsi="宋体" w:cs="宋体"/>
          <w:color w:val="auto"/>
        </w:rPr>
        <w:t>总价以外的其他情形时，</w:t>
      </w:r>
      <w:r>
        <w:rPr>
          <w:rFonts w:hint="eastAsia"/>
          <w:color w:val="auto"/>
        </w:rPr>
        <w:t>投标报价能确定具体数值。</w:t>
      </w:r>
    </w:p>
  </w:footnote>
  <w:footnote w:id="202">
    <w:p w14:paraId="447BF84F">
      <w:pPr>
        <w:pStyle w:val="38"/>
        <w:ind w:left="360" w:hanging="360" w:hangingChars="200"/>
        <w:rPr>
          <w:rFonts w:hint="default" w:ascii="宋体" w:hAnsi="宋体" w:eastAsia="宋体" w:cs="宋体"/>
          <w:color w:val="auto"/>
          <w:lang w:val="en-US" w:eastAsia="zh-CN"/>
        </w:rPr>
      </w:pPr>
      <w:r>
        <w:rPr>
          <w:rStyle w:val="59"/>
          <w:rFonts w:hint="eastAsia" w:ascii="宋体" w:hAnsi="宋体" w:cs="宋体"/>
          <w:color w:val="auto"/>
          <w:vertAlign w:val="baseline"/>
        </w:rPr>
        <w:footnoteRef/>
      </w:r>
      <w:r>
        <w:rPr>
          <w:rFonts w:hint="eastAsia" w:ascii="宋体" w:hAnsi="宋体" w:cs="宋体"/>
          <w:color w:val="auto"/>
        </w:rPr>
        <w:t xml:space="preserve"> </w:t>
      </w:r>
      <w:r>
        <w:rPr>
          <w:rFonts w:hint="eastAsia" w:ascii="宋体" w:hAnsi="宋体" w:cs="宋体"/>
          <w:color w:val="auto"/>
          <w:lang w:val="en-US" w:eastAsia="zh-CN"/>
        </w:rPr>
        <w:t xml:space="preserve"> 根据招标项目具体特点和实际情况，招标人可</w:t>
      </w:r>
      <w:r>
        <w:rPr>
          <w:rFonts w:hint="eastAsia" w:ascii="宋体" w:hAnsi="宋体" w:cs="宋体"/>
          <w:color w:val="auto"/>
        </w:rPr>
        <w:t>调整评标价的定义。</w:t>
      </w:r>
      <w:r>
        <w:rPr>
          <w:rFonts w:hint="eastAsia" w:ascii="宋体" w:hAnsi="宋体" w:cs="宋体"/>
          <w:color w:val="auto"/>
          <w:lang w:val="en-US" w:eastAsia="zh-CN"/>
        </w:rPr>
        <w:t>例如：评标价</w:t>
      </w:r>
      <w:r>
        <w:rPr>
          <w:rFonts w:hint="eastAsia" w:ascii="宋体" w:hAnsi="宋体" w:eastAsia="宋体" w:cs="宋体"/>
          <w:color w:val="auto"/>
          <w:lang w:val="en-US" w:eastAsia="zh-CN"/>
        </w:rPr>
        <w:t>＝</w:t>
      </w:r>
      <w:r>
        <w:rPr>
          <w:rFonts w:hint="eastAsia" w:ascii="宋体" w:hAnsi="宋体" w:cs="宋体"/>
          <w:color w:val="auto"/>
          <w:lang w:val="en-US" w:eastAsia="zh-CN"/>
        </w:rPr>
        <w:t>投标人投标报价</w:t>
      </w:r>
      <w:r>
        <w:rPr>
          <w:rFonts w:hint="eastAsia" w:ascii="宋体" w:hAnsi="宋体" w:eastAsia="宋体" w:cs="宋体"/>
          <w:color w:val="auto"/>
          <w:lang w:val="en-US" w:eastAsia="zh-CN"/>
        </w:rPr>
        <w:t>－</w:t>
      </w:r>
      <w:r>
        <w:rPr>
          <w:rFonts w:hint="eastAsia" w:ascii="宋体" w:hAnsi="宋体" w:cs="宋体"/>
          <w:color w:val="auto"/>
          <w:lang w:val="en-US" w:eastAsia="zh-CN"/>
        </w:rPr>
        <w:t>非竞争性部分报价。</w:t>
      </w:r>
    </w:p>
  </w:footnote>
  <w:footnote w:id="203">
    <w:p w14:paraId="00DAF861">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总价以外的其他情形时，在此约定其他投标报价修正方式。</w:t>
      </w:r>
    </w:p>
  </w:footnote>
  <w:footnote w:id="204">
    <w:p w14:paraId="5B571939">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当报价方式采用</w:t>
      </w:r>
      <w:r>
        <w:rPr>
          <w:rFonts w:hint="eastAsia"/>
          <w:color w:val="auto"/>
          <w:lang w:val="en-US" w:eastAsia="zh-CN"/>
        </w:rPr>
        <w:t>单价或</w:t>
      </w:r>
      <w:r>
        <w:rPr>
          <w:rFonts w:hint="eastAsia"/>
          <w:color w:val="auto"/>
        </w:rPr>
        <w:t>总价以外的其他情形时，在此约定其他投标报价修正方式。</w:t>
      </w:r>
    </w:p>
  </w:footnote>
  <w:footnote w:id="205">
    <w:p w14:paraId="7ACBAD1A">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p>
  </w:footnote>
  <w:footnote w:id="206">
    <w:p w14:paraId="72FE773C">
      <w:pPr>
        <w:pStyle w:val="38"/>
        <w:rPr>
          <w:color w:val="auto"/>
          <w:highlight w:val="none"/>
        </w:rPr>
      </w:pPr>
      <w:r>
        <w:rPr>
          <w:rStyle w:val="156"/>
          <w:color w:val="auto"/>
          <w:highlight w:val="none"/>
        </w:rPr>
        <w:footnoteRef/>
      </w:r>
      <w:r>
        <w:rPr>
          <w:rStyle w:val="156"/>
          <w:color w:val="auto"/>
          <w:highlight w:val="none"/>
        </w:rPr>
        <w:t xml:space="preserve"> </w:t>
      </w:r>
      <w:r>
        <w:rPr>
          <w:rStyle w:val="156"/>
          <w:rFonts w:hint="eastAsia"/>
          <w:color w:val="auto"/>
          <w:highlight w:val="none"/>
          <w:lang w:val="en-US"/>
        </w:rPr>
        <w:t xml:space="preserve"> </w:t>
      </w:r>
      <w:r>
        <w:rPr>
          <w:rFonts w:hint="eastAsia"/>
          <w:color w:val="auto"/>
          <w:highlight w:val="none"/>
        </w:rPr>
        <w:t>本部分不加修改地引用了《</w:t>
      </w:r>
      <w:r>
        <w:rPr>
          <w:rFonts w:hint="eastAsia" w:ascii="宋体" w:hAnsi="宋体"/>
          <w:color w:val="auto"/>
        </w:rPr>
        <w:t>中华人民共和国</w:t>
      </w:r>
      <w:r>
        <w:rPr>
          <w:rFonts w:hint="eastAsia"/>
          <w:color w:val="auto"/>
          <w:highlight w:val="none"/>
        </w:rPr>
        <w:t>标准施工招标文件》（2007年版）相关内容。</w:t>
      </w:r>
    </w:p>
  </w:footnote>
  <w:footnote w:id="207">
    <w:p w14:paraId="07C23F2E">
      <w:pPr>
        <w:pStyle w:val="38"/>
        <w:ind w:left="360" w:hanging="360" w:hangingChars="200"/>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ascii="宋体" w:hAnsi="宋体" w:eastAsia="宋体" w:cs="宋体"/>
          <w:bCs/>
          <w:color w:val="auto"/>
          <w:highlight w:val="none"/>
        </w:rPr>
        <w:t>本</w:t>
      </w:r>
      <w:r>
        <w:rPr>
          <w:rFonts w:hint="eastAsia" w:ascii="宋体" w:hAnsi="宋体" w:cs="宋体"/>
          <w:bCs/>
          <w:color w:val="auto"/>
          <w:highlight w:val="none"/>
          <w:lang w:val="en-US" w:eastAsia="zh-CN"/>
        </w:rPr>
        <w:t>部分</w:t>
      </w:r>
      <w:r>
        <w:rPr>
          <w:rFonts w:hint="eastAsia" w:ascii="宋体" w:hAnsi="宋体" w:eastAsia="宋体" w:cs="宋体"/>
          <w:bCs/>
          <w:color w:val="auto"/>
          <w:highlight w:val="none"/>
        </w:rPr>
        <w:t>不加修改的引用交通运输部</w:t>
      </w:r>
      <w:r>
        <w:rPr>
          <w:rFonts w:hint="eastAsia"/>
          <w:color w:val="auto"/>
          <w:highlight w:val="none"/>
        </w:rPr>
        <w:t>《公路工程标准施工招标文件》（2018年版</w:t>
      </w:r>
      <w:r>
        <w:rPr>
          <w:rFonts w:hint="eastAsia"/>
          <w:color w:val="auto"/>
          <w:highlight w:val="none"/>
          <w:lang w:val="en-US" w:eastAsia="zh-CN"/>
        </w:rPr>
        <w:t xml:space="preserve"> </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 xml:space="preserve"> </w:t>
      </w:r>
      <w:r>
        <w:rPr>
          <w:rFonts w:hint="eastAsia"/>
          <w:color w:val="auto"/>
          <w:highlight w:val="none"/>
        </w:rPr>
        <w:t>第一册）</w:t>
      </w:r>
      <w:r>
        <w:rPr>
          <w:rFonts w:hint="eastAsia"/>
          <w:color w:val="auto"/>
          <w:highlight w:val="none"/>
          <w:lang w:val="en-US" w:eastAsia="zh-CN"/>
        </w:rPr>
        <w:t>公路工程专用合同条款</w:t>
      </w:r>
      <w:r>
        <w:rPr>
          <w:rFonts w:hint="eastAsia"/>
          <w:color w:val="auto"/>
          <w:highlight w:val="none"/>
        </w:rPr>
        <w:t>。</w:t>
      </w:r>
    </w:p>
  </w:footnote>
  <w:footnote w:id="208">
    <w:p w14:paraId="1CAA2B8B">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本章节内容</w:t>
      </w:r>
      <w:r>
        <w:rPr>
          <w:color w:val="auto"/>
          <w:highlight w:val="none"/>
        </w:rPr>
        <w:t>仅供招标人参考，招标人根据项目特点和实际需要自行编制</w:t>
      </w:r>
      <w:r>
        <w:rPr>
          <w:rFonts w:hint="eastAsia"/>
          <w:color w:val="auto"/>
          <w:highlight w:val="none"/>
        </w:rPr>
        <w:t>。</w:t>
      </w:r>
    </w:p>
  </w:footnote>
  <w:footnote w:id="209">
    <w:p w14:paraId="53ED71BD">
      <w:pPr>
        <w:pStyle w:val="38"/>
        <w:rPr>
          <w:color w:val="auto"/>
          <w:highlight w:val="none"/>
        </w:rPr>
      </w:pPr>
      <w:r>
        <w:rPr>
          <w:rFonts w:ascii="宋体" w:hAnsi="宋体" w:cs="宋体"/>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cs="宋体"/>
          <w:color w:val="auto"/>
          <w:highlight w:val="none"/>
        </w:rPr>
        <w:t>缺陷责任期一般为自实际交工日期起计算</w:t>
      </w:r>
      <w:r>
        <w:rPr>
          <w:rFonts w:hint="eastAsia" w:ascii="宋体" w:hAnsi="宋体" w:cs="宋体"/>
          <w:color w:val="auto"/>
          <w:highlight w:val="none"/>
          <w:lang w:val="en-US" w:eastAsia="zh-CN"/>
        </w:rPr>
        <w:t>12个月</w:t>
      </w:r>
      <w:r>
        <w:rPr>
          <w:rFonts w:hint="eastAsia" w:ascii="宋体" w:hAnsi="宋体" w:cs="宋体"/>
          <w:color w:val="auto"/>
          <w:highlight w:val="none"/>
        </w:rPr>
        <w:t>，最长不超过</w:t>
      </w:r>
      <w:r>
        <w:rPr>
          <w:rFonts w:hint="eastAsia" w:ascii="宋体" w:hAnsi="宋体" w:cs="宋体"/>
          <w:color w:val="auto"/>
          <w:highlight w:val="none"/>
          <w:lang w:val="en-US" w:eastAsia="zh-CN"/>
        </w:rPr>
        <w:t>24个月</w:t>
      </w:r>
      <w:r>
        <w:rPr>
          <w:rFonts w:hint="eastAsia" w:ascii="宋体" w:hAnsi="宋体" w:cs="宋体"/>
          <w:color w:val="auto"/>
          <w:highlight w:val="none"/>
        </w:rPr>
        <w:t>。</w:t>
      </w:r>
    </w:p>
  </w:footnote>
  <w:footnote w:id="210">
    <w:p w14:paraId="35A7C131">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适用于房建工程施工。</w:t>
      </w:r>
    </w:p>
  </w:footnote>
  <w:footnote w:id="211">
    <w:p w14:paraId="4A5150EC">
      <w:pPr>
        <w:pStyle w:val="38"/>
        <w:rPr>
          <w:color w:val="auto"/>
          <w:highlight w:val="none"/>
        </w:rPr>
      </w:pPr>
      <w:r>
        <w:rPr>
          <w:rFonts w:ascii="宋体" w:hAnsi="宋体" w:cs="宋体"/>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cs="宋体"/>
          <w:color w:val="auto"/>
          <w:highlight w:val="none"/>
        </w:rPr>
        <w:t>逾期交工违约金限额一般应为10%签约合同价。</w:t>
      </w:r>
    </w:p>
  </w:footnote>
  <w:footnote w:id="212">
    <w:p w14:paraId="274BD145">
      <w:pPr>
        <w:pStyle w:val="38"/>
        <w:rPr>
          <w:rFonts w:ascii="宋体" w:hAnsi="宋体" w:cs="宋体"/>
          <w:color w:val="auto"/>
          <w:highlight w:val="none"/>
        </w:rPr>
      </w:pPr>
      <w:r>
        <w:rPr>
          <w:rFonts w:ascii="宋体" w:hAnsi="宋体" w:cs="宋体"/>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eastAsia="宋体" w:cs="宋体"/>
          <w:color w:val="auto"/>
          <w:highlight w:val="none"/>
        </w:rPr>
        <w:t>a.</w:t>
      </w:r>
      <w:r>
        <w:rPr>
          <w:rFonts w:hint="eastAsia" w:ascii="宋体" w:hAnsi="宋体" w:cs="宋体"/>
          <w:color w:val="auto"/>
          <w:highlight w:val="none"/>
        </w:rPr>
        <w:t>逾期交（竣）工违约金限额一般应为10%签约合同价。</w:t>
      </w:r>
    </w:p>
    <w:p w14:paraId="563364EC">
      <w:pPr>
        <w:pStyle w:val="38"/>
        <w:rPr>
          <w:color w:val="auto"/>
          <w:highlight w:val="none"/>
        </w:rPr>
      </w:pPr>
      <w:r>
        <w:rPr>
          <w:rFonts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ascii="宋体" w:hAnsi="宋体" w:cs="宋体"/>
          <w:color w:val="auto"/>
          <w:highlight w:val="none"/>
        </w:rPr>
        <w:t xml:space="preserve"> b.</w:t>
      </w:r>
      <w:r>
        <w:rPr>
          <w:rFonts w:hint="eastAsia"/>
          <w:color w:val="auto"/>
          <w:highlight w:val="none"/>
        </w:rPr>
        <w:t>适用于房建工程施工。</w:t>
      </w:r>
    </w:p>
  </w:footnote>
  <w:footnote w:id="213">
    <w:p w14:paraId="2B055B2A">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适用于房建工程施工。</w:t>
      </w:r>
    </w:p>
  </w:footnote>
  <w:footnote w:id="214">
    <w:p w14:paraId="678C0DDE">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适用于房建工程施工。</w:t>
      </w:r>
    </w:p>
  </w:footnote>
  <w:footnote w:id="215">
    <w:p w14:paraId="38C9B5B8">
      <w:pPr>
        <w:rPr>
          <w:rFonts w:ascii="宋体" w:hAnsi="宋体" w:cs="宋体"/>
          <w:color w:val="auto"/>
          <w:sz w:val="18"/>
          <w:szCs w:val="18"/>
          <w:highlight w:val="none"/>
        </w:rPr>
      </w:pPr>
      <w:r>
        <w:rPr>
          <w:rFonts w:ascii="宋体" w:hAnsi="宋体" w:cs="宋体"/>
          <w:color w:val="auto"/>
          <w:sz w:val="18"/>
          <w:szCs w:val="18"/>
          <w:highlight w:val="none"/>
        </w:rPr>
        <w:footnoteRef/>
      </w:r>
      <w:r>
        <w:rPr>
          <w:rFonts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s="宋体"/>
          <w:color w:val="auto"/>
          <w:sz w:val="18"/>
          <w:szCs w:val="18"/>
          <w:highlight w:val="none"/>
        </w:rPr>
        <w:t>对于工程规模不大、工期较短的工程（例如工期不超过</w:t>
      </w:r>
      <w:r>
        <w:rPr>
          <w:rFonts w:ascii="宋体" w:hAnsi="宋体" w:cs="宋体"/>
          <w:color w:val="auto"/>
          <w:sz w:val="18"/>
          <w:szCs w:val="18"/>
          <w:highlight w:val="none"/>
        </w:rPr>
        <w:t>12个月的），可以不进行调价。</w:t>
      </w:r>
    </w:p>
  </w:footnote>
  <w:footnote w:id="216">
    <w:p w14:paraId="45366F66">
      <w:pPr>
        <w:pStyle w:val="38"/>
        <w:rPr>
          <w:rFonts w:ascii="宋体" w:hAnsi="宋体" w:cs="宋体"/>
          <w:color w:val="auto"/>
          <w:highlight w:val="none"/>
        </w:rPr>
      </w:pPr>
      <w:r>
        <w:rPr>
          <w:rFonts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开工预付款金额一般应为10%签约合同价。</w:t>
      </w:r>
    </w:p>
  </w:footnote>
  <w:footnote w:id="217">
    <w:p w14:paraId="170E3F9F">
      <w:pPr>
        <w:pStyle w:val="38"/>
        <w:rPr>
          <w:rFonts w:ascii="宋体" w:hAnsi="宋体" w:cs="宋体"/>
          <w:color w:val="auto"/>
          <w:highlight w:val="none"/>
        </w:rPr>
      </w:pPr>
      <w:r>
        <w:rPr>
          <w:rFonts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指主要材料，一般应为70%～75%，最低不少于60%。</w:t>
      </w:r>
    </w:p>
  </w:footnote>
  <w:footnote w:id="218">
    <w:p w14:paraId="426A57BE">
      <w:pPr>
        <w:pStyle w:val="38"/>
        <w:rPr>
          <w:rFonts w:ascii="宋体" w:hAnsi="宋体" w:cs="宋体"/>
          <w:color w:val="auto"/>
          <w:highlight w:val="none"/>
        </w:rPr>
      </w:pPr>
      <w:r>
        <w:rPr>
          <w:rFonts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国际上一般按月平均支付额的0.3～0.5倍计算，我国可按0.2～0.3倍计，以利承包人资金周转。</w:t>
      </w:r>
    </w:p>
  </w:footnote>
  <w:footnote w:id="219">
    <w:p w14:paraId="5645C277">
      <w:pPr>
        <w:rPr>
          <w:rFonts w:ascii="宋体" w:hAnsi="宋体" w:cs="宋体"/>
          <w:color w:val="auto"/>
          <w:sz w:val="18"/>
          <w:szCs w:val="18"/>
          <w:highlight w:val="none"/>
        </w:rPr>
      </w:pPr>
      <w:r>
        <w:rPr>
          <w:rFonts w:ascii="宋体" w:hAnsi="宋体" w:cs="宋体"/>
          <w:color w:val="auto"/>
          <w:sz w:val="18"/>
          <w:szCs w:val="18"/>
          <w:highlight w:val="none"/>
        </w:rPr>
        <w:footnoteRef/>
      </w:r>
      <w:r>
        <w:rPr>
          <w:rFonts w:hint="eastAsia" w:ascii="宋体" w:hAnsi="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rPr>
        <w:t>相当于中国人民银行短期贷款利率加手续费。招标人不能自行取消本项内容或降低利率。</w:t>
      </w:r>
    </w:p>
  </w:footnote>
  <w:footnote w:id="220">
    <w:p w14:paraId="4008EB11">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招标人在约定质量保证金的提交额度、方式时，应满足国家、部委等的相关现行法律法规规定。</w:t>
      </w:r>
    </w:p>
  </w:footnote>
  <w:footnote w:id="221">
    <w:p w14:paraId="5C5254F4">
      <w:pPr>
        <w:pStyle w:val="38"/>
        <w:rPr>
          <w:color w:val="auto"/>
          <w:highlight w:val="none"/>
        </w:rPr>
      </w:pPr>
      <w:r>
        <w:rPr>
          <w:rFonts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质量保证金最高不超过合同价格的3%。</w:t>
      </w:r>
    </w:p>
  </w:footnote>
  <w:footnote w:id="222">
    <w:p w14:paraId="72CEE5B3">
      <w:pPr>
        <w:pStyle w:val="38"/>
        <w:rPr>
          <w:color w:val="auto"/>
          <w:highlight w:val="none"/>
        </w:rPr>
      </w:pPr>
      <w:r>
        <w:rPr>
          <w:rFonts w:ascii="宋体" w:hAnsi="宋体" w:cs="宋体"/>
          <w:color w:val="auto"/>
          <w:highlight w:val="none"/>
        </w:rPr>
        <w:footnoteRef/>
      </w:r>
      <w:r>
        <w:rPr>
          <w:rFonts w:hint="eastAsia"/>
          <w:color w:val="auto"/>
          <w:highlight w:val="none"/>
          <w:lang w:val="en-US" w:eastAsia="zh-CN"/>
        </w:rPr>
        <w:t xml:space="preserve"> </w:t>
      </w:r>
      <w:r>
        <w:rPr>
          <w:rFonts w:hint="eastAsia" w:ascii="宋体" w:hAnsi="宋体" w:cs="宋体"/>
          <w:color w:val="auto"/>
          <w:highlight w:val="none"/>
        </w:rPr>
        <w:t xml:space="preserve"> 保修期一般应为自实际交工日期起计算</w:t>
      </w:r>
      <w:r>
        <w:rPr>
          <w:rFonts w:hint="eastAsia" w:ascii="宋体" w:hAnsi="宋体" w:cs="宋体"/>
          <w:color w:val="auto"/>
          <w:highlight w:val="none"/>
          <w:lang w:val="en-US" w:eastAsia="zh-CN"/>
        </w:rPr>
        <w:t>60个月</w:t>
      </w:r>
      <w:r>
        <w:rPr>
          <w:rFonts w:hint="eastAsia" w:ascii="宋体" w:hAnsi="宋体" w:cs="宋体"/>
          <w:color w:val="auto"/>
          <w:highlight w:val="none"/>
        </w:rPr>
        <w:t>。</w:t>
      </w:r>
    </w:p>
  </w:footnote>
  <w:footnote w:id="223">
    <w:p w14:paraId="0D254561">
      <w:pPr>
        <w:pStyle w:val="38"/>
        <w:rPr>
          <w:color w:val="auto"/>
          <w:highlight w:val="none"/>
        </w:rPr>
      </w:pPr>
      <w:r>
        <w:rPr>
          <w:rFonts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房建工程施工保修期按照</w:t>
      </w:r>
      <w:r>
        <w:rPr>
          <w:rFonts w:ascii="宋体" w:hAnsi="宋体" w:cs="宋体"/>
          <w:color w:val="auto"/>
          <w:highlight w:val="none"/>
        </w:rPr>
        <w:t>《建设工程质量管理条例》的规定填写</w:t>
      </w:r>
      <w:r>
        <w:rPr>
          <w:rFonts w:hint="eastAsia" w:ascii="宋体" w:hAnsi="宋体" w:cs="宋体"/>
          <w:color w:val="auto"/>
          <w:highlight w:val="none"/>
        </w:rPr>
        <w:t>。</w:t>
      </w:r>
    </w:p>
  </w:footnote>
  <w:footnote w:id="224">
    <w:p w14:paraId="078D7E7B">
      <w:pPr>
        <w:pStyle w:val="38"/>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招标范围对应的主要工程范围</w:t>
      </w:r>
      <w:bookmarkStart w:id="975" w:name="_Hlk101196437"/>
      <w:r>
        <w:rPr>
          <w:rFonts w:hint="eastAsia" w:ascii="宋体" w:hAnsi="宋体"/>
          <w:color w:val="auto"/>
          <w:highlight w:val="none"/>
        </w:rPr>
        <w:t>可为选择项中的一项或多项，未</w:t>
      </w:r>
      <w:r>
        <w:rPr>
          <w:rFonts w:hint="eastAsia" w:ascii="宋体" w:hAnsi="宋体"/>
          <w:color w:val="auto"/>
          <w:highlight w:val="none"/>
          <w:lang w:val="en-US" w:eastAsia="zh-CN"/>
        </w:rPr>
        <w:t>选择</w:t>
      </w:r>
      <w:r>
        <w:rPr>
          <w:rFonts w:hint="eastAsia" w:ascii="宋体" w:hAnsi="宋体"/>
          <w:color w:val="auto"/>
          <w:highlight w:val="none"/>
        </w:rPr>
        <w:t>的项，视为不含该项内容。</w:t>
      </w:r>
      <w:bookmarkEnd w:id="975"/>
    </w:p>
  </w:footnote>
  <w:footnote w:id="225">
    <w:p w14:paraId="65A3913B">
      <w:pPr>
        <w:pStyle w:val="38"/>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color w:val="auto"/>
          <w:highlight w:val="none"/>
        </w:rPr>
        <w:t>公路房建工程交</w:t>
      </w:r>
      <w:r>
        <w:rPr>
          <w:rFonts w:hint="eastAsia"/>
          <w:color w:val="auto"/>
          <w:highlight w:val="none"/>
        </w:rPr>
        <w:t>（竣工）验收合并进行，此项不适用。</w:t>
      </w:r>
    </w:p>
    <w:p w14:paraId="7B8AD6E2">
      <w:pPr>
        <w:pStyle w:val="38"/>
        <w:rPr>
          <w:color w:val="auto"/>
          <w:highlight w:val="none"/>
        </w:rPr>
      </w:pPr>
    </w:p>
  </w:footnote>
  <w:footnote w:id="226">
    <w:p w14:paraId="45D906D5">
      <w:pPr>
        <w:pStyle w:val="38"/>
        <w:ind w:left="360" w:hanging="360" w:hangingChars="200"/>
        <w:rPr>
          <w:rFonts w:hint="default" w:eastAsia="宋体"/>
          <w:color w:val="auto"/>
          <w:lang w:val="en-US" w:eastAsia="zh-CN"/>
        </w:rPr>
      </w:pPr>
      <w:r>
        <w:rPr>
          <w:rStyle w:val="59"/>
          <w:color w:val="auto"/>
          <w:vertAlign w:val="baseline"/>
        </w:rPr>
        <w:footnoteRef/>
      </w:r>
      <w:r>
        <w:rPr>
          <w:color w:val="auto"/>
        </w:rPr>
        <w:t xml:space="preserve"> </w:t>
      </w:r>
      <w:r>
        <w:rPr>
          <w:rFonts w:hint="eastAsia"/>
          <w:color w:val="auto"/>
        </w:rPr>
        <w:t xml:space="preserve"> 发包人根据项目实际情况以及工程进度，约定履约保证金的退还方式及退还进度。</w:t>
      </w:r>
      <w:r>
        <w:rPr>
          <w:rFonts w:hint="eastAsia"/>
          <w:color w:val="auto"/>
          <w:lang w:val="en-US" w:eastAsia="zh-CN"/>
        </w:rPr>
        <w:t>但最迟应在收到承包人缴纳的质量保证金后28天内将履约保证金退还给承包人。</w:t>
      </w:r>
    </w:p>
  </w:footnote>
  <w:footnote w:id="227">
    <w:p w14:paraId="208292EE">
      <w:pPr>
        <w:pStyle w:val="38"/>
        <w:ind w:left="360" w:hanging="360" w:hangingChars="200"/>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w:t>
      </w:r>
      <w:r>
        <w:rPr>
          <w:rFonts w:hint="eastAsia" w:ascii="宋体" w:hAnsi="宋体" w:cs="宋体"/>
          <w:color w:val="auto"/>
          <w:szCs w:val="21"/>
          <w:highlight w:val="none"/>
        </w:rPr>
        <w:t>《工程建设领域农民工工资保证金规定》（人社部发</w:t>
      </w:r>
      <w:r>
        <w:rPr>
          <w:rFonts w:ascii="宋体" w:hAnsi="宋体" w:cs="宋体"/>
          <w:color w:val="auto"/>
          <w:szCs w:val="21"/>
          <w:highlight w:val="none"/>
        </w:rPr>
        <w:t>〔2021〕65号）规定，工资保证金</w:t>
      </w:r>
      <w:r>
        <w:rPr>
          <w:rFonts w:hint="eastAsia" w:ascii="宋体" w:hAnsi="宋体"/>
          <w:color w:val="auto"/>
          <w:highlight w:val="none"/>
        </w:rPr>
        <w:t>按照工程施工合同额的一定比例存储，原则上不低于合同额</w:t>
      </w:r>
      <w:r>
        <w:rPr>
          <w:rFonts w:ascii="宋体" w:hAnsi="宋体"/>
          <w:color w:val="auto"/>
          <w:highlight w:val="none"/>
        </w:rPr>
        <w:t>1%</w:t>
      </w:r>
      <w:r>
        <w:rPr>
          <w:rFonts w:hint="eastAsia" w:ascii="宋体" w:hAnsi="宋体"/>
          <w:color w:val="auto"/>
          <w:highlight w:val="none"/>
        </w:rPr>
        <w:t>，不超过</w:t>
      </w:r>
      <w:r>
        <w:rPr>
          <w:rFonts w:ascii="宋体" w:hAnsi="宋体"/>
          <w:color w:val="auto"/>
          <w:highlight w:val="none"/>
        </w:rPr>
        <w:t>3%，单个合同额较高的，可设定存储上限。</w:t>
      </w:r>
    </w:p>
  </w:footnote>
  <w:footnote w:id="228">
    <w:p w14:paraId="5F31676A">
      <w:pPr>
        <w:pStyle w:val="38"/>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color w:val="auto"/>
          <w:highlight w:val="none"/>
        </w:rPr>
        <w:t>指招标工程量清单最后</w:t>
      </w:r>
      <w:r>
        <w:rPr>
          <w:rFonts w:hint="eastAsia"/>
          <w:color w:val="auto"/>
          <w:highlight w:val="none"/>
        </w:rPr>
        <w:t>章节数</w:t>
      </w:r>
      <w:r>
        <w:rPr>
          <w:color w:val="auto"/>
          <w:highlight w:val="none"/>
        </w:rPr>
        <w:t>。</w:t>
      </w:r>
    </w:p>
  </w:footnote>
  <w:footnote w:id="229">
    <w:p w14:paraId="4EC10C38">
      <w:pPr>
        <w:pStyle w:val="38"/>
        <w:rPr>
          <w:color w:val="auto"/>
          <w:highlight w:val="yellow"/>
        </w:rPr>
      </w:pPr>
      <w:r>
        <w:rPr>
          <w:rStyle w:val="59"/>
          <w:color w:val="auto"/>
          <w:vertAlign w:val="baseline"/>
        </w:rPr>
        <w:footnoteRef/>
      </w:r>
      <w:r>
        <w:rPr>
          <w:color w:val="auto"/>
        </w:rPr>
        <w:t xml:space="preserve"> </w:t>
      </w:r>
      <w:r>
        <w:rPr>
          <w:rFonts w:hint="eastAsia"/>
          <w:color w:val="auto"/>
        </w:rPr>
        <w:t xml:space="preserve"> 若无</w:t>
      </w:r>
      <w:r>
        <w:rPr>
          <w:rFonts w:hint="eastAsia"/>
          <w:color w:val="auto"/>
          <w:highlight w:val="none"/>
          <w:lang w:val="en-US" w:eastAsia="zh-CN"/>
        </w:rPr>
        <w:t>施工</w:t>
      </w:r>
      <w:r>
        <w:rPr>
          <w:rFonts w:hint="eastAsia"/>
          <w:color w:val="auto"/>
        </w:rPr>
        <w:t>清单的，工程保险费应以建筑安装工程费（不含设备费）为基数，不超过0.4%费率计算。</w:t>
      </w:r>
    </w:p>
  </w:footnote>
  <w:footnote w:id="230">
    <w:p w14:paraId="7557B6A6">
      <w:pPr>
        <w:pStyle w:val="38"/>
        <w:jc w:val="both"/>
        <w:rPr>
          <w:rFonts w:hint="eastAsia" w:ascii="宋体" w:hAnsi="宋体" w:eastAsia="宋体" w:cs="宋体"/>
          <w:color w:val="auto"/>
          <w:highlight w:val="none"/>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该内容可根据招标项目的具体情况进行调整，以适用招标内容。</w:t>
      </w:r>
    </w:p>
  </w:footnote>
  <w:footnote w:id="231">
    <w:p w14:paraId="4833B1FB">
      <w:pPr>
        <w:pStyle w:val="38"/>
        <w:rPr>
          <w:color w:val="auto"/>
        </w:rPr>
      </w:pPr>
      <w:r>
        <w:rPr>
          <w:rStyle w:val="59"/>
          <w:color w:val="auto"/>
          <w:vertAlign w:val="baseline"/>
        </w:rPr>
        <w:footnoteRef/>
      </w:r>
      <w:r>
        <w:rPr>
          <w:color w:val="auto"/>
        </w:rPr>
        <w:t xml:space="preserve"> </w:t>
      </w:r>
      <w:r>
        <w:rPr>
          <w:rFonts w:hint="eastAsia"/>
          <w:color w:val="auto"/>
          <w:lang w:val="en-US" w:eastAsia="zh-CN"/>
        </w:rPr>
        <w:t xml:space="preserve"> </w:t>
      </w:r>
      <w:r>
        <w:rPr>
          <w:rFonts w:hint="eastAsia"/>
          <w:color w:val="auto"/>
        </w:rPr>
        <w:t>签约合同价为其他情形方式的，可做相应调整。</w:t>
      </w:r>
    </w:p>
  </w:footnote>
  <w:footnote w:id="232">
    <w:p w14:paraId="66F618D4">
      <w:pPr>
        <w:pStyle w:val="38"/>
        <w:ind w:left="360" w:leftChars="0" w:hanging="360" w:hangingChars="200"/>
        <w:jc w:val="both"/>
        <w:rPr>
          <w:rFonts w:hint="default" w:cs="宋体" w:asciiTheme="minorEastAsia" w:hAnsiTheme="minorEastAsia" w:eastAsiaTheme="minorEastAsia"/>
          <w:color w:val="auto"/>
          <w:kern w:val="0"/>
          <w:szCs w:val="21"/>
          <w:highlight w:val="none"/>
          <w:lang w:val="en-US" w:eastAsia="zh-CN"/>
        </w:rPr>
      </w:pPr>
      <w:r>
        <w:rPr>
          <w:rStyle w:val="59"/>
          <w:color w:val="auto"/>
          <w:highlight w:val="none"/>
          <w:vertAlign w:val="baseline"/>
        </w:rPr>
        <w:footnoteRef/>
      </w:r>
      <w:r>
        <w:rPr>
          <w:rFonts w:hint="eastAsia"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lang w:val="en-US" w:eastAsia="zh-CN"/>
        </w:rPr>
        <w:t xml:space="preserve"> </w:t>
      </w:r>
      <w:r>
        <w:rPr>
          <w:rFonts w:hint="eastAsia" w:cs="宋体" w:asciiTheme="minorEastAsia" w:hAnsiTheme="minorEastAsia" w:eastAsiaTheme="minorEastAsia"/>
          <w:color w:val="auto"/>
          <w:kern w:val="0"/>
          <w:szCs w:val="21"/>
          <w:highlight w:val="none"/>
        </w:rPr>
        <w:t>当本次</w:t>
      </w:r>
      <w:r>
        <w:rPr>
          <w:rFonts w:hint="eastAsia" w:asciiTheme="minorEastAsia" w:hAnsiTheme="minorEastAsia" w:eastAsiaTheme="minorEastAsia"/>
          <w:color w:val="auto"/>
          <w:szCs w:val="21"/>
          <w:highlight w:val="none"/>
        </w:rPr>
        <w:t>拟委任的主要人员</w:t>
      </w:r>
      <w:r>
        <w:rPr>
          <w:rFonts w:hint="eastAsia" w:cs="宋体" w:asciiTheme="minorEastAsia" w:hAnsiTheme="minorEastAsia" w:eastAsiaTheme="minorEastAsia"/>
          <w:color w:val="auto"/>
          <w:kern w:val="0"/>
          <w:szCs w:val="21"/>
          <w:highlight w:val="none"/>
        </w:rPr>
        <w:t>不做为资格审查强制性条件，投标人若成为中标人，则在签订合同前，须上报满足本表“主要人员最低要求”的相关具体人员，经招标人或发包人审核同意后签订合同，并按填报的人员进场开展工作。</w:t>
      </w:r>
    </w:p>
  </w:footnote>
  <w:footnote w:id="233">
    <w:p w14:paraId="1310A5D7">
      <w:pPr>
        <w:pStyle w:val="38"/>
        <w:jc w:val="both"/>
        <w:rPr>
          <w:color w:val="auto"/>
          <w:highlight w:val="none"/>
        </w:rPr>
      </w:pPr>
      <w:r>
        <w:rPr>
          <w:color w:val="auto"/>
          <w:highlight w:val="none"/>
        </w:rPr>
        <w:footnoteRef/>
      </w:r>
      <w:r>
        <w:rPr>
          <w:rFonts w:hint="eastAsia"/>
          <w:color w:val="auto"/>
          <w:highlight w:val="none"/>
          <w:lang w:val="en-US" w:eastAsia="zh-CN"/>
        </w:rPr>
        <w:t xml:space="preserve"> </w:t>
      </w:r>
      <w:r>
        <w:rPr>
          <w:rFonts w:hint="eastAsia"/>
          <w:color w:val="auto"/>
          <w:highlight w:val="none"/>
        </w:rPr>
        <w:t xml:space="preserve"> 如项目经理仍在其他项目上任职，则投标人在投标函</w:t>
      </w:r>
      <w:r>
        <w:rPr>
          <w:color w:val="auto"/>
          <w:highlight w:val="none"/>
        </w:rPr>
        <w:t>中</w:t>
      </w:r>
      <w:r>
        <w:rPr>
          <w:rFonts w:hint="eastAsia"/>
          <w:color w:val="auto"/>
          <w:highlight w:val="none"/>
        </w:rPr>
        <w:t>应承诺上述人员能够从该项目撤离。</w:t>
      </w:r>
    </w:p>
  </w:footnote>
  <w:footnote w:id="234">
    <w:p w14:paraId="0C9FB0E0">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w:t>
      </w:r>
    </w:p>
  </w:footnote>
  <w:footnote w:id="235">
    <w:p w14:paraId="60CBE455">
      <w:pPr>
        <w:pStyle w:val="38"/>
        <w:ind w:left="360" w:hanging="360" w:hangingChars="200"/>
        <w:jc w:val="both"/>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ootnoteRef/>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例如：投标截止日所在月为“</w:t>
      </w:r>
      <w:r>
        <w:rPr>
          <w:rFonts w:ascii="宋体" w:hAnsi="宋体" w:cs="宋体"/>
          <w:color w:val="000000" w:themeColor="text1"/>
          <w:szCs w:val="21"/>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月”，则提供“</w:t>
      </w:r>
      <w:r>
        <w:rPr>
          <w:rFonts w:ascii="宋体" w:hAnsi="宋体" w:cs="宋体"/>
          <w:color w:val="000000" w:themeColor="text1"/>
          <w:szCs w:val="21"/>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6～11</w:t>
      </w:r>
      <w:r>
        <w:rPr>
          <w:rFonts w:hint="eastAsia" w:ascii="宋体" w:hAnsi="宋体" w:cs="宋体"/>
          <w:color w:val="000000" w:themeColor="text1"/>
          <w:szCs w:val="21"/>
          <w14:textFill>
            <w14:solidFill>
              <w14:schemeClr w14:val="tx1"/>
            </w14:solidFill>
          </w14:textFill>
        </w:rPr>
        <w:t>月”或“</w:t>
      </w:r>
      <w:r>
        <w:rPr>
          <w:rFonts w:ascii="宋体" w:hAnsi="宋体" w:cs="宋体"/>
          <w:color w:val="000000" w:themeColor="text1"/>
          <w:szCs w:val="21"/>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月”在其投标单位连续</w:t>
      </w:r>
      <w:r>
        <w:rPr>
          <w:rFonts w:ascii="宋体" w:hAnsi="宋体" w:cs="宋体"/>
          <w:color w:val="000000" w:themeColor="text1"/>
          <w:szCs w:val="21"/>
          <w14:textFill>
            <w14:solidFill>
              <w14:schemeClr w14:val="tx1"/>
            </w14:solidFill>
          </w14:textFill>
        </w:rPr>
        <w:t>6个月参加社保的证明材料。</w:t>
      </w:r>
    </w:p>
  </w:footnote>
  <w:footnote w:id="236">
    <w:p w14:paraId="2F5AEB6B">
      <w:pPr>
        <w:pStyle w:val="38"/>
        <w:jc w:val="both"/>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招标人在编制招标文件时，根据项目实际情况设置并填写具体数值。</w:t>
      </w:r>
    </w:p>
  </w:footnote>
  <w:footnote w:id="237">
    <w:p w14:paraId="507E92B1">
      <w:pPr>
        <w:pStyle w:val="38"/>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本项为单选项，下同。</w:t>
      </w:r>
    </w:p>
  </w:footnote>
  <w:footnote w:id="238">
    <w:p w14:paraId="02071D4B">
      <w:pPr>
        <w:pStyle w:val="38"/>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w:t>
      </w:r>
      <w:r>
        <w:rPr>
          <w:rFonts w:hint="eastAsia"/>
          <w:color w:val="auto"/>
          <w:highlight w:val="none"/>
          <w:lang w:eastAsia="zh-CN"/>
        </w:rPr>
        <w:t>“路基工程、桥涵工程”或“路基工程、隧道工程”</w:t>
      </w:r>
      <w:r>
        <w:rPr>
          <w:rFonts w:hint="eastAsia"/>
          <w:color w:val="auto"/>
          <w:highlight w:val="none"/>
        </w:rPr>
        <w:t>的项目。</w:t>
      </w:r>
    </w:p>
  </w:footnote>
  <w:footnote w:id="239">
    <w:p w14:paraId="5A591BB9">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本表该选择项由招标人对主要人员业绩经验担任的相应职务进行要求，可为单选或多选，下同。</w:t>
      </w:r>
    </w:p>
  </w:footnote>
  <w:footnote w:id="240">
    <w:p w14:paraId="3D40943C">
      <w:pPr>
        <w:pStyle w:val="38"/>
        <w:ind w:left="360" w:hanging="360" w:hangingChars="200"/>
        <w:jc w:val="both"/>
        <w:rPr>
          <w:rFonts w:hint="eastAsia" w:ascii="宋体" w:hAnsi="宋体" w:eastAsia="宋体" w:cs="宋体"/>
          <w:color w:val="auto"/>
          <w:highlight w:val="none"/>
          <w:lang w:val="en-US" w:eastAsia="zh-CN"/>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r>
        <w:rPr>
          <w:rFonts w:hint="eastAsia" w:ascii="宋体" w:hAnsi="宋体"/>
          <w:color w:val="auto"/>
          <w:highlight w:val="none"/>
          <w:lang w:val="en-US" w:eastAsia="zh-CN"/>
        </w:rPr>
        <w:t>下同。</w:t>
      </w:r>
    </w:p>
  </w:footnote>
  <w:footnote w:id="241">
    <w:p w14:paraId="6DF720E6">
      <w:pPr>
        <w:pStyle w:val="38"/>
        <w:ind w:left="360" w:hanging="360" w:hangingChars="200"/>
        <w:jc w:val="both"/>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根据项目具体情况，若存在特殊桥梁或特大桥或特别复杂的桥梁，需要增加特殊要求时，可对桥梁主跨桥型或跨径进行要求，但不得设置过高的要求。桥梁类型应从“拱式桥、悬索桥、</w:t>
      </w:r>
      <w:r>
        <w:rPr>
          <w:color w:val="auto"/>
          <w:highlight w:val="none"/>
        </w:rPr>
        <w:t>斜拉桥</w:t>
      </w:r>
      <w:r>
        <w:rPr>
          <w:rFonts w:hint="eastAsia"/>
          <w:color w:val="auto"/>
          <w:highlight w:val="none"/>
        </w:rPr>
        <w:t>、刚构桥、组合体系桥、其他”中</w:t>
      </w:r>
      <w:r>
        <w:rPr>
          <w:rFonts w:hint="eastAsia"/>
          <w:color w:val="auto"/>
          <w:highlight w:val="none"/>
          <w:lang w:val="en-US" w:eastAsia="zh-CN"/>
        </w:rPr>
        <w:t>选择</w:t>
      </w:r>
      <w:r>
        <w:rPr>
          <w:rFonts w:hint="eastAsia"/>
          <w:color w:val="auto"/>
          <w:highlight w:val="none"/>
        </w:rPr>
        <w:t>，但建议原则上最多不超过2种类型。</w:t>
      </w:r>
    </w:p>
  </w:footnote>
  <w:footnote w:id="242">
    <w:p w14:paraId="222A33E3">
      <w:pPr>
        <w:pStyle w:val="38"/>
        <w:ind w:left="360" w:hanging="360" w:hangingChars="200"/>
        <w:jc w:val="both"/>
        <w:rPr>
          <w:color w:val="auto"/>
          <w:highlight w:val="none"/>
        </w:rPr>
      </w:pPr>
      <w:r>
        <w:rPr>
          <w:rStyle w:val="59"/>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对于左右幅桥长不相同的</w:t>
      </w:r>
      <w:r>
        <w:rPr>
          <w:rFonts w:hint="eastAsia" w:ascii="宋体" w:hAnsi="宋体"/>
          <w:color w:val="auto"/>
          <w:highlight w:val="none"/>
          <w:lang w:val="en-US" w:eastAsia="zh-CN"/>
        </w:rPr>
        <w:t>桥梁，其桥梁长度</w:t>
      </w:r>
      <w:r>
        <w:rPr>
          <w:rFonts w:hint="eastAsia" w:ascii="宋体" w:hAnsi="宋体"/>
          <w:color w:val="auto"/>
          <w:highlight w:val="none"/>
        </w:rPr>
        <w:t>以</w:t>
      </w:r>
      <w:r>
        <w:rPr>
          <w:rFonts w:hint="eastAsia" w:ascii="宋体" w:hAnsi="宋体" w:cs="宋体"/>
          <w:color w:val="auto"/>
          <w:sz w:val="18"/>
          <w:szCs w:val="18"/>
          <w:highlight w:val="none"/>
          <w:lang w:val="en-US" w:eastAsia="zh-CN"/>
        </w:rPr>
        <w:t>左右幅长度</w:t>
      </w:r>
      <w:r>
        <w:rPr>
          <w:rFonts w:hint="eastAsia" w:ascii="宋体" w:hAnsi="宋体"/>
          <w:color w:val="auto"/>
          <w:highlight w:val="none"/>
          <w:lang w:val="en-US" w:eastAsia="zh-CN"/>
        </w:rPr>
        <w:t>较</w:t>
      </w:r>
      <w:r>
        <w:rPr>
          <w:rFonts w:hint="eastAsia" w:ascii="宋体" w:hAnsi="宋体"/>
          <w:color w:val="auto"/>
          <w:highlight w:val="none"/>
        </w:rPr>
        <w:t>长的为准；若只有单幅的，则以单幅桥梁</w:t>
      </w:r>
      <w:r>
        <w:rPr>
          <w:rFonts w:hint="eastAsia" w:ascii="宋体" w:hAnsi="宋体"/>
          <w:color w:val="auto"/>
          <w:highlight w:val="none"/>
          <w:lang w:val="en-US" w:eastAsia="zh-CN"/>
        </w:rPr>
        <w:t>长度</w:t>
      </w:r>
      <w:r>
        <w:rPr>
          <w:rFonts w:hint="eastAsia" w:ascii="宋体" w:hAnsi="宋体"/>
          <w:color w:val="auto"/>
          <w:highlight w:val="none"/>
        </w:rPr>
        <w:t>数据为准。</w:t>
      </w:r>
    </w:p>
  </w:footnote>
  <w:footnote w:id="243">
    <w:p w14:paraId="1FE2DD7E">
      <w:pPr>
        <w:pStyle w:val="38"/>
        <w:ind w:left="360" w:hanging="360" w:hangingChars="200"/>
        <w:jc w:val="both"/>
        <w:rPr>
          <w:rFonts w:hint="eastAsia" w:eastAsia="宋体"/>
          <w:color w:val="auto"/>
          <w:highlight w:val="none"/>
          <w:lang w:val="en-US" w:eastAsia="zh-CN"/>
        </w:rPr>
      </w:pPr>
      <w:r>
        <w:rPr>
          <w:rStyle w:val="59"/>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长的为准；若只有单洞的，则以承担单洞隧道长度数据为准。隧道单洞长度不含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p>
  </w:footnote>
  <w:footnote w:id="244">
    <w:p w14:paraId="28FEAFB5">
      <w:pPr>
        <w:pStyle w:val="38"/>
        <w:ind w:left="360" w:hanging="360" w:hangingChars="200"/>
        <w:rPr>
          <w:rFonts w:hint="eastAsia" w:eastAsia="宋体"/>
          <w:color w:val="auto"/>
          <w:highlight w:val="none"/>
          <w:lang w:val="en-US" w:eastAsia="zh-CN"/>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该隧道工程可为路基土建工程中包含的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color w:val="auto"/>
          <w:highlight w:val="none"/>
        </w:rPr>
        <w:t>。</w:t>
      </w:r>
      <w:r>
        <w:rPr>
          <w:rFonts w:hint="eastAsia"/>
          <w:color w:val="auto"/>
          <w:highlight w:val="none"/>
        </w:rPr>
        <w:t>根据项目具体情况，若存在特殊隧道或特长隧道或特别复杂的隧道，需要增加特殊要求时，可对隧道形式或隧道单洞长度进行要求，但不得设置过高的要求。</w:t>
      </w:r>
    </w:p>
  </w:footnote>
  <w:footnote w:id="245">
    <w:p w14:paraId="2DFFDAF6">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246">
    <w:p w14:paraId="4AFE14C7">
      <w:pPr>
        <w:pStyle w:val="38"/>
        <w:jc w:val="both"/>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如项目总工仍在其他项目上任职，则投标人在投标函</w:t>
      </w:r>
      <w:r>
        <w:rPr>
          <w:color w:val="auto"/>
          <w:highlight w:val="none"/>
        </w:rPr>
        <w:t>中</w:t>
      </w:r>
      <w:r>
        <w:rPr>
          <w:rFonts w:hint="eastAsia"/>
          <w:color w:val="auto"/>
          <w:highlight w:val="none"/>
        </w:rPr>
        <w:t>应承诺上述人员能够从该项目撤离。</w:t>
      </w:r>
    </w:p>
  </w:footnote>
  <w:footnote w:id="247">
    <w:p w14:paraId="051FF7E7">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w:t>
      </w:r>
    </w:p>
  </w:footnote>
  <w:footnote w:id="248">
    <w:p w14:paraId="31E8220A">
      <w:pPr>
        <w:pStyle w:val="38"/>
        <w:ind w:left="360" w:hanging="360" w:hangingChars="200"/>
        <w:jc w:val="both"/>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ootnoteRef/>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例如：投标截止日所在月为“</w:t>
      </w:r>
      <w:r>
        <w:rPr>
          <w:rFonts w:ascii="宋体" w:hAnsi="宋体" w:cs="宋体"/>
          <w:color w:val="000000" w:themeColor="text1"/>
          <w:szCs w:val="21"/>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月”，则提供</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6～11</w:t>
      </w:r>
      <w:r>
        <w:rPr>
          <w:rFonts w:hint="eastAsia" w:ascii="宋体" w:hAnsi="宋体" w:cs="宋体"/>
          <w:color w:val="000000" w:themeColor="text1"/>
          <w:szCs w:val="21"/>
          <w14:textFill>
            <w14:solidFill>
              <w14:schemeClr w14:val="tx1"/>
            </w14:solidFill>
          </w14:textFill>
        </w:rPr>
        <w:t>月”或“</w:t>
      </w:r>
      <w:r>
        <w:rPr>
          <w:rFonts w:ascii="宋体" w:hAnsi="宋体" w:cs="宋体"/>
          <w:color w:val="000000" w:themeColor="text1"/>
          <w:szCs w:val="21"/>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月”在其投标单位连续</w:t>
      </w:r>
      <w:r>
        <w:rPr>
          <w:rFonts w:ascii="宋体" w:hAnsi="宋体" w:cs="宋体"/>
          <w:color w:val="000000" w:themeColor="text1"/>
          <w:szCs w:val="21"/>
          <w14:textFill>
            <w14:solidFill>
              <w14:schemeClr w14:val="tx1"/>
            </w14:solidFill>
          </w14:textFill>
        </w:rPr>
        <w:t>6个月参加社保的证明材料。</w:t>
      </w:r>
    </w:p>
  </w:footnote>
  <w:footnote w:id="249">
    <w:p w14:paraId="2AA3B983">
      <w:pPr>
        <w:pStyle w:val="38"/>
        <w:jc w:val="both"/>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招标人在编制招标文件时，根据项目实际情况设置并填写具体数值。</w:t>
      </w:r>
    </w:p>
  </w:footnote>
  <w:footnote w:id="250">
    <w:p w14:paraId="570E7B22">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本项为单选项，下同。</w:t>
      </w:r>
    </w:p>
  </w:footnote>
  <w:footnote w:id="251">
    <w:p w14:paraId="7BC09D79">
      <w:pPr>
        <w:pStyle w:val="38"/>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w:t>
      </w:r>
      <w:r>
        <w:rPr>
          <w:rFonts w:hint="eastAsia"/>
          <w:color w:val="auto"/>
          <w:highlight w:val="none"/>
          <w:lang w:eastAsia="zh-CN"/>
        </w:rPr>
        <w:t>“路基工程、桥涵工程”或“路基工程、隧道工程”</w:t>
      </w:r>
      <w:r>
        <w:rPr>
          <w:rFonts w:hint="eastAsia"/>
          <w:color w:val="auto"/>
          <w:highlight w:val="none"/>
        </w:rPr>
        <w:t>的项目。</w:t>
      </w:r>
    </w:p>
  </w:footnote>
  <w:footnote w:id="252">
    <w:p w14:paraId="2758BCBC">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本表该选择项由招标人对主要人员业绩经验担任的相应职务进行要求，可为单选或多选，下同。</w:t>
      </w:r>
    </w:p>
  </w:footnote>
  <w:footnote w:id="253">
    <w:p w14:paraId="03C2995B">
      <w:pPr>
        <w:pStyle w:val="38"/>
        <w:ind w:left="360" w:hanging="360" w:hangingChars="200"/>
        <w:jc w:val="both"/>
        <w:rPr>
          <w:rFonts w:hint="eastAsia" w:ascii="宋体" w:hAnsi="宋体" w:eastAsia="宋体" w:cs="宋体"/>
          <w:color w:val="auto"/>
          <w:highlight w:val="none"/>
          <w:lang w:val="en-US" w:eastAsia="zh-CN"/>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r>
        <w:rPr>
          <w:rFonts w:hint="eastAsia" w:ascii="宋体" w:hAnsi="宋体"/>
          <w:color w:val="auto"/>
          <w:highlight w:val="none"/>
          <w:lang w:val="en-US" w:eastAsia="zh-CN"/>
        </w:rPr>
        <w:t>下同。</w:t>
      </w:r>
    </w:p>
  </w:footnote>
  <w:footnote w:id="254">
    <w:p w14:paraId="63C2EC3C">
      <w:pPr>
        <w:pStyle w:val="38"/>
        <w:ind w:left="360" w:hanging="360" w:hangingChars="200"/>
        <w:jc w:val="both"/>
        <w:rPr>
          <w:color w:val="auto"/>
          <w:highlight w:val="none"/>
        </w:rPr>
      </w:pPr>
      <w:r>
        <w:rPr>
          <w:color w:val="auto"/>
          <w:highlight w:val="no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根据项目具体情况，若存在特殊桥梁或特大桥或特别复杂的桥梁，需要增加特殊要求时，可对桥梁主跨桥型或跨径进行要求，但不得设置过高的要求。桥梁类型应从“拱式桥、悬索桥、</w:t>
      </w:r>
      <w:r>
        <w:rPr>
          <w:color w:val="auto"/>
          <w:highlight w:val="none"/>
        </w:rPr>
        <w:t>斜拉桥</w:t>
      </w:r>
      <w:r>
        <w:rPr>
          <w:rFonts w:hint="eastAsia"/>
          <w:color w:val="auto"/>
          <w:highlight w:val="none"/>
        </w:rPr>
        <w:t>、刚构桥、组合体系桥、其他”中</w:t>
      </w:r>
      <w:r>
        <w:rPr>
          <w:rFonts w:hint="eastAsia"/>
          <w:color w:val="auto"/>
          <w:highlight w:val="none"/>
          <w:lang w:val="en-US" w:eastAsia="zh-CN"/>
        </w:rPr>
        <w:t>选择</w:t>
      </w:r>
      <w:r>
        <w:rPr>
          <w:rFonts w:hint="eastAsia"/>
          <w:color w:val="auto"/>
          <w:highlight w:val="none"/>
        </w:rPr>
        <w:t>，但建议原则上最多不超过2种类型。</w:t>
      </w:r>
    </w:p>
  </w:footnote>
  <w:footnote w:id="255">
    <w:p w14:paraId="25D96DEA">
      <w:pPr>
        <w:pStyle w:val="38"/>
        <w:ind w:left="360" w:hanging="360" w:hangingChars="200"/>
        <w:jc w:val="both"/>
        <w:rPr>
          <w:color w:val="auto"/>
          <w:highlight w:val="none"/>
        </w:rPr>
      </w:pPr>
      <w:r>
        <w:rPr>
          <w:rStyle w:val="59"/>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对于左右幅桥长不相同的</w:t>
      </w:r>
      <w:r>
        <w:rPr>
          <w:rFonts w:hint="eastAsia" w:ascii="宋体" w:hAnsi="宋体"/>
          <w:color w:val="auto"/>
          <w:highlight w:val="none"/>
          <w:lang w:val="en-US" w:eastAsia="zh-CN"/>
        </w:rPr>
        <w:t>桥梁，其桥梁长度</w:t>
      </w:r>
      <w:r>
        <w:rPr>
          <w:rFonts w:hint="eastAsia" w:ascii="宋体" w:hAnsi="宋体"/>
          <w:color w:val="auto"/>
          <w:highlight w:val="none"/>
        </w:rPr>
        <w:t>以</w:t>
      </w:r>
      <w:r>
        <w:rPr>
          <w:rFonts w:hint="eastAsia" w:ascii="宋体" w:hAnsi="宋体" w:cs="宋体"/>
          <w:color w:val="auto"/>
          <w:sz w:val="18"/>
          <w:szCs w:val="18"/>
          <w:highlight w:val="none"/>
          <w:lang w:val="en-US" w:eastAsia="zh-CN"/>
        </w:rPr>
        <w:t>左右幅长度</w:t>
      </w:r>
      <w:r>
        <w:rPr>
          <w:rFonts w:hint="eastAsia" w:ascii="宋体" w:hAnsi="宋体"/>
          <w:color w:val="auto"/>
          <w:highlight w:val="none"/>
          <w:lang w:val="en-US" w:eastAsia="zh-CN"/>
        </w:rPr>
        <w:t>较</w:t>
      </w:r>
      <w:r>
        <w:rPr>
          <w:rFonts w:hint="eastAsia" w:ascii="宋体" w:hAnsi="宋体"/>
          <w:color w:val="auto"/>
          <w:highlight w:val="none"/>
        </w:rPr>
        <w:t>长的为准；若只有单幅的，则以单幅桥梁</w:t>
      </w:r>
      <w:r>
        <w:rPr>
          <w:rFonts w:hint="eastAsia" w:ascii="宋体" w:hAnsi="宋体"/>
          <w:color w:val="auto"/>
          <w:highlight w:val="none"/>
          <w:lang w:val="en-US" w:eastAsia="zh-CN"/>
        </w:rPr>
        <w:t>长度</w:t>
      </w:r>
      <w:r>
        <w:rPr>
          <w:rFonts w:hint="eastAsia" w:ascii="宋体" w:hAnsi="宋体"/>
          <w:color w:val="auto"/>
          <w:highlight w:val="none"/>
        </w:rPr>
        <w:t>数据为准。</w:t>
      </w:r>
    </w:p>
  </w:footnote>
  <w:footnote w:id="256">
    <w:p w14:paraId="697E24C2">
      <w:pPr>
        <w:pStyle w:val="38"/>
        <w:ind w:left="360" w:hanging="360" w:hangingChars="200"/>
        <w:jc w:val="both"/>
        <w:rPr>
          <w:rFonts w:hint="eastAsia" w:eastAsia="宋体"/>
          <w:color w:val="auto"/>
          <w:highlight w:val="none"/>
          <w:lang w:val="en-US" w:eastAsia="zh-CN"/>
        </w:rPr>
      </w:pPr>
      <w:r>
        <w:rPr>
          <w:rStyle w:val="59"/>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长的为准；若只有单洞的，则以承担单洞隧道长度数据为准。隧道单洞长度不含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p>
  </w:footnote>
  <w:footnote w:id="257">
    <w:p w14:paraId="31BB3E76">
      <w:pPr>
        <w:pStyle w:val="38"/>
        <w:ind w:left="360" w:hanging="360" w:hangingChars="200"/>
        <w:rPr>
          <w:rFonts w:hint="eastAsia" w:eastAsia="宋体"/>
          <w:color w:val="auto"/>
          <w:highlight w:val="none"/>
          <w:lang w:val="en-US" w:eastAsia="zh-CN"/>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该隧道工程可为路基土建工程中包含的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color w:val="auto"/>
          <w:highlight w:val="none"/>
        </w:rPr>
        <w:t>。</w:t>
      </w:r>
      <w:r>
        <w:rPr>
          <w:rFonts w:hint="eastAsia"/>
          <w:color w:val="auto"/>
          <w:highlight w:val="none"/>
        </w:rPr>
        <w:t>根据项目具体情况，若存在特殊隧道或特长隧道或特别复杂的隧道，需要增加特殊要求时，可对隧道形式或隧道单洞长度进行要求，但不得设置过高的要求。</w:t>
      </w:r>
    </w:p>
  </w:footnote>
  <w:footnote w:id="258">
    <w:p w14:paraId="20A790D2">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259">
    <w:p w14:paraId="06A30728">
      <w:pPr>
        <w:spacing w:line="240" w:lineRule="auto"/>
        <w:ind w:right="221"/>
        <w:jc w:val="left"/>
        <w:rPr>
          <w:rFonts w:ascii="宋体" w:hAnsi="宋体"/>
          <w:color w:val="auto"/>
          <w:spacing w:val="-1"/>
          <w:sz w:val="18"/>
          <w:highlight w:val="none"/>
        </w:rPr>
      </w:pPr>
      <w:r>
        <w:rPr>
          <w:rStyle w:val="59"/>
          <w:rFonts w:hint="eastAsia" w:ascii="宋体" w:hAnsi="宋体" w:cs="宋体"/>
          <w:color w:val="auto"/>
          <w:sz w:val="18"/>
          <w:szCs w:val="18"/>
          <w:highlight w:val="none"/>
          <w:vertAlign w:val="baseline"/>
        </w:rPr>
        <w:footnoteRef/>
      </w:r>
      <w:r>
        <w:rPr>
          <w:rStyle w:val="59"/>
          <w:rFonts w:ascii="Calibri" w:hAnsi="Calibri"/>
          <w:color w:val="auto"/>
          <w:sz w:val="18"/>
          <w:szCs w:val="18"/>
          <w:highlight w:val="none"/>
          <w:vertAlign w:val="baseline"/>
        </w:rPr>
        <w:t xml:space="preserve"> </w:t>
      </w:r>
      <w:r>
        <w:rPr>
          <w:rFonts w:hint="eastAsia" w:ascii="Calibri" w:hAnsi="Calibri"/>
          <w:color w:val="auto"/>
          <w:sz w:val="18"/>
          <w:szCs w:val="18"/>
          <w:highlight w:val="none"/>
          <w:vertAlign w:val="baseline"/>
          <w:lang w:val="en-US" w:eastAsia="zh-CN"/>
        </w:rPr>
        <w:t xml:space="preserve"> </w:t>
      </w:r>
      <w:r>
        <w:rPr>
          <w:rFonts w:hint="eastAsia" w:ascii="宋体" w:hAnsi="宋体"/>
          <w:color w:val="auto"/>
          <w:spacing w:val="-1"/>
          <w:sz w:val="18"/>
          <w:highlight w:val="none"/>
        </w:rPr>
        <w:t>其他管理和技术人员：</w:t>
      </w:r>
    </w:p>
    <w:p w14:paraId="00D88EAB">
      <w:pPr>
        <w:numPr>
          <w:ilvl w:val="-1"/>
          <w:numId w:val="0"/>
        </w:numPr>
        <w:spacing w:line="240" w:lineRule="auto"/>
        <w:ind w:left="355" w:leftChars="0" w:right="221" w:firstLine="0" w:firstLineChars="0"/>
        <w:jc w:val="left"/>
        <w:rPr>
          <w:rFonts w:ascii="宋体" w:hAnsi="宋体" w:cs="宋体"/>
          <w:color w:val="auto"/>
          <w:spacing w:val="-1"/>
          <w:sz w:val="18"/>
          <w:highlight w:val="none"/>
        </w:rPr>
      </w:pPr>
      <w:r>
        <w:rPr>
          <w:rFonts w:hint="eastAsia" w:ascii="宋体" w:hAnsi="宋体"/>
          <w:color w:val="auto"/>
          <w:spacing w:val="-1"/>
          <w:sz w:val="18"/>
          <w:highlight w:val="none"/>
          <w:lang w:val="en-US" w:eastAsia="zh-CN"/>
        </w:rPr>
        <w:t>a.</w:t>
      </w:r>
      <w:r>
        <w:rPr>
          <w:rFonts w:hint="eastAsia" w:ascii="宋体" w:hAnsi="宋体" w:cs="宋体"/>
          <w:color w:val="auto"/>
          <w:spacing w:val="-1"/>
          <w:sz w:val="18"/>
          <w:highlight w:val="none"/>
        </w:rPr>
        <w:t>发包人应在招标文件中规定若投标人在所投标段中标需派驻的其他管理和技术人员（例如项目副经理、专业工程师等）</w:t>
      </w:r>
      <w:r>
        <w:rPr>
          <w:rFonts w:hint="eastAsia" w:ascii="宋体" w:hAnsi="宋体" w:cs="宋体"/>
          <w:color w:val="auto"/>
          <w:sz w:val="18"/>
          <w:highlight w:val="none"/>
        </w:rPr>
        <w:t>。上述人员的具体人选由招标人和中标人在合同谈判阶段确定，且经招标人审批后作为派驻本标段的项目管理机构主要人员，不允许更换。如中标人拟派驻的人员数量和资格条件不满足本表要求，招标人应取消其</w:t>
      </w:r>
      <w:r>
        <w:rPr>
          <w:rFonts w:hint="eastAsia" w:ascii="宋体" w:hAnsi="宋体" w:cs="宋体"/>
          <w:color w:val="auto"/>
          <w:spacing w:val="-1"/>
          <w:sz w:val="18"/>
          <w:highlight w:val="none"/>
        </w:rPr>
        <w:t>中标资格。</w:t>
      </w:r>
    </w:p>
    <w:p w14:paraId="75A9806B">
      <w:pPr>
        <w:spacing w:line="240" w:lineRule="auto"/>
        <w:ind w:left="357" w:leftChars="170" w:right="221" w:firstLine="0" w:firstLineChars="0"/>
        <w:jc w:val="left"/>
        <w:rPr>
          <w:rFonts w:ascii="宋体" w:hAnsi="宋体" w:cs="宋体"/>
          <w:color w:val="auto"/>
          <w:spacing w:val="-1"/>
          <w:sz w:val="18"/>
          <w:highlight w:val="none"/>
        </w:rPr>
      </w:pPr>
      <w:r>
        <w:rPr>
          <w:rFonts w:ascii="宋体" w:hAnsi="宋体" w:cs="宋体"/>
          <w:color w:val="auto"/>
          <w:spacing w:val="-1"/>
          <w:sz w:val="18"/>
          <w:highlight w:val="none"/>
        </w:rPr>
        <w:t>b.本表不适用于已按招标文件要求提供了其他管理和技术人员的特别复杂的特大桥梁和特长隧道项目主体工程以及其他有特殊要求的工程。</w:t>
      </w:r>
    </w:p>
  </w:footnote>
  <w:footnote w:id="260">
    <w:p w14:paraId="7143C86B">
      <w:pPr>
        <w:rPr>
          <w:rFonts w:hint="eastAsia" w:ascii="宋体" w:hAnsi="宋体" w:cs="宋体"/>
          <w:color w:val="auto"/>
          <w:sz w:val="18"/>
          <w:szCs w:val="18"/>
          <w:highlight w:val="none"/>
        </w:rPr>
      </w:pPr>
      <w:r>
        <w:rPr>
          <w:rStyle w:val="59"/>
          <w:rFonts w:hint="eastAsia" w:ascii="宋体" w:hAnsi="宋体" w:cs="宋体"/>
          <w:color w:val="auto"/>
          <w:sz w:val="18"/>
          <w:szCs w:val="18"/>
          <w:highlight w:val="none"/>
          <w:vertAlign w:val="baseline"/>
        </w:rPr>
        <w:footnoteRef/>
      </w:r>
      <w:r>
        <w:rPr>
          <w:rFonts w:hint="eastAsia" w:ascii="宋体" w:hAnsi="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rPr>
        <w:t>主要机械设备和试验检测设备最低要求：</w:t>
      </w:r>
    </w:p>
    <w:p w14:paraId="5FD9A545">
      <w:pPr>
        <w:ind w:left="357" w:leftChars="170" w:firstLine="0" w:firstLineChars="0"/>
        <w:rPr>
          <w:rFonts w:ascii="宋体" w:hAnsi="宋体"/>
          <w:color w:val="auto"/>
          <w:sz w:val="18"/>
          <w:highlight w:val="none"/>
        </w:rPr>
      </w:pPr>
      <w:r>
        <w:rPr>
          <w:rFonts w:ascii="宋体" w:hAnsi="宋体"/>
          <w:color w:val="auto"/>
          <w:sz w:val="18"/>
          <w:highlight w:val="none"/>
        </w:rPr>
        <w:t>a.</w:t>
      </w:r>
      <w:r>
        <w:rPr>
          <w:rFonts w:hint="eastAsia" w:ascii="宋体" w:hAnsi="宋体" w:cs="宋体"/>
          <w:color w:val="auto"/>
          <w:sz w:val="18"/>
          <w:highlight w:val="none"/>
        </w:rPr>
        <w:t>发包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r>
        <w:rPr>
          <w:rFonts w:ascii="宋体" w:hAnsi="宋体"/>
          <w:color w:val="auto"/>
          <w:sz w:val="18"/>
          <w:highlight w:val="none"/>
        </w:rPr>
        <w:t xml:space="preserve"> </w:t>
      </w:r>
    </w:p>
    <w:p w14:paraId="6C408612">
      <w:pPr>
        <w:pStyle w:val="38"/>
        <w:ind w:left="399" w:leftChars="190" w:firstLine="0" w:firstLineChars="0"/>
        <w:jc w:val="both"/>
        <w:rPr>
          <w:color w:val="auto"/>
          <w:highlight w:val="none"/>
        </w:rPr>
      </w:pPr>
      <w:r>
        <w:rPr>
          <w:rFonts w:hint="eastAsia" w:ascii="宋体" w:hAnsi="宋体"/>
          <w:color w:val="auto"/>
          <w:highlight w:val="none"/>
        </w:rPr>
        <w:t>b.本表不适用于已按招标文件要求提供了主要机械设备和试验检测设备的特别复杂的特大桥梁和特长隧道项目主体工程以及其他有特殊要求的工程。</w:t>
      </w:r>
    </w:p>
  </w:footnote>
  <w:footnote w:id="261">
    <w:p w14:paraId="30A4FBA9">
      <w:pPr>
        <w:pStyle w:val="38"/>
        <w:ind w:left="360" w:hanging="360" w:hangingChars="200"/>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ascii="宋体" w:hAnsi="宋体" w:cs="Calibri"/>
          <w:color w:val="auto"/>
          <w:highlight w:val="none"/>
        </w:rPr>
        <w:t>本条内容可修改为：“本担保自</w:t>
      </w:r>
      <w:r>
        <w:rPr>
          <w:rFonts w:hint="eastAsia" w:ascii="宋体" w:hAnsi="宋体" w:cs="Calibri"/>
          <w:color w:val="auto"/>
          <w:highlight w:val="none"/>
          <w:u w:val="single"/>
        </w:rPr>
        <w:t xml:space="preserve">      </w:t>
      </w:r>
      <w:r>
        <w:rPr>
          <w:rFonts w:hint="eastAsia" w:ascii="宋体" w:hAnsi="宋体" w:cs="Calibri"/>
          <w:color w:val="auto"/>
          <w:highlight w:val="none"/>
        </w:rPr>
        <w:t>（生效日期）之日起生效，至</w:t>
      </w:r>
      <w:r>
        <w:rPr>
          <w:rFonts w:hint="eastAsia" w:ascii="宋体" w:hAnsi="宋体" w:cs="Calibri"/>
          <w:color w:val="auto"/>
          <w:highlight w:val="none"/>
          <w:u w:val="single"/>
        </w:rPr>
        <w:t xml:space="preserve">       </w:t>
      </w:r>
      <w:r>
        <w:rPr>
          <w:rFonts w:hint="eastAsia" w:ascii="宋体" w:hAnsi="宋体" w:cs="Calibri"/>
          <w:color w:val="auto"/>
          <w:highlight w:val="none"/>
        </w:rPr>
        <w:t>（失效日期）之日失效。”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footnote>
  <w:footnote w:id="262">
    <w:p w14:paraId="7C0BF274">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适用于房建工程施工招标。</w:t>
      </w:r>
    </w:p>
  </w:footnote>
  <w:footnote w:id="263">
    <w:p w14:paraId="3082A51B">
      <w:pPr>
        <w:pStyle w:val="38"/>
        <w:jc w:val="both"/>
        <w:rPr>
          <w:rFonts w:hint="eastAsia" w:ascii="宋体" w:hAnsi="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a.本表适用于招标范围包含机电工程施工招标的情形。</w:t>
      </w:r>
    </w:p>
    <w:p w14:paraId="18255036">
      <w:pPr>
        <w:pStyle w:val="38"/>
        <w:ind w:firstLine="360" w:firstLineChars="200"/>
        <w:jc w:val="both"/>
        <w:rPr>
          <w:rFonts w:ascii="宋体" w:hAnsi="宋体"/>
          <w:color w:val="auto"/>
          <w:highlight w:val="none"/>
        </w:rPr>
      </w:pPr>
      <w:r>
        <w:rPr>
          <w:rFonts w:hint="eastAsia" w:ascii="宋体" w:hAnsi="宋体"/>
          <w:color w:val="auto"/>
          <w:highlight w:val="none"/>
          <w:lang w:val="en-US" w:eastAsia="zh-CN"/>
        </w:rPr>
        <w:t>b.</w:t>
      </w:r>
      <w:r>
        <w:rPr>
          <w:rFonts w:hint="eastAsia" w:ascii="宋体" w:hAnsi="宋体"/>
          <w:color w:val="auto"/>
          <w:highlight w:val="none"/>
        </w:rPr>
        <w:t>拟用于本项目的关键机电设备主要技术性能指标已作为资格审查条件的，本表删去。</w:t>
      </w:r>
    </w:p>
  </w:footnote>
  <w:footnote w:id="264">
    <w:p w14:paraId="40A0AFFF">
      <w:pPr>
        <w:pStyle w:val="38"/>
        <w:ind w:left="360" w:hanging="360" w:hangingChars="200"/>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人对关键机电设备的技术指标要求，从三大系统（通信、监控、收费），或者隧道机电（监控、通风、供配电、照明、消防、其他）等方面分系统描述。例如“通信系统”、“监控系统”、“隧道监控系统”……。</w:t>
      </w:r>
    </w:p>
  </w:footnote>
  <w:footnote w:id="265">
    <w:p w14:paraId="366D0768">
      <w:pPr>
        <w:pStyle w:val="38"/>
        <w:ind w:left="360" w:hanging="360" w:hangingChars="200"/>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招标人对关键机电设备技术指标要求，此栏列出需要提出要求的具体“设备名称”，例如“高清智能球机”“高清车辆识别一体机”……。</w:t>
      </w:r>
    </w:p>
  </w:footnote>
  <w:footnote w:id="266">
    <w:p w14:paraId="51545DC9">
      <w:pPr>
        <w:pStyle w:val="38"/>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此栏逐一列出各项技术指标，主要技术性能指标可为具体的参数或是功能性的要求或是使用业绩要求。</w:t>
      </w:r>
    </w:p>
  </w:footnote>
  <w:footnote w:id="267">
    <w:p w14:paraId="1DE378F6">
      <w:pPr>
        <w:pStyle w:val="38"/>
        <w:ind w:left="360" w:hanging="360" w:hangingChars="200"/>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本章节内容</w:t>
      </w:r>
      <w:r>
        <w:rPr>
          <w:color w:val="auto"/>
          <w:highlight w:val="none"/>
        </w:rPr>
        <w:t>招标人</w:t>
      </w:r>
      <w:r>
        <w:rPr>
          <w:rFonts w:hint="eastAsia"/>
          <w:color w:val="auto"/>
          <w:highlight w:val="none"/>
          <w:lang w:val="en-US" w:eastAsia="zh-CN"/>
        </w:rPr>
        <w:t>按</w:t>
      </w:r>
      <w:r>
        <w:rPr>
          <w:rFonts w:hint="eastAsia"/>
          <w:color w:val="auto"/>
          <w:highlight w:val="none"/>
        </w:rPr>
        <w:t>照</w:t>
      </w:r>
      <w:r>
        <w:rPr>
          <w:rFonts w:hint="eastAsia"/>
          <w:color w:val="auto"/>
          <w:highlight w:val="none"/>
          <w:lang w:val="en-US" w:eastAsia="zh-CN"/>
        </w:rPr>
        <w:t>交通运输部</w:t>
      </w:r>
      <w:r>
        <w:rPr>
          <w:rFonts w:hint="eastAsia"/>
          <w:color w:val="auto"/>
          <w:highlight w:val="none"/>
        </w:rPr>
        <w:t>《公路工程标准</w:t>
      </w:r>
      <w:r>
        <w:rPr>
          <w:color w:val="auto"/>
          <w:highlight w:val="none"/>
        </w:rPr>
        <w:t>施工招标文件</w:t>
      </w:r>
      <w:r>
        <w:rPr>
          <w:rFonts w:hint="eastAsia"/>
          <w:color w:val="auto"/>
          <w:highlight w:val="none"/>
        </w:rPr>
        <w:t>》（2018年版）</w:t>
      </w:r>
      <w:r>
        <w:rPr>
          <w:color w:val="auto"/>
          <w:highlight w:val="none"/>
        </w:rPr>
        <w:t>，根据项目特点和实际情况进行编制。</w:t>
      </w:r>
    </w:p>
  </w:footnote>
  <w:footnote w:id="268">
    <w:p w14:paraId="243B4690">
      <w:pPr>
        <w:pStyle w:val="38"/>
        <w:snapToGrid w:val="0"/>
        <w:rPr>
          <w:color w:val="auto"/>
        </w:rPr>
      </w:pPr>
      <w:r>
        <w:rPr>
          <w:rStyle w:val="59"/>
          <w:color w:val="auto"/>
          <w:vertAlign w:val="baseline"/>
        </w:rPr>
        <w:footnoteRef/>
      </w:r>
      <w:r>
        <w:rPr>
          <w:color w:val="auto"/>
          <w:vertAlign w:val="baseline"/>
        </w:rPr>
        <w:t xml:space="preserve"> </w:t>
      </w:r>
      <w:r>
        <w:rPr>
          <w:rFonts w:hint="eastAsia"/>
          <w:color w:val="auto"/>
          <w:vertAlign w:val="baseline"/>
          <w:lang w:val="en-US" w:eastAsia="zh-CN"/>
        </w:rPr>
        <w:t xml:space="preserve"> </w:t>
      </w:r>
      <w:r>
        <w:rPr>
          <w:rFonts w:hint="eastAsia"/>
          <w:color w:val="auto"/>
          <w:lang w:val="en-US" w:eastAsia="zh-CN"/>
        </w:rPr>
        <w:t>招标范围为房建工程或机电工程的，招标人另行根据项目特点和实际情况进行编制。</w:t>
      </w:r>
    </w:p>
  </w:footnote>
  <w:footnote w:id="269">
    <w:p w14:paraId="02F585FC">
      <w:pPr>
        <w:pStyle w:val="38"/>
        <w:snapToGrid w:val="0"/>
        <w:rPr>
          <w:color w:val="auto"/>
        </w:rPr>
      </w:pPr>
      <w:r>
        <w:rPr>
          <w:rStyle w:val="59"/>
          <w:color w:val="auto"/>
          <w:vertAlign w:val="baseline"/>
        </w:rPr>
        <w:footnoteRef/>
      </w:r>
      <w:r>
        <w:rPr>
          <w:rFonts w:hint="eastAsia"/>
          <w:color w:val="auto"/>
          <w:lang w:val="en-US" w:eastAsia="zh-CN"/>
        </w:rPr>
        <w:t xml:space="preserve"> </w:t>
      </w:r>
      <w:r>
        <w:rPr>
          <w:color w:val="auto"/>
          <w:vertAlign w:val="baseline"/>
        </w:rPr>
        <w:t xml:space="preserve"> </w:t>
      </w:r>
      <w:r>
        <w:rPr>
          <w:rFonts w:hint="eastAsia"/>
          <w:color w:val="auto"/>
          <w:lang w:val="en-US" w:eastAsia="zh-CN"/>
        </w:rPr>
        <w:t>招标范围为房建工程或机电工程的，招标人另行根据项目特点和实际情况进行编制。</w:t>
      </w:r>
    </w:p>
  </w:footnote>
  <w:footnote w:id="270">
    <w:p w14:paraId="35B4CD37">
      <w:pPr>
        <w:pStyle w:val="38"/>
        <w:rPr>
          <w:color w:val="auto"/>
          <w:highlight w:val="none"/>
        </w:rPr>
      </w:pPr>
      <w:r>
        <w:rPr>
          <w:rStyle w:val="59"/>
          <w:color w:val="auto"/>
          <w:highlight w:val="none"/>
          <w:vertAlign w:val="baseline"/>
        </w:rPr>
        <w:footnoteRef/>
      </w:r>
      <w:r>
        <w:rPr>
          <w:rFonts w:hint="eastAsia"/>
          <w:color w:val="auto"/>
          <w:spacing w:val="-1"/>
          <w:highlight w:val="none"/>
        </w:rPr>
        <w:t xml:space="preserve"> </w:t>
      </w:r>
      <w:r>
        <w:rPr>
          <w:rFonts w:hint="eastAsia"/>
          <w:color w:val="auto"/>
          <w:spacing w:val="-1"/>
          <w:highlight w:val="none"/>
          <w:lang w:val="en-US" w:eastAsia="zh-CN"/>
        </w:rPr>
        <w:t xml:space="preserve"> </w:t>
      </w:r>
      <w:r>
        <w:rPr>
          <w:rFonts w:hint="eastAsia" w:ascii="宋体" w:hAnsi="宋体" w:cs="宋体"/>
          <w:color w:val="auto"/>
          <w:highlight w:val="none"/>
        </w:rPr>
        <w:t>招标人</w:t>
      </w:r>
      <w:r>
        <w:rPr>
          <w:rFonts w:ascii="宋体" w:hAnsi="宋体"/>
          <w:color w:val="auto"/>
          <w:highlight w:val="none"/>
        </w:rPr>
        <w:t>可结合招标项目具体特点和实际需要，对本章内容进行补充、细化。</w:t>
      </w:r>
    </w:p>
  </w:footnote>
  <w:footnote w:id="271">
    <w:p w14:paraId="07866784">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以联合体</w:t>
      </w:r>
      <w:r>
        <w:rPr>
          <w:rFonts w:hint="eastAsia"/>
          <w:color w:val="auto"/>
          <w:highlight w:val="none"/>
          <w:lang w:val="en-US" w:eastAsia="zh-CN"/>
        </w:rPr>
        <w:t>形式</w:t>
      </w:r>
      <w:r>
        <w:rPr>
          <w:rFonts w:hint="eastAsia"/>
          <w:color w:val="auto"/>
          <w:highlight w:val="none"/>
        </w:rPr>
        <w:t>投标的，为联合体牵头人单位全称。</w:t>
      </w:r>
    </w:p>
  </w:footnote>
  <w:footnote w:id="272">
    <w:p w14:paraId="19E45FB0">
      <w:pPr>
        <w:pStyle w:val="38"/>
        <w:ind w:left="360" w:hanging="360" w:hangingChars="200"/>
        <w:jc w:val="both"/>
        <w:rPr>
          <w:rFonts w:hint="default" w:asciiTheme="minorEastAsia" w:hAnsiTheme="minorEastAsia" w:eastAsiaTheme="minorEastAsia"/>
          <w:color w:val="auto"/>
          <w:highlight w:val="none"/>
          <w:lang w:val="en-US" w:eastAsia="zh-CN"/>
        </w:rPr>
      </w:pPr>
      <w:r>
        <w:rPr>
          <w:rStyle w:val="59"/>
          <w:rFonts w:asciiTheme="minorEastAsia" w:hAnsiTheme="minorEastAsia" w:eastAsiaTheme="minorEastAsia"/>
          <w:color w:val="auto"/>
          <w:highlight w:val="none"/>
          <w:vertAlign w:val="baseline"/>
        </w:rPr>
        <w:footnoteRef/>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highlight w:val="none"/>
        </w:rPr>
        <w:t>a.</w:t>
      </w:r>
      <w:bookmarkStart w:id="976" w:name="_Hlk98422028"/>
      <w:r>
        <w:rPr>
          <w:rFonts w:hint="eastAsia" w:ascii="宋体" w:hAnsi="宋体"/>
          <w:color w:val="auto"/>
        </w:rPr>
        <w:t>招标人不接受联合体投标的，或投标人没有组成联合体的</w:t>
      </w:r>
      <w:bookmarkEnd w:id="976"/>
      <w:r>
        <w:rPr>
          <w:rFonts w:hint="eastAsia" w:ascii="宋体" w:hAnsi="宋体"/>
          <w:color w:val="auto"/>
        </w:rPr>
        <w:t>，删除“联合体协议书”，投标文件的组成序号顺次修改</w:t>
      </w:r>
      <w:r>
        <w:rPr>
          <w:rFonts w:hint="eastAsia" w:asciiTheme="minorEastAsia" w:hAnsiTheme="minorEastAsia" w:eastAsiaTheme="minorEastAsia"/>
          <w:color w:val="auto"/>
          <w:highlight w:val="none"/>
        </w:rPr>
        <w:t>。</w:t>
      </w:r>
    </w:p>
    <w:p w14:paraId="3488AB32">
      <w:pPr>
        <w:pStyle w:val="38"/>
        <w:ind w:firstLine="360" w:firstLineChars="200"/>
        <w:jc w:val="both"/>
        <w:rPr>
          <w:color w:val="auto"/>
          <w:highlight w:val="none"/>
        </w:rPr>
      </w:pPr>
      <w:r>
        <w:rPr>
          <w:rFonts w:asciiTheme="minorEastAsia" w:hAnsiTheme="minorEastAsia" w:eastAsiaTheme="minorEastAsia"/>
          <w:color w:val="auto"/>
          <w:highlight w:val="none"/>
        </w:rPr>
        <w:t>b.</w:t>
      </w:r>
      <w:r>
        <w:rPr>
          <w:rFonts w:hint="eastAsia" w:asciiTheme="minorEastAsia" w:hAnsiTheme="minorEastAsia" w:eastAsiaTheme="minorEastAsia"/>
          <w:color w:val="auto"/>
          <w:highlight w:val="none"/>
        </w:rPr>
        <w:t>招标人不要求提供施工组织设计时，删除“施工组织设计”，投标文件的组成序号顺次修改。</w:t>
      </w:r>
    </w:p>
  </w:footnote>
  <w:footnote w:id="273">
    <w:p w14:paraId="540FE1C0">
      <w:pPr>
        <w:pStyle w:val="38"/>
        <w:ind w:left="360" w:hanging="360" w:hangingChars="200"/>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color w:val="auto"/>
          <w:highlight w:val="none"/>
        </w:rPr>
        <w:t>本条款不</w:t>
      </w:r>
      <w:r>
        <w:rPr>
          <w:rFonts w:hint="eastAsia" w:ascii="宋体" w:hAnsi="宋体"/>
          <w:color w:val="auto"/>
          <w:highlight w:val="none"/>
          <w:lang w:val="en-US" w:eastAsia="zh-CN"/>
        </w:rPr>
        <w:t>适用于</w:t>
      </w:r>
      <w:r>
        <w:rPr>
          <w:rFonts w:hint="eastAsia" w:ascii="宋体" w:hAnsi="宋体"/>
          <w:color w:val="auto"/>
          <w:highlight w:val="none"/>
        </w:rPr>
        <w:t>已按招标文件资格审查条件要求提供了</w:t>
      </w:r>
      <w:r>
        <w:rPr>
          <w:rFonts w:hint="eastAsia" w:ascii="宋体" w:hAnsi="宋体"/>
          <w:color w:val="auto"/>
          <w:highlight w:val="none"/>
          <w:lang w:val="en-US" w:eastAsia="zh-CN"/>
        </w:rPr>
        <w:t>的主要</w:t>
      </w:r>
      <w:r>
        <w:rPr>
          <w:rFonts w:hint="eastAsia" w:ascii="宋体" w:hAnsi="宋体"/>
          <w:color w:val="auto"/>
          <w:highlight w:val="none"/>
        </w:rPr>
        <w:t>人员</w:t>
      </w:r>
      <w:r>
        <w:rPr>
          <w:rFonts w:hint="eastAsia" w:ascii="宋体" w:hAnsi="宋体"/>
          <w:color w:val="auto"/>
          <w:highlight w:val="none"/>
          <w:lang w:val="en-US" w:eastAsia="zh-CN"/>
        </w:rPr>
        <w:t>或其他管理和技术人员</w:t>
      </w:r>
      <w:r>
        <w:rPr>
          <w:rFonts w:hint="eastAsia" w:ascii="宋体" w:hAnsi="宋体"/>
          <w:color w:val="auto"/>
          <w:highlight w:val="none"/>
        </w:rPr>
        <w:t>、</w:t>
      </w:r>
      <w:r>
        <w:rPr>
          <w:rFonts w:hint="eastAsia" w:ascii="宋体" w:hAnsi="宋体"/>
          <w:color w:val="auto"/>
          <w:highlight w:val="none"/>
          <w:lang w:val="en-US" w:eastAsia="zh-CN"/>
        </w:rPr>
        <w:t>主要</w:t>
      </w:r>
      <w:r>
        <w:rPr>
          <w:rFonts w:hint="eastAsia" w:ascii="宋体" w:hAnsi="宋体"/>
          <w:color w:val="auto"/>
          <w:highlight w:val="none"/>
        </w:rPr>
        <w:t>机械设备和试验检测设备</w:t>
      </w:r>
      <w:r>
        <w:rPr>
          <w:rFonts w:hint="eastAsia" w:ascii="宋体" w:hAnsi="宋体"/>
          <w:color w:val="auto"/>
          <w:highlight w:val="none"/>
          <w:lang w:val="en-US" w:eastAsia="zh-CN"/>
        </w:rPr>
        <w:t>的项目</w:t>
      </w:r>
      <w:r>
        <w:rPr>
          <w:rFonts w:hint="eastAsia" w:ascii="宋体" w:hAnsi="宋体"/>
          <w:color w:val="auto"/>
          <w:highlight w:val="none"/>
        </w:rPr>
        <w:t>。</w:t>
      </w:r>
    </w:p>
  </w:footnote>
  <w:footnote w:id="274">
    <w:p w14:paraId="698219FA">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以联合体形式投标的，为联合体牵头人单位全称。</w:t>
      </w:r>
    </w:p>
  </w:footnote>
  <w:footnote w:id="275">
    <w:p w14:paraId="638E43DB">
      <w:pPr>
        <w:pStyle w:val="38"/>
        <w:rPr>
          <w:color w:val="auto"/>
          <w:highlight w:val="none"/>
        </w:rPr>
      </w:pPr>
      <w:r>
        <w:rPr>
          <w:rStyle w:val="59"/>
          <w:color w:val="auto"/>
          <w:highlight w:val="none"/>
          <w:vertAlign w:val="baseline"/>
        </w:rPr>
        <w:footnoteRef/>
      </w:r>
      <w:r>
        <w:rPr>
          <w:rFonts w:hint="eastAsia"/>
          <w:color w:val="auto"/>
          <w:highlight w:val="none"/>
          <w:lang w:val="en-US" w:eastAsia="zh-CN"/>
        </w:rPr>
        <w:t xml:space="preserve"> </w:t>
      </w:r>
      <w:r>
        <w:rPr>
          <w:color w:val="auto"/>
          <w:highlight w:val="none"/>
        </w:rPr>
        <w:t xml:space="preserve"> </w:t>
      </w:r>
      <w:r>
        <w:rPr>
          <w:rFonts w:hint="eastAsia"/>
          <w:color w:val="auto"/>
          <w:highlight w:val="none"/>
        </w:rPr>
        <w:t>以联合体形式投标的，只需联合体牵头人盖单位电子印章。</w:t>
      </w:r>
    </w:p>
  </w:footnote>
  <w:footnote w:id="276">
    <w:p w14:paraId="36568D4C">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以联合体形式投标的，为联合体牵头人的法定代表人或其委托代理人。</w:t>
      </w:r>
    </w:p>
  </w:footnote>
  <w:footnote w:id="277">
    <w:p w14:paraId="17F641B6">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适用于房建工程施工。</w:t>
      </w:r>
    </w:p>
  </w:footnote>
  <w:footnote w:id="278">
    <w:p w14:paraId="6FC909CF">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适用于房建工程施工。</w:t>
      </w:r>
    </w:p>
  </w:footnote>
  <w:footnote w:id="279">
    <w:p w14:paraId="0310A4D2">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适用于房建工程施工。</w:t>
      </w:r>
    </w:p>
  </w:footnote>
  <w:footnote w:id="280">
    <w:p w14:paraId="6B4351E6">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适用于房建工程施工。</w:t>
      </w:r>
    </w:p>
  </w:footnote>
  <w:footnote w:id="281">
    <w:p w14:paraId="2C576EF7">
      <w:pPr>
        <w:pStyle w:val="38"/>
        <w:ind w:left="360" w:hanging="360" w:hangingChars="200"/>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联合体协议书采用线上电子签署方式时指</w:t>
      </w:r>
      <w:r>
        <w:rPr>
          <w:color w:val="auto"/>
          <w:highlight w:val="none"/>
        </w:rPr>
        <w:t>加盖</w:t>
      </w:r>
      <w:r>
        <w:rPr>
          <w:rFonts w:hint="eastAsia"/>
          <w:color w:val="auto"/>
          <w:highlight w:val="none"/>
        </w:rPr>
        <w:t>联合体牵头人单位电子印章，采用线下签署方式时指</w:t>
      </w:r>
      <w:r>
        <w:rPr>
          <w:color w:val="auto"/>
          <w:highlight w:val="none"/>
        </w:rPr>
        <w:t>加盖</w:t>
      </w:r>
      <w:r>
        <w:rPr>
          <w:rFonts w:hint="eastAsia"/>
          <w:color w:val="auto"/>
          <w:highlight w:val="none"/>
        </w:rPr>
        <w:t>联合体牵头人单位章</w:t>
      </w:r>
      <w:r>
        <w:rPr>
          <w:color w:val="auto"/>
          <w:highlight w:val="none"/>
        </w:rPr>
        <w:t>。</w:t>
      </w:r>
    </w:p>
  </w:footnote>
  <w:footnote w:id="282">
    <w:p w14:paraId="4335737F">
      <w:pPr>
        <w:pStyle w:val="38"/>
        <w:ind w:left="360" w:hanging="360" w:hangingChars="200"/>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联合体协议书采用线上电子签署方式时指联合体牵头人</w:t>
      </w:r>
      <w:r>
        <w:rPr>
          <w:color w:val="auto"/>
          <w:highlight w:val="none"/>
        </w:rPr>
        <w:t>法定代表人个人电子签名章</w:t>
      </w:r>
      <w:r>
        <w:rPr>
          <w:rFonts w:hint="eastAsia" w:ascii="宋体" w:hAnsi="宋体" w:eastAsia="宋体" w:cs="宋体"/>
          <w:color w:val="auto"/>
          <w:highlight w:val="none"/>
        </w:rPr>
        <w:t>或个人电子印章</w:t>
      </w:r>
      <w:r>
        <w:rPr>
          <w:rFonts w:hint="eastAsia"/>
          <w:color w:val="auto"/>
          <w:highlight w:val="none"/>
          <w:lang w:eastAsia="zh-CN"/>
        </w:rPr>
        <w:t>，</w:t>
      </w:r>
      <w:r>
        <w:rPr>
          <w:rFonts w:hint="eastAsia"/>
          <w:color w:val="auto"/>
          <w:highlight w:val="none"/>
        </w:rPr>
        <w:t>采用线下签署方式时指联合体牵头人</w:t>
      </w:r>
      <w:r>
        <w:rPr>
          <w:color w:val="auto"/>
          <w:highlight w:val="none"/>
        </w:rPr>
        <w:t>法定代表人签字</w:t>
      </w:r>
      <w:r>
        <w:rPr>
          <w:rFonts w:hint="eastAsia"/>
          <w:color w:val="auto"/>
          <w:highlight w:val="none"/>
        </w:rPr>
        <w:t>。</w:t>
      </w:r>
    </w:p>
  </w:footnote>
  <w:footnote w:id="283">
    <w:p w14:paraId="2E4EE749">
      <w:pPr>
        <w:pStyle w:val="38"/>
        <w:ind w:left="360" w:hanging="360" w:hangingChars="200"/>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联合体协议书采用线上电子签署方式时指</w:t>
      </w:r>
      <w:r>
        <w:rPr>
          <w:color w:val="auto"/>
          <w:highlight w:val="none"/>
        </w:rPr>
        <w:t>加盖</w:t>
      </w:r>
      <w:r>
        <w:rPr>
          <w:rFonts w:hint="eastAsia"/>
          <w:color w:val="auto"/>
          <w:highlight w:val="none"/>
        </w:rPr>
        <w:t>联合体成员单位电子印章，采用线下签署方式时指</w:t>
      </w:r>
      <w:r>
        <w:rPr>
          <w:color w:val="auto"/>
          <w:highlight w:val="none"/>
        </w:rPr>
        <w:t>加盖</w:t>
      </w:r>
      <w:r>
        <w:rPr>
          <w:rFonts w:hint="eastAsia"/>
          <w:color w:val="auto"/>
          <w:highlight w:val="none"/>
        </w:rPr>
        <w:t>联合体成员单位章</w:t>
      </w:r>
      <w:r>
        <w:rPr>
          <w:color w:val="auto"/>
          <w:highlight w:val="none"/>
        </w:rPr>
        <w:t>。</w:t>
      </w:r>
    </w:p>
  </w:footnote>
  <w:footnote w:id="284">
    <w:p w14:paraId="678544A1">
      <w:pPr>
        <w:pStyle w:val="38"/>
        <w:ind w:left="360" w:hanging="360" w:hangingChars="200"/>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联合体协议书采用线上电子签署方式时指联合体成员</w:t>
      </w:r>
      <w:r>
        <w:rPr>
          <w:color w:val="auto"/>
          <w:highlight w:val="none"/>
        </w:rPr>
        <w:t>法定代表人个人电子签名章</w:t>
      </w:r>
      <w:r>
        <w:rPr>
          <w:rFonts w:hint="eastAsia" w:ascii="宋体" w:hAnsi="宋体" w:eastAsia="宋体" w:cs="宋体"/>
          <w:color w:val="auto"/>
          <w:highlight w:val="none"/>
        </w:rPr>
        <w:t>或个人电子印章</w:t>
      </w:r>
      <w:r>
        <w:rPr>
          <w:color w:val="auto"/>
          <w:highlight w:val="none"/>
        </w:rPr>
        <w:t>。</w:t>
      </w:r>
      <w:r>
        <w:rPr>
          <w:rFonts w:hint="eastAsia"/>
          <w:color w:val="auto"/>
          <w:highlight w:val="none"/>
        </w:rPr>
        <w:t>采用线下签署方式时指联合体成员</w:t>
      </w:r>
      <w:r>
        <w:rPr>
          <w:color w:val="auto"/>
          <w:highlight w:val="none"/>
        </w:rPr>
        <w:t>法定代表人签字</w:t>
      </w:r>
      <w:r>
        <w:rPr>
          <w:rFonts w:hint="eastAsia"/>
          <w:color w:val="auto"/>
          <w:highlight w:val="none"/>
        </w:rPr>
        <w:t>。</w:t>
      </w:r>
    </w:p>
  </w:footnote>
  <w:footnote w:id="285">
    <w:p w14:paraId="684F4017">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投标保证金若</w:t>
      </w:r>
      <w:r>
        <w:rPr>
          <w:color w:val="auto"/>
          <w:highlight w:val="none"/>
        </w:rPr>
        <w:t>采用银行保函形式</w:t>
      </w:r>
      <w:r>
        <w:rPr>
          <w:rFonts w:hint="eastAsia"/>
          <w:color w:val="auto"/>
          <w:highlight w:val="none"/>
        </w:rPr>
        <w:t>，指</w:t>
      </w:r>
      <w:r>
        <w:rPr>
          <w:color w:val="auto"/>
          <w:highlight w:val="none"/>
        </w:rPr>
        <w:t>提交</w:t>
      </w:r>
      <w:r>
        <w:rPr>
          <w:rFonts w:hint="eastAsia"/>
          <w:color w:val="auto"/>
          <w:highlight w:val="none"/>
        </w:rPr>
        <w:t>银行保函</w:t>
      </w:r>
      <w:r>
        <w:rPr>
          <w:color w:val="auto"/>
          <w:highlight w:val="none"/>
        </w:rPr>
        <w:t>的</w:t>
      </w:r>
      <w:r>
        <w:rPr>
          <w:rFonts w:hint="eastAsia"/>
          <w:color w:val="auto"/>
          <w:highlight w:val="none"/>
        </w:rPr>
        <w:t>担保机构加盖</w:t>
      </w:r>
      <w:r>
        <w:rPr>
          <w:color w:val="auto"/>
          <w:highlight w:val="none"/>
        </w:rPr>
        <w:t>其单位章</w:t>
      </w:r>
      <w:r>
        <w:rPr>
          <w:rFonts w:hint="eastAsia"/>
          <w:color w:val="auto"/>
          <w:highlight w:val="none"/>
        </w:rPr>
        <w:t>或业务专用章。</w:t>
      </w:r>
    </w:p>
  </w:footnote>
  <w:footnote w:id="286">
    <w:p w14:paraId="0C843092">
      <w:pPr>
        <w:pStyle w:val="38"/>
        <w:rPr>
          <w:color w:val="auto"/>
          <w:highlight w:val="none"/>
        </w:rPr>
      </w:pPr>
      <w:r>
        <w:rPr>
          <w:rStyle w:val="59"/>
          <w:color w:val="auto"/>
          <w:highlight w:val="none"/>
          <w:vertAlign w:val="baseline"/>
        </w:rPr>
        <w:footnoteRef/>
      </w:r>
      <w:r>
        <w:rPr>
          <w:rFonts w:hint="eastAsia"/>
          <w:color w:val="auto"/>
          <w:highlight w:val="none"/>
          <w:lang w:val="en-US" w:eastAsia="zh-CN"/>
        </w:rPr>
        <w:t xml:space="preserve"> </w:t>
      </w:r>
      <w:r>
        <w:rPr>
          <w:color w:val="auto"/>
          <w:highlight w:val="none"/>
        </w:rPr>
        <w:t xml:space="preserve"> </w:t>
      </w:r>
      <w:r>
        <w:rPr>
          <w:rFonts w:hint="eastAsia"/>
          <w:color w:val="auto"/>
          <w:highlight w:val="none"/>
        </w:rPr>
        <w:t>提交银行保函</w:t>
      </w:r>
      <w:r>
        <w:rPr>
          <w:color w:val="auto"/>
          <w:highlight w:val="none"/>
        </w:rPr>
        <w:t>的</w:t>
      </w:r>
      <w:r>
        <w:rPr>
          <w:rFonts w:hint="eastAsia"/>
          <w:color w:val="auto"/>
          <w:highlight w:val="none"/>
        </w:rPr>
        <w:t>担保机构的</w:t>
      </w:r>
      <w:r>
        <w:rPr>
          <w:color w:val="auto"/>
          <w:highlight w:val="none"/>
        </w:rPr>
        <w:t>法定</w:t>
      </w:r>
      <w:r>
        <w:rPr>
          <w:rFonts w:hint="eastAsia"/>
          <w:color w:val="auto"/>
          <w:highlight w:val="none"/>
        </w:rPr>
        <w:t>代表人或负责人（或其委托代理人）签字或加盖</w:t>
      </w:r>
      <w:r>
        <w:rPr>
          <w:color w:val="auto"/>
          <w:highlight w:val="none"/>
        </w:rPr>
        <w:t>签名章</w:t>
      </w:r>
      <w:r>
        <w:rPr>
          <w:rFonts w:hint="eastAsia"/>
          <w:color w:val="auto"/>
          <w:highlight w:val="none"/>
        </w:rPr>
        <w:t>。</w:t>
      </w:r>
    </w:p>
  </w:footnote>
  <w:footnote w:id="287">
    <w:p w14:paraId="280B2A71">
      <w:pPr>
        <w:pStyle w:val="38"/>
        <w:snapToGrid w:val="0"/>
        <w:ind w:left="360" w:hanging="360" w:hangingChars="200"/>
        <w:rPr>
          <w:rFonts w:hint="eastAsia"/>
          <w:color w:val="auto"/>
          <w:lang w:val="en-US" w:eastAsia="zh-CN"/>
        </w:rPr>
      </w:pPr>
      <w:r>
        <w:rPr>
          <w:rStyle w:val="51"/>
          <w:rFonts w:hint="eastAsia"/>
          <w:color w:val="auto"/>
          <w:vertAlign w:val="baseline"/>
        </w:rPr>
        <w:footnoteRef/>
      </w:r>
      <w:r>
        <w:rPr>
          <w:rFonts w:hint="eastAsia"/>
          <w:color w:val="auto"/>
          <w:vertAlign w:val="baseline"/>
        </w:rPr>
        <w:t xml:space="preserve"> </w:t>
      </w:r>
      <w:r>
        <w:rPr>
          <w:rFonts w:hint="eastAsia"/>
          <w:color w:val="auto"/>
          <w:lang w:val="en-US" w:eastAsia="zh-CN"/>
        </w:rPr>
        <w:t xml:space="preserve"> 招标范围包含机电工程施工时，应增加技术建议书对实施机电工程的下述方面进行阐述：</w:t>
      </w:r>
    </w:p>
    <w:p w14:paraId="5E1DEB8E">
      <w:pPr>
        <w:pStyle w:val="38"/>
        <w:numPr>
          <w:ilvl w:val="-1"/>
          <w:numId w:val="0"/>
        </w:numPr>
        <w:snapToGrid w:val="0"/>
        <w:ind w:left="357" w:leftChars="170" w:firstLine="0" w:firstLineChars="0"/>
        <w:rPr>
          <w:rFonts w:hint="eastAsia" w:ascii="宋体" w:hAnsi="宋体" w:cs="宋体"/>
          <w:color w:val="auto"/>
          <w:lang w:val="en-US" w:eastAsia="zh-CN"/>
        </w:rPr>
      </w:pPr>
      <w:r>
        <w:rPr>
          <w:rFonts w:hint="eastAsia" w:ascii="宋体" w:hAnsi="宋体" w:cs="宋体"/>
          <w:color w:val="auto"/>
          <w:lang w:val="en-US" w:eastAsia="zh-CN"/>
        </w:rPr>
        <w:t>a.系统培训计划；</w:t>
      </w:r>
    </w:p>
    <w:p w14:paraId="009B30B4">
      <w:pPr>
        <w:pStyle w:val="38"/>
        <w:numPr>
          <w:ilvl w:val="-1"/>
          <w:numId w:val="0"/>
        </w:numPr>
        <w:snapToGrid w:val="0"/>
        <w:ind w:left="357" w:leftChars="170" w:firstLine="0" w:firstLineChars="0"/>
        <w:rPr>
          <w:rFonts w:hint="eastAsia" w:ascii="宋体" w:hAnsi="宋体" w:cs="宋体"/>
          <w:color w:val="auto"/>
          <w:lang w:val="en-US" w:eastAsia="zh-CN"/>
        </w:rPr>
      </w:pPr>
      <w:r>
        <w:rPr>
          <w:rFonts w:hint="eastAsia" w:ascii="宋体" w:hAnsi="宋体" w:cs="宋体"/>
          <w:color w:val="auto"/>
          <w:lang w:val="en-US" w:eastAsia="zh-CN"/>
        </w:rPr>
        <w:t>b.售后服务措施；</w:t>
      </w:r>
    </w:p>
    <w:p w14:paraId="0D58362D">
      <w:pPr>
        <w:pStyle w:val="38"/>
        <w:numPr>
          <w:ilvl w:val="-1"/>
          <w:numId w:val="0"/>
        </w:numPr>
        <w:snapToGrid w:val="0"/>
        <w:ind w:left="357" w:leftChars="170" w:firstLine="0" w:firstLineChars="0"/>
        <w:rPr>
          <w:rFonts w:hint="eastAsia" w:ascii="宋体" w:hAnsi="宋体" w:cs="宋体"/>
          <w:color w:val="auto"/>
          <w:lang w:val="en-US" w:eastAsia="zh-CN"/>
        </w:rPr>
      </w:pPr>
      <w:r>
        <w:rPr>
          <w:rFonts w:hint="eastAsia" w:ascii="宋体" w:hAnsi="宋体" w:cs="宋体"/>
          <w:color w:val="auto"/>
          <w:lang w:val="en-US" w:eastAsia="zh-CN"/>
        </w:rPr>
        <w:t>c.投标人的技术方案</w:t>
      </w:r>
      <w:r>
        <w:rPr>
          <w:rFonts w:hint="eastAsia" w:ascii="宋体" w:hAnsi="宋体" w:eastAsia="宋体" w:cs="宋体"/>
          <w:color w:val="auto"/>
          <w:lang w:val="en-US" w:eastAsia="zh-CN"/>
        </w:rPr>
        <w:t>和说明</w:t>
      </w:r>
      <w:r>
        <w:rPr>
          <w:rFonts w:hint="eastAsia" w:ascii="宋体" w:hAnsi="宋体" w:cs="宋体"/>
          <w:color w:val="auto"/>
          <w:lang w:val="en-US" w:eastAsia="zh-CN"/>
        </w:rPr>
        <w:t>；</w:t>
      </w:r>
    </w:p>
    <w:p w14:paraId="6621B3F4">
      <w:pPr>
        <w:pStyle w:val="38"/>
        <w:numPr>
          <w:ilvl w:val="-1"/>
          <w:numId w:val="0"/>
        </w:numPr>
        <w:snapToGrid w:val="0"/>
        <w:ind w:left="357" w:leftChars="170" w:firstLine="0" w:firstLineChars="0"/>
        <w:rPr>
          <w:rFonts w:hint="eastAsia" w:ascii="宋体" w:hAnsi="宋体" w:cs="宋体"/>
          <w:color w:val="auto"/>
          <w:lang w:val="en-US" w:eastAsia="zh-CN"/>
        </w:rPr>
      </w:pPr>
      <w:r>
        <w:rPr>
          <w:rFonts w:hint="eastAsia" w:ascii="宋体" w:hAnsi="宋体" w:cs="宋体"/>
          <w:color w:val="auto"/>
          <w:lang w:val="en-US" w:eastAsia="zh-CN"/>
        </w:rPr>
        <w:t>d.对关键机电设备</w:t>
      </w:r>
      <w:r>
        <w:rPr>
          <w:rFonts w:hint="eastAsia" w:ascii="宋体" w:hAnsi="宋体" w:eastAsia="宋体" w:cs="宋体"/>
          <w:color w:val="auto"/>
          <w:lang w:val="en-US" w:eastAsia="zh-CN"/>
        </w:rPr>
        <w:t>、重要设备</w:t>
      </w:r>
      <w:r>
        <w:rPr>
          <w:rFonts w:hint="eastAsia" w:ascii="宋体" w:hAnsi="宋体" w:cs="宋体"/>
          <w:color w:val="auto"/>
          <w:lang w:val="en-US" w:eastAsia="zh-CN"/>
        </w:rPr>
        <w:t>的免费维护期的承诺；</w:t>
      </w:r>
    </w:p>
    <w:p w14:paraId="567A4386">
      <w:pPr>
        <w:pStyle w:val="38"/>
        <w:numPr>
          <w:ilvl w:val="-1"/>
          <w:numId w:val="0"/>
        </w:numPr>
        <w:snapToGrid w:val="0"/>
        <w:ind w:left="357" w:leftChars="170" w:firstLine="0" w:firstLineChars="0"/>
        <w:rPr>
          <w:rFonts w:hint="eastAsia" w:ascii="宋体" w:hAnsi="宋体" w:cs="宋体"/>
          <w:color w:val="auto"/>
          <w:lang w:val="en-US" w:eastAsia="zh-CN"/>
        </w:rPr>
      </w:pPr>
      <w:r>
        <w:rPr>
          <w:rFonts w:hint="eastAsia" w:ascii="宋体" w:hAnsi="宋体" w:cs="宋体"/>
          <w:color w:val="auto"/>
          <w:lang w:val="en-US" w:eastAsia="zh-CN"/>
        </w:rPr>
        <w:t>e.顺利接入四川省公路机电系统的测试承诺；</w:t>
      </w:r>
    </w:p>
    <w:p w14:paraId="35E7585F">
      <w:pPr>
        <w:pStyle w:val="38"/>
        <w:numPr>
          <w:ilvl w:val="-1"/>
          <w:numId w:val="0"/>
        </w:numPr>
        <w:snapToGrid w:val="0"/>
        <w:ind w:left="357" w:leftChars="170" w:firstLine="0" w:firstLineChars="0"/>
        <w:rPr>
          <w:rFonts w:hint="eastAsia" w:eastAsia="宋体"/>
          <w:color w:val="auto"/>
          <w:lang w:val="en-US" w:eastAsia="zh-CN"/>
        </w:rPr>
      </w:pPr>
      <w:r>
        <w:rPr>
          <w:rFonts w:hint="eastAsia" w:ascii="宋体" w:hAnsi="宋体" w:cs="宋体"/>
          <w:color w:val="auto"/>
          <w:lang w:val="en-US" w:eastAsia="zh-CN"/>
        </w:rPr>
        <w:t>f.投标人的合理化建议</w:t>
      </w:r>
      <w:r>
        <w:rPr>
          <w:rFonts w:hint="eastAsia" w:ascii="宋体" w:hAnsi="宋体" w:cs="宋体"/>
          <w:color w:val="auto"/>
          <w:sz w:val="18"/>
          <w:szCs w:val="18"/>
        </w:rPr>
        <w:t>（如对招标设备的规格、性能、材质、配套货物提出更为合理的替代方案等，如有）</w:t>
      </w:r>
      <w:r>
        <w:rPr>
          <w:rFonts w:hint="eastAsia" w:ascii="宋体" w:hAnsi="宋体" w:cs="宋体"/>
          <w:color w:val="auto"/>
          <w:lang w:val="en-US" w:eastAsia="zh-CN"/>
        </w:rPr>
        <w:t>；g.提供备品备件、测试设备和专用工具的价格优惠承诺。</w:t>
      </w:r>
    </w:p>
  </w:footnote>
  <w:footnote w:id="288">
    <w:p w14:paraId="58C50D6C">
      <w:pPr>
        <w:pStyle w:val="38"/>
        <w:rPr>
          <w:rFonts w:hint="eastAsia" w:ascii="宋体" w:hAnsi="宋体" w:eastAsia="宋体" w:cs="宋体"/>
          <w:color w:val="auto"/>
          <w:highlight w:val="none"/>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招标人要求的</w:t>
      </w:r>
      <w:r>
        <w:rPr>
          <w:rFonts w:hint="eastAsia" w:ascii="宋体" w:hAnsi="宋体" w:cs="宋体"/>
          <w:color w:val="auto"/>
          <w:highlight w:val="none"/>
          <w:lang w:val="en-US" w:eastAsia="zh-CN"/>
        </w:rPr>
        <w:t>施工</w:t>
      </w:r>
      <w:r>
        <w:rPr>
          <w:rFonts w:hint="eastAsia" w:ascii="宋体" w:hAnsi="宋体" w:eastAsia="宋体" w:cs="宋体"/>
          <w:color w:val="auto"/>
          <w:highlight w:val="none"/>
        </w:rPr>
        <w:t>资质有多个时应附全部要求的资质证书。</w:t>
      </w:r>
    </w:p>
  </w:footnote>
  <w:footnote w:id="289">
    <w:p w14:paraId="2CEBE75B">
      <w:pPr>
        <w:pStyle w:val="38"/>
        <w:ind w:left="360" w:hanging="360" w:hangingChars="200"/>
        <w:jc w:val="both"/>
        <w:rPr>
          <w:rFonts w:ascii="宋体" w:hAnsi="宋体"/>
          <w:color w:val="auto"/>
          <w:szCs w:val="21"/>
          <w:highlight w:val="none"/>
        </w:rPr>
      </w:pPr>
      <w:r>
        <w:rPr>
          <w:rStyle w:val="59"/>
          <w:rFonts w:ascii="宋体" w:hAnsi="宋体"/>
          <w:color w:val="auto"/>
          <w:highlight w:val="none"/>
          <w:vertAlign w:val="baseline"/>
        </w:rPr>
        <w:footnoteRef/>
      </w:r>
      <w:r>
        <w:rPr>
          <w:rFonts w:ascii="宋体" w:hAnsi="宋体"/>
          <w:color w:val="auto"/>
          <w:highlight w:val="none"/>
        </w:rPr>
        <w:t xml:space="preserve"> </w:t>
      </w:r>
      <w:bookmarkStart w:id="977" w:name="_Hlk94029065"/>
      <w:r>
        <w:rPr>
          <w:rFonts w:hint="eastAsia" w:ascii="宋体" w:hAnsi="宋体"/>
          <w:color w:val="auto"/>
          <w:highlight w:val="none"/>
          <w:lang w:val="en-US" w:eastAsia="zh-CN"/>
        </w:rPr>
        <w:t xml:space="preserve"> </w:t>
      </w:r>
      <w:r>
        <w:rPr>
          <w:rFonts w:ascii="宋体" w:hAnsi="宋体"/>
          <w:color w:val="auto"/>
          <w:highlight w:val="none"/>
        </w:rPr>
        <w:t>a.</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p>
    <w:p w14:paraId="2F316174">
      <w:pPr>
        <w:pStyle w:val="38"/>
        <w:wordWrap w:val="0"/>
        <w:ind w:left="0" w:hanging="360" w:hangingChars="200"/>
        <w:jc w:val="both"/>
        <w:rPr>
          <w:rFonts w:ascii="宋体" w:hAnsi="宋体"/>
          <w:color w:val="auto"/>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b.</w:t>
      </w:r>
      <w:bookmarkEnd w:id="977"/>
      <w:r>
        <w:rPr>
          <w:rFonts w:hint="eastAsia" w:ascii="宋体" w:hAnsi="宋体"/>
          <w:color w:val="auto"/>
          <w:highlight w:val="none"/>
        </w:rPr>
        <w:t>投标人名称和资质有变</w:t>
      </w:r>
      <w:r>
        <w:rPr>
          <w:rFonts w:hint="eastAsia" w:ascii="宋体" w:hAnsi="宋体"/>
          <w:color w:val="auto"/>
          <w:szCs w:val="21"/>
          <w:highlight w:val="none"/>
        </w:rPr>
        <w:t>更，与交通运输部“</w:t>
      </w:r>
      <w:r>
        <w:rPr>
          <w:rFonts w:hint="eastAsia" w:ascii="宋体" w:hAnsi="宋体" w:cs="Times New Roman"/>
          <w:color w:val="auto"/>
          <w:kern w:val="2"/>
          <w:szCs w:val="21"/>
          <w:highlight w:val="none"/>
          <w:lang w:eastAsia="zh-CN"/>
        </w:rPr>
        <w:t>全国公路建设市场监督管理系统（https://hwdms.mot.gov.cn/BMWebSite/）</w:t>
      </w:r>
      <w:r>
        <w:rPr>
          <w:rFonts w:hint="eastAsia" w:ascii="宋体" w:hAnsi="宋体"/>
          <w:color w:val="auto"/>
          <w:szCs w:val="21"/>
          <w:highlight w:val="none"/>
        </w:rPr>
        <w:t>”</w:t>
      </w:r>
      <w:r>
        <w:rPr>
          <w:rFonts w:ascii="宋体" w:hAnsi="宋体"/>
          <w:color w:val="auto"/>
          <w:highlight w:val="none"/>
        </w:rPr>
        <w:t>中的</w:t>
      </w:r>
      <w:r>
        <w:rPr>
          <w:rFonts w:hint="eastAsia" w:ascii="宋体" w:hAnsi="宋体"/>
          <w:color w:val="auto"/>
          <w:highlight w:val="none"/>
        </w:rPr>
        <w:t>“</w:t>
      </w:r>
      <w:r>
        <w:rPr>
          <w:rFonts w:ascii="宋体" w:hAnsi="宋体"/>
          <w:color w:val="auto"/>
          <w:highlight w:val="none"/>
        </w:rPr>
        <w:t>公路</w:t>
      </w:r>
      <w:r>
        <w:rPr>
          <w:rFonts w:hint="eastAsia" w:ascii="宋体" w:hAnsi="宋体"/>
          <w:color w:val="auto"/>
          <w:highlight w:val="none"/>
        </w:rPr>
        <w:t>工程施工资质</w:t>
      </w:r>
      <w:r>
        <w:rPr>
          <w:rFonts w:ascii="宋体" w:hAnsi="宋体"/>
          <w:color w:val="auto"/>
          <w:highlight w:val="none"/>
        </w:rPr>
        <w:t>企业名录</w:t>
      </w:r>
      <w:r>
        <w:rPr>
          <w:rFonts w:hint="eastAsia" w:ascii="宋体" w:hAnsi="宋体"/>
          <w:color w:val="auto"/>
          <w:highlight w:val="none"/>
        </w:rPr>
        <w:t>”中的相应企业名称和资质不一致时，投标人应提供相关证明材料。</w:t>
      </w:r>
    </w:p>
  </w:footnote>
  <w:footnote w:id="290">
    <w:p w14:paraId="6ABD4AE3">
      <w:pPr>
        <w:pStyle w:val="38"/>
        <w:ind w:left="360" w:hanging="360" w:hangingChars="200"/>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招标人根据项目实际情况</w:t>
      </w:r>
      <w:r>
        <w:rPr>
          <w:rFonts w:hint="eastAsia" w:asciiTheme="minorEastAsia" w:hAnsiTheme="minorEastAsia" w:eastAsiaTheme="minorEastAsia"/>
          <w:color w:val="auto"/>
          <w:highlight w:val="none"/>
        </w:rPr>
        <w:t>按照第二章“投标人须知”</w:t>
      </w:r>
      <w:r>
        <w:rPr>
          <w:rFonts w:hint="eastAsia" w:asciiTheme="minorEastAsia" w:hAnsiTheme="minorEastAsia" w:eastAsiaTheme="minorEastAsia"/>
          <w:color w:val="auto"/>
          <w:highlight w:val="none"/>
          <w:lang w:val="en-US" w:eastAsia="zh-CN"/>
        </w:rPr>
        <w:t>前附表</w:t>
      </w:r>
      <w:r>
        <w:rPr>
          <w:rFonts w:hint="eastAsia" w:asciiTheme="minorEastAsia" w:hAnsiTheme="minorEastAsia" w:eastAsiaTheme="minorEastAsia"/>
          <w:color w:val="auto"/>
          <w:highlight w:val="none"/>
        </w:rPr>
        <w:t>附录</w:t>
      </w:r>
      <w:r>
        <w:rPr>
          <w:rFonts w:hint="eastAsia" w:asciiTheme="minorEastAsia" w:hAnsiTheme="minorEastAsia" w:eastAsiaTheme="minorEastAsia"/>
          <w:color w:val="auto"/>
          <w:highlight w:val="none"/>
          <w:lang w:val="en-US" w:eastAsia="zh-CN"/>
        </w:rPr>
        <w:t>2</w:t>
      </w:r>
      <w:r>
        <w:rPr>
          <w:rFonts w:hint="eastAsia" w:asciiTheme="minorEastAsia" w:hAnsiTheme="minorEastAsia" w:eastAsiaTheme="minorEastAsia"/>
          <w:color w:val="auto"/>
          <w:highlight w:val="none"/>
        </w:rPr>
        <w:t>资格审查条件</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财务最低要求</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的要求，设置的财务状况证明材料原则上为单选项。</w:t>
      </w:r>
      <w:r>
        <w:rPr>
          <w:rFonts w:hint="eastAsia"/>
          <w:color w:val="auto"/>
          <w:highlight w:val="none"/>
        </w:rPr>
        <w:t xml:space="preserve"> </w:t>
      </w:r>
    </w:p>
  </w:footnote>
  <w:footnote w:id="291">
    <w:p w14:paraId="7C1211E1">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以联合体形式投标的，</w:t>
      </w:r>
      <w:r>
        <w:rPr>
          <w:color w:val="auto"/>
          <w:highlight w:val="none"/>
        </w:rPr>
        <w:t>由</w:t>
      </w:r>
      <w:r>
        <w:rPr>
          <w:rFonts w:hint="eastAsia"/>
          <w:color w:val="auto"/>
          <w:highlight w:val="none"/>
        </w:rPr>
        <w:t>联合体牵头人盖单位电子印章。</w:t>
      </w:r>
    </w:p>
  </w:footnote>
  <w:footnote w:id="292">
    <w:p w14:paraId="77106881">
      <w:pPr>
        <w:pStyle w:val="38"/>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以联合体形式投标的，由联合体牵头人的法定代表人</w:t>
      </w:r>
      <w:r>
        <w:rPr>
          <w:color w:val="auto"/>
          <w:highlight w:val="none"/>
        </w:rPr>
        <w:t>或其委托</w:t>
      </w:r>
      <w:r>
        <w:rPr>
          <w:rFonts w:hint="eastAsia"/>
          <w:color w:val="auto"/>
          <w:highlight w:val="none"/>
        </w:rPr>
        <w:t>代理人加</w:t>
      </w:r>
      <w:r>
        <w:rPr>
          <w:rFonts w:hint="eastAsia" w:ascii="宋体" w:hAnsi="宋体"/>
          <w:color w:val="auto"/>
          <w:szCs w:val="21"/>
          <w:highlight w:val="none"/>
        </w:rPr>
        <w:t>盖个人电子签名章</w:t>
      </w:r>
      <w:r>
        <w:rPr>
          <w:rFonts w:hint="eastAsia" w:ascii="宋体" w:hAnsi="宋体"/>
          <w:color w:val="auto"/>
          <w:szCs w:val="21"/>
          <w:highlight w:val="none"/>
          <w:lang w:val="en-US" w:eastAsia="zh-CN"/>
        </w:rPr>
        <w:t>或个人电子印章</w:t>
      </w:r>
      <w:r>
        <w:rPr>
          <w:rFonts w:hint="eastAsia"/>
          <w:color w:val="auto"/>
          <w:highlight w:val="none"/>
        </w:rPr>
        <w:t>。</w:t>
      </w:r>
    </w:p>
  </w:footnote>
  <w:footnote w:id="293">
    <w:p w14:paraId="2FDD309D">
      <w:pPr>
        <w:pStyle w:val="38"/>
        <w:snapToGrid w:val="0"/>
        <w:rPr>
          <w:rFonts w:hint="default" w:eastAsia="宋体"/>
          <w:color w:val="auto"/>
          <w:lang w:val="en-US" w:eastAsia="zh-CN"/>
        </w:rPr>
      </w:pPr>
      <w:r>
        <w:rPr>
          <w:rStyle w:val="59"/>
          <w:color w:val="auto"/>
          <w:vertAlign w:val="baseline"/>
        </w:rPr>
        <w:footnoteRef/>
      </w:r>
      <w:r>
        <w:rPr>
          <w:color w:val="auto"/>
          <w:vertAlign w:val="baseline"/>
        </w:rPr>
        <w:t xml:space="preserve"> </w:t>
      </w:r>
      <w:r>
        <w:rPr>
          <w:rFonts w:hint="eastAsia"/>
          <w:color w:val="auto"/>
          <w:lang w:val="en-US" w:eastAsia="zh-CN"/>
        </w:rPr>
        <w:t xml:space="preserve"> </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前附表附录3</w:t>
      </w:r>
      <w:r>
        <w:rPr>
          <w:rFonts w:hint="eastAsia" w:ascii="宋体" w:hAnsi="宋体" w:cs="宋体"/>
          <w:color w:val="auto"/>
          <w:highlight w:val="none"/>
        </w:rPr>
        <w:t>资格审查条件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业绩最低要求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第三章“评标办法”详细评审打分未作</w:t>
      </w:r>
      <w:r>
        <w:rPr>
          <w:rFonts w:hint="eastAsia" w:ascii="宋体" w:hAnsi="宋体" w:cs="宋体"/>
          <w:color w:val="auto"/>
          <w:highlight w:val="none"/>
        </w:rPr>
        <w:t>要求</w:t>
      </w:r>
      <w:r>
        <w:rPr>
          <w:rFonts w:hint="eastAsia" w:ascii="宋体" w:hAnsi="宋体" w:cs="宋体"/>
          <w:color w:val="auto"/>
          <w:highlight w:val="none"/>
          <w:lang w:val="en-US" w:eastAsia="zh-CN"/>
        </w:rPr>
        <w:t>的分项业绩表可删去，对应表格组成序号顺次修改。</w:t>
      </w:r>
    </w:p>
  </w:footnote>
  <w:footnote w:id="294">
    <w:p w14:paraId="7F31063F">
      <w:pPr>
        <w:pStyle w:val="38"/>
        <w:ind w:left="360" w:hanging="360" w:hangingChars="200"/>
        <w:jc w:val="both"/>
        <w:rPr>
          <w:rFonts w:hint="default"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r>
        <w:rPr>
          <w:rFonts w:hint="eastAsia" w:ascii="宋体" w:hAnsi="宋体"/>
          <w:color w:val="auto"/>
          <w:szCs w:val="21"/>
          <w:highlight w:val="none"/>
          <w:lang w:val="en-US" w:eastAsia="zh-CN"/>
        </w:rPr>
        <w:t>否则，招标人可对相关业绩提出其他证明材料要求。</w:t>
      </w:r>
    </w:p>
  </w:footnote>
  <w:footnote w:id="295">
    <w:p w14:paraId="6B4C8DA6">
      <w:pPr>
        <w:pStyle w:val="38"/>
        <w:ind w:left="360" w:hanging="360" w:hangingChars="200"/>
        <w:jc w:val="both"/>
        <w:rPr>
          <w:rFonts w:hint="default"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r>
        <w:rPr>
          <w:rFonts w:hint="eastAsia" w:ascii="宋体" w:hAnsi="宋体"/>
          <w:color w:val="auto"/>
          <w:szCs w:val="21"/>
          <w:highlight w:val="none"/>
          <w:lang w:val="en-US" w:eastAsia="zh-CN"/>
        </w:rPr>
        <w:t>否则，招标人可对相关业绩提出其他证明材料要求。</w:t>
      </w:r>
    </w:p>
  </w:footnote>
  <w:footnote w:id="296">
    <w:p w14:paraId="614B347D">
      <w:pPr>
        <w:pStyle w:val="38"/>
        <w:ind w:left="360" w:hanging="360" w:hangingChars="200"/>
        <w:jc w:val="both"/>
        <w:rPr>
          <w:rFonts w:hint="default"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r>
        <w:rPr>
          <w:rFonts w:hint="eastAsia" w:ascii="宋体" w:hAnsi="宋体"/>
          <w:color w:val="auto"/>
          <w:szCs w:val="21"/>
          <w:highlight w:val="none"/>
          <w:lang w:val="en-US" w:eastAsia="zh-CN"/>
        </w:rPr>
        <w:t>否则，招标人可对相关业绩提出其他证明材料要求。</w:t>
      </w:r>
    </w:p>
  </w:footnote>
  <w:footnote w:id="297">
    <w:p w14:paraId="0BE3DBD3">
      <w:pPr>
        <w:pStyle w:val="38"/>
        <w:ind w:left="360" w:hanging="360" w:hangingChars="200"/>
        <w:jc w:val="both"/>
        <w:rPr>
          <w:rFonts w:hint="default"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r>
        <w:rPr>
          <w:rFonts w:hint="eastAsia" w:ascii="宋体" w:hAnsi="宋体"/>
          <w:color w:val="auto"/>
          <w:szCs w:val="21"/>
          <w:highlight w:val="none"/>
          <w:lang w:val="en-US" w:eastAsia="zh-CN"/>
        </w:rPr>
        <w:t>否则，招标人可对相关业绩提出其他证明材料要求。</w:t>
      </w:r>
    </w:p>
  </w:footnote>
  <w:footnote w:id="298">
    <w:p w14:paraId="1A577AC9">
      <w:pPr>
        <w:pStyle w:val="38"/>
        <w:ind w:left="360" w:hanging="360" w:hangingChars="200"/>
        <w:jc w:val="both"/>
        <w:rPr>
          <w:rFonts w:hint="default"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r>
        <w:rPr>
          <w:rFonts w:hint="eastAsia" w:ascii="宋体" w:hAnsi="宋体"/>
          <w:color w:val="auto"/>
          <w:szCs w:val="21"/>
          <w:highlight w:val="none"/>
          <w:lang w:val="en-US" w:eastAsia="zh-CN"/>
        </w:rPr>
        <w:t>否则，招标人可对相关业绩提出其他证明材料要求。</w:t>
      </w:r>
    </w:p>
  </w:footnote>
  <w:footnote w:id="299">
    <w:p w14:paraId="758B3063">
      <w:pPr>
        <w:pStyle w:val="38"/>
        <w:ind w:left="360" w:hanging="360" w:hangingChars="200"/>
        <w:jc w:val="both"/>
        <w:rPr>
          <w:rFonts w:hint="default"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r>
        <w:rPr>
          <w:rFonts w:hint="eastAsia" w:ascii="宋体" w:hAnsi="宋体"/>
          <w:color w:val="auto"/>
          <w:szCs w:val="21"/>
          <w:highlight w:val="none"/>
          <w:lang w:val="en-US" w:eastAsia="zh-CN"/>
        </w:rPr>
        <w:t>否则，招标人可对相关业绩提出其他证明材料要求。</w:t>
      </w:r>
    </w:p>
  </w:footnote>
  <w:footnote w:id="300">
    <w:p w14:paraId="34D12FDE">
      <w:pPr>
        <w:pStyle w:val="38"/>
        <w:ind w:left="360" w:hanging="360" w:hangingChars="200"/>
        <w:jc w:val="both"/>
        <w:rPr>
          <w:rFonts w:hint="default" w:ascii="宋体" w:hAnsi="宋体" w:eastAsia="宋体"/>
          <w:color w:val="auto"/>
          <w:highlight w:val="none"/>
          <w:lang w:val="en-US" w:eastAsia="zh-CN"/>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r>
        <w:rPr>
          <w:rFonts w:hint="eastAsia" w:ascii="宋体" w:hAnsi="宋体"/>
          <w:color w:val="auto"/>
          <w:szCs w:val="21"/>
          <w:highlight w:val="none"/>
          <w:lang w:val="en-US" w:eastAsia="zh-CN"/>
        </w:rPr>
        <w:t>否则，招标人可对相关业绩提出其他证明材料要求。</w:t>
      </w:r>
    </w:p>
  </w:footnote>
  <w:footnote w:id="301">
    <w:p w14:paraId="4AF44F5F">
      <w:pPr>
        <w:pStyle w:val="38"/>
        <w:snapToGrid w:val="0"/>
        <w:rPr>
          <w:rFonts w:hint="eastAsia" w:eastAsia="宋体"/>
          <w:color w:val="auto"/>
          <w:highlight w:val="none"/>
          <w:lang w:val="en-US" w:eastAsia="zh-CN"/>
        </w:rPr>
      </w:pPr>
      <w:r>
        <w:rPr>
          <w:rStyle w:val="59"/>
          <w:color w:val="auto"/>
          <w:highlight w:val="none"/>
          <w:vertAlign w:val="baseline"/>
        </w:rPr>
        <w:footnoteRef/>
      </w:r>
      <w:r>
        <w:rPr>
          <w:color w:val="auto"/>
          <w:highlight w:val="none"/>
          <w:vertAlign w:val="baseline"/>
        </w:rPr>
        <w:t xml:space="preserve"> </w:t>
      </w:r>
      <w:r>
        <w:rPr>
          <w:rFonts w:hint="eastAsia"/>
          <w:color w:val="auto"/>
          <w:highlight w:val="none"/>
          <w:vertAlign w:val="baseline"/>
          <w:lang w:val="en-US" w:eastAsia="zh-CN"/>
        </w:rPr>
        <w:t xml:space="preserve"> 适用于</w:t>
      </w:r>
      <w:r>
        <w:rPr>
          <w:rFonts w:hint="eastAsia" w:ascii="宋体" w:hAnsi="宋体" w:cs="宋体"/>
          <w:color w:val="auto"/>
          <w:szCs w:val="21"/>
          <w:highlight w:val="none"/>
          <w:lang w:val="en-US" w:eastAsia="zh-CN"/>
        </w:rPr>
        <w:t>招标人设定的业绩为</w:t>
      </w:r>
      <w:r>
        <w:rPr>
          <w:rFonts w:hint="eastAsia" w:ascii="宋体" w:hAnsi="宋体" w:cs="宋体"/>
          <w:color w:val="auto"/>
          <w:szCs w:val="21"/>
          <w:highlight w:val="none"/>
        </w:rPr>
        <w:t>房建工程</w:t>
      </w:r>
      <w:r>
        <w:rPr>
          <w:rFonts w:hint="eastAsia" w:ascii="宋体" w:hAnsi="宋体" w:cs="宋体"/>
          <w:color w:val="auto"/>
          <w:szCs w:val="21"/>
          <w:highlight w:val="none"/>
          <w:lang w:eastAsia="zh-CN"/>
        </w:rPr>
        <w:t>或市政类</w:t>
      </w:r>
      <w:r>
        <w:rPr>
          <w:rFonts w:hint="eastAsia" w:ascii="宋体" w:hAnsi="宋体" w:cs="宋体"/>
          <w:color w:val="auto"/>
          <w:szCs w:val="21"/>
          <w:highlight w:val="none"/>
        </w:rPr>
        <w:t>施工项目</w:t>
      </w:r>
      <w:r>
        <w:rPr>
          <w:rFonts w:hint="eastAsia" w:ascii="宋体" w:hAnsi="宋体" w:cs="宋体"/>
          <w:color w:val="auto"/>
          <w:szCs w:val="21"/>
          <w:highlight w:val="none"/>
          <w:lang w:val="en-US" w:eastAsia="zh-CN"/>
        </w:rPr>
        <w:t>。</w:t>
      </w:r>
    </w:p>
  </w:footnote>
  <w:footnote w:id="302">
    <w:p w14:paraId="6210EDDC">
      <w:pPr>
        <w:pStyle w:val="38"/>
        <w:rPr>
          <w:rFonts w:hint="default" w:eastAsia="宋体"/>
          <w:color w:val="auto"/>
          <w:highlight w:val="none"/>
          <w:lang w:val="en-US" w:eastAsia="zh-CN"/>
        </w:rPr>
      </w:pPr>
      <w:r>
        <w:rPr>
          <w:rStyle w:val="59"/>
          <w:rFonts w:asciiTheme="minorEastAsia" w:hAnsiTheme="minorEastAsia" w:eastAsiaTheme="minorEastAsia"/>
          <w:color w:val="auto"/>
          <w:highlight w:val="none"/>
          <w:vertAlign w:val="baseline"/>
        </w:rPr>
        <w:footnoteRef/>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val="en-US" w:eastAsia="zh-CN"/>
        </w:rPr>
        <w:t xml:space="preserve"> </w:t>
      </w:r>
      <w:r>
        <w:rPr>
          <w:rFonts w:hint="eastAsia"/>
          <w:color w:val="auto"/>
          <w:highlight w:val="none"/>
        </w:rPr>
        <w:t>招标人</w:t>
      </w:r>
      <w:r>
        <w:rPr>
          <w:color w:val="auto"/>
          <w:highlight w:val="none"/>
        </w:rPr>
        <w:t>选择</w:t>
      </w:r>
      <w:r>
        <w:rPr>
          <w:rFonts w:hint="eastAsia"/>
          <w:color w:val="auto"/>
          <w:highlight w:val="none"/>
        </w:rPr>
        <w:t>前列表格</w:t>
      </w:r>
      <w:r>
        <w:rPr>
          <w:color w:val="auto"/>
          <w:highlight w:val="none"/>
        </w:rPr>
        <w:t>以外的业绩</w:t>
      </w:r>
      <w:r>
        <w:rPr>
          <w:rFonts w:hint="eastAsia"/>
          <w:color w:val="auto"/>
          <w:highlight w:val="none"/>
        </w:rPr>
        <w:t>类型</w:t>
      </w:r>
      <w:r>
        <w:rPr>
          <w:color w:val="auto"/>
          <w:highlight w:val="none"/>
        </w:rPr>
        <w:t>时</w:t>
      </w:r>
      <w:r>
        <w:rPr>
          <w:rFonts w:hint="eastAsia"/>
          <w:color w:val="auto"/>
          <w:highlight w:val="none"/>
        </w:rPr>
        <w:t>，</w:t>
      </w:r>
      <w:r>
        <w:rPr>
          <w:color w:val="auto"/>
          <w:highlight w:val="none"/>
        </w:rPr>
        <w:t>可在此进行投标文件格式约定。</w:t>
      </w:r>
    </w:p>
  </w:footnote>
  <w:footnote w:id="303">
    <w:p w14:paraId="2186E727">
      <w:pPr>
        <w:pStyle w:val="38"/>
        <w:wordWrap w:val="0"/>
        <w:jc w:val="left"/>
        <w:rPr>
          <w:rFonts w:hint="eastAsia" w:ascii="宋体" w:hAnsi="宋体" w:cs="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w:t>
      </w:r>
      <w:r>
        <w:rPr>
          <w:rFonts w:hint="eastAsia" w:ascii="宋体" w:hAnsi="宋体" w:cs="宋体"/>
          <w:color w:val="auto"/>
          <w:szCs w:val="18"/>
          <w:highlight w:val="none"/>
        </w:rPr>
        <w:t>据《关于发布公路工程从业企业资质名录的通知》（厅公路字〔2011〕114号）要求，招标人应通过名录对投标人资质条件进行审核的公路施工企业。</w:t>
      </w:r>
    </w:p>
  </w:footnote>
  <w:footnote w:id="304">
    <w:p w14:paraId="5FAD1B8E">
      <w:pPr>
        <w:pStyle w:val="38"/>
        <w:wordWrap w:val="0"/>
        <w:snapToGrid w:val="0"/>
        <w:ind w:left="360" w:hanging="360" w:hangingChars="200"/>
        <w:rPr>
          <w:color w:val="auto"/>
          <w:highlight w:val="none"/>
        </w:rPr>
      </w:pPr>
      <w:r>
        <w:rPr>
          <w:rStyle w:val="51"/>
          <w:rFonts w:hint="eastAsia" w:ascii="宋体" w:hAnsi="宋体" w:cs="宋体"/>
          <w:color w:val="auto"/>
          <w:highlight w:val="none"/>
          <w:vertAlign w:val="baseline"/>
        </w:rPr>
        <w:footnoteRef/>
      </w:r>
      <w:r>
        <w:rPr>
          <w:rFonts w:hint="eastAsia" w:ascii="宋体" w:hAnsi="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本项业绩未列入</w:t>
      </w:r>
      <w:r>
        <w:rPr>
          <w:rFonts w:hint="eastAsia" w:ascii="宋体" w:hAnsi="宋体" w:cs="宋体"/>
          <w:color w:val="auto"/>
          <w:highlight w:val="none"/>
        </w:rPr>
        <w:t>交通运输部“</w:t>
      </w:r>
      <w:r>
        <w:rPr>
          <w:rFonts w:hint="eastAsia" w:ascii="宋体" w:hAnsi="宋体" w:cs="宋体"/>
          <w:color w:val="auto"/>
          <w:kern w:val="2"/>
          <w:szCs w:val="18"/>
          <w:highlight w:val="none"/>
          <w:lang w:eastAsia="zh-CN"/>
        </w:rPr>
        <w:t>全国公路建设市场监督管理系统（https://hwdms.mot.gov.cn/BMWebSite/）</w:t>
      </w:r>
      <w:r>
        <w:rPr>
          <w:rFonts w:hint="eastAsia" w:ascii="宋体" w:hAnsi="宋体" w:cs="宋体"/>
          <w:color w:val="auto"/>
          <w:highlight w:val="none"/>
        </w:rPr>
        <w:t>”中查询到的企业“业绩信息”</w:t>
      </w:r>
      <w:r>
        <w:rPr>
          <w:rFonts w:hint="eastAsia" w:ascii="宋体" w:hAnsi="宋体" w:cs="宋体"/>
          <w:color w:val="auto"/>
          <w:highlight w:val="none"/>
          <w:lang w:val="en-US" w:eastAsia="zh-CN"/>
        </w:rPr>
        <w:t>中的，招标人提出其他证明材料要求。</w:t>
      </w:r>
    </w:p>
  </w:footnote>
  <w:footnote w:id="305">
    <w:p w14:paraId="2DB4569A">
      <w:pPr>
        <w:pStyle w:val="38"/>
        <w:jc w:val="both"/>
        <w:rPr>
          <w:color w:val="auto"/>
          <w:highlight w:val="none"/>
        </w:rPr>
      </w:pPr>
      <w:r>
        <w:rPr>
          <w:rStyle w:val="59"/>
          <w:color w:val="auto"/>
          <w:highlight w:val="none"/>
          <w:vertAlign w:val="baseli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以</w:t>
      </w:r>
      <w:r>
        <w:rPr>
          <w:color w:val="auto"/>
          <w:highlight w:val="none"/>
        </w:rPr>
        <w:t>联合体形式投标的</w:t>
      </w:r>
      <w:r>
        <w:rPr>
          <w:rFonts w:hint="eastAsia"/>
          <w:color w:val="auto"/>
          <w:highlight w:val="none"/>
        </w:rPr>
        <w:t>，此处</w:t>
      </w:r>
      <w:r>
        <w:rPr>
          <w:color w:val="auto"/>
          <w:highlight w:val="none"/>
        </w:rPr>
        <w:t>指联合体</w:t>
      </w:r>
      <w:r>
        <w:rPr>
          <w:rFonts w:hint="eastAsia"/>
          <w:color w:val="auto"/>
          <w:highlight w:val="none"/>
        </w:rPr>
        <w:t>牵头人</w:t>
      </w:r>
      <w:r>
        <w:rPr>
          <w:color w:val="auto"/>
          <w:highlight w:val="none"/>
        </w:rPr>
        <w:t>及</w:t>
      </w:r>
      <w:r>
        <w:rPr>
          <w:rFonts w:hint="eastAsia"/>
          <w:color w:val="auto"/>
          <w:highlight w:val="none"/>
        </w:rPr>
        <w:t>所有成员方，并对应提供联合体各方的上述信誉情况</w:t>
      </w:r>
      <w:r>
        <w:rPr>
          <w:rFonts w:hint="eastAsia"/>
          <w:color w:val="auto"/>
          <w:highlight w:val="none"/>
          <w:lang w:val="en-US" w:eastAsia="zh-CN"/>
        </w:rPr>
        <w:t>资料</w:t>
      </w:r>
      <w:r>
        <w:rPr>
          <w:rFonts w:hint="eastAsia"/>
          <w:color w:val="auto"/>
          <w:highlight w:val="none"/>
        </w:rPr>
        <w:t>。</w:t>
      </w:r>
    </w:p>
  </w:footnote>
  <w:footnote w:id="306">
    <w:p w14:paraId="5CADF298">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s="宋体"/>
          <w:color w:val="auto"/>
          <w:szCs w:val="21"/>
          <w:highlight w:val="none"/>
        </w:rPr>
        <w:t>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信誉条件，根据招标文件第二章“投标人须知”前附表附录</w:t>
      </w:r>
      <w:r>
        <w:rPr>
          <w:rFonts w:ascii="宋体" w:hAnsi="宋体" w:cs="宋体"/>
          <w:color w:val="auto"/>
          <w:szCs w:val="21"/>
          <w:highlight w:val="none"/>
        </w:rPr>
        <w:t>4</w:t>
      </w:r>
      <w:r>
        <w:rPr>
          <w:rFonts w:hint="eastAsia" w:ascii="宋体" w:hAnsi="宋体" w:cs="宋体"/>
          <w:color w:val="auto"/>
          <w:szCs w:val="21"/>
          <w:highlight w:val="none"/>
        </w:rPr>
        <w:t>资格审查条件（信誉最低要求）的其他要求内容，</w:t>
      </w:r>
      <w:r>
        <w:rPr>
          <w:rFonts w:hint="eastAsia" w:ascii="宋体" w:hAnsi="宋体"/>
          <w:color w:val="auto"/>
          <w:highlight w:val="none"/>
        </w:rPr>
        <w:t>明确所需信誉情况资料</w:t>
      </w:r>
      <w:r>
        <w:rPr>
          <w:rFonts w:hint="eastAsia" w:ascii="宋体" w:hAnsi="宋体" w:cs="宋体"/>
          <w:color w:val="auto"/>
          <w:szCs w:val="21"/>
          <w:highlight w:val="none"/>
        </w:rPr>
        <w:t>。</w:t>
      </w:r>
    </w:p>
  </w:footnote>
  <w:footnote w:id="307">
    <w:p w14:paraId="2FC9FB0B">
      <w:pPr>
        <w:pStyle w:val="38"/>
        <w:ind w:left="360" w:hanging="360" w:hangingChars="200"/>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以联合体形式投标的</w:t>
      </w:r>
      <w:r>
        <w:rPr>
          <w:rFonts w:hint="eastAsia" w:ascii="宋体" w:hAnsi="宋体"/>
          <w:color w:val="auto"/>
          <w:highlight w:val="none"/>
          <w:lang w:eastAsia="zh-CN"/>
        </w:rPr>
        <w:t>，</w:t>
      </w:r>
      <w:r>
        <w:rPr>
          <w:rFonts w:hint="eastAsia" w:ascii="宋体" w:hAnsi="宋体"/>
          <w:color w:val="auto"/>
          <w:highlight w:val="none"/>
        </w:rPr>
        <w:t>“投标人名称及</w:t>
      </w:r>
      <w:bookmarkStart w:id="978" w:name="_Hlk52813809"/>
      <w:r>
        <w:rPr>
          <w:rFonts w:hint="eastAsia" w:ascii="宋体" w:hAnsi="宋体"/>
          <w:color w:val="auto"/>
          <w:highlight w:val="none"/>
        </w:rPr>
        <w:t>单位统一社会信用代码</w:t>
      </w:r>
      <w:bookmarkEnd w:id="978"/>
      <w:r>
        <w:rPr>
          <w:rFonts w:ascii="宋体" w:hAnsi="宋体"/>
          <w:color w:val="auto"/>
          <w:highlight w:val="none"/>
        </w:rPr>
        <w:t>、</w:t>
      </w:r>
      <w:r>
        <w:rPr>
          <w:rFonts w:hint="eastAsia" w:ascii="宋体" w:hAnsi="宋体"/>
          <w:color w:val="auto"/>
          <w:highlight w:val="none"/>
        </w:rPr>
        <w:t>法定代表人的</w:t>
      </w:r>
      <w:r>
        <w:rPr>
          <w:rFonts w:ascii="宋体" w:hAnsi="宋体"/>
          <w:color w:val="auto"/>
          <w:highlight w:val="none"/>
        </w:rPr>
        <w:t>姓名及身份证</w:t>
      </w:r>
      <w:r>
        <w:rPr>
          <w:rFonts w:hint="eastAsia" w:ascii="宋体" w:hAnsi="宋体"/>
          <w:color w:val="auto"/>
          <w:highlight w:val="none"/>
        </w:rPr>
        <w:t>号”应逐一写明联合体所有</w:t>
      </w:r>
      <w:r>
        <w:rPr>
          <w:rFonts w:ascii="宋体" w:hAnsi="宋体"/>
          <w:color w:val="auto"/>
          <w:highlight w:val="none"/>
        </w:rPr>
        <w:t>成员</w:t>
      </w:r>
      <w:r>
        <w:rPr>
          <w:rFonts w:hint="eastAsia" w:ascii="宋体" w:hAnsi="宋体"/>
          <w:color w:val="auto"/>
          <w:highlight w:val="none"/>
        </w:rPr>
        <w:t>的</w:t>
      </w:r>
      <w:r>
        <w:rPr>
          <w:rFonts w:ascii="宋体" w:hAnsi="宋体"/>
          <w:color w:val="auto"/>
          <w:highlight w:val="none"/>
        </w:rPr>
        <w:t>内容</w:t>
      </w:r>
      <w:r>
        <w:rPr>
          <w:rFonts w:hint="eastAsia" w:ascii="宋体" w:hAnsi="宋体"/>
          <w:color w:val="auto"/>
          <w:highlight w:val="none"/>
        </w:rPr>
        <w:t>。</w:t>
      </w:r>
    </w:p>
  </w:footnote>
  <w:footnote w:id="308">
    <w:p w14:paraId="7070F0E5">
      <w:pPr>
        <w:pStyle w:val="38"/>
        <w:jc w:val="both"/>
        <w:rPr>
          <w:rFonts w:ascii="宋体" w:hAnsi="宋体"/>
          <w:color w:val="auto"/>
          <w:highlight w:val="none"/>
        </w:rPr>
      </w:pPr>
      <w:r>
        <w:rPr>
          <w:rFonts w:ascii="宋体" w:hAnsi="宋体"/>
          <w:color w:val="auto"/>
          <w:highlight w:val="no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主要人员被列入资格审查条件时，相应的人员也须对该项信誉条件进行资格审查。</w:t>
      </w:r>
    </w:p>
  </w:footnote>
  <w:footnote w:id="309">
    <w:p w14:paraId="4F2E3A45">
      <w:pPr>
        <w:pStyle w:val="38"/>
        <w:rPr>
          <w:color w:val="auto"/>
          <w:highlight w:val="none"/>
        </w:rPr>
      </w:pPr>
      <w:r>
        <w:rPr>
          <w:rStyle w:val="59"/>
          <w:color w:val="auto"/>
          <w:highlight w:val="none"/>
          <w:vertAlign w:val="baseline"/>
        </w:rPr>
        <w:footnoteRef/>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由招标人</w:t>
      </w:r>
      <w:r>
        <w:rPr>
          <w:color w:val="auto"/>
          <w:highlight w:val="none"/>
        </w:rPr>
        <w:t>根据项目</w:t>
      </w:r>
      <w:r>
        <w:rPr>
          <w:rFonts w:hint="eastAsia"/>
          <w:color w:val="auto"/>
          <w:highlight w:val="none"/>
        </w:rPr>
        <w:t>情况</w:t>
      </w:r>
      <w:r>
        <w:rPr>
          <w:color w:val="auto"/>
          <w:highlight w:val="none"/>
        </w:rPr>
        <w:t>设定</w:t>
      </w:r>
      <w:r>
        <w:rPr>
          <w:rFonts w:hint="eastAsia"/>
          <w:color w:val="auto"/>
          <w:highlight w:val="none"/>
        </w:rPr>
        <w:t>违约金占</w:t>
      </w:r>
      <w:r>
        <w:rPr>
          <w:color w:val="auto"/>
          <w:highlight w:val="none"/>
        </w:rPr>
        <w:t>合同款的比例</w:t>
      </w:r>
      <w:r>
        <w:rPr>
          <w:rFonts w:hint="eastAsia"/>
          <w:color w:val="auto"/>
          <w:highlight w:val="none"/>
        </w:rPr>
        <w:t>。</w:t>
      </w:r>
    </w:p>
  </w:footnote>
  <w:footnote w:id="310">
    <w:p w14:paraId="751CF5C9">
      <w:pPr>
        <w:pStyle w:val="38"/>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以联合体形式投标的，</w:t>
      </w:r>
      <w:r>
        <w:rPr>
          <w:color w:val="auto"/>
          <w:highlight w:val="none"/>
        </w:rPr>
        <w:t>由</w:t>
      </w:r>
      <w:r>
        <w:rPr>
          <w:rFonts w:hint="eastAsia"/>
          <w:color w:val="auto"/>
          <w:highlight w:val="none"/>
        </w:rPr>
        <w:t>联合体牵头人盖单位电子印章。</w:t>
      </w:r>
    </w:p>
  </w:footnote>
  <w:footnote w:id="311">
    <w:p w14:paraId="7830631A">
      <w:pPr>
        <w:pStyle w:val="38"/>
        <w:rPr>
          <w:color w:val="auto"/>
          <w:highlight w:val="none"/>
        </w:rPr>
      </w:pPr>
      <w:r>
        <w:rPr>
          <w:color w:val="auto"/>
          <w:highlight w:val="none"/>
        </w:rPr>
        <w:footnoteRef/>
      </w:r>
      <w:r>
        <w:rPr>
          <w:color w:val="auto"/>
          <w:highlight w:val="none"/>
        </w:rPr>
        <w:t xml:space="preserve"> </w:t>
      </w:r>
      <w:r>
        <w:rPr>
          <w:rFonts w:hint="eastAsia"/>
          <w:color w:val="auto"/>
          <w:highlight w:val="none"/>
          <w:lang w:val="en-US" w:eastAsia="zh-CN"/>
        </w:rPr>
        <w:t xml:space="preserve"> </w:t>
      </w:r>
      <w:r>
        <w:rPr>
          <w:rFonts w:hint="eastAsia"/>
          <w:color w:val="auto"/>
          <w:highlight w:val="none"/>
        </w:rPr>
        <w:t>以联合体形式投标的，由联合体牵头人的法定代表人</w:t>
      </w:r>
      <w:r>
        <w:rPr>
          <w:color w:val="auto"/>
          <w:highlight w:val="none"/>
        </w:rPr>
        <w:t>或其委托</w:t>
      </w:r>
      <w:r>
        <w:rPr>
          <w:rFonts w:hint="eastAsia"/>
          <w:color w:val="auto"/>
          <w:highlight w:val="none"/>
        </w:rPr>
        <w:t>代理人加</w:t>
      </w:r>
      <w:r>
        <w:rPr>
          <w:rFonts w:hint="eastAsia" w:ascii="宋体" w:hAnsi="宋体"/>
          <w:color w:val="auto"/>
          <w:szCs w:val="21"/>
          <w:highlight w:val="none"/>
        </w:rPr>
        <w:t>盖个人电子签名章</w:t>
      </w:r>
      <w:r>
        <w:rPr>
          <w:rFonts w:hint="eastAsia"/>
          <w:color w:val="auto"/>
          <w:highlight w:val="none"/>
        </w:rPr>
        <w:t>或个人电子</w:t>
      </w:r>
      <w:r>
        <w:rPr>
          <w:color w:val="auto"/>
          <w:highlight w:val="none"/>
        </w:rPr>
        <w:t>印章</w:t>
      </w:r>
      <w:r>
        <w:rPr>
          <w:rFonts w:hint="eastAsia"/>
          <w:color w:val="auto"/>
          <w:highlight w:val="none"/>
        </w:rPr>
        <w:t>。</w:t>
      </w:r>
    </w:p>
  </w:footnote>
  <w:footnote w:id="312">
    <w:p w14:paraId="596C47F1">
      <w:pPr>
        <w:pStyle w:val="38"/>
        <w:snapToGrid w:val="0"/>
        <w:rPr>
          <w:rFonts w:hint="default" w:eastAsia="宋体"/>
          <w:color w:val="auto"/>
          <w:lang w:val="en-US" w:eastAsia="zh-CN"/>
        </w:rPr>
      </w:pPr>
      <w:r>
        <w:rPr>
          <w:rStyle w:val="59"/>
          <w:color w:val="auto"/>
          <w:vertAlign w:val="baseline"/>
        </w:rPr>
        <w:footnoteRef/>
      </w:r>
      <w:r>
        <w:rPr>
          <w:color w:val="auto"/>
          <w:vertAlign w:val="baseline"/>
        </w:rPr>
        <w:t xml:space="preserve"> </w:t>
      </w:r>
      <w:r>
        <w:rPr>
          <w:rFonts w:hint="eastAsia"/>
          <w:color w:val="auto"/>
          <w:lang w:val="en-US" w:eastAsia="zh-CN"/>
        </w:rPr>
        <w:t xml:space="preserve"> </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w:t>
      </w:r>
      <w:r>
        <w:rPr>
          <w:rFonts w:hint="eastAsia" w:ascii="宋体" w:hAnsi="宋体" w:cs="宋体"/>
          <w:color w:val="auto"/>
          <w:highlight w:val="none"/>
          <w:lang w:val="en-US" w:eastAsia="zh-CN"/>
        </w:rPr>
        <w:t>5</w:t>
      </w:r>
      <w:r>
        <w:rPr>
          <w:rFonts w:hint="eastAsia" w:ascii="宋体" w:hAnsi="宋体" w:cs="宋体"/>
          <w:color w:val="auto"/>
          <w:highlight w:val="none"/>
        </w:rPr>
        <w:t>资格审查条件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主要人员最低要求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第三章“评标办法”详细评审打分未作</w:t>
      </w:r>
      <w:r>
        <w:rPr>
          <w:rFonts w:hint="eastAsia" w:ascii="宋体" w:hAnsi="宋体" w:cs="宋体"/>
          <w:color w:val="auto"/>
          <w:highlight w:val="none"/>
        </w:rPr>
        <w:t>要求</w:t>
      </w:r>
      <w:r>
        <w:rPr>
          <w:rFonts w:hint="eastAsia" w:ascii="宋体" w:hAnsi="宋体" w:cs="宋体"/>
          <w:color w:val="auto"/>
          <w:highlight w:val="none"/>
          <w:lang w:val="en-US" w:eastAsia="zh-CN"/>
        </w:rPr>
        <w:t>的人员资历表可删去，对应表格组成序号顺次修改。</w:t>
      </w:r>
    </w:p>
  </w:footnote>
  <w:footnote w:id="313">
    <w:p w14:paraId="2716B38A">
      <w:pPr>
        <w:pStyle w:val="38"/>
        <w:rPr>
          <w:rFonts w:hint="eastAsia" w:ascii="宋体" w:hAnsi="宋体" w:eastAsia="宋体" w:cs="宋体"/>
          <w:color w:val="auto"/>
          <w:highlight w:val="none"/>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证明材料构成应与招标人对拟委任主要人员的要求一一对应，未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314">
    <w:p w14:paraId="0370B594">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hint="eastAsia"/>
          <w:color w:val="auto"/>
          <w:highlight w:val="none"/>
          <w:lang w:val="en-US" w:eastAsia="zh-CN"/>
        </w:rPr>
        <w:t xml:space="preserve"> </w:t>
      </w:r>
      <w:r>
        <w:rPr>
          <w:rFonts w:ascii="宋体" w:hAnsi="宋体"/>
          <w:color w:val="auto"/>
          <w:highlight w:val="none"/>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号）要求，招标人应通过名录对投标人资质条件进行审核的公路施工企业单位人员。</w:t>
      </w:r>
      <w:r>
        <w:rPr>
          <w:rFonts w:hint="eastAsia" w:ascii="宋体" w:hAnsi="宋体"/>
          <w:color w:val="auto"/>
          <w:szCs w:val="21"/>
          <w:highlight w:val="none"/>
          <w:lang w:val="en-US" w:eastAsia="zh-CN"/>
        </w:rPr>
        <w:t>否则，招标人可对相关个人业绩提出其他证明材料要求。</w:t>
      </w:r>
    </w:p>
  </w:footnote>
  <w:footnote w:id="315">
    <w:p w14:paraId="0FC8159C">
      <w:pPr>
        <w:pStyle w:val="38"/>
        <w:rPr>
          <w:rFonts w:hint="eastAsia" w:ascii="宋体" w:hAnsi="宋体" w:eastAsia="宋体" w:cs="宋体"/>
          <w:color w:val="auto"/>
          <w:highlight w:val="none"/>
        </w:rPr>
      </w:pPr>
      <w:r>
        <w:rPr>
          <w:rStyle w:val="59"/>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证明材料构成应与招标人对拟委任主要人员的要求一一对应，未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316">
    <w:p w14:paraId="10301655">
      <w:pPr>
        <w:pStyle w:val="38"/>
        <w:ind w:left="360" w:hanging="360" w:hangingChars="200"/>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号）要求，招标人应通过名录对投标人资质条件进行审核的公路施工企业单位人员。</w:t>
      </w:r>
      <w:r>
        <w:rPr>
          <w:rFonts w:hint="eastAsia" w:ascii="宋体" w:hAnsi="宋体"/>
          <w:color w:val="auto"/>
          <w:szCs w:val="21"/>
          <w:highlight w:val="none"/>
          <w:lang w:val="en-US" w:eastAsia="zh-CN"/>
        </w:rPr>
        <w:t>否则，招标人可对相关个人业绩提出其他证明材料要求。</w:t>
      </w:r>
    </w:p>
  </w:footnote>
  <w:footnote w:id="317">
    <w:p w14:paraId="6615F48C">
      <w:pPr>
        <w:pStyle w:val="38"/>
        <w:jc w:val="both"/>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本表适用于招标范围包括机电工程时，</w:t>
      </w:r>
      <w:r>
        <w:rPr>
          <w:rFonts w:hint="eastAsia" w:ascii="宋体" w:hAnsi="宋体"/>
          <w:color w:val="auto"/>
          <w:highlight w:val="none"/>
        </w:rPr>
        <w:t>招标人对关键机电工程设备提出具体技术指标</w:t>
      </w:r>
      <w:r>
        <w:rPr>
          <w:rFonts w:hint="eastAsia" w:ascii="宋体" w:hAnsi="宋体"/>
          <w:color w:val="auto"/>
          <w:highlight w:val="none"/>
          <w:lang w:val="en-US" w:eastAsia="zh-CN"/>
        </w:rPr>
        <w:t>资格审查</w:t>
      </w:r>
      <w:r>
        <w:rPr>
          <w:rFonts w:hint="eastAsia" w:ascii="宋体" w:hAnsi="宋体"/>
          <w:color w:val="auto"/>
          <w:highlight w:val="none"/>
        </w:rPr>
        <w:t>要求</w:t>
      </w:r>
      <w:r>
        <w:rPr>
          <w:rFonts w:hint="eastAsia" w:ascii="宋体" w:hAnsi="宋体"/>
          <w:color w:val="auto"/>
          <w:highlight w:val="none"/>
          <w:lang w:val="en-US" w:eastAsia="zh-CN"/>
        </w:rPr>
        <w:t>的情形</w:t>
      </w:r>
      <w:r>
        <w:rPr>
          <w:rFonts w:hint="eastAsia" w:ascii="宋体" w:hAnsi="宋体"/>
          <w:color w:val="auto"/>
          <w:highlight w:val="none"/>
        </w:rPr>
        <w:t>。</w:t>
      </w:r>
    </w:p>
  </w:footnote>
  <w:footnote w:id="318">
    <w:p w14:paraId="75641F09">
      <w:pPr>
        <w:pStyle w:val="38"/>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设备名称栏由招标人提供。</w:t>
      </w:r>
    </w:p>
  </w:footnote>
  <w:footnote w:id="319">
    <w:p w14:paraId="3094D737">
      <w:pPr>
        <w:pStyle w:val="38"/>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招标人主要性能</w:t>
      </w:r>
      <w:r>
        <w:rPr>
          <w:rFonts w:ascii="宋体" w:hAnsi="宋体"/>
          <w:color w:val="auto"/>
          <w:highlight w:val="none"/>
        </w:rPr>
        <w:t>指标要求栏</w:t>
      </w:r>
      <w:r>
        <w:rPr>
          <w:rFonts w:hint="eastAsia" w:ascii="宋体" w:hAnsi="宋体"/>
          <w:color w:val="auto"/>
          <w:highlight w:val="none"/>
        </w:rPr>
        <w:t>由招标人提供。</w:t>
      </w:r>
    </w:p>
  </w:footnote>
  <w:footnote w:id="320">
    <w:p w14:paraId="234D4B34">
      <w:pPr>
        <w:pStyle w:val="38"/>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rPr>
        <w:t>以联合体形式投标的，为联合体牵头人单位全称。</w:t>
      </w:r>
    </w:p>
  </w:footnote>
  <w:footnote w:id="321">
    <w:p w14:paraId="46A44185">
      <w:pPr>
        <w:pStyle w:val="38"/>
        <w:snapToGrid w:val="0"/>
        <w:ind w:left="360" w:hanging="360" w:hangingChars="200"/>
        <w:rPr>
          <w:rFonts w:hint="default" w:eastAsia="宋体"/>
          <w:lang w:val="en-US" w:eastAsia="zh-CN"/>
        </w:rPr>
      </w:pPr>
      <w:r>
        <w:rPr>
          <w:rStyle w:val="59"/>
          <w:rFonts w:hint="eastAsia" w:ascii="宋体" w:hAnsi="宋体" w:eastAsia="宋体" w:cs="宋体"/>
          <w:vertAlign w:val="baseline"/>
        </w:rPr>
        <w:footnoteRef/>
      </w:r>
      <w:r>
        <w:rPr>
          <w:rFonts w:hint="eastAsia" w:ascii="宋体" w:hAnsi="宋体" w:eastAsia="宋体" w:cs="宋体"/>
          <w:vertAlign w:val="baseline"/>
        </w:rPr>
        <w:t xml:space="preserve"> </w:t>
      </w:r>
      <w:r>
        <w:rPr>
          <w:rFonts w:hint="eastAsia" w:ascii="宋体" w:hAnsi="宋体" w:eastAsia="宋体" w:cs="宋体"/>
          <w:vertAlign w:val="baseline"/>
          <w:lang w:val="en-US" w:eastAsia="zh-CN"/>
        </w:rPr>
        <w:t xml:space="preserve"> 若招标人要求投标报价不作价税分离的，税费综合在相应的综合单价或总额价中，投标函中的增值税率</w:t>
      </w:r>
      <w:r>
        <w:rPr>
          <w:rFonts w:hint="eastAsia" w:ascii="宋体" w:hAnsi="宋体" w:cs="宋体"/>
          <w:vertAlign w:val="baseline"/>
          <w:lang w:val="en-US" w:eastAsia="zh-CN"/>
        </w:rPr>
        <w:t>填写为“</w:t>
      </w:r>
      <w:r>
        <w:rPr>
          <w:rFonts w:hint="eastAsia" w:ascii="宋体" w:hAnsi="宋体" w:eastAsia="宋体" w:cs="宋体"/>
          <w:vertAlign w:val="baseline"/>
          <w:lang w:val="en-US" w:eastAsia="zh-CN"/>
        </w:rPr>
        <w:t>/</w:t>
      </w:r>
      <w:r>
        <w:rPr>
          <w:rFonts w:hint="eastAsia" w:ascii="宋体" w:hAnsi="宋体" w:cs="宋体"/>
          <w:vertAlign w:val="baseline"/>
          <w:lang w:val="en-US" w:eastAsia="zh-CN"/>
        </w:rPr>
        <w:t>”</w:t>
      </w:r>
      <w:r>
        <w:rPr>
          <w:rFonts w:hint="eastAsia" w:ascii="宋体" w:hAnsi="宋体" w:eastAsia="宋体" w:cs="宋体"/>
          <w:vertAlign w:val="baseline"/>
          <w:lang w:val="en-US" w:eastAsia="zh-CN"/>
        </w:rPr>
        <w:t>，</w:t>
      </w:r>
      <w:r>
        <w:rPr>
          <w:rFonts w:hint="eastAsia" w:ascii="宋体" w:hAnsi="宋体" w:cs="宋体"/>
          <w:vertAlign w:val="baseline"/>
          <w:lang w:val="en-US" w:eastAsia="zh-CN"/>
        </w:rPr>
        <w:t>否则</w:t>
      </w:r>
      <w:r>
        <w:rPr>
          <w:rFonts w:hint="eastAsia" w:ascii="宋体" w:hAnsi="宋体" w:eastAsia="宋体" w:cs="宋体"/>
          <w:vertAlign w:val="baseline"/>
          <w:lang w:val="en-US" w:eastAsia="zh-CN"/>
        </w:rPr>
        <w:t>投标人应填写实际税率</w:t>
      </w:r>
      <w:r>
        <w:rPr>
          <w:rFonts w:hint="eastAsia"/>
          <w:lang w:val="en-US" w:eastAsia="zh-CN"/>
        </w:rPr>
        <w:t>。</w:t>
      </w:r>
    </w:p>
  </w:footnote>
  <w:footnote w:id="322">
    <w:p w14:paraId="7EAEA0A4">
      <w:pPr>
        <w:pStyle w:val="38"/>
        <w:ind w:left="360" w:hanging="360" w:hangingChars="200"/>
        <w:rPr>
          <w:rFonts w:ascii="宋体" w:hAnsi="宋体" w:cs="宋体"/>
          <w:color w:val="auto"/>
        </w:rPr>
      </w:pPr>
      <w:r>
        <w:rPr>
          <w:rStyle w:val="59"/>
          <w:rFonts w:ascii="宋体" w:hAnsi="宋体" w:cs="宋体"/>
          <w:color w:val="auto"/>
          <w:vertAlign w:val="baseline"/>
        </w:rPr>
        <w:footnoteRef/>
      </w:r>
      <w:r>
        <w:rPr>
          <w:rFonts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当第二章“投标人须知”前附表第</w:t>
      </w:r>
      <w:r>
        <w:rPr>
          <w:rFonts w:ascii="宋体" w:hAnsi="宋体" w:cs="宋体"/>
          <w:color w:val="auto"/>
        </w:rPr>
        <w:t>3.2.3</w:t>
      </w:r>
      <w:r>
        <w:rPr>
          <w:rFonts w:hint="eastAsia" w:ascii="宋体" w:hAnsi="宋体" w:cs="宋体"/>
          <w:color w:val="auto"/>
        </w:rPr>
        <w:t>项的报价方式采用单价或总价以外的其他情形时，在此按照约定填报具体投标</w:t>
      </w:r>
      <w:r>
        <w:rPr>
          <w:rFonts w:hint="eastAsia" w:ascii="宋体" w:hAnsi="宋体" w:cs="宋体"/>
          <w:color w:val="auto"/>
          <w:lang w:val="en-US" w:eastAsia="zh-CN"/>
        </w:rPr>
        <w:t>总</w:t>
      </w:r>
      <w:r>
        <w:rPr>
          <w:rFonts w:hint="eastAsia" w:ascii="宋体" w:hAnsi="宋体" w:cs="宋体"/>
          <w:color w:val="auto"/>
        </w:rPr>
        <w:t>报价内容。</w:t>
      </w:r>
    </w:p>
  </w:footnote>
  <w:footnote w:id="323">
    <w:p w14:paraId="5E3FC635">
      <w:pPr>
        <w:pStyle w:val="38"/>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rPr>
        <w:t>以联合体形式投标的，为联合体联合体牵头人单位全称。</w:t>
      </w:r>
    </w:p>
  </w:footnote>
  <w:footnote w:id="324">
    <w:p w14:paraId="58FABE60">
      <w:pPr>
        <w:pStyle w:val="38"/>
        <w:rPr>
          <w:rFonts w:ascii="宋体" w:hAnsi="宋体"/>
          <w:b/>
          <w:color w:val="auto"/>
          <w:highlight w:val="none"/>
        </w:rPr>
      </w:pPr>
      <w:r>
        <w:rPr>
          <w:rStyle w:val="59"/>
          <w:rFonts w:ascii="宋体" w:hAnsi="宋体"/>
          <w:color w:val="auto"/>
          <w:highlight w:val="none"/>
          <w:vertAlign w:val="baseline"/>
        </w:rPr>
        <w:footnoteRef/>
      </w:r>
      <w:r>
        <w:rPr>
          <w:rFonts w:ascii="宋体" w:hAnsi="宋体"/>
          <w:b/>
          <w:color w:val="auto"/>
          <w:highlight w:val="none"/>
        </w:rPr>
        <w:t xml:space="preserve">  </w:t>
      </w:r>
      <w:r>
        <w:rPr>
          <w:rFonts w:hint="eastAsia" w:ascii="宋体" w:hAnsi="宋体"/>
          <w:bCs/>
          <w:color w:val="auto"/>
          <w:highlight w:val="none"/>
        </w:rPr>
        <w:t>以联合体形式投标的，只需联合体牵头人盖单位电子印章。</w:t>
      </w:r>
    </w:p>
  </w:footnote>
  <w:footnote w:id="325">
    <w:p w14:paraId="0F26B50D">
      <w:pPr>
        <w:pStyle w:val="38"/>
        <w:rPr>
          <w:rFonts w:ascii="宋体" w:hAnsi="宋体"/>
          <w:color w:val="auto"/>
          <w:highlight w:val="none"/>
        </w:rPr>
      </w:pPr>
      <w:r>
        <w:rPr>
          <w:rStyle w:val="59"/>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rPr>
        <w:t>以联合体形式投标的，为联合体牵头人的法定代表人或其委托代理人。</w:t>
      </w:r>
    </w:p>
  </w:footnote>
  <w:footnote w:id="326">
    <w:p w14:paraId="66477400">
      <w:pPr>
        <w:pStyle w:val="38"/>
        <w:rPr>
          <w:rFonts w:hint="eastAsia" w:ascii="宋体" w:hAnsi="宋体" w:cs="宋体"/>
          <w:color w:val="auto"/>
        </w:rPr>
      </w:pPr>
      <w:r>
        <w:rPr>
          <w:rStyle w:val="59"/>
          <w:rFonts w:hint="eastAsia" w:ascii="宋体" w:hAnsi="宋体" w:cs="宋体"/>
          <w:color w:val="auto"/>
          <w:vertAlign w:val="baseline"/>
        </w:rPr>
        <w:footnoteRef/>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当报价方式采用</w:t>
      </w:r>
      <w:r>
        <w:rPr>
          <w:rFonts w:hint="eastAsia" w:ascii="宋体" w:hAnsi="宋体" w:cs="宋体"/>
          <w:color w:val="auto"/>
          <w:lang w:val="en-US" w:eastAsia="zh-CN"/>
        </w:rPr>
        <w:t>单价或</w:t>
      </w:r>
      <w:r>
        <w:rPr>
          <w:rFonts w:hint="eastAsia" w:ascii="宋体" w:hAnsi="宋体" w:cs="宋体"/>
          <w:color w:val="auto"/>
        </w:rPr>
        <w:t>总价以外的其他情形时，</w:t>
      </w:r>
      <w:r>
        <w:rPr>
          <w:rFonts w:hint="eastAsia" w:ascii="宋体" w:hAnsi="宋体" w:cs="宋体"/>
          <w:color w:val="auto"/>
          <w:lang w:val="en-US" w:eastAsia="zh-CN"/>
        </w:rPr>
        <w:t>招标人提供的工程量清单需做相应调整</w:t>
      </w:r>
      <w:r>
        <w:rPr>
          <w:rFonts w:hint="eastAsia" w:ascii="宋体" w:hAnsi="宋体" w:cs="宋体"/>
          <w:color w:val="aut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437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98D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C7BB">
    <w:pPr>
      <w:pStyle w:val="22"/>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C120D">
    <w:pPr>
      <w:pStyle w:val="22"/>
      <w:kinsoku w:val="0"/>
      <w:overflowPunct w:val="0"/>
      <w:spacing w:line="14" w:lineRule="auto"/>
      <w:rPr>
        <w:rFonts w:ascii="Times New Roman"/>
        <w:sz w:val="20"/>
        <w:szCs w:val="20"/>
      </w:rPr>
    </w:pPr>
    <w:r>
      <mc:AlternateContent>
        <mc:Choice Requires="wps">
          <w:drawing>
            <wp:anchor distT="0" distB="0" distL="114300" distR="114300" simplePos="0" relativeHeight="251662336" behindDoc="1" locked="0" layoutInCell="0" allowOverlap="1">
              <wp:simplePos x="0" y="0"/>
              <wp:positionH relativeFrom="page">
                <wp:posOffset>1025525</wp:posOffset>
              </wp:positionH>
              <wp:positionV relativeFrom="page">
                <wp:posOffset>737235</wp:posOffset>
              </wp:positionV>
              <wp:extent cx="5424805" cy="12700"/>
              <wp:effectExtent l="6350" t="13335" r="7620" b="0"/>
              <wp:wrapNone/>
              <wp:docPr id="13" name="任意多边形 121"/>
              <wp:cNvGraphicFramePr/>
              <a:graphic xmlns:a="http://schemas.openxmlformats.org/drawingml/2006/main">
                <a:graphicData uri="http://schemas.microsoft.com/office/word/2010/wordprocessingShape">
                  <wps:wsp>
                    <wps:cNvSpPr/>
                    <wps:spPr bwMode="auto">
                      <a:xfrm>
                        <a:off x="0" y="0"/>
                        <a:ext cx="5424805" cy="12700"/>
                      </a:xfrm>
                      <a:custGeom>
                        <a:avLst/>
                        <a:gdLst>
                          <a:gd name="T0" fmla="*/ 0 w 8543"/>
                          <a:gd name="T1" fmla="*/ 0 h 20"/>
                          <a:gd name="T2" fmla="*/ 8543 w 8543"/>
                          <a:gd name="T3" fmla="*/ 0 h 20"/>
                        </a:gdLst>
                        <a:ahLst/>
                        <a:cxnLst>
                          <a:cxn ang="0">
                            <a:pos x="T0" y="T1"/>
                          </a:cxn>
                          <a:cxn ang="0">
                            <a:pos x="T2" y="T3"/>
                          </a:cxn>
                        </a:cxnLst>
                        <a:rect l="0" t="0" r="r" b="b"/>
                        <a:pathLst>
                          <a:path w="8543" h="20">
                            <a:moveTo>
                              <a:pt x="0" y="0"/>
                            </a:moveTo>
                            <a:lnTo>
                              <a:pt x="8543" y="0"/>
                            </a:lnTo>
                          </a:path>
                        </a:pathLst>
                      </a:custGeom>
                      <a:noFill/>
                      <a:ln w="7366"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21" o:spid="_x0000_s1026" o:spt="100" style="position:absolute;left:0pt;margin-left:80.75pt;margin-top:58.05pt;height:1pt;width:427.15pt;mso-position-horizontal-relative:page;mso-position-vertical-relative:page;z-index:-251654144;mso-width-relative:page;mso-height-relative:page;" filled="f" stroked="t" coordsize="8543,20" o:allowincell="f" o:gfxdata="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J+dwg1QAAAAwBAAAPAAAA&#10;AAAAAAEAIAAAACIAAABkcnMvZG93bnJldi54bWxQSwECFAAUAAAACACHTuJAC80C9cMCAADWBQAA&#10;DgAAAAAAAAABACAAAAAkAQAAZHJzL2Uyb0RvYy54bWxQSwUGAAAAAAYABgBZAQAAWQYAAAAA&#10;" path="m0,0l8543,0e">
              <v:path o:connectlocs="0,0;5424805,0" o:connectangles="0,0"/>
              <v:fill on="f" focussize="0,0"/>
              <v:stroke weight="0.58pt" color="#000000" joinstyle="round"/>
              <v:imagedata o:title=""/>
              <o:lock v:ext="edit" aspectratio="f"/>
            </v:shape>
          </w:pict>
        </mc:Fallback>
      </mc:AlternateContent>
    </w:r>
    <w:r>
      <mc:AlternateContent>
        <mc:Choice Requires="wps">
          <w:drawing>
            <wp:anchor distT="0" distB="0" distL="114300" distR="114300" simplePos="0" relativeHeight="251663360" behindDoc="1" locked="0" layoutInCell="0" allowOverlap="1">
              <wp:simplePos x="0" y="0"/>
              <wp:positionH relativeFrom="page">
                <wp:posOffset>1031240</wp:posOffset>
              </wp:positionH>
              <wp:positionV relativeFrom="page">
                <wp:posOffset>548005</wp:posOffset>
              </wp:positionV>
              <wp:extent cx="2577465" cy="173355"/>
              <wp:effectExtent l="2540" t="0" r="1270" b="2540"/>
              <wp:wrapNone/>
              <wp:docPr id="1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2577465" cy="173355"/>
                      </a:xfrm>
                      <a:prstGeom prst="rect">
                        <a:avLst/>
                      </a:prstGeom>
                      <a:noFill/>
                      <a:ln>
                        <a:noFill/>
                      </a:ln>
                    </wps:spPr>
                    <wps:txbx>
                      <w:txbxContent>
                        <w:p w14:paraId="1C8D1EE3">
                          <w:pPr>
                            <w:pStyle w:val="22"/>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wps:txbx>
                    <wps:bodyPr rot="0" vert="horz" wrap="square" lIns="0" tIns="0" rIns="0" bIns="0" anchor="t" anchorCtr="0" upright="1">
                      <a:noAutofit/>
                    </wps:bodyPr>
                  </wps:wsp>
                </a:graphicData>
              </a:graphic>
            </wp:anchor>
          </w:drawing>
        </mc:Choice>
        <mc:Fallback>
          <w:pict>
            <v:shape id="文本框 122" o:spid="_x0000_s1026" o:spt="202" type="#_x0000_t202" style="position:absolute;left:0pt;margin-left:81.2pt;margin-top:43.15pt;height:13.65pt;width:202.95pt;mso-position-horizontal-relative:page;mso-position-vertical-relative:page;z-index:-251653120;mso-width-relative:page;mso-height-relative:page;" filled="f" stroked="f" coordsize="21600,21600" o:allowincell="f" o:gfxdata="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SDKtcAAAAKAQAADwAAAAAAAAAB&#10;ACAAAAAiAAAAZHJzL2Rvd25yZXYueG1sUEsBAhQAFAAAAAgAh07iQL47Oh8RAgAACAQAAA4AAAAA&#10;AAAAAQAgAAAAJgEAAGRycy9lMm9Eb2MueG1sUEsFBgAAAAAGAAYAWQEAAKkFAAAAAA==&#10;">
              <v:fill on="f" focussize="0,0"/>
              <v:stroke on="f"/>
              <v:imagedata o:title=""/>
              <o:lock v:ext="edit" aspectratio="f"/>
              <v:textbox inset="0mm,0mm,0mm,0mm">
                <w:txbxContent>
                  <w:p w14:paraId="1C8D1EE3">
                    <w:pPr>
                      <w:pStyle w:val="22"/>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AF4F7">
    <w:pPr>
      <w:pStyle w:val="22"/>
      <w:kinsoku w:val="0"/>
      <w:overflowPunct w:val="0"/>
      <w:spacing w:line="14" w:lineRule="auto"/>
      <w:rPr>
        <w:rFonts w:ascii="Times New Roman"/>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3310">
    <w:pPr>
      <w:pStyle w:val="22"/>
      <w:kinsoku w:val="0"/>
      <w:overflowPunct w:val="0"/>
      <w:spacing w:line="14" w:lineRule="auto"/>
      <w:rPr>
        <w:rFonts w:ascii="Times New Roman"/>
        <w:sz w:val="20"/>
        <w:szCs w:val="20"/>
      </w:rPr>
    </w:pPr>
    <w:r>
      <mc:AlternateContent>
        <mc:Choice Requires="wps">
          <w:drawing>
            <wp:anchor distT="0" distB="0" distL="114300" distR="114300" simplePos="0" relativeHeight="251665408" behindDoc="1" locked="0" layoutInCell="0" allowOverlap="1">
              <wp:simplePos x="0" y="0"/>
              <wp:positionH relativeFrom="page">
                <wp:posOffset>1025525</wp:posOffset>
              </wp:positionH>
              <wp:positionV relativeFrom="page">
                <wp:posOffset>737235</wp:posOffset>
              </wp:positionV>
              <wp:extent cx="5424805" cy="12700"/>
              <wp:effectExtent l="6350" t="13335" r="7620" b="0"/>
              <wp:wrapNone/>
              <wp:docPr id="7" name="任意多边形 147"/>
              <wp:cNvGraphicFramePr/>
              <a:graphic xmlns:a="http://schemas.openxmlformats.org/drawingml/2006/main">
                <a:graphicData uri="http://schemas.microsoft.com/office/word/2010/wordprocessingShape">
                  <wps:wsp>
                    <wps:cNvSpPr/>
                    <wps:spPr bwMode="auto">
                      <a:xfrm>
                        <a:off x="0" y="0"/>
                        <a:ext cx="5424805" cy="12700"/>
                      </a:xfrm>
                      <a:custGeom>
                        <a:avLst/>
                        <a:gdLst>
                          <a:gd name="T0" fmla="*/ 0 w 8543"/>
                          <a:gd name="T1" fmla="*/ 0 h 20"/>
                          <a:gd name="T2" fmla="*/ 8543 w 8543"/>
                          <a:gd name="T3" fmla="*/ 0 h 20"/>
                        </a:gdLst>
                        <a:ahLst/>
                        <a:cxnLst>
                          <a:cxn ang="0">
                            <a:pos x="T0" y="T1"/>
                          </a:cxn>
                          <a:cxn ang="0">
                            <a:pos x="T2" y="T3"/>
                          </a:cxn>
                        </a:cxnLst>
                        <a:rect l="0" t="0" r="r" b="b"/>
                        <a:pathLst>
                          <a:path w="8543" h="20">
                            <a:moveTo>
                              <a:pt x="0" y="0"/>
                            </a:moveTo>
                            <a:lnTo>
                              <a:pt x="8543" y="0"/>
                            </a:lnTo>
                          </a:path>
                        </a:pathLst>
                      </a:custGeom>
                      <a:noFill/>
                      <a:ln w="7366"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47" o:spid="_x0000_s1026" o:spt="100" style="position:absolute;left:0pt;margin-left:80.75pt;margin-top:58.05pt;height:1pt;width:427.15pt;mso-position-horizontal-relative:page;mso-position-vertical-relative:page;z-index:-251651072;mso-width-relative:page;mso-height-relative:page;" filled="f" stroked="t" coordsize="8543,20" o:allowincell="f" o:gfxdata="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An53CDVAAAADAEAAA8AAAAA&#10;AAAAAQAgAAAAIgAAAGRycy9kb3ducmV2LnhtbFBLAQIUABQAAAAIAIdO4kA2gF1UwgIAANUFAAAO&#10;AAAAAAAAAAEAIAAAACQBAABkcnMvZTJvRG9jLnhtbFBLBQYAAAAABgAGAFkBAABYBgAAAAA=&#10;" path="m0,0l8543,0e">
              <v:path o:connectlocs="0,0;5424805,0" o:connectangles="0,0"/>
              <v:fill on="f" focussize="0,0"/>
              <v:stroke weight="0.58pt" color="#000000" joinstyle="round"/>
              <v:imagedata o:title=""/>
              <o:lock v:ext="edit" aspectratio="f"/>
            </v:shape>
          </w:pict>
        </mc:Fallback>
      </mc:AlternateContent>
    </w:r>
    <w:r>
      <mc:AlternateContent>
        <mc:Choice Requires="wps">
          <w:drawing>
            <wp:anchor distT="0" distB="0" distL="114300" distR="114300" simplePos="0" relativeHeight="251666432" behindDoc="1" locked="0" layoutInCell="0" allowOverlap="1">
              <wp:simplePos x="0" y="0"/>
              <wp:positionH relativeFrom="page">
                <wp:posOffset>1031240</wp:posOffset>
              </wp:positionH>
              <wp:positionV relativeFrom="page">
                <wp:posOffset>548005</wp:posOffset>
              </wp:positionV>
              <wp:extent cx="2577465" cy="173355"/>
              <wp:effectExtent l="2540" t="0" r="1270" b="2540"/>
              <wp:wrapNone/>
              <wp:docPr id="6"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2577465" cy="173355"/>
                      </a:xfrm>
                      <a:prstGeom prst="rect">
                        <a:avLst/>
                      </a:prstGeom>
                      <a:noFill/>
                      <a:ln>
                        <a:noFill/>
                      </a:ln>
                    </wps:spPr>
                    <wps:txbx>
                      <w:txbxContent>
                        <w:p w14:paraId="4C950D3E">
                          <w:pPr>
                            <w:pStyle w:val="22"/>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wps:txbx>
                    <wps:bodyPr rot="0" vert="horz" wrap="square" lIns="0" tIns="0" rIns="0" bIns="0" anchor="t" anchorCtr="0" upright="1">
                      <a:noAutofit/>
                    </wps:bodyPr>
                  </wps:wsp>
                </a:graphicData>
              </a:graphic>
            </wp:anchor>
          </w:drawing>
        </mc:Choice>
        <mc:Fallback>
          <w:pict>
            <v:shape id="文本框 148" o:spid="_x0000_s1026" o:spt="202" type="#_x0000_t202" style="position:absolute;left:0pt;margin-left:81.2pt;margin-top:43.15pt;height:13.65pt;width:202.95pt;mso-position-horizontal-relative:page;mso-position-vertical-relative:page;z-index:-251650048;mso-width-relative:page;mso-height-relative:page;" filled="f" stroked="f" coordsize="21600,21600" o:allowincell="f" o:gfxdata="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SDKtcAAAAKAQAADwAAAAAAAAAB&#10;ACAAAAAiAAAAZHJzL2Rvd25yZXYueG1sUEsBAhQAFAAAAAgAh07iQFMP9DkRAgAABwQAAA4AAAAA&#10;AAAAAQAgAAAAJgEAAGRycy9lMm9Eb2MueG1sUEsFBgAAAAAGAAYAWQEAAKkFAAAAAA==&#10;">
              <v:fill on="f" focussize="0,0"/>
              <v:stroke on="f"/>
              <v:imagedata o:title=""/>
              <o:lock v:ext="edit" aspectratio="f"/>
              <v:textbox inset="0mm,0mm,0mm,0mm">
                <w:txbxContent>
                  <w:p w14:paraId="4C950D3E">
                    <w:pPr>
                      <w:pStyle w:val="22"/>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C3C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421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6A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68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90A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39BF">
    <w:pPr>
      <w:pStyle w:val="2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C73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1A07D">
    <w:pPr>
      <w:pStyle w:val="2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FBA03"/>
    <w:multiLevelType w:val="singleLevel"/>
    <w:tmpl w:val="F20FBA03"/>
    <w:lvl w:ilvl="0" w:tentative="0">
      <w:start w:val="1"/>
      <w:numFmt w:val="decimal"/>
      <w:suff w:val="nothing"/>
      <w:lvlText w:val="（%1）"/>
      <w:lvlJc w:val="left"/>
    </w:lvl>
  </w:abstractNum>
  <w:abstractNum w:abstractNumId="1">
    <w:nsid w:val="0DE236A1"/>
    <w:multiLevelType w:val="singleLevel"/>
    <w:tmpl w:val="0DE236A1"/>
    <w:lvl w:ilvl="0" w:tentative="0">
      <w:start w:val="1"/>
      <w:numFmt w:val="upperLetter"/>
      <w:pStyle w:val="7"/>
      <w:lvlText w:val="%1．"/>
      <w:lvlJc w:val="left"/>
      <w:pPr>
        <w:tabs>
          <w:tab w:val="left" w:pos="315"/>
        </w:tabs>
        <w:ind w:left="315" w:hanging="315"/>
      </w:pPr>
      <w:rPr>
        <w:rFonts w:hint="eastAsia"/>
      </w:rPr>
    </w:lvl>
  </w:abstractNum>
  <w:abstractNum w:abstractNumId="2">
    <w:nsid w:val="39C90ADB"/>
    <w:multiLevelType w:val="multilevel"/>
    <w:tmpl w:val="39C90ADB"/>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912A88"/>
    <w:multiLevelType w:val="multilevel"/>
    <w:tmpl w:val="65912A88"/>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654"/>
    <w:footnote w:id="65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YjZmNjNhYjdkOGQxMDIxNWQwZTA0MzkxMTk4YjMifQ=="/>
    <w:docVar w:name="KSO_WPS_MARK_KEY" w:val="27086f30-1ffb-40b3-86e5-7044bba47f62"/>
  </w:docVars>
  <w:rsids>
    <w:rsidRoot w:val="00172A27"/>
    <w:rsid w:val="00000790"/>
    <w:rsid w:val="000017B4"/>
    <w:rsid w:val="00003CBF"/>
    <w:rsid w:val="00005842"/>
    <w:rsid w:val="000079CB"/>
    <w:rsid w:val="0001041D"/>
    <w:rsid w:val="000158C9"/>
    <w:rsid w:val="000163A5"/>
    <w:rsid w:val="00020404"/>
    <w:rsid w:val="000208A7"/>
    <w:rsid w:val="000224A1"/>
    <w:rsid w:val="00022BE8"/>
    <w:rsid w:val="000242F4"/>
    <w:rsid w:val="00026B45"/>
    <w:rsid w:val="0003044B"/>
    <w:rsid w:val="000319F0"/>
    <w:rsid w:val="00032A1B"/>
    <w:rsid w:val="000359A3"/>
    <w:rsid w:val="00036BD2"/>
    <w:rsid w:val="00037DE1"/>
    <w:rsid w:val="000425F0"/>
    <w:rsid w:val="0004298D"/>
    <w:rsid w:val="00045029"/>
    <w:rsid w:val="00045855"/>
    <w:rsid w:val="00046E59"/>
    <w:rsid w:val="0005268E"/>
    <w:rsid w:val="00053017"/>
    <w:rsid w:val="00054C34"/>
    <w:rsid w:val="000570C9"/>
    <w:rsid w:val="00060D8C"/>
    <w:rsid w:val="00060E89"/>
    <w:rsid w:val="000611E0"/>
    <w:rsid w:val="000623C8"/>
    <w:rsid w:val="0006489C"/>
    <w:rsid w:val="000674CE"/>
    <w:rsid w:val="00067F29"/>
    <w:rsid w:val="000703FB"/>
    <w:rsid w:val="000733C1"/>
    <w:rsid w:val="00074485"/>
    <w:rsid w:val="00077462"/>
    <w:rsid w:val="00077B42"/>
    <w:rsid w:val="00080448"/>
    <w:rsid w:val="00080DA6"/>
    <w:rsid w:val="000811BB"/>
    <w:rsid w:val="00082692"/>
    <w:rsid w:val="00083370"/>
    <w:rsid w:val="00084FCD"/>
    <w:rsid w:val="00085DB9"/>
    <w:rsid w:val="00086797"/>
    <w:rsid w:val="00086C36"/>
    <w:rsid w:val="00092646"/>
    <w:rsid w:val="00092BC2"/>
    <w:rsid w:val="00092F15"/>
    <w:rsid w:val="0009512C"/>
    <w:rsid w:val="00096655"/>
    <w:rsid w:val="000A1BD7"/>
    <w:rsid w:val="000A2121"/>
    <w:rsid w:val="000A270E"/>
    <w:rsid w:val="000A36EB"/>
    <w:rsid w:val="000A4380"/>
    <w:rsid w:val="000B0466"/>
    <w:rsid w:val="000B0B14"/>
    <w:rsid w:val="000B0BB7"/>
    <w:rsid w:val="000B12E0"/>
    <w:rsid w:val="000B192D"/>
    <w:rsid w:val="000B45E0"/>
    <w:rsid w:val="000B7057"/>
    <w:rsid w:val="000C0C5B"/>
    <w:rsid w:val="000C19FD"/>
    <w:rsid w:val="000C1C4F"/>
    <w:rsid w:val="000C218B"/>
    <w:rsid w:val="000C4166"/>
    <w:rsid w:val="000C4DB7"/>
    <w:rsid w:val="000C5DD1"/>
    <w:rsid w:val="000D1534"/>
    <w:rsid w:val="000D16B1"/>
    <w:rsid w:val="000D2692"/>
    <w:rsid w:val="000D693E"/>
    <w:rsid w:val="000E03D3"/>
    <w:rsid w:val="000E0DCF"/>
    <w:rsid w:val="000E3C5A"/>
    <w:rsid w:val="000E48CC"/>
    <w:rsid w:val="000E4AA8"/>
    <w:rsid w:val="000E5E4E"/>
    <w:rsid w:val="000E7FB7"/>
    <w:rsid w:val="000F1826"/>
    <w:rsid w:val="000F3E4A"/>
    <w:rsid w:val="000F77E4"/>
    <w:rsid w:val="00101B1C"/>
    <w:rsid w:val="0010406A"/>
    <w:rsid w:val="001058F4"/>
    <w:rsid w:val="0010621A"/>
    <w:rsid w:val="0010797B"/>
    <w:rsid w:val="00107B34"/>
    <w:rsid w:val="00107CC0"/>
    <w:rsid w:val="00107EFB"/>
    <w:rsid w:val="00111C13"/>
    <w:rsid w:val="00112E63"/>
    <w:rsid w:val="00113EF3"/>
    <w:rsid w:val="001142F9"/>
    <w:rsid w:val="0011464B"/>
    <w:rsid w:val="001157C8"/>
    <w:rsid w:val="00116097"/>
    <w:rsid w:val="00116C68"/>
    <w:rsid w:val="001234AC"/>
    <w:rsid w:val="0012354B"/>
    <w:rsid w:val="00125293"/>
    <w:rsid w:val="00130466"/>
    <w:rsid w:val="0013057C"/>
    <w:rsid w:val="001318E0"/>
    <w:rsid w:val="00131A2F"/>
    <w:rsid w:val="00131A96"/>
    <w:rsid w:val="00131EBE"/>
    <w:rsid w:val="00132574"/>
    <w:rsid w:val="00132ABC"/>
    <w:rsid w:val="00133D22"/>
    <w:rsid w:val="00134D23"/>
    <w:rsid w:val="001358A4"/>
    <w:rsid w:val="00141AA0"/>
    <w:rsid w:val="00141BBE"/>
    <w:rsid w:val="00141DEC"/>
    <w:rsid w:val="001459AC"/>
    <w:rsid w:val="00146025"/>
    <w:rsid w:val="0014690F"/>
    <w:rsid w:val="00150077"/>
    <w:rsid w:val="001513E1"/>
    <w:rsid w:val="001514E0"/>
    <w:rsid w:val="00151856"/>
    <w:rsid w:val="00152F03"/>
    <w:rsid w:val="0015612B"/>
    <w:rsid w:val="001564EC"/>
    <w:rsid w:val="001571DC"/>
    <w:rsid w:val="0016169B"/>
    <w:rsid w:val="00163414"/>
    <w:rsid w:val="00163767"/>
    <w:rsid w:val="00163F7B"/>
    <w:rsid w:val="001646DF"/>
    <w:rsid w:val="00165700"/>
    <w:rsid w:val="0016665F"/>
    <w:rsid w:val="0016706B"/>
    <w:rsid w:val="001704D6"/>
    <w:rsid w:val="001711F0"/>
    <w:rsid w:val="001726D3"/>
    <w:rsid w:val="00172A27"/>
    <w:rsid w:val="00176C01"/>
    <w:rsid w:val="00180761"/>
    <w:rsid w:val="00180F01"/>
    <w:rsid w:val="00181083"/>
    <w:rsid w:val="0018151C"/>
    <w:rsid w:val="00181A85"/>
    <w:rsid w:val="00181F31"/>
    <w:rsid w:val="001833AE"/>
    <w:rsid w:val="00184734"/>
    <w:rsid w:val="00184735"/>
    <w:rsid w:val="00186138"/>
    <w:rsid w:val="00186378"/>
    <w:rsid w:val="0018653A"/>
    <w:rsid w:val="0018660B"/>
    <w:rsid w:val="00186E97"/>
    <w:rsid w:val="00187BAA"/>
    <w:rsid w:val="0019109F"/>
    <w:rsid w:val="0019219E"/>
    <w:rsid w:val="00193E62"/>
    <w:rsid w:val="001946EB"/>
    <w:rsid w:val="00195589"/>
    <w:rsid w:val="00196AF2"/>
    <w:rsid w:val="00197AA1"/>
    <w:rsid w:val="00197ED0"/>
    <w:rsid w:val="001A37B8"/>
    <w:rsid w:val="001A59E9"/>
    <w:rsid w:val="001A6481"/>
    <w:rsid w:val="001A6A8F"/>
    <w:rsid w:val="001B15AA"/>
    <w:rsid w:val="001B467E"/>
    <w:rsid w:val="001B4CC2"/>
    <w:rsid w:val="001B66DE"/>
    <w:rsid w:val="001C042D"/>
    <w:rsid w:val="001C270B"/>
    <w:rsid w:val="001C4EE8"/>
    <w:rsid w:val="001C7AE6"/>
    <w:rsid w:val="001D18FE"/>
    <w:rsid w:val="001D1C51"/>
    <w:rsid w:val="001D1F39"/>
    <w:rsid w:val="001D3A23"/>
    <w:rsid w:val="001D6483"/>
    <w:rsid w:val="001D6864"/>
    <w:rsid w:val="001E1ECC"/>
    <w:rsid w:val="001E1FA8"/>
    <w:rsid w:val="001E2866"/>
    <w:rsid w:val="001E6F33"/>
    <w:rsid w:val="001F128B"/>
    <w:rsid w:val="001F3D06"/>
    <w:rsid w:val="001F4932"/>
    <w:rsid w:val="001F7EA8"/>
    <w:rsid w:val="00200601"/>
    <w:rsid w:val="002013CB"/>
    <w:rsid w:val="00205161"/>
    <w:rsid w:val="00205CF9"/>
    <w:rsid w:val="002111DE"/>
    <w:rsid w:val="00214A13"/>
    <w:rsid w:val="002156F4"/>
    <w:rsid w:val="00217AC8"/>
    <w:rsid w:val="002209D9"/>
    <w:rsid w:val="00221411"/>
    <w:rsid w:val="0023194F"/>
    <w:rsid w:val="00233F84"/>
    <w:rsid w:val="00235687"/>
    <w:rsid w:val="002364F5"/>
    <w:rsid w:val="002369C4"/>
    <w:rsid w:val="00237E56"/>
    <w:rsid w:val="00240B93"/>
    <w:rsid w:val="00240C64"/>
    <w:rsid w:val="00241322"/>
    <w:rsid w:val="00247705"/>
    <w:rsid w:val="002505FF"/>
    <w:rsid w:val="00252335"/>
    <w:rsid w:val="00253248"/>
    <w:rsid w:val="00254173"/>
    <w:rsid w:val="0025656B"/>
    <w:rsid w:val="00256B5C"/>
    <w:rsid w:val="00260DC7"/>
    <w:rsid w:val="00263C0D"/>
    <w:rsid w:val="00264E53"/>
    <w:rsid w:val="0026504A"/>
    <w:rsid w:val="00272B31"/>
    <w:rsid w:val="00272C2D"/>
    <w:rsid w:val="00272F01"/>
    <w:rsid w:val="00273EB4"/>
    <w:rsid w:val="00274DBD"/>
    <w:rsid w:val="002758B4"/>
    <w:rsid w:val="00276656"/>
    <w:rsid w:val="00280423"/>
    <w:rsid w:val="0028148E"/>
    <w:rsid w:val="00282320"/>
    <w:rsid w:val="00283CEE"/>
    <w:rsid w:val="002861FE"/>
    <w:rsid w:val="00286AB6"/>
    <w:rsid w:val="00286E2D"/>
    <w:rsid w:val="00287224"/>
    <w:rsid w:val="00291124"/>
    <w:rsid w:val="00291BDA"/>
    <w:rsid w:val="00294EA1"/>
    <w:rsid w:val="002952A8"/>
    <w:rsid w:val="0029574F"/>
    <w:rsid w:val="002A2249"/>
    <w:rsid w:val="002A2EFD"/>
    <w:rsid w:val="002A4192"/>
    <w:rsid w:val="002A49F6"/>
    <w:rsid w:val="002A4C39"/>
    <w:rsid w:val="002A4FC9"/>
    <w:rsid w:val="002A6DAC"/>
    <w:rsid w:val="002B0052"/>
    <w:rsid w:val="002B03D8"/>
    <w:rsid w:val="002B273E"/>
    <w:rsid w:val="002B2959"/>
    <w:rsid w:val="002B3C62"/>
    <w:rsid w:val="002B4053"/>
    <w:rsid w:val="002C29D5"/>
    <w:rsid w:val="002C4C26"/>
    <w:rsid w:val="002C6BC6"/>
    <w:rsid w:val="002C6BE3"/>
    <w:rsid w:val="002D0723"/>
    <w:rsid w:val="002D0D50"/>
    <w:rsid w:val="002D3780"/>
    <w:rsid w:val="002D4C78"/>
    <w:rsid w:val="002D5A92"/>
    <w:rsid w:val="002D6792"/>
    <w:rsid w:val="002D69FE"/>
    <w:rsid w:val="002D7A39"/>
    <w:rsid w:val="002E0937"/>
    <w:rsid w:val="002E0CB5"/>
    <w:rsid w:val="002E17C6"/>
    <w:rsid w:val="002E2807"/>
    <w:rsid w:val="002E2DFF"/>
    <w:rsid w:val="002E4E02"/>
    <w:rsid w:val="002E5CFA"/>
    <w:rsid w:val="002E62B0"/>
    <w:rsid w:val="002F15D7"/>
    <w:rsid w:val="002F3EF6"/>
    <w:rsid w:val="002F3FFA"/>
    <w:rsid w:val="002F408B"/>
    <w:rsid w:val="002F684D"/>
    <w:rsid w:val="002F7698"/>
    <w:rsid w:val="002F76C2"/>
    <w:rsid w:val="002F7A60"/>
    <w:rsid w:val="00300419"/>
    <w:rsid w:val="00302C2E"/>
    <w:rsid w:val="003049C5"/>
    <w:rsid w:val="00306027"/>
    <w:rsid w:val="0030613C"/>
    <w:rsid w:val="003074F6"/>
    <w:rsid w:val="00310142"/>
    <w:rsid w:val="0031257E"/>
    <w:rsid w:val="003155D3"/>
    <w:rsid w:val="00316261"/>
    <w:rsid w:val="003166F0"/>
    <w:rsid w:val="003168DA"/>
    <w:rsid w:val="00316961"/>
    <w:rsid w:val="00316E45"/>
    <w:rsid w:val="003171F8"/>
    <w:rsid w:val="003175FF"/>
    <w:rsid w:val="0032393D"/>
    <w:rsid w:val="00323EE7"/>
    <w:rsid w:val="003241A1"/>
    <w:rsid w:val="00326BEE"/>
    <w:rsid w:val="00327564"/>
    <w:rsid w:val="003309F1"/>
    <w:rsid w:val="00333FFE"/>
    <w:rsid w:val="003357DF"/>
    <w:rsid w:val="003403BC"/>
    <w:rsid w:val="00340F2B"/>
    <w:rsid w:val="0034154D"/>
    <w:rsid w:val="00343CE1"/>
    <w:rsid w:val="00344F19"/>
    <w:rsid w:val="00346373"/>
    <w:rsid w:val="00346DEB"/>
    <w:rsid w:val="00347E5F"/>
    <w:rsid w:val="003506F7"/>
    <w:rsid w:val="00352250"/>
    <w:rsid w:val="0035432D"/>
    <w:rsid w:val="00354793"/>
    <w:rsid w:val="003561D3"/>
    <w:rsid w:val="00356754"/>
    <w:rsid w:val="00360123"/>
    <w:rsid w:val="003641B7"/>
    <w:rsid w:val="00364282"/>
    <w:rsid w:val="003645B2"/>
    <w:rsid w:val="003648BA"/>
    <w:rsid w:val="00364B25"/>
    <w:rsid w:val="0036540F"/>
    <w:rsid w:val="0036744D"/>
    <w:rsid w:val="0037004B"/>
    <w:rsid w:val="003709AE"/>
    <w:rsid w:val="00370C15"/>
    <w:rsid w:val="00372195"/>
    <w:rsid w:val="003725AB"/>
    <w:rsid w:val="003730B0"/>
    <w:rsid w:val="00373D8E"/>
    <w:rsid w:val="0037452D"/>
    <w:rsid w:val="003766FE"/>
    <w:rsid w:val="00377AE2"/>
    <w:rsid w:val="00380CD7"/>
    <w:rsid w:val="00382734"/>
    <w:rsid w:val="00382781"/>
    <w:rsid w:val="00382BB4"/>
    <w:rsid w:val="0038478D"/>
    <w:rsid w:val="00386690"/>
    <w:rsid w:val="00386C95"/>
    <w:rsid w:val="00391043"/>
    <w:rsid w:val="00392DFC"/>
    <w:rsid w:val="00397152"/>
    <w:rsid w:val="003A0424"/>
    <w:rsid w:val="003A2E16"/>
    <w:rsid w:val="003A3DA6"/>
    <w:rsid w:val="003A4907"/>
    <w:rsid w:val="003A5096"/>
    <w:rsid w:val="003A61F4"/>
    <w:rsid w:val="003A6CC9"/>
    <w:rsid w:val="003A72E7"/>
    <w:rsid w:val="003A79C8"/>
    <w:rsid w:val="003A7CF9"/>
    <w:rsid w:val="003B36A5"/>
    <w:rsid w:val="003B3FEA"/>
    <w:rsid w:val="003B7AF8"/>
    <w:rsid w:val="003B7B97"/>
    <w:rsid w:val="003B7EE1"/>
    <w:rsid w:val="003C0300"/>
    <w:rsid w:val="003C2AE0"/>
    <w:rsid w:val="003C4FEA"/>
    <w:rsid w:val="003C5B83"/>
    <w:rsid w:val="003C6DD0"/>
    <w:rsid w:val="003C7C28"/>
    <w:rsid w:val="003D063C"/>
    <w:rsid w:val="003D122F"/>
    <w:rsid w:val="003D13D8"/>
    <w:rsid w:val="003D2CF4"/>
    <w:rsid w:val="003D3EFD"/>
    <w:rsid w:val="003D431A"/>
    <w:rsid w:val="003D43C6"/>
    <w:rsid w:val="003D4668"/>
    <w:rsid w:val="003D52EA"/>
    <w:rsid w:val="003D58C7"/>
    <w:rsid w:val="003D67E7"/>
    <w:rsid w:val="003D6D79"/>
    <w:rsid w:val="003E030A"/>
    <w:rsid w:val="003E3AF7"/>
    <w:rsid w:val="003E56D5"/>
    <w:rsid w:val="003E588E"/>
    <w:rsid w:val="003F15F3"/>
    <w:rsid w:val="003F40F7"/>
    <w:rsid w:val="003F4EB5"/>
    <w:rsid w:val="003F5F74"/>
    <w:rsid w:val="003F6492"/>
    <w:rsid w:val="003F670E"/>
    <w:rsid w:val="003F6D6C"/>
    <w:rsid w:val="0040131C"/>
    <w:rsid w:val="0040271E"/>
    <w:rsid w:val="00402CD2"/>
    <w:rsid w:val="004104B9"/>
    <w:rsid w:val="00413D32"/>
    <w:rsid w:val="0041400B"/>
    <w:rsid w:val="00417111"/>
    <w:rsid w:val="00417AB0"/>
    <w:rsid w:val="00421E53"/>
    <w:rsid w:val="004225CA"/>
    <w:rsid w:val="004227F8"/>
    <w:rsid w:val="004236BD"/>
    <w:rsid w:val="00425801"/>
    <w:rsid w:val="004267D0"/>
    <w:rsid w:val="00427530"/>
    <w:rsid w:val="00430268"/>
    <w:rsid w:val="00430270"/>
    <w:rsid w:val="00430C94"/>
    <w:rsid w:val="0043329C"/>
    <w:rsid w:val="00434031"/>
    <w:rsid w:val="00441ABC"/>
    <w:rsid w:val="004432FD"/>
    <w:rsid w:val="00443ED0"/>
    <w:rsid w:val="00444B04"/>
    <w:rsid w:val="00445134"/>
    <w:rsid w:val="00445451"/>
    <w:rsid w:val="004456F7"/>
    <w:rsid w:val="00445E71"/>
    <w:rsid w:val="004464D5"/>
    <w:rsid w:val="00447C07"/>
    <w:rsid w:val="004507BD"/>
    <w:rsid w:val="00452A43"/>
    <w:rsid w:val="004534F1"/>
    <w:rsid w:val="00454080"/>
    <w:rsid w:val="00460152"/>
    <w:rsid w:val="00460882"/>
    <w:rsid w:val="00460F59"/>
    <w:rsid w:val="00461945"/>
    <w:rsid w:val="00465594"/>
    <w:rsid w:val="004657E9"/>
    <w:rsid w:val="00466513"/>
    <w:rsid w:val="0047083E"/>
    <w:rsid w:val="004720B4"/>
    <w:rsid w:val="004727A0"/>
    <w:rsid w:val="00474E58"/>
    <w:rsid w:val="0047731C"/>
    <w:rsid w:val="0047758C"/>
    <w:rsid w:val="00481FEE"/>
    <w:rsid w:val="004835BD"/>
    <w:rsid w:val="00484C73"/>
    <w:rsid w:val="00486457"/>
    <w:rsid w:val="0048798D"/>
    <w:rsid w:val="00490E90"/>
    <w:rsid w:val="00491CE7"/>
    <w:rsid w:val="0049317F"/>
    <w:rsid w:val="004938C2"/>
    <w:rsid w:val="00493D98"/>
    <w:rsid w:val="00497077"/>
    <w:rsid w:val="004A1AA1"/>
    <w:rsid w:val="004A575B"/>
    <w:rsid w:val="004B06B1"/>
    <w:rsid w:val="004B0BE7"/>
    <w:rsid w:val="004B3032"/>
    <w:rsid w:val="004B3C06"/>
    <w:rsid w:val="004B44A0"/>
    <w:rsid w:val="004B51FB"/>
    <w:rsid w:val="004B55BB"/>
    <w:rsid w:val="004B6FDD"/>
    <w:rsid w:val="004B7B46"/>
    <w:rsid w:val="004C0A71"/>
    <w:rsid w:val="004C24E5"/>
    <w:rsid w:val="004C25C4"/>
    <w:rsid w:val="004C5C8F"/>
    <w:rsid w:val="004C5E37"/>
    <w:rsid w:val="004C7142"/>
    <w:rsid w:val="004D09A3"/>
    <w:rsid w:val="004D0BB3"/>
    <w:rsid w:val="004D3CC7"/>
    <w:rsid w:val="004D4350"/>
    <w:rsid w:val="004D4BE5"/>
    <w:rsid w:val="004D581E"/>
    <w:rsid w:val="004D71AD"/>
    <w:rsid w:val="004D75F2"/>
    <w:rsid w:val="004F052A"/>
    <w:rsid w:val="004F0FFB"/>
    <w:rsid w:val="004F16F2"/>
    <w:rsid w:val="004F20DC"/>
    <w:rsid w:val="004F2CE8"/>
    <w:rsid w:val="005010D2"/>
    <w:rsid w:val="0050468B"/>
    <w:rsid w:val="00506B0E"/>
    <w:rsid w:val="00506BFD"/>
    <w:rsid w:val="005071BD"/>
    <w:rsid w:val="00507768"/>
    <w:rsid w:val="00507C33"/>
    <w:rsid w:val="00512D5D"/>
    <w:rsid w:val="0051305D"/>
    <w:rsid w:val="0051637B"/>
    <w:rsid w:val="005166C1"/>
    <w:rsid w:val="00517720"/>
    <w:rsid w:val="00520517"/>
    <w:rsid w:val="005215DB"/>
    <w:rsid w:val="00524912"/>
    <w:rsid w:val="00524E6D"/>
    <w:rsid w:val="00525ABA"/>
    <w:rsid w:val="00527FCF"/>
    <w:rsid w:val="00536B72"/>
    <w:rsid w:val="00540FF3"/>
    <w:rsid w:val="005412F5"/>
    <w:rsid w:val="00543873"/>
    <w:rsid w:val="005440C3"/>
    <w:rsid w:val="00544D2B"/>
    <w:rsid w:val="005514E8"/>
    <w:rsid w:val="00551F8D"/>
    <w:rsid w:val="0055267C"/>
    <w:rsid w:val="005541DF"/>
    <w:rsid w:val="005570F0"/>
    <w:rsid w:val="00557D2E"/>
    <w:rsid w:val="00560245"/>
    <w:rsid w:val="00562A0E"/>
    <w:rsid w:val="005656E7"/>
    <w:rsid w:val="00565A70"/>
    <w:rsid w:val="00565FB4"/>
    <w:rsid w:val="00571768"/>
    <w:rsid w:val="005729C3"/>
    <w:rsid w:val="00574078"/>
    <w:rsid w:val="00574562"/>
    <w:rsid w:val="0057799F"/>
    <w:rsid w:val="0058043B"/>
    <w:rsid w:val="005806F9"/>
    <w:rsid w:val="00580A07"/>
    <w:rsid w:val="00580EC1"/>
    <w:rsid w:val="00580EFD"/>
    <w:rsid w:val="005813C8"/>
    <w:rsid w:val="00581AE7"/>
    <w:rsid w:val="0058273C"/>
    <w:rsid w:val="0058452D"/>
    <w:rsid w:val="00586050"/>
    <w:rsid w:val="00591245"/>
    <w:rsid w:val="0059586B"/>
    <w:rsid w:val="00595C82"/>
    <w:rsid w:val="005A0B30"/>
    <w:rsid w:val="005A1564"/>
    <w:rsid w:val="005A2411"/>
    <w:rsid w:val="005A24AD"/>
    <w:rsid w:val="005B1627"/>
    <w:rsid w:val="005B184F"/>
    <w:rsid w:val="005B59C5"/>
    <w:rsid w:val="005B6053"/>
    <w:rsid w:val="005B7BCB"/>
    <w:rsid w:val="005C1152"/>
    <w:rsid w:val="005C1FAD"/>
    <w:rsid w:val="005C5013"/>
    <w:rsid w:val="005C5A56"/>
    <w:rsid w:val="005C5E58"/>
    <w:rsid w:val="005C7293"/>
    <w:rsid w:val="005D1A74"/>
    <w:rsid w:val="005D1CC8"/>
    <w:rsid w:val="005D2270"/>
    <w:rsid w:val="005D22CC"/>
    <w:rsid w:val="005D24F5"/>
    <w:rsid w:val="005D3E78"/>
    <w:rsid w:val="005D4021"/>
    <w:rsid w:val="005D4FCB"/>
    <w:rsid w:val="005D689C"/>
    <w:rsid w:val="005D6DE4"/>
    <w:rsid w:val="005E0886"/>
    <w:rsid w:val="005E11EB"/>
    <w:rsid w:val="005E281D"/>
    <w:rsid w:val="005E3046"/>
    <w:rsid w:val="005E3F85"/>
    <w:rsid w:val="005E6366"/>
    <w:rsid w:val="005F00E5"/>
    <w:rsid w:val="005F5819"/>
    <w:rsid w:val="005F643B"/>
    <w:rsid w:val="00601334"/>
    <w:rsid w:val="00602419"/>
    <w:rsid w:val="00602CAE"/>
    <w:rsid w:val="006054C5"/>
    <w:rsid w:val="006101E5"/>
    <w:rsid w:val="00611DFF"/>
    <w:rsid w:val="00613B39"/>
    <w:rsid w:val="00613E55"/>
    <w:rsid w:val="0061570B"/>
    <w:rsid w:val="00616295"/>
    <w:rsid w:val="00616AF2"/>
    <w:rsid w:val="006202D5"/>
    <w:rsid w:val="00621AFB"/>
    <w:rsid w:val="00621E3D"/>
    <w:rsid w:val="00622C72"/>
    <w:rsid w:val="00623F66"/>
    <w:rsid w:val="00623FC0"/>
    <w:rsid w:val="0062593C"/>
    <w:rsid w:val="00625CBA"/>
    <w:rsid w:val="0062714A"/>
    <w:rsid w:val="00631613"/>
    <w:rsid w:val="00632673"/>
    <w:rsid w:val="0063311B"/>
    <w:rsid w:val="0063444A"/>
    <w:rsid w:val="00634F6B"/>
    <w:rsid w:val="006353D7"/>
    <w:rsid w:val="00635891"/>
    <w:rsid w:val="006379FB"/>
    <w:rsid w:val="00643798"/>
    <w:rsid w:val="00643B55"/>
    <w:rsid w:val="006452BD"/>
    <w:rsid w:val="006459B1"/>
    <w:rsid w:val="006459FC"/>
    <w:rsid w:val="0064679E"/>
    <w:rsid w:val="00647337"/>
    <w:rsid w:val="00650027"/>
    <w:rsid w:val="0065059B"/>
    <w:rsid w:val="00652BA9"/>
    <w:rsid w:val="0065564D"/>
    <w:rsid w:val="00655C14"/>
    <w:rsid w:val="006579B5"/>
    <w:rsid w:val="00660180"/>
    <w:rsid w:val="00660303"/>
    <w:rsid w:val="00662DC3"/>
    <w:rsid w:val="00662F14"/>
    <w:rsid w:val="00664B0C"/>
    <w:rsid w:val="00664FD8"/>
    <w:rsid w:val="00665903"/>
    <w:rsid w:val="00666956"/>
    <w:rsid w:val="00666998"/>
    <w:rsid w:val="00666BE9"/>
    <w:rsid w:val="00667F42"/>
    <w:rsid w:val="00670A57"/>
    <w:rsid w:val="006710AF"/>
    <w:rsid w:val="00673126"/>
    <w:rsid w:val="00673495"/>
    <w:rsid w:val="006739F0"/>
    <w:rsid w:val="00676787"/>
    <w:rsid w:val="0068235A"/>
    <w:rsid w:val="00692464"/>
    <w:rsid w:val="006934CA"/>
    <w:rsid w:val="006940F4"/>
    <w:rsid w:val="00694D8F"/>
    <w:rsid w:val="00695225"/>
    <w:rsid w:val="00695A08"/>
    <w:rsid w:val="006A0127"/>
    <w:rsid w:val="006A017E"/>
    <w:rsid w:val="006A1236"/>
    <w:rsid w:val="006A1324"/>
    <w:rsid w:val="006A2EF1"/>
    <w:rsid w:val="006A2F4C"/>
    <w:rsid w:val="006A4254"/>
    <w:rsid w:val="006A52A4"/>
    <w:rsid w:val="006A7581"/>
    <w:rsid w:val="006B20EB"/>
    <w:rsid w:val="006B2271"/>
    <w:rsid w:val="006B5B1E"/>
    <w:rsid w:val="006C0CAE"/>
    <w:rsid w:val="006C12AD"/>
    <w:rsid w:val="006C1CD6"/>
    <w:rsid w:val="006C1F69"/>
    <w:rsid w:val="006C2BC4"/>
    <w:rsid w:val="006C2E45"/>
    <w:rsid w:val="006C3465"/>
    <w:rsid w:val="006C3C26"/>
    <w:rsid w:val="006C4809"/>
    <w:rsid w:val="006C634F"/>
    <w:rsid w:val="006C6B1C"/>
    <w:rsid w:val="006C79E3"/>
    <w:rsid w:val="006D14AD"/>
    <w:rsid w:val="006D38BF"/>
    <w:rsid w:val="006D3CAB"/>
    <w:rsid w:val="006D3EF6"/>
    <w:rsid w:val="006D5D8A"/>
    <w:rsid w:val="006D73A2"/>
    <w:rsid w:val="006E0509"/>
    <w:rsid w:val="006E1531"/>
    <w:rsid w:val="006E1963"/>
    <w:rsid w:val="006E2A8F"/>
    <w:rsid w:val="006E2D1B"/>
    <w:rsid w:val="006F12E6"/>
    <w:rsid w:val="006F146B"/>
    <w:rsid w:val="006F1CFC"/>
    <w:rsid w:val="006F35EA"/>
    <w:rsid w:val="006F53FD"/>
    <w:rsid w:val="006F70F6"/>
    <w:rsid w:val="006F7275"/>
    <w:rsid w:val="00704471"/>
    <w:rsid w:val="007069C4"/>
    <w:rsid w:val="00710487"/>
    <w:rsid w:val="0071630F"/>
    <w:rsid w:val="0071713A"/>
    <w:rsid w:val="0071726E"/>
    <w:rsid w:val="007215D4"/>
    <w:rsid w:val="007222C7"/>
    <w:rsid w:val="00724544"/>
    <w:rsid w:val="00725AE9"/>
    <w:rsid w:val="007270B7"/>
    <w:rsid w:val="00727199"/>
    <w:rsid w:val="00730C98"/>
    <w:rsid w:val="00731B26"/>
    <w:rsid w:val="0073253B"/>
    <w:rsid w:val="00732734"/>
    <w:rsid w:val="00733562"/>
    <w:rsid w:val="0073468C"/>
    <w:rsid w:val="0073635D"/>
    <w:rsid w:val="00736B12"/>
    <w:rsid w:val="00737CCA"/>
    <w:rsid w:val="0074074A"/>
    <w:rsid w:val="00741B5D"/>
    <w:rsid w:val="00742139"/>
    <w:rsid w:val="00742EA1"/>
    <w:rsid w:val="007453EC"/>
    <w:rsid w:val="007478E0"/>
    <w:rsid w:val="00751B43"/>
    <w:rsid w:val="00752048"/>
    <w:rsid w:val="0075286D"/>
    <w:rsid w:val="007561E1"/>
    <w:rsid w:val="00756559"/>
    <w:rsid w:val="007566C6"/>
    <w:rsid w:val="007567F8"/>
    <w:rsid w:val="007577C9"/>
    <w:rsid w:val="0076050A"/>
    <w:rsid w:val="00760BE4"/>
    <w:rsid w:val="00764F31"/>
    <w:rsid w:val="0076507D"/>
    <w:rsid w:val="00765FBD"/>
    <w:rsid w:val="0076684C"/>
    <w:rsid w:val="00766B02"/>
    <w:rsid w:val="00767F9A"/>
    <w:rsid w:val="00770A5C"/>
    <w:rsid w:val="0077298E"/>
    <w:rsid w:val="00772BF5"/>
    <w:rsid w:val="00775AD9"/>
    <w:rsid w:val="00775F46"/>
    <w:rsid w:val="007767B8"/>
    <w:rsid w:val="0077745D"/>
    <w:rsid w:val="00777C15"/>
    <w:rsid w:val="00777C73"/>
    <w:rsid w:val="00780B28"/>
    <w:rsid w:val="0078144E"/>
    <w:rsid w:val="0078329E"/>
    <w:rsid w:val="00785105"/>
    <w:rsid w:val="007851A1"/>
    <w:rsid w:val="007855E4"/>
    <w:rsid w:val="00785929"/>
    <w:rsid w:val="0079369F"/>
    <w:rsid w:val="007A1FE9"/>
    <w:rsid w:val="007A306B"/>
    <w:rsid w:val="007A4B94"/>
    <w:rsid w:val="007B0510"/>
    <w:rsid w:val="007B3111"/>
    <w:rsid w:val="007B3861"/>
    <w:rsid w:val="007B5D26"/>
    <w:rsid w:val="007B6333"/>
    <w:rsid w:val="007B7D54"/>
    <w:rsid w:val="007C009C"/>
    <w:rsid w:val="007C2CCB"/>
    <w:rsid w:val="007C4AFD"/>
    <w:rsid w:val="007C60C2"/>
    <w:rsid w:val="007C65D8"/>
    <w:rsid w:val="007C7BFD"/>
    <w:rsid w:val="007D0D44"/>
    <w:rsid w:val="007D1550"/>
    <w:rsid w:val="007D2274"/>
    <w:rsid w:val="007D39EB"/>
    <w:rsid w:val="007D6271"/>
    <w:rsid w:val="007D646E"/>
    <w:rsid w:val="007E112B"/>
    <w:rsid w:val="007E113B"/>
    <w:rsid w:val="007F02AF"/>
    <w:rsid w:val="007F0A61"/>
    <w:rsid w:val="007F0CBE"/>
    <w:rsid w:val="007F1C46"/>
    <w:rsid w:val="007F2BCD"/>
    <w:rsid w:val="007F5711"/>
    <w:rsid w:val="0080065E"/>
    <w:rsid w:val="00801068"/>
    <w:rsid w:val="00801CD7"/>
    <w:rsid w:val="00803113"/>
    <w:rsid w:val="0080355A"/>
    <w:rsid w:val="008066BD"/>
    <w:rsid w:val="00807214"/>
    <w:rsid w:val="0081052F"/>
    <w:rsid w:val="008105D9"/>
    <w:rsid w:val="00811424"/>
    <w:rsid w:val="00814710"/>
    <w:rsid w:val="00814F2C"/>
    <w:rsid w:val="008154B8"/>
    <w:rsid w:val="00817B21"/>
    <w:rsid w:val="0082020D"/>
    <w:rsid w:val="008217D3"/>
    <w:rsid w:val="00823763"/>
    <w:rsid w:val="00827B75"/>
    <w:rsid w:val="00831305"/>
    <w:rsid w:val="008313AA"/>
    <w:rsid w:val="00832D1C"/>
    <w:rsid w:val="0083314B"/>
    <w:rsid w:val="0083383A"/>
    <w:rsid w:val="008339ED"/>
    <w:rsid w:val="00834FCE"/>
    <w:rsid w:val="008358E4"/>
    <w:rsid w:val="0083745A"/>
    <w:rsid w:val="008402F1"/>
    <w:rsid w:val="008416AA"/>
    <w:rsid w:val="008434E9"/>
    <w:rsid w:val="00843E09"/>
    <w:rsid w:val="00845D05"/>
    <w:rsid w:val="00850946"/>
    <w:rsid w:val="00850A18"/>
    <w:rsid w:val="00850B0E"/>
    <w:rsid w:val="008522BC"/>
    <w:rsid w:val="00854531"/>
    <w:rsid w:val="00854AF9"/>
    <w:rsid w:val="0085525D"/>
    <w:rsid w:val="00855F2C"/>
    <w:rsid w:val="008603E3"/>
    <w:rsid w:val="00860DED"/>
    <w:rsid w:val="008620D4"/>
    <w:rsid w:val="00863D1C"/>
    <w:rsid w:val="008650AC"/>
    <w:rsid w:val="00870163"/>
    <w:rsid w:val="00872915"/>
    <w:rsid w:val="0087314C"/>
    <w:rsid w:val="00873618"/>
    <w:rsid w:val="00873735"/>
    <w:rsid w:val="00873B25"/>
    <w:rsid w:val="00875836"/>
    <w:rsid w:val="00875CB2"/>
    <w:rsid w:val="00876B5E"/>
    <w:rsid w:val="00880302"/>
    <w:rsid w:val="00881026"/>
    <w:rsid w:val="00881F0A"/>
    <w:rsid w:val="00882BE4"/>
    <w:rsid w:val="008904DD"/>
    <w:rsid w:val="00892A05"/>
    <w:rsid w:val="008930D7"/>
    <w:rsid w:val="00893E6B"/>
    <w:rsid w:val="00895006"/>
    <w:rsid w:val="008955C2"/>
    <w:rsid w:val="0089590F"/>
    <w:rsid w:val="00896770"/>
    <w:rsid w:val="00896CA1"/>
    <w:rsid w:val="008A10C4"/>
    <w:rsid w:val="008A7448"/>
    <w:rsid w:val="008A75D9"/>
    <w:rsid w:val="008B1A35"/>
    <w:rsid w:val="008B1B8D"/>
    <w:rsid w:val="008B3305"/>
    <w:rsid w:val="008B477B"/>
    <w:rsid w:val="008B647F"/>
    <w:rsid w:val="008C116B"/>
    <w:rsid w:val="008C1CC9"/>
    <w:rsid w:val="008C22A7"/>
    <w:rsid w:val="008C37D0"/>
    <w:rsid w:val="008C3CDC"/>
    <w:rsid w:val="008C4BCB"/>
    <w:rsid w:val="008C4FE3"/>
    <w:rsid w:val="008C51CA"/>
    <w:rsid w:val="008C636C"/>
    <w:rsid w:val="008C6B62"/>
    <w:rsid w:val="008C6CEF"/>
    <w:rsid w:val="008D1D6D"/>
    <w:rsid w:val="008E253E"/>
    <w:rsid w:val="008E409D"/>
    <w:rsid w:val="008E50C2"/>
    <w:rsid w:val="008E5EB0"/>
    <w:rsid w:val="008E6D48"/>
    <w:rsid w:val="008F008B"/>
    <w:rsid w:val="008F1D04"/>
    <w:rsid w:val="008F6063"/>
    <w:rsid w:val="008F79A9"/>
    <w:rsid w:val="00900D2C"/>
    <w:rsid w:val="009012E2"/>
    <w:rsid w:val="009022EA"/>
    <w:rsid w:val="0090275D"/>
    <w:rsid w:val="009032C2"/>
    <w:rsid w:val="00903AAA"/>
    <w:rsid w:val="00904080"/>
    <w:rsid w:val="00905143"/>
    <w:rsid w:val="0090603F"/>
    <w:rsid w:val="00906273"/>
    <w:rsid w:val="00912EAB"/>
    <w:rsid w:val="00915C50"/>
    <w:rsid w:val="00917720"/>
    <w:rsid w:val="00920832"/>
    <w:rsid w:val="00920F6D"/>
    <w:rsid w:val="009224DD"/>
    <w:rsid w:val="00922DF9"/>
    <w:rsid w:val="00925F7C"/>
    <w:rsid w:val="00927729"/>
    <w:rsid w:val="00927BBD"/>
    <w:rsid w:val="009311E7"/>
    <w:rsid w:val="00933E5C"/>
    <w:rsid w:val="00933EBB"/>
    <w:rsid w:val="00940A4B"/>
    <w:rsid w:val="00942A14"/>
    <w:rsid w:val="00943467"/>
    <w:rsid w:val="00943791"/>
    <w:rsid w:val="0094463B"/>
    <w:rsid w:val="00945453"/>
    <w:rsid w:val="009456D1"/>
    <w:rsid w:val="00945A46"/>
    <w:rsid w:val="00946D31"/>
    <w:rsid w:val="00947C2F"/>
    <w:rsid w:val="00947C4E"/>
    <w:rsid w:val="0095232E"/>
    <w:rsid w:val="009524C9"/>
    <w:rsid w:val="009565C3"/>
    <w:rsid w:val="0095722A"/>
    <w:rsid w:val="0095758D"/>
    <w:rsid w:val="00964118"/>
    <w:rsid w:val="00966900"/>
    <w:rsid w:val="0096776E"/>
    <w:rsid w:val="0097050C"/>
    <w:rsid w:val="00972393"/>
    <w:rsid w:val="0097301F"/>
    <w:rsid w:val="00973140"/>
    <w:rsid w:val="009754BC"/>
    <w:rsid w:val="00980304"/>
    <w:rsid w:val="00980664"/>
    <w:rsid w:val="0098076C"/>
    <w:rsid w:val="00985C2B"/>
    <w:rsid w:val="00990FE4"/>
    <w:rsid w:val="00994C4B"/>
    <w:rsid w:val="00995170"/>
    <w:rsid w:val="00996E9B"/>
    <w:rsid w:val="00996ED8"/>
    <w:rsid w:val="009A0763"/>
    <w:rsid w:val="009A11A3"/>
    <w:rsid w:val="009A17B3"/>
    <w:rsid w:val="009A2766"/>
    <w:rsid w:val="009B04BE"/>
    <w:rsid w:val="009B0574"/>
    <w:rsid w:val="009B1EC6"/>
    <w:rsid w:val="009B2D11"/>
    <w:rsid w:val="009B3462"/>
    <w:rsid w:val="009B3F52"/>
    <w:rsid w:val="009B4789"/>
    <w:rsid w:val="009B4994"/>
    <w:rsid w:val="009B6DCC"/>
    <w:rsid w:val="009C0042"/>
    <w:rsid w:val="009C160D"/>
    <w:rsid w:val="009C19D2"/>
    <w:rsid w:val="009C39E3"/>
    <w:rsid w:val="009C436F"/>
    <w:rsid w:val="009C474C"/>
    <w:rsid w:val="009C5CA7"/>
    <w:rsid w:val="009C6EFC"/>
    <w:rsid w:val="009C70BB"/>
    <w:rsid w:val="009C7AA2"/>
    <w:rsid w:val="009D0240"/>
    <w:rsid w:val="009D1778"/>
    <w:rsid w:val="009D2457"/>
    <w:rsid w:val="009D3B61"/>
    <w:rsid w:val="009D545F"/>
    <w:rsid w:val="009E07C7"/>
    <w:rsid w:val="009E10BE"/>
    <w:rsid w:val="009E1E8C"/>
    <w:rsid w:val="009E22DE"/>
    <w:rsid w:val="009E317F"/>
    <w:rsid w:val="009E5D36"/>
    <w:rsid w:val="009E6427"/>
    <w:rsid w:val="009E69D1"/>
    <w:rsid w:val="009E7F07"/>
    <w:rsid w:val="009F0405"/>
    <w:rsid w:val="009F60A9"/>
    <w:rsid w:val="009F79D5"/>
    <w:rsid w:val="00A049BE"/>
    <w:rsid w:val="00A0649D"/>
    <w:rsid w:val="00A06F2B"/>
    <w:rsid w:val="00A106C2"/>
    <w:rsid w:val="00A115A7"/>
    <w:rsid w:val="00A12490"/>
    <w:rsid w:val="00A12C0A"/>
    <w:rsid w:val="00A1325E"/>
    <w:rsid w:val="00A141C6"/>
    <w:rsid w:val="00A1577C"/>
    <w:rsid w:val="00A16000"/>
    <w:rsid w:val="00A16B78"/>
    <w:rsid w:val="00A21074"/>
    <w:rsid w:val="00A24D8B"/>
    <w:rsid w:val="00A27856"/>
    <w:rsid w:val="00A27FAB"/>
    <w:rsid w:val="00A314DD"/>
    <w:rsid w:val="00A36150"/>
    <w:rsid w:val="00A36569"/>
    <w:rsid w:val="00A37DD7"/>
    <w:rsid w:val="00A42586"/>
    <w:rsid w:val="00A42D63"/>
    <w:rsid w:val="00A474EB"/>
    <w:rsid w:val="00A50010"/>
    <w:rsid w:val="00A5138A"/>
    <w:rsid w:val="00A523C9"/>
    <w:rsid w:val="00A52EE0"/>
    <w:rsid w:val="00A548D0"/>
    <w:rsid w:val="00A60D0D"/>
    <w:rsid w:val="00A613AD"/>
    <w:rsid w:val="00A67779"/>
    <w:rsid w:val="00A677BB"/>
    <w:rsid w:val="00A711D6"/>
    <w:rsid w:val="00A71E52"/>
    <w:rsid w:val="00A76E6E"/>
    <w:rsid w:val="00A779DA"/>
    <w:rsid w:val="00A816E8"/>
    <w:rsid w:val="00A8367E"/>
    <w:rsid w:val="00A84795"/>
    <w:rsid w:val="00A8797A"/>
    <w:rsid w:val="00A911D9"/>
    <w:rsid w:val="00A91401"/>
    <w:rsid w:val="00A91FA1"/>
    <w:rsid w:val="00A938DF"/>
    <w:rsid w:val="00A93E58"/>
    <w:rsid w:val="00A94698"/>
    <w:rsid w:val="00A9527F"/>
    <w:rsid w:val="00A9538C"/>
    <w:rsid w:val="00A9584A"/>
    <w:rsid w:val="00A97320"/>
    <w:rsid w:val="00AA00CE"/>
    <w:rsid w:val="00AA0CB4"/>
    <w:rsid w:val="00AA0FC2"/>
    <w:rsid w:val="00AA1527"/>
    <w:rsid w:val="00AA2596"/>
    <w:rsid w:val="00AA3727"/>
    <w:rsid w:val="00AA4614"/>
    <w:rsid w:val="00AA617B"/>
    <w:rsid w:val="00AB21C0"/>
    <w:rsid w:val="00AB2794"/>
    <w:rsid w:val="00AB33E8"/>
    <w:rsid w:val="00AB3B9D"/>
    <w:rsid w:val="00AB4387"/>
    <w:rsid w:val="00AB6ABB"/>
    <w:rsid w:val="00AC2B78"/>
    <w:rsid w:val="00AC310F"/>
    <w:rsid w:val="00AC3271"/>
    <w:rsid w:val="00AC592B"/>
    <w:rsid w:val="00AC5A59"/>
    <w:rsid w:val="00AC7800"/>
    <w:rsid w:val="00AD0F76"/>
    <w:rsid w:val="00AD22EE"/>
    <w:rsid w:val="00AD536F"/>
    <w:rsid w:val="00AD5B4E"/>
    <w:rsid w:val="00AD5B51"/>
    <w:rsid w:val="00AE2150"/>
    <w:rsid w:val="00AE27A2"/>
    <w:rsid w:val="00AE343D"/>
    <w:rsid w:val="00AE41A6"/>
    <w:rsid w:val="00AE5396"/>
    <w:rsid w:val="00AE6DC9"/>
    <w:rsid w:val="00AE7B94"/>
    <w:rsid w:val="00AF01EF"/>
    <w:rsid w:val="00AF0558"/>
    <w:rsid w:val="00AF0EA0"/>
    <w:rsid w:val="00AF1A52"/>
    <w:rsid w:val="00AF1EE0"/>
    <w:rsid w:val="00AF1F66"/>
    <w:rsid w:val="00AF451E"/>
    <w:rsid w:val="00AF744E"/>
    <w:rsid w:val="00B00A03"/>
    <w:rsid w:val="00B01A1D"/>
    <w:rsid w:val="00B034A4"/>
    <w:rsid w:val="00B056A1"/>
    <w:rsid w:val="00B105BB"/>
    <w:rsid w:val="00B1068B"/>
    <w:rsid w:val="00B10FF2"/>
    <w:rsid w:val="00B121EA"/>
    <w:rsid w:val="00B127D0"/>
    <w:rsid w:val="00B13DCA"/>
    <w:rsid w:val="00B14BCA"/>
    <w:rsid w:val="00B17C5B"/>
    <w:rsid w:val="00B17DC1"/>
    <w:rsid w:val="00B20C2C"/>
    <w:rsid w:val="00B228E0"/>
    <w:rsid w:val="00B244CB"/>
    <w:rsid w:val="00B24BEC"/>
    <w:rsid w:val="00B26120"/>
    <w:rsid w:val="00B26902"/>
    <w:rsid w:val="00B26C79"/>
    <w:rsid w:val="00B27430"/>
    <w:rsid w:val="00B3126C"/>
    <w:rsid w:val="00B31503"/>
    <w:rsid w:val="00B318C4"/>
    <w:rsid w:val="00B3292E"/>
    <w:rsid w:val="00B334DD"/>
    <w:rsid w:val="00B352EF"/>
    <w:rsid w:val="00B378B4"/>
    <w:rsid w:val="00B449F9"/>
    <w:rsid w:val="00B454FD"/>
    <w:rsid w:val="00B456EF"/>
    <w:rsid w:val="00B470C3"/>
    <w:rsid w:val="00B51F3D"/>
    <w:rsid w:val="00B54AC1"/>
    <w:rsid w:val="00B54F42"/>
    <w:rsid w:val="00B553DC"/>
    <w:rsid w:val="00B56204"/>
    <w:rsid w:val="00B60115"/>
    <w:rsid w:val="00B6079D"/>
    <w:rsid w:val="00B62AC4"/>
    <w:rsid w:val="00B65F67"/>
    <w:rsid w:val="00B6768B"/>
    <w:rsid w:val="00B71A9E"/>
    <w:rsid w:val="00B72261"/>
    <w:rsid w:val="00B73096"/>
    <w:rsid w:val="00B73C43"/>
    <w:rsid w:val="00B7413C"/>
    <w:rsid w:val="00B80E74"/>
    <w:rsid w:val="00B8115E"/>
    <w:rsid w:val="00B83696"/>
    <w:rsid w:val="00B838A0"/>
    <w:rsid w:val="00B848CD"/>
    <w:rsid w:val="00B84CEA"/>
    <w:rsid w:val="00B8599B"/>
    <w:rsid w:val="00B86728"/>
    <w:rsid w:val="00B8744E"/>
    <w:rsid w:val="00B8790B"/>
    <w:rsid w:val="00B8795B"/>
    <w:rsid w:val="00B9246C"/>
    <w:rsid w:val="00B92CEF"/>
    <w:rsid w:val="00B940E8"/>
    <w:rsid w:val="00B95C56"/>
    <w:rsid w:val="00B96EEE"/>
    <w:rsid w:val="00BA2982"/>
    <w:rsid w:val="00BA4015"/>
    <w:rsid w:val="00BA6150"/>
    <w:rsid w:val="00BA6B8B"/>
    <w:rsid w:val="00BA72AC"/>
    <w:rsid w:val="00BB0684"/>
    <w:rsid w:val="00BB1683"/>
    <w:rsid w:val="00BB3582"/>
    <w:rsid w:val="00BB3AA0"/>
    <w:rsid w:val="00BB5A90"/>
    <w:rsid w:val="00BC056E"/>
    <w:rsid w:val="00BC110B"/>
    <w:rsid w:val="00BC145A"/>
    <w:rsid w:val="00BC29FD"/>
    <w:rsid w:val="00BC5B20"/>
    <w:rsid w:val="00BC63EB"/>
    <w:rsid w:val="00BD1D25"/>
    <w:rsid w:val="00BD2C1F"/>
    <w:rsid w:val="00BD44D8"/>
    <w:rsid w:val="00BE1BF5"/>
    <w:rsid w:val="00BE4906"/>
    <w:rsid w:val="00BE775B"/>
    <w:rsid w:val="00BE7E2D"/>
    <w:rsid w:val="00BF01B8"/>
    <w:rsid w:val="00BF1B38"/>
    <w:rsid w:val="00BF6633"/>
    <w:rsid w:val="00BF7C91"/>
    <w:rsid w:val="00C0657E"/>
    <w:rsid w:val="00C10AE6"/>
    <w:rsid w:val="00C1122F"/>
    <w:rsid w:val="00C115F7"/>
    <w:rsid w:val="00C126A8"/>
    <w:rsid w:val="00C12B99"/>
    <w:rsid w:val="00C14E7D"/>
    <w:rsid w:val="00C158FF"/>
    <w:rsid w:val="00C17695"/>
    <w:rsid w:val="00C1770B"/>
    <w:rsid w:val="00C20036"/>
    <w:rsid w:val="00C2050C"/>
    <w:rsid w:val="00C207DC"/>
    <w:rsid w:val="00C213C3"/>
    <w:rsid w:val="00C25304"/>
    <w:rsid w:val="00C33604"/>
    <w:rsid w:val="00C35242"/>
    <w:rsid w:val="00C36E48"/>
    <w:rsid w:val="00C43558"/>
    <w:rsid w:val="00C441FB"/>
    <w:rsid w:val="00C4510D"/>
    <w:rsid w:val="00C46216"/>
    <w:rsid w:val="00C46406"/>
    <w:rsid w:val="00C46533"/>
    <w:rsid w:val="00C46BBE"/>
    <w:rsid w:val="00C47048"/>
    <w:rsid w:val="00C47582"/>
    <w:rsid w:val="00C502A4"/>
    <w:rsid w:val="00C5058F"/>
    <w:rsid w:val="00C53B4C"/>
    <w:rsid w:val="00C56B67"/>
    <w:rsid w:val="00C57E59"/>
    <w:rsid w:val="00C60011"/>
    <w:rsid w:val="00C63568"/>
    <w:rsid w:val="00C63881"/>
    <w:rsid w:val="00C64043"/>
    <w:rsid w:val="00C64F75"/>
    <w:rsid w:val="00C70004"/>
    <w:rsid w:val="00C70268"/>
    <w:rsid w:val="00C70C12"/>
    <w:rsid w:val="00C70FCF"/>
    <w:rsid w:val="00C71AE6"/>
    <w:rsid w:val="00C72882"/>
    <w:rsid w:val="00C728FB"/>
    <w:rsid w:val="00C7297A"/>
    <w:rsid w:val="00C73BDC"/>
    <w:rsid w:val="00C74802"/>
    <w:rsid w:val="00C754B0"/>
    <w:rsid w:val="00C75BD8"/>
    <w:rsid w:val="00C7740A"/>
    <w:rsid w:val="00C8121F"/>
    <w:rsid w:val="00C83264"/>
    <w:rsid w:val="00C84A8B"/>
    <w:rsid w:val="00C85C55"/>
    <w:rsid w:val="00C8725E"/>
    <w:rsid w:val="00C87DC2"/>
    <w:rsid w:val="00C90021"/>
    <w:rsid w:val="00C90580"/>
    <w:rsid w:val="00C90E0F"/>
    <w:rsid w:val="00C91041"/>
    <w:rsid w:val="00C9140A"/>
    <w:rsid w:val="00C919A1"/>
    <w:rsid w:val="00C94615"/>
    <w:rsid w:val="00C94D05"/>
    <w:rsid w:val="00C953EF"/>
    <w:rsid w:val="00C954A3"/>
    <w:rsid w:val="00C95694"/>
    <w:rsid w:val="00C95B74"/>
    <w:rsid w:val="00C96D85"/>
    <w:rsid w:val="00C97A50"/>
    <w:rsid w:val="00C97CF2"/>
    <w:rsid w:val="00CA0802"/>
    <w:rsid w:val="00CA1203"/>
    <w:rsid w:val="00CA4097"/>
    <w:rsid w:val="00CA4119"/>
    <w:rsid w:val="00CA5BD1"/>
    <w:rsid w:val="00CA6851"/>
    <w:rsid w:val="00CA6BD6"/>
    <w:rsid w:val="00CA70FD"/>
    <w:rsid w:val="00CB08B9"/>
    <w:rsid w:val="00CB0E5C"/>
    <w:rsid w:val="00CB16A1"/>
    <w:rsid w:val="00CB187A"/>
    <w:rsid w:val="00CB19D0"/>
    <w:rsid w:val="00CB2702"/>
    <w:rsid w:val="00CB452C"/>
    <w:rsid w:val="00CB61F2"/>
    <w:rsid w:val="00CC0233"/>
    <w:rsid w:val="00CC03E0"/>
    <w:rsid w:val="00CC0947"/>
    <w:rsid w:val="00CC222E"/>
    <w:rsid w:val="00CC2CE5"/>
    <w:rsid w:val="00CC52F5"/>
    <w:rsid w:val="00CC5812"/>
    <w:rsid w:val="00CC58E6"/>
    <w:rsid w:val="00CC6B75"/>
    <w:rsid w:val="00CC6E92"/>
    <w:rsid w:val="00CD2A33"/>
    <w:rsid w:val="00CD405B"/>
    <w:rsid w:val="00CD49F5"/>
    <w:rsid w:val="00CD4DE8"/>
    <w:rsid w:val="00CD6C68"/>
    <w:rsid w:val="00CD6F20"/>
    <w:rsid w:val="00CE0131"/>
    <w:rsid w:val="00CE0596"/>
    <w:rsid w:val="00CE096A"/>
    <w:rsid w:val="00CE1AE5"/>
    <w:rsid w:val="00CE31D7"/>
    <w:rsid w:val="00CE3266"/>
    <w:rsid w:val="00CE3F5E"/>
    <w:rsid w:val="00CE7589"/>
    <w:rsid w:val="00CF01FD"/>
    <w:rsid w:val="00CF0C91"/>
    <w:rsid w:val="00CF278F"/>
    <w:rsid w:val="00CF2A27"/>
    <w:rsid w:val="00CF38C2"/>
    <w:rsid w:val="00CF507F"/>
    <w:rsid w:val="00CF7235"/>
    <w:rsid w:val="00CF75DD"/>
    <w:rsid w:val="00D00648"/>
    <w:rsid w:val="00D00942"/>
    <w:rsid w:val="00D02E5C"/>
    <w:rsid w:val="00D038F1"/>
    <w:rsid w:val="00D0469B"/>
    <w:rsid w:val="00D047E5"/>
    <w:rsid w:val="00D079C6"/>
    <w:rsid w:val="00D119A2"/>
    <w:rsid w:val="00D12B96"/>
    <w:rsid w:val="00D13F9A"/>
    <w:rsid w:val="00D15A8C"/>
    <w:rsid w:val="00D15DB4"/>
    <w:rsid w:val="00D17BE6"/>
    <w:rsid w:val="00D2086F"/>
    <w:rsid w:val="00D23CD1"/>
    <w:rsid w:val="00D23E9C"/>
    <w:rsid w:val="00D254B3"/>
    <w:rsid w:val="00D25F62"/>
    <w:rsid w:val="00D31670"/>
    <w:rsid w:val="00D31781"/>
    <w:rsid w:val="00D31EA6"/>
    <w:rsid w:val="00D3200F"/>
    <w:rsid w:val="00D329C5"/>
    <w:rsid w:val="00D34308"/>
    <w:rsid w:val="00D363CD"/>
    <w:rsid w:val="00D3741E"/>
    <w:rsid w:val="00D3761F"/>
    <w:rsid w:val="00D40D5B"/>
    <w:rsid w:val="00D42122"/>
    <w:rsid w:val="00D451E8"/>
    <w:rsid w:val="00D46279"/>
    <w:rsid w:val="00D46A09"/>
    <w:rsid w:val="00D47121"/>
    <w:rsid w:val="00D544E6"/>
    <w:rsid w:val="00D548A2"/>
    <w:rsid w:val="00D5596A"/>
    <w:rsid w:val="00D57E80"/>
    <w:rsid w:val="00D607E1"/>
    <w:rsid w:val="00D61825"/>
    <w:rsid w:val="00D62200"/>
    <w:rsid w:val="00D6357B"/>
    <w:rsid w:val="00D63CAE"/>
    <w:rsid w:val="00D6615E"/>
    <w:rsid w:val="00D6662B"/>
    <w:rsid w:val="00D66817"/>
    <w:rsid w:val="00D67E55"/>
    <w:rsid w:val="00D702EB"/>
    <w:rsid w:val="00D71E89"/>
    <w:rsid w:val="00D77A97"/>
    <w:rsid w:val="00D80067"/>
    <w:rsid w:val="00D805EE"/>
    <w:rsid w:val="00D80FE7"/>
    <w:rsid w:val="00D8307B"/>
    <w:rsid w:val="00D84BAC"/>
    <w:rsid w:val="00D859E2"/>
    <w:rsid w:val="00D86A6D"/>
    <w:rsid w:val="00D91D71"/>
    <w:rsid w:val="00D935A8"/>
    <w:rsid w:val="00D935D7"/>
    <w:rsid w:val="00D963DF"/>
    <w:rsid w:val="00D96C06"/>
    <w:rsid w:val="00D97840"/>
    <w:rsid w:val="00DA00C2"/>
    <w:rsid w:val="00DA065E"/>
    <w:rsid w:val="00DA24BE"/>
    <w:rsid w:val="00DA57CA"/>
    <w:rsid w:val="00DB156E"/>
    <w:rsid w:val="00DB66BA"/>
    <w:rsid w:val="00DB6708"/>
    <w:rsid w:val="00DB6C51"/>
    <w:rsid w:val="00DB7B32"/>
    <w:rsid w:val="00DC00A8"/>
    <w:rsid w:val="00DC07A0"/>
    <w:rsid w:val="00DC097A"/>
    <w:rsid w:val="00DC1A4A"/>
    <w:rsid w:val="00DC68A6"/>
    <w:rsid w:val="00DC7F3E"/>
    <w:rsid w:val="00DD1D31"/>
    <w:rsid w:val="00DD27C9"/>
    <w:rsid w:val="00DD2BDB"/>
    <w:rsid w:val="00DD7092"/>
    <w:rsid w:val="00DE05B6"/>
    <w:rsid w:val="00DE1ED3"/>
    <w:rsid w:val="00DE73EE"/>
    <w:rsid w:val="00DF1014"/>
    <w:rsid w:val="00DF2875"/>
    <w:rsid w:val="00DF2BF1"/>
    <w:rsid w:val="00DF342F"/>
    <w:rsid w:val="00DF4042"/>
    <w:rsid w:val="00DF5127"/>
    <w:rsid w:val="00DF5625"/>
    <w:rsid w:val="00DF5B68"/>
    <w:rsid w:val="00DF6C51"/>
    <w:rsid w:val="00DF6E50"/>
    <w:rsid w:val="00DF724E"/>
    <w:rsid w:val="00E04CA6"/>
    <w:rsid w:val="00E0513C"/>
    <w:rsid w:val="00E119D4"/>
    <w:rsid w:val="00E14C1B"/>
    <w:rsid w:val="00E17A58"/>
    <w:rsid w:val="00E232C6"/>
    <w:rsid w:val="00E23C09"/>
    <w:rsid w:val="00E25B0D"/>
    <w:rsid w:val="00E3067F"/>
    <w:rsid w:val="00E30704"/>
    <w:rsid w:val="00E30964"/>
    <w:rsid w:val="00E309B6"/>
    <w:rsid w:val="00E31DA7"/>
    <w:rsid w:val="00E34DF4"/>
    <w:rsid w:val="00E376DB"/>
    <w:rsid w:val="00E4168E"/>
    <w:rsid w:val="00E427B8"/>
    <w:rsid w:val="00E42A63"/>
    <w:rsid w:val="00E45E1B"/>
    <w:rsid w:val="00E46C1B"/>
    <w:rsid w:val="00E500E8"/>
    <w:rsid w:val="00E51C79"/>
    <w:rsid w:val="00E55288"/>
    <w:rsid w:val="00E5544B"/>
    <w:rsid w:val="00E55EFB"/>
    <w:rsid w:val="00E56436"/>
    <w:rsid w:val="00E57831"/>
    <w:rsid w:val="00E61BEE"/>
    <w:rsid w:val="00E630BD"/>
    <w:rsid w:val="00E63321"/>
    <w:rsid w:val="00E653EB"/>
    <w:rsid w:val="00E65895"/>
    <w:rsid w:val="00E6688B"/>
    <w:rsid w:val="00E66EFD"/>
    <w:rsid w:val="00E70C29"/>
    <w:rsid w:val="00E733D0"/>
    <w:rsid w:val="00E74781"/>
    <w:rsid w:val="00E74C1D"/>
    <w:rsid w:val="00E76083"/>
    <w:rsid w:val="00E77F8F"/>
    <w:rsid w:val="00E8154D"/>
    <w:rsid w:val="00E82489"/>
    <w:rsid w:val="00E83C92"/>
    <w:rsid w:val="00E83D0F"/>
    <w:rsid w:val="00E84629"/>
    <w:rsid w:val="00E84E06"/>
    <w:rsid w:val="00E863B5"/>
    <w:rsid w:val="00E86C58"/>
    <w:rsid w:val="00E87A70"/>
    <w:rsid w:val="00E9036E"/>
    <w:rsid w:val="00E90C66"/>
    <w:rsid w:val="00E93AEE"/>
    <w:rsid w:val="00E95E92"/>
    <w:rsid w:val="00E96607"/>
    <w:rsid w:val="00E97EBD"/>
    <w:rsid w:val="00EA44DD"/>
    <w:rsid w:val="00EA4D7C"/>
    <w:rsid w:val="00EA5C12"/>
    <w:rsid w:val="00EB02FF"/>
    <w:rsid w:val="00EB1050"/>
    <w:rsid w:val="00EB16E2"/>
    <w:rsid w:val="00EB16EE"/>
    <w:rsid w:val="00EC08E3"/>
    <w:rsid w:val="00EC289A"/>
    <w:rsid w:val="00EC58F5"/>
    <w:rsid w:val="00EC6013"/>
    <w:rsid w:val="00EC748D"/>
    <w:rsid w:val="00EC78DA"/>
    <w:rsid w:val="00ED00AC"/>
    <w:rsid w:val="00ED281C"/>
    <w:rsid w:val="00ED4ED4"/>
    <w:rsid w:val="00EE5381"/>
    <w:rsid w:val="00EE6261"/>
    <w:rsid w:val="00EE70CD"/>
    <w:rsid w:val="00EE72F8"/>
    <w:rsid w:val="00EF408E"/>
    <w:rsid w:val="00EF40C7"/>
    <w:rsid w:val="00EF4E09"/>
    <w:rsid w:val="00EF7F96"/>
    <w:rsid w:val="00F03A79"/>
    <w:rsid w:val="00F03B87"/>
    <w:rsid w:val="00F03D72"/>
    <w:rsid w:val="00F03D76"/>
    <w:rsid w:val="00F04455"/>
    <w:rsid w:val="00F0561B"/>
    <w:rsid w:val="00F0615A"/>
    <w:rsid w:val="00F07DEF"/>
    <w:rsid w:val="00F127D0"/>
    <w:rsid w:val="00F12819"/>
    <w:rsid w:val="00F13287"/>
    <w:rsid w:val="00F17AEF"/>
    <w:rsid w:val="00F20343"/>
    <w:rsid w:val="00F20E37"/>
    <w:rsid w:val="00F21BA8"/>
    <w:rsid w:val="00F234FA"/>
    <w:rsid w:val="00F279C5"/>
    <w:rsid w:val="00F32C0A"/>
    <w:rsid w:val="00F34AC1"/>
    <w:rsid w:val="00F368E9"/>
    <w:rsid w:val="00F3703F"/>
    <w:rsid w:val="00F4194F"/>
    <w:rsid w:val="00F4242E"/>
    <w:rsid w:val="00F434AF"/>
    <w:rsid w:val="00F43A13"/>
    <w:rsid w:val="00F460D1"/>
    <w:rsid w:val="00F46605"/>
    <w:rsid w:val="00F4790F"/>
    <w:rsid w:val="00F55A72"/>
    <w:rsid w:val="00F55D35"/>
    <w:rsid w:val="00F6029A"/>
    <w:rsid w:val="00F623C8"/>
    <w:rsid w:val="00F62BA6"/>
    <w:rsid w:val="00F63466"/>
    <w:rsid w:val="00F6356C"/>
    <w:rsid w:val="00F63A26"/>
    <w:rsid w:val="00F64FBD"/>
    <w:rsid w:val="00F66402"/>
    <w:rsid w:val="00F67B31"/>
    <w:rsid w:val="00F72657"/>
    <w:rsid w:val="00F72780"/>
    <w:rsid w:val="00F72997"/>
    <w:rsid w:val="00F72C4A"/>
    <w:rsid w:val="00F73003"/>
    <w:rsid w:val="00F740AA"/>
    <w:rsid w:val="00F74AC6"/>
    <w:rsid w:val="00F74B13"/>
    <w:rsid w:val="00F75F84"/>
    <w:rsid w:val="00F80390"/>
    <w:rsid w:val="00F83092"/>
    <w:rsid w:val="00F854CA"/>
    <w:rsid w:val="00F85F27"/>
    <w:rsid w:val="00F860AF"/>
    <w:rsid w:val="00F9086E"/>
    <w:rsid w:val="00F93D0D"/>
    <w:rsid w:val="00F97FED"/>
    <w:rsid w:val="00FA1963"/>
    <w:rsid w:val="00FA2EB2"/>
    <w:rsid w:val="00FA6879"/>
    <w:rsid w:val="00FA7B3B"/>
    <w:rsid w:val="00FA7F1B"/>
    <w:rsid w:val="00FB0FAD"/>
    <w:rsid w:val="00FB1686"/>
    <w:rsid w:val="00FB180D"/>
    <w:rsid w:val="00FB2195"/>
    <w:rsid w:val="00FB3DD3"/>
    <w:rsid w:val="00FB5C6A"/>
    <w:rsid w:val="00FB6E77"/>
    <w:rsid w:val="00FB7F62"/>
    <w:rsid w:val="00FC165E"/>
    <w:rsid w:val="00FC17FC"/>
    <w:rsid w:val="00FC5BFB"/>
    <w:rsid w:val="00FC5EA5"/>
    <w:rsid w:val="00FC603F"/>
    <w:rsid w:val="00FC63AB"/>
    <w:rsid w:val="00FD4B05"/>
    <w:rsid w:val="00FD53F7"/>
    <w:rsid w:val="00FD6B09"/>
    <w:rsid w:val="00FD7043"/>
    <w:rsid w:val="00FE04CF"/>
    <w:rsid w:val="00FE0EC5"/>
    <w:rsid w:val="00FE1120"/>
    <w:rsid w:val="00FE2267"/>
    <w:rsid w:val="00FE2583"/>
    <w:rsid w:val="00FE27B2"/>
    <w:rsid w:val="00FE58B5"/>
    <w:rsid w:val="00FF04B8"/>
    <w:rsid w:val="00FF04F3"/>
    <w:rsid w:val="00FF0C7E"/>
    <w:rsid w:val="00FF17E7"/>
    <w:rsid w:val="00FF1FFD"/>
    <w:rsid w:val="00FF290C"/>
    <w:rsid w:val="00FF4527"/>
    <w:rsid w:val="00FF4545"/>
    <w:rsid w:val="00FF57A5"/>
    <w:rsid w:val="00FF5EEF"/>
    <w:rsid w:val="00FF62FA"/>
    <w:rsid w:val="00FF7FBB"/>
    <w:rsid w:val="01067C32"/>
    <w:rsid w:val="011131BD"/>
    <w:rsid w:val="013F4ADF"/>
    <w:rsid w:val="014140C2"/>
    <w:rsid w:val="018E260C"/>
    <w:rsid w:val="01BC3830"/>
    <w:rsid w:val="022B1183"/>
    <w:rsid w:val="0261487E"/>
    <w:rsid w:val="03B22EB7"/>
    <w:rsid w:val="04020788"/>
    <w:rsid w:val="04211576"/>
    <w:rsid w:val="04604F33"/>
    <w:rsid w:val="04C9670A"/>
    <w:rsid w:val="04DF7393"/>
    <w:rsid w:val="04F562BA"/>
    <w:rsid w:val="051D6770"/>
    <w:rsid w:val="05E3107B"/>
    <w:rsid w:val="062126D7"/>
    <w:rsid w:val="07014924"/>
    <w:rsid w:val="07553B87"/>
    <w:rsid w:val="07696FA2"/>
    <w:rsid w:val="079459C3"/>
    <w:rsid w:val="079763D7"/>
    <w:rsid w:val="07DA58D2"/>
    <w:rsid w:val="082332CD"/>
    <w:rsid w:val="08C80592"/>
    <w:rsid w:val="08D6436F"/>
    <w:rsid w:val="09702E17"/>
    <w:rsid w:val="09811611"/>
    <w:rsid w:val="0A305A43"/>
    <w:rsid w:val="0A415148"/>
    <w:rsid w:val="0AAF16B9"/>
    <w:rsid w:val="0AE147AE"/>
    <w:rsid w:val="0AF177AC"/>
    <w:rsid w:val="0B584956"/>
    <w:rsid w:val="0B594588"/>
    <w:rsid w:val="0BB353EA"/>
    <w:rsid w:val="0BCE4606"/>
    <w:rsid w:val="0BE45E8A"/>
    <w:rsid w:val="0C2B79BB"/>
    <w:rsid w:val="0C3B62F7"/>
    <w:rsid w:val="0C9D2956"/>
    <w:rsid w:val="0CC47FFA"/>
    <w:rsid w:val="0CEA7232"/>
    <w:rsid w:val="0D456160"/>
    <w:rsid w:val="0D4C3E39"/>
    <w:rsid w:val="0D8649FC"/>
    <w:rsid w:val="0D8D5376"/>
    <w:rsid w:val="0D9126FC"/>
    <w:rsid w:val="0E052BB6"/>
    <w:rsid w:val="0E2F510E"/>
    <w:rsid w:val="0E480204"/>
    <w:rsid w:val="0E6957B9"/>
    <w:rsid w:val="0E847430"/>
    <w:rsid w:val="0E85258E"/>
    <w:rsid w:val="0EA1217B"/>
    <w:rsid w:val="0F1C2308"/>
    <w:rsid w:val="0F5014FF"/>
    <w:rsid w:val="0F5D434E"/>
    <w:rsid w:val="0FB103B8"/>
    <w:rsid w:val="0FB71F81"/>
    <w:rsid w:val="100C61A4"/>
    <w:rsid w:val="109C505C"/>
    <w:rsid w:val="10AA1BA6"/>
    <w:rsid w:val="11200165"/>
    <w:rsid w:val="113F1C06"/>
    <w:rsid w:val="11B82B2F"/>
    <w:rsid w:val="11B85B3D"/>
    <w:rsid w:val="11C52B96"/>
    <w:rsid w:val="120262F6"/>
    <w:rsid w:val="1236039E"/>
    <w:rsid w:val="12E62ECA"/>
    <w:rsid w:val="13B862C8"/>
    <w:rsid w:val="13DE6588"/>
    <w:rsid w:val="140E2354"/>
    <w:rsid w:val="14104C1B"/>
    <w:rsid w:val="145F6743"/>
    <w:rsid w:val="147A5266"/>
    <w:rsid w:val="14825BBD"/>
    <w:rsid w:val="14CA1570"/>
    <w:rsid w:val="15D564FC"/>
    <w:rsid w:val="15E45152"/>
    <w:rsid w:val="1652713F"/>
    <w:rsid w:val="16F7712F"/>
    <w:rsid w:val="16FB661B"/>
    <w:rsid w:val="170631B7"/>
    <w:rsid w:val="17255A22"/>
    <w:rsid w:val="17257C76"/>
    <w:rsid w:val="178017B2"/>
    <w:rsid w:val="179B3FE7"/>
    <w:rsid w:val="17D52CE3"/>
    <w:rsid w:val="17EA444D"/>
    <w:rsid w:val="1910625E"/>
    <w:rsid w:val="192A7DDF"/>
    <w:rsid w:val="197F0FA6"/>
    <w:rsid w:val="1A273AD5"/>
    <w:rsid w:val="1A641B90"/>
    <w:rsid w:val="1A9B2BED"/>
    <w:rsid w:val="1AA4355A"/>
    <w:rsid w:val="1ADF716A"/>
    <w:rsid w:val="1B601C8F"/>
    <w:rsid w:val="1B705A64"/>
    <w:rsid w:val="1BB70741"/>
    <w:rsid w:val="1BC16BD1"/>
    <w:rsid w:val="1BDC32D2"/>
    <w:rsid w:val="1BEF2AA3"/>
    <w:rsid w:val="1C1F188F"/>
    <w:rsid w:val="1C5711D9"/>
    <w:rsid w:val="1C840E8C"/>
    <w:rsid w:val="1D3C3A0F"/>
    <w:rsid w:val="1D47684E"/>
    <w:rsid w:val="1D9C40E4"/>
    <w:rsid w:val="1DD004E8"/>
    <w:rsid w:val="1DFE152B"/>
    <w:rsid w:val="1E08049B"/>
    <w:rsid w:val="1E161898"/>
    <w:rsid w:val="1E1A5776"/>
    <w:rsid w:val="1E3C5367"/>
    <w:rsid w:val="1E9149CF"/>
    <w:rsid w:val="1EF74302"/>
    <w:rsid w:val="1F52223B"/>
    <w:rsid w:val="20311DCD"/>
    <w:rsid w:val="205829A9"/>
    <w:rsid w:val="20681DB4"/>
    <w:rsid w:val="2107641A"/>
    <w:rsid w:val="210B2367"/>
    <w:rsid w:val="213A698C"/>
    <w:rsid w:val="21873B17"/>
    <w:rsid w:val="21B14D9F"/>
    <w:rsid w:val="21B1639C"/>
    <w:rsid w:val="21C01E29"/>
    <w:rsid w:val="21C5122B"/>
    <w:rsid w:val="22377CB8"/>
    <w:rsid w:val="22575584"/>
    <w:rsid w:val="22BB0A6D"/>
    <w:rsid w:val="2356494C"/>
    <w:rsid w:val="23B21740"/>
    <w:rsid w:val="24155071"/>
    <w:rsid w:val="247D50F0"/>
    <w:rsid w:val="248071CE"/>
    <w:rsid w:val="248E2D87"/>
    <w:rsid w:val="24C33B54"/>
    <w:rsid w:val="24CD14A7"/>
    <w:rsid w:val="24DA0B9F"/>
    <w:rsid w:val="251C704F"/>
    <w:rsid w:val="255F1BA2"/>
    <w:rsid w:val="25E6260A"/>
    <w:rsid w:val="2643711A"/>
    <w:rsid w:val="265A6279"/>
    <w:rsid w:val="26811FF9"/>
    <w:rsid w:val="269E5DA4"/>
    <w:rsid w:val="26BD67C5"/>
    <w:rsid w:val="26BE72FA"/>
    <w:rsid w:val="26BF0015"/>
    <w:rsid w:val="26F50077"/>
    <w:rsid w:val="27024DAF"/>
    <w:rsid w:val="27444815"/>
    <w:rsid w:val="276A7305"/>
    <w:rsid w:val="277721F9"/>
    <w:rsid w:val="27805908"/>
    <w:rsid w:val="28055391"/>
    <w:rsid w:val="2815563F"/>
    <w:rsid w:val="28FC3FB6"/>
    <w:rsid w:val="28FE46C6"/>
    <w:rsid w:val="29166A19"/>
    <w:rsid w:val="29684D59"/>
    <w:rsid w:val="29D90AEE"/>
    <w:rsid w:val="29DA70B3"/>
    <w:rsid w:val="29EB4245"/>
    <w:rsid w:val="2A2A1799"/>
    <w:rsid w:val="2A4810B4"/>
    <w:rsid w:val="2A5F407D"/>
    <w:rsid w:val="2A7015DC"/>
    <w:rsid w:val="2A80333E"/>
    <w:rsid w:val="2AA41E1C"/>
    <w:rsid w:val="2AFB67B2"/>
    <w:rsid w:val="2B456593"/>
    <w:rsid w:val="2B465EEC"/>
    <w:rsid w:val="2B6324F7"/>
    <w:rsid w:val="2B920D55"/>
    <w:rsid w:val="2BC729C7"/>
    <w:rsid w:val="2BEC78C4"/>
    <w:rsid w:val="2C1169B2"/>
    <w:rsid w:val="2C1E30CA"/>
    <w:rsid w:val="2C3678A2"/>
    <w:rsid w:val="2C610BAE"/>
    <w:rsid w:val="2C6C603F"/>
    <w:rsid w:val="2C726018"/>
    <w:rsid w:val="2C975E5B"/>
    <w:rsid w:val="2CD71AE7"/>
    <w:rsid w:val="2D372B45"/>
    <w:rsid w:val="2D81000D"/>
    <w:rsid w:val="2DA014A1"/>
    <w:rsid w:val="2E81260F"/>
    <w:rsid w:val="2E987964"/>
    <w:rsid w:val="2E9E65FD"/>
    <w:rsid w:val="2EA8567F"/>
    <w:rsid w:val="2EAB2B98"/>
    <w:rsid w:val="2F0B6A77"/>
    <w:rsid w:val="2F3204E3"/>
    <w:rsid w:val="2F364819"/>
    <w:rsid w:val="2F481C23"/>
    <w:rsid w:val="2FDE20FD"/>
    <w:rsid w:val="30331E93"/>
    <w:rsid w:val="304C3BC8"/>
    <w:rsid w:val="30717245"/>
    <w:rsid w:val="31602BB9"/>
    <w:rsid w:val="31607511"/>
    <w:rsid w:val="323010EE"/>
    <w:rsid w:val="32930B88"/>
    <w:rsid w:val="32C65B41"/>
    <w:rsid w:val="33356B95"/>
    <w:rsid w:val="33613E2E"/>
    <w:rsid w:val="33A5172A"/>
    <w:rsid w:val="33F64719"/>
    <w:rsid w:val="3422200C"/>
    <w:rsid w:val="34A30E02"/>
    <w:rsid w:val="35486B67"/>
    <w:rsid w:val="35A50163"/>
    <w:rsid w:val="3602735E"/>
    <w:rsid w:val="36174C78"/>
    <w:rsid w:val="361D22AD"/>
    <w:rsid w:val="371C634A"/>
    <w:rsid w:val="37420CB0"/>
    <w:rsid w:val="37B6084B"/>
    <w:rsid w:val="37D42E21"/>
    <w:rsid w:val="37E64902"/>
    <w:rsid w:val="37F81176"/>
    <w:rsid w:val="380C675D"/>
    <w:rsid w:val="381A5B14"/>
    <w:rsid w:val="39303477"/>
    <w:rsid w:val="39721E6B"/>
    <w:rsid w:val="39F8626D"/>
    <w:rsid w:val="3A0334D7"/>
    <w:rsid w:val="3A13441E"/>
    <w:rsid w:val="3A1361B4"/>
    <w:rsid w:val="3A313011"/>
    <w:rsid w:val="3A663AD8"/>
    <w:rsid w:val="3A744F96"/>
    <w:rsid w:val="3A9653DF"/>
    <w:rsid w:val="3AD243E1"/>
    <w:rsid w:val="3AEF2E84"/>
    <w:rsid w:val="3B693880"/>
    <w:rsid w:val="3B9E0A25"/>
    <w:rsid w:val="3BE71CFA"/>
    <w:rsid w:val="3BF43FDC"/>
    <w:rsid w:val="3C6F05E7"/>
    <w:rsid w:val="3C6F74BC"/>
    <w:rsid w:val="3CB4651A"/>
    <w:rsid w:val="3CC266EF"/>
    <w:rsid w:val="3CDB46B6"/>
    <w:rsid w:val="3D3D3610"/>
    <w:rsid w:val="3D8159DA"/>
    <w:rsid w:val="3E6B01A0"/>
    <w:rsid w:val="3ED717D2"/>
    <w:rsid w:val="3F215B4F"/>
    <w:rsid w:val="3F2A7498"/>
    <w:rsid w:val="3F2B6BF9"/>
    <w:rsid w:val="3FB10495"/>
    <w:rsid w:val="3FC840B3"/>
    <w:rsid w:val="3FCB04FA"/>
    <w:rsid w:val="3FE931E1"/>
    <w:rsid w:val="40122888"/>
    <w:rsid w:val="405C0528"/>
    <w:rsid w:val="40B3559D"/>
    <w:rsid w:val="40D45FE2"/>
    <w:rsid w:val="40F72DF5"/>
    <w:rsid w:val="41047AEC"/>
    <w:rsid w:val="41B82AC9"/>
    <w:rsid w:val="4200649C"/>
    <w:rsid w:val="422D771F"/>
    <w:rsid w:val="42383FAC"/>
    <w:rsid w:val="4291009C"/>
    <w:rsid w:val="42E9276A"/>
    <w:rsid w:val="430A6DCD"/>
    <w:rsid w:val="43580CE8"/>
    <w:rsid w:val="43FA7FC2"/>
    <w:rsid w:val="45174DC0"/>
    <w:rsid w:val="45835E86"/>
    <w:rsid w:val="45D6113D"/>
    <w:rsid w:val="46431C81"/>
    <w:rsid w:val="46E91D19"/>
    <w:rsid w:val="46F06113"/>
    <w:rsid w:val="47784145"/>
    <w:rsid w:val="478C2232"/>
    <w:rsid w:val="47D47034"/>
    <w:rsid w:val="47FD214D"/>
    <w:rsid w:val="48055E2E"/>
    <w:rsid w:val="482D15A2"/>
    <w:rsid w:val="48351812"/>
    <w:rsid w:val="484A409C"/>
    <w:rsid w:val="486B2748"/>
    <w:rsid w:val="488416E9"/>
    <w:rsid w:val="488A3088"/>
    <w:rsid w:val="49331F66"/>
    <w:rsid w:val="493F2BE9"/>
    <w:rsid w:val="496658A3"/>
    <w:rsid w:val="498B5D4A"/>
    <w:rsid w:val="49B45578"/>
    <w:rsid w:val="4A1B5FC8"/>
    <w:rsid w:val="4A262747"/>
    <w:rsid w:val="4A646DC2"/>
    <w:rsid w:val="4AC9697E"/>
    <w:rsid w:val="4AEA3726"/>
    <w:rsid w:val="4B114D81"/>
    <w:rsid w:val="4B1C5CF5"/>
    <w:rsid w:val="4B3B2C75"/>
    <w:rsid w:val="4B3B5A65"/>
    <w:rsid w:val="4B522B86"/>
    <w:rsid w:val="4BA82F46"/>
    <w:rsid w:val="4BB4285B"/>
    <w:rsid w:val="4BF65B41"/>
    <w:rsid w:val="4CAC1C8C"/>
    <w:rsid w:val="4CC944DC"/>
    <w:rsid w:val="4D057FCE"/>
    <w:rsid w:val="4D357ACB"/>
    <w:rsid w:val="4D505684"/>
    <w:rsid w:val="4D565C2E"/>
    <w:rsid w:val="4E424600"/>
    <w:rsid w:val="4E740A62"/>
    <w:rsid w:val="4EA14174"/>
    <w:rsid w:val="4EB86BA1"/>
    <w:rsid w:val="4EC718FF"/>
    <w:rsid w:val="4ED66084"/>
    <w:rsid w:val="4EF50846"/>
    <w:rsid w:val="4F5E3BEB"/>
    <w:rsid w:val="4FE87D76"/>
    <w:rsid w:val="507856F9"/>
    <w:rsid w:val="508767FA"/>
    <w:rsid w:val="50AA1299"/>
    <w:rsid w:val="50C15055"/>
    <w:rsid w:val="50E63BBF"/>
    <w:rsid w:val="5100038B"/>
    <w:rsid w:val="514972DD"/>
    <w:rsid w:val="51AC35A9"/>
    <w:rsid w:val="51CC4711"/>
    <w:rsid w:val="520F3C3B"/>
    <w:rsid w:val="521265C8"/>
    <w:rsid w:val="5268575C"/>
    <w:rsid w:val="527D7F5F"/>
    <w:rsid w:val="52CA03B9"/>
    <w:rsid w:val="530B55DF"/>
    <w:rsid w:val="531927B5"/>
    <w:rsid w:val="533B1B4E"/>
    <w:rsid w:val="53671863"/>
    <w:rsid w:val="537A7003"/>
    <w:rsid w:val="540A476A"/>
    <w:rsid w:val="543A0FE6"/>
    <w:rsid w:val="54422162"/>
    <w:rsid w:val="546C1ED1"/>
    <w:rsid w:val="54BC6CBF"/>
    <w:rsid w:val="54F95AE2"/>
    <w:rsid w:val="559A7C7F"/>
    <w:rsid w:val="55E657D1"/>
    <w:rsid w:val="56302731"/>
    <w:rsid w:val="566D277B"/>
    <w:rsid w:val="57253A41"/>
    <w:rsid w:val="573E39BB"/>
    <w:rsid w:val="57FA5D94"/>
    <w:rsid w:val="580345A6"/>
    <w:rsid w:val="582068D6"/>
    <w:rsid w:val="582906FE"/>
    <w:rsid w:val="58AB7119"/>
    <w:rsid w:val="58C70148"/>
    <w:rsid w:val="58DC2D31"/>
    <w:rsid w:val="58FB4C14"/>
    <w:rsid w:val="590C02EE"/>
    <w:rsid w:val="594000E9"/>
    <w:rsid w:val="59B470DB"/>
    <w:rsid w:val="59EF1A08"/>
    <w:rsid w:val="5A7616BE"/>
    <w:rsid w:val="5AF31920"/>
    <w:rsid w:val="5BAF6779"/>
    <w:rsid w:val="5BC11427"/>
    <w:rsid w:val="5BF64189"/>
    <w:rsid w:val="5C381321"/>
    <w:rsid w:val="5C6C155C"/>
    <w:rsid w:val="5C6D70F9"/>
    <w:rsid w:val="5CB66614"/>
    <w:rsid w:val="5CC8449C"/>
    <w:rsid w:val="5D522201"/>
    <w:rsid w:val="5E221F3F"/>
    <w:rsid w:val="5E4F2952"/>
    <w:rsid w:val="5E61151A"/>
    <w:rsid w:val="5E684D2C"/>
    <w:rsid w:val="5E8343A9"/>
    <w:rsid w:val="5EDC6702"/>
    <w:rsid w:val="5F121613"/>
    <w:rsid w:val="5F6C7C85"/>
    <w:rsid w:val="5F75703B"/>
    <w:rsid w:val="5F8B79B9"/>
    <w:rsid w:val="5F8E1689"/>
    <w:rsid w:val="5F9178F9"/>
    <w:rsid w:val="5FC837E1"/>
    <w:rsid w:val="608261B7"/>
    <w:rsid w:val="60BB42CE"/>
    <w:rsid w:val="610E2F2E"/>
    <w:rsid w:val="612D11B9"/>
    <w:rsid w:val="620564FD"/>
    <w:rsid w:val="62E713AB"/>
    <w:rsid w:val="62F45876"/>
    <w:rsid w:val="634B32C9"/>
    <w:rsid w:val="64CA7846"/>
    <w:rsid w:val="64E46E25"/>
    <w:rsid w:val="65052C7A"/>
    <w:rsid w:val="650D2436"/>
    <w:rsid w:val="65363F24"/>
    <w:rsid w:val="65534AD5"/>
    <w:rsid w:val="662D0CDF"/>
    <w:rsid w:val="664563D2"/>
    <w:rsid w:val="66531F2C"/>
    <w:rsid w:val="669E082C"/>
    <w:rsid w:val="67157EF2"/>
    <w:rsid w:val="67A755AC"/>
    <w:rsid w:val="67BE65A0"/>
    <w:rsid w:val="67EE0AE5"/>
    <w:rsid w:val="686B1BBB"/>
    <w:rsid w:val="689668EC"/>
    <w:rsid w:val="68CA2C34"/>
    <w:rsid w:val="68D931A2"/>
    <w:rsid w:val="68ED11DD"/>
    <w:rsid w:val="69672F07"/>
    <w:rsid w:val="697403CC"/>
    <w:rsid w:val="698536CB"/>
    <w:rsid w:val="69B07307"/>
    <w:rsid w:val="6A0177C3"/>
    <w:rsid w:val="6A061B64"/>
    <w:rsid w:val="6A6148C8"/>
    <w:rsid w:val="6A834744"/>
    <w:rsid w:val="6AF02CBB"/>
    <w:rsid w:val="6BBF1C7A"/>
    <w:rsid w:val="6BE2572F"/>
    <w:rsid w:val="6C4D464E"/>
    <w:rsid w:val="6D657436"/>
    <w:rsid w:val="6DFB568B"/>
    <w:rsid w:val="6E053582"/>
    <w:rsid w:val="6E245AD3"/>
    <w:rsid w:val="6E4A67A4"/>
    <w:rsid w:val="6E7C5B98"/>
    <w:rsid w:val="6E8E207F"/>
    <w:rsid w:val="6EB208AC"/>
    <w:rsid w:val="6F16642E"/>
    <w:rsid w:val="6F203DC7"/>
    <w:rsid w:val="6F8D5D21"/>
    <w:rsid w:val="6FDB699A"/>
    <w:rsid w:val="6FF5745B"/>
    <w:rsid w:val="70205EFC"/>
    <w:rsid w:val="704F25F0"/>
    <w:rsid w:val="70BB79D3"/>
    <w:rsid w:val="714B3387"/>
    <w:rsid w:val="71855149"/>
    <w:rsid w:val="71C0420A"/>
    <w:rsid w:val="71D70C21"/>
    <w:rsid w:val="71DC68C3"/>
    <w:rsid w:val="722D66AE"/>
    <w:rsid w:val="72556331"/>
    <w:rsid w:val="72B83D2B"/>
    <w:rsid w:val="73463ECB"/>
    <w:rsid w:val="735B26CD"/>
    <w:rsid w:val="74230C6B"/>
    <w:rsid w:val="744C5DB6"/>
    <w:rsid w:val="74575E98"/>
    <w:rsid w:val="74F13A00"/>
    <w:rsid w:val="75007555"/>
    <w:rsid w:val="750A382F"/>
    <w:rsid w:val="75401C11"/>
    <w:rsid w:val="754158AD"/>
    <w:rsid w:val="758A7569"/>
    <w:rsid w:val="759A58C1"/>
    <w:rsid w:val="765962D0"/>
    <w:rsid w:val="77564A56"/>
    <w:rsid w:val="77B174E7"/>
    <w:rsid w:val="77BC2228"/>
    <w:rsid w:val="77D357ED"/>
    <w:rsid w:val="784F3FD6"/>
    <w:rsid w:val="7865792F"/>
    <w:rsid w:val="78956F6C"/>
    <w:rsid w:val="7899696F"/>
    <w:rsid w:val="78E2087D"/>
    <w:rsid w:val="78F1293F"/>
    <w:rsid w:val="7957371F"/>
    <w:rsid w:val="797C6F1A"/>
    <w:rsid w:val="79BE3B44"/>
    <w:rsid w:val="79FD53AB"/>
    <w:rsid w:val="7A1B5070"/>
    <w:rsid w:val="7A551CB8"/>
    <w:rsid w:val="7AAB2866"/>
    <w:rsid w:val="7AEB2FEC"/>
    <w:rsid w:val="7AF97A75"/>
    <w:rsid w:val="7AFA588F"/>
    <w:rsid w:val="7B5A2B3E"/>
    <w:rsid w:val="7B654A11"/>
    <w:rsid w:val="7BDA74E1"/>
    <w:rsid w:val="7BE129E3"/>
    <w:rsid w:val="7BF70459"/>
    <w:rsid w:val="7C17651B"/>
    <w:rsid w:val="7C262522"/>
    <w:rsid w:val="7C9926D0"/>
    <w:rsid w:val="7D2C35CA"/>
    <w:rsid w:val="7DDB3462"/>
    <w:rsid w:val="7E1C0624"/>
    <w:rsid w:val="7E652E64"/>
    <w:rsid w:val="7EC11927"/>
    <w:rsid w:val="7F5255AC"/>
    <w:rsid w:val="7F6948C3"/>
    <w:rsid w:val="7FCC3923"/>
    <w:rsid w:val="7FF21699"/>
    <w:rsid w:val="AEEBE068"/>
    <w:rsid w:val="E7BA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0"/>
    <w:qFormat/>
    <w:uiPriority w:val="0"/>
    <w:pPr>
      <w:keepNext/>
      <w:keepLines/>
      <w:spacing w:line="360" w:lineRule="auto"/>
      <w:jc w:val="center"/>
      <w:outlineLvl w:val="0"/>
    </w:pPr>
    <w:rPr>
      <w:rFonts w:ascii="Times New Roman" w:hAnsi="Times New Roman" w:eastAsia="黑体"/>
      <w:b/>
      <w:bCs/>
      <w:kern w:val="44"/>
      <w:sz w:val="36"/>
      <w:szCs w:val="44"/>
    </w:rPr>
  </w:style>
  <w:style w:type="paragraph" w:styleId="5">
    <w:name w:val="heading 2"/>
    <w:basedOn w:val="1"/>
    <w:next w:val="1"/>
    <w:link w:val="128"/>
    <w:qFormat/>
    <w:uiPriority w:val="0"/>
    <w:pPr>
      <w:keepNext/>
      <w:keepLines/>
      <w:spacing w:before="100" w:beforeLines="100" w:after="100" w:afterLines="100" w:line="360" w:lineRule="auto"/>
      <w:jc w:val="left"/>
      <w:outlineLvl w:val="1"/>
    </w:pPr>
    <w:rPr>
      <w:rFonts w:ascii="Arial" w:hAnsi="Arial" w:eastAsia="黑体"/>
      <w:b/>
      <w:bCs/>
      <w:kern w:val="0"/>
      <w:sz w:val="28"/>
      <w:szCs w:val="32"/>
    </w:rPr>
  </w:style>
  <w:style w:type="paragraph" w:styleId="6">
    <w:name w:val="heading 3"/>
    <w:basedOn w:val="1"/>
    <w:next w:val="1"/>
    <w:link w:val="152"/>
    <w:qFormat/>
    <w:uiPriority w:val="9"/>
    <w:pPr>
      <w:keepNext/>
      <w:keepLines/>
      <w:spacing w:before="0" w:beforeLines="0" w:after="0" w:afterLines="0" w:line="360" w:lineRule="auto"/>
      <w:jc w:val="center"/>
      <w:outlineLvl w:val="2"/>
    </w:pPr>
    <w:rPr>
      <w:rFonts w:ascii="Times New Roman" w:hAnsi="Times New Roman" w:eastAsia="黑体"/>
      <w:b/>
      <w:bCs/>
      <w:kern w:val="0"/>
      <w:sz w:val="28"/>
      <w:szCs w:val="32"/>
    </w:rPr>
  </w:style>
  <w:style w:type="paragraph" w:styleId="7">
    <w:name w:val="heading 4"/>
    <w:basedOn w:val="1"/>
    <w:next w:val="1"/>
    <w:link w:val="186"/>
    <w:qFormat/>
    <w:uiPriority w:val="0"/>
    <w:pPr>
      <w:keepNext/>
      <w:numPr>
        <w:ilvl w:val="0"/>
        <w:numId w:val="1"/>
      </w:numPr>
      <w:spacing w:line="360" w:lineRule="auto"/>
      <w:ind w:left="317" w:hanging="317"/>
      <w:jc w:val="center"/>
      <w:outlineLvl w:val="3"/>
    </w:pPr>
    <w:rPr>
      <w:rFonts w:ascii="Times New Roman" w:hAnsi="Times New Roman" w:eastAsia="黑体"/>
      <w:bCs/>
      <w:spacing w:val="-2"/>
      <w:kern w:val="0"/>
      <w:sz w:val="24"/>
      <w:szCs w:val="20"/>
    </w:rPr>
  </w:style>
  <w:style w:type="paragraph" w:styleId="8">
    <w:name w:val="heading 5"/>
    <w:basedOn w:val="1"/>
    <w:next w:val="1"/>
    <w:link w:val="144"/>
    <w:qFormat/>
    <w:uiPriority w:val="0"/>
    <w:pPr>
      <w:keepNext/>
      <w:keepLines/>
      <w:spacing w:before="280" w:after="290" w:line="374" w:lineRule="auto"/>
      <w:outlineLvl w:val="4"/>
    </w:pPr>
    <w:rPr>
      <w:b/>
      <w:bCs/>
      <w:sz w:val="28"/>
      <w:szCs w:val="28"/>
    </w:rPr>
  </w:style>
  <w:style w:type="paragraph" w:styleId="9">
    <w:name w:val="heading 6"/>
    <w:basedOn w:val="1"/>
    <w:next w:val="1"/>
    <w:link w:val="78"/>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62"/>
    <w:qFormat/>
    <w:uiPriority w:val="0"/>
    <w:pPr>
      <w:keepNext/>
      <w:keepLines/>
      <w:spacing w:before="240" w:after="64" w:line="320" w:lineRule="auto"/>
      <w:outlineLvl w:val="6"/>
    </w:pPr>
    <w:rPr>
      <w:b/>
      <w:bCs/>
      <w:kern w:val="0"/>
      <w:sz w:val="24"/>
    </w:rPr>
  </w:style>
  <w:style w:type="paragraph" w:styleId="11">
    <w:name w:val="heading 8"/>
    <w:basedOn w:val="1"/>
    <w:next w:val="1"/>
    <w:link w:val="94"/>
    <w:qFormat/>
    <w:uiPriority w:val="0"/>
    <w:pPr>
      <w:keepNext/>
      <w:keepLines/>
      <w:spacing w:before="240" w:after="64" w:line="320" w:lineRule="auto"/>
      <w:outlineLvl w:val="7"/>
    </w:pPr>
    <w:rPr>
      <w:rFonts w:ascii="Cambria" w:hAnsi="Cambria"/>
      <w:sz w:val="24"/>
    </w:rPr>
  </w:style>
  <w:style w:type="paragraph" w:styleId="12">
    <w:name w:val="heading 9"/>
    <w:basedOn w:val="1"/>
    <w:next w:val="1"/>
    <w:link w:val="164"/>
    <w:qFormat/>
    <w:uiPriority w:val="0"/>
    <w:pPr>
      <w:keepNext/>
      <w:keepLines/>
      <w:spacing w:before="240" w:after="64" w:line="320" w:lineRule="auto"/>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43"/>
    <w:qFormat/>
    <w:uiPriority w:val="0"/>
    <w:pPr>
      <w:ind w:firstLine="420" w:firstLineChars="200"/>
    </w:pPr>
  </w:style>
  <w:style w:type="paragraph" w:styleId="3">
    <w:name w:val="Body Text Indent"/>
    <w:basedOn w:val="1"/>
    <w:link w:val="88"/>
    <w:qFormat/>
    <w:uiPriority w:val="99"/>
    <w:pPr>
      <w:spacing w:after="120"/>
      <w:ind w:left="420" w:leftChars="200"/>
    </w:pPr>
  </w:style>
  <w:style w:type="paragraph" w:styleId="13">
    <w:name w:val="toc 7"/>
    <w:basedOn w:val="1"/>
    <w:next w:val="1"/>
    <w:qFormat/>
    <w:uiPriority w:val="0"/>
    <w:pPr>
      <w:spacing w:before="160"/>
      <w:ind w:left="717"/>
      <w:jc w:val="left"/>
    </w:pPr>
    <w:rPr>
      <w:rFonts w:ascii="宋体" w:hAnsi="宋体"/>
      <w:kern w:val="0"/>
      <w:sz w:val="20"/>
      <w:szCs w:val="20"/>
      <w:lang w:eastAsia="en-US"/>
    </w:rPr>
  </w:style>
  <w:style w:type="paragraph" w:styleId="14">
    <w:name w:val="table of authorities"/>
    <w:basedOn w:val="1"/>
    <w:next w:val="1"/>
    <w:qFormat/>
    <w:uiPriority w:val="0"/>
    <w:pPr>
      <w:spacing w:line="360" w:lineRule="auto"/>
      <w:ind w:left="200" w:leftChars="200"/>
    </w:pPr>
    <w:rPr>
      <w:sz w:val="24"/>
      <w:szCs w:val="20"/>
    </w:rPr>
  </w:style>
  <w:style w:type="paragraph" w:styleId="15">
    <w:name w:val="Normal Indent"/>
    <w:basedOn w:val="1"/>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119"/>
    <w:qFormat/>
    <w:uiPriority w:val="0"/>
    <w:pPr>
      <w:shd w:val="clear" w:color="auto" w:fill="000080"/>
    </w:pPr>
  </w:style>
  <w:style w:type="paragraph" w:styleId="18">
    <w:name w:val="annotation text"/>
    <w:basedOn w:val="1"/>
    <w:link w:val="109"/>
    <w:qFormat/>
    <w:uiPriority w:val="0"/>
    <w:pPr>
      <w:jc w:val="left"/>
    </w:pPr>
  </w:style>
  <w:style w:type="paragraph" w:styleId="19">
    <w:name w:val="Salutation"/>
    <w:basedOn w:val="1"/>
    <w:next w:val="1"/>
    <w:qFormat/>
    <w:uiPriority w:val="0"/>
  </w:style>
  <w:style w:type="paragraph" w:styleId="20">
    <w:name w:val="Body Text 3"/>
    <w:basedOn w:val="1"/>
    <w:link w:val="127"/>
    <w:unhideWhenUsed/>
    <w:qFormat/>
    <w:uiPriority w:val="0"/>
    <w:pPr>
      <w:spacing w:after="0" w:line="360" w:lineRule="auto"/>
      <w:jc w:val="center"/>
    </w:pPr>
    <w:rPr>
      <w:rFonts w:ascii="Calibri" w:hAnsi="Calibri" w:eastAsia="黑体"/>
      <w:sz w:val="52"/>
      <w:szCs w:val="16"/>
    </w:rPr>
  </w:style>
  <w:style w:type="paragraph" w:styleId="21">
    <w:name w:val="Closing"/>
    <w:basedOn w:val="1"/>
    <w:qFormat/>
    <w:uiPriority w:val="0"/>
    <w:pPr>
      <w:ind w:left="100" w:leftChars="2100"/>
    </w:pPr>
  </w:style>
  <w:style w:type="paragraph" w:styleId="22">
    <w:name w:val="Body Text"/>
    <w:basedOn w:val="1"/>
    <w:link w:val="154"/>
    <w:qFormat/>
    <w:uiPriority w:val="1"/>
    <w:rPr>
      <w:rFonts w:ascii="宋体" w:hAnsi="宋体"/>
      <w:sz w:val="24"/>
    </w:rPr>
  </w:style>
  <w:style w:type="paragraph" w:styleId="23">
    <w:name w:val="List 2"/>
    <w:basedOn w:val="1"/>
    <w:qFormat/>
    <w:uiPriority w:val="0"/>
    <w:pPr>
      <w:widowControl/>
      <w:spacing w:before="20" w:after="20"/>
    </w:pPr>
    <w:rPr>
      <w:rFonts w:eastAsia="仿宋_GB2312"/>
      <w:kern w:val="0"/>
      <w:sz w:val="24"/>
      <w:szCs w:val="20"/>
    </w:rPr>
  </w:style>
  <w:style w:type="paragraph" w:styleId="24">
    <w:name w:val="Block Text"/>
    <w:basedOn w:val="1"/>
    <w:qFormat/>
    <w:uiPriority w:val="0"/>
    <w:pPr>
      <w:spacing w:after="120" w:line="360" w:lineRule="auto"/>
      <w:ind w:left="700" w:leftChars="700" w:right="700" w:rightChars="700"/>
    </w:pPr>
    <w:rPr>
      <w:rFonts w:ascii="楷体_GB2312" w:hAnsi="宋体" w:eastAsia="楷体_GB2312"/>
      <w:b/>
      <w:sz w:val="32"/>
      <w:szCs w:val="32"/>
    </w:rPr>
  </w:style>
  <w:style w:type="paragraph" w:styleId="25">
    <w:name w:val="toc 5"/>
    <w:basedOn w:val="1"/>
    <w:next w:val="1"/>
    <w:qFormat/>
    <w:uiPriority w:val="39"/>
    <w:pPr>
      <w:spacing w:before="178"/>
      <w:ind w:left="993"/>
      <w:jc w:val="left"/>
    </w:pPr>
    <w:rPr>
      <w:rFonts w:ascii="宋体" w:hAnsi="宋体" w:cs="宋体"/>
      <w:kern w:val="0"/>
      <w:sz w:val="20"/>
      <w:szCs w:val="20"/>
      <w:lang w:eastAsia="en-US"/>
    </w:rPr>
  </w:style>
  <w:style w:type="paragraph" w:styleId="26">
    <w:name w:val="toc 3"/>
    <w:basedOn w:val="1"/>
    <w:next w:val="1"/>
    <w:qFormat/>
    <w:uiPriority w:val="39"/>
    <w:pPr>
      <w:spacing w:before="178"/>
      <w:ind w:left="428"/>
      <w:jc w:val="left"/>
    </w:pPr>
    <w:rPr>
      <w:rFonts w:ascii="宋体" w:hAnsi="宋体" w:cs="宋体"/>
      <w:kern w:val="0"/>
      <w:sz w:val="20"/>
      <w:szCs w:val="20"/>
      <w:lang w:eastAsia="en-US"/>
    </w:rPr>
  </w:style>
  <w:style w:type="paragraph" w:styleId="27">
    <w:name w:val="Plain Text"/>
    <w:basedOn w:val="1"/>
    <w:link w:val="157"/>
    <w:qFormat/>
    <w:uiPriority w:val="0"/>
    <w:rPr>
      <w:rFonts w:ascii="宋体" w:hAnsi="Courier New"/>
      <w:szCs w:val="21"/>
    </w:rPr>
  </w:style>
  <w:style w:type="paragraph" w:styleId="28">
    <w:name w:val="toc 8"/>
    <w:basedOn w:val="1"/>
    <w:next w:val="1"/>
    <w:qFormat/>
    <w:uiPriority w:val="39"/>
    <w:pPr>
      <w:spacing w:before="173"/>
      <w:ind w:left="717"/>
      <w:jc w:val="left"/>
    </w:pPr>
    <w:rPr>
      <w:rFonts w:ascii="宋体" w:hAnsi="宋体"/>
      <w:kern w:val="0"/>
      <w:sz w:val="19"/>
      <w:szCs w:val="19"/>
      <w:lang w:eastAsia="en-US"/>
    </w:rPr>
  </w:style>
  <w:style w:type="paragraph" w:styleId="29">
    <w:name w:val="Date"/>
    <w:basedOn w:val="1"/>
    <w:next w:val="1"/>
    <w:link w:val="146"/>
    <w:qFormat/>
    <w:uiPriority w:val="0"/>
    <w:pPr>
      <w:ind w:left="100" w:leftChars="2500"/>
    </w:pPr>
    <w:rPr>
      <w:rFonts w:ascii="宋体" w:hAnsi="宋体"/>
      <w:kern w:val="0"/>
      <w:sz w:val="24"/>
      <w:szCs w:val="21"/>
    </w:rPr>
  </w:style>
  <w:style w:type="paragraph" w:styleId="30">
    <w:name w:val="Body Text Indent 2"/>
    <w:basedOn w:val="1"/>
    <w:link w:val="172"/>
    <w:qFormat/>
    <w:uiPriority w:val="0"/>
    <w:pPr>
      <w:spacing w:after="120" w:line="480" w:lineRule="auto"/>
      <w:ind w:left="420" w:leftChars="200"/>
    </w:pPr>
    <w:rPr>
      <w:kern w:val="0"/>
      <w:sz w:val="20"/>
    </w:rPr>
  </w:style>
  <w:style w:type="paragraph" w:styleId="31">
    <w:name w:val="endnote text"/>
    <w:basedOn w:val="1"/>
    <w:link w:val="141"/>
    <w:qFormat/>
    <w:uiPriority w:val="0"/>
    <w:pPr>
      <w:snapToGrid w:val="0"/>
      <w:jc w:val="left"/>
    </w:pPr>
  </w:style>
  <w:style w:type="paragraph" w:styleId="32">
    <w:name w:val="Balloon Text"/>
    <w:basedOn w:val="1"/>
    <w:link w:val="168"/>
    <w:qFormat/>
    <w:uiPriority w:val="0"/>
    <w:rPr>
      <w:sz w:val="18"/>
      <w:szCs w:val="18"/>
    </w:rPr>
  </w:style>
  <w:style w:type="paragraph" w:styleId="33">
    <w:name w:val="footer"/>
    <w:basedOn w:val="1"/>
    <w:link w:val="110"/>
    <w:qFormat/>
    <w:uiPriority w:val="99"/>
    <w:pPr>
      <w:tabs>
        <w:tab w:val="center" w:pos="4153"/>
        <w:tab w:val="right" w:pos="8306"/>
      </w:tabs>
      <w:snapToGrid w:val="0"/>
      <w:jc w:val="left"/>
    </w:pPr>
    <w:rPr>
      <w:sz w:val="18"/>
      <w:szCs w:val="18"/>
    </w:rPr>
  </w:style>
  <w:style w:type="paragraph" w:styleId="34">
    <w:name w:val="header"/>
    <w:basedOn w:val="1"/>
    <w:link w:val="166"/>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62"/>
      <w:ind w:left="29"/>
      <w:jc w:val="center"/>
    </w:pPr>
    <w:rPr>
      <w:rFonts w:ascii="黑体" w:hAnsi="黑体" w:eastAsia="黑体" w:cs="黑体"/>
      <w:kern w:val="0"/>
      <w:sz w:val="20"/>
      <w:szCs w:val="20"/>
      <w:lang w:eastAsia="en-US"/>
    </w:rPr>
  </w:style>
  <w:style w:type="paragraph" w:styleId="36">
    <w:name w:val="toc 4"/>
    <w:basedOn w:val="1"/>
    <w:next w:val="1"/>
    <w:qFormat/>
    <w:uiPriority w:val="39"/>
    <w:pPr>
      <w:spacing w:before="178"/>
      <w:ind w:left="710"/>
      <w:jc w:val="left"/>
    </w:pPr>
    <w:rPr>
      <w:rFonts w:ascii="宋体" w:hAnsi="宋体" w:cs="宋体"/>
      <w:kern w:val="0"/>
      <w:sz w:val="20"/>
      <w:szCs w:val="20"/>
      <w:lang w:eastAsia="en-US"/>
    </w:rPr>
  </w:style>
  <w:style w:type="paragraph" w:styleId="37">
    <w:name w:val="Subtitle"/>
    <w:basedOn w:val="1"/>
    <w:next w:val="1"/>
    <w:link w:val="97"/>
    <w:qFormat/>
    <w:uiPriority w:val="0"/>
    <w:pPr>
      <w:spacing w:line="360" w:lineRule="auto"/>
      <w:jc w:val="center"/>
      <w:outlineLvl w:val="1"/>
    </w:pPr>
    <w:rPr>
      <w:rFonts w:ascii="Cambria" w:hAnsi="Cambria"/>
      <w:b/>
      <w:bCs/>
      <w:kern w:val="28"/>
      <w:sz w:val="32"/>
      <w:szCs w:val="32"/>
    </w:rPr>
  </w:style>
  <w:style w:type="paragraph" w:styleId="38">
    <w:name w:val="footnote text"/>
    <w:basedOn w:val="1"/>
    <w:link w:val="156"/>
    <w:qFormat/>
    <w:uiPriority w:val="0"/>
    <w:pPr>
      <w:snapToGrid w:val="0"/>
      <w:jc w:val="left"/>
    </w:pPr>
    <w:rPr>
      <w:sz w:val="18"/>
      <w:szCs w:val="18"/>
    </w:rPr>
  </w:style>
  <w:style w:type="paragraph" w:styleId="39">
    <w:name w:val="toc 6"/>
    <w:basedOn w:val="1"/>
    <w:next w:val="1"/>
    <w:qFormat/>
    <w:uiPriority w:val="39"/>
    <w:pPr>
      <w:spacing w:before="190"/>
      <w:ind w:left="434"/>
      <w:jc w:val="left"/>
    </w:pPr>
    <w:rPr>
      <w:rFonts w:eastAsia="Times New Roman"/>
      <w:b/>
      <w:bCs/>
      <w:i/>
      <w:kern w:val="0"/>
      <w:sz w:val="22"/>
      <w:szCs w:val="22"/>
      <w:lang w:eastAsia="en-US"/>
    </w:rPr>
  </w:style>
  <w:style w:type="paragraph" w:styleId="40">
    <w:name w:val="Body Text Indent 3"/>
    <w:basedOn w:val="1"/>
    <w:link w:val="159"/>
    <w:qFormat/>
    <w:uiPriority w:val="0"/>
    <w:pPr>
      <w:spacing w:line="440" w:lineRule="exact"/>
      <w:ind w:firstLine="480"/>
    </w:pPr>
    <w:rPr>
      <w:rFonts w:ascii="宋体" w:hAnsi="宋体"/>
      <w:kern w:val="0"/>
      <w:sz w:val="24"/>
    </w:rPr>
  </w:style>
  <w:style w:type="paragraph" w:styleId="41">
    <w:name w:val="toc 2"/>
    <w:basedOn w:val="1"/>
    <w:next w:val="1"/>
    <w:qFormat/>
    <w:uiPriority w:val="39"/>
    <w:pPr>
      <w:spacing w:before="178"/>
      <w:ind w:left="144"/>
      <w:jc w:val="left"/>
    </w:pPr>
    <w:rPr>
      <w:rFonts w:ascii="黑体" w:hAnsi="黑体" w:eastAsia="黑体" w:cs="黑体"/>
      <w:kern w:val="0"/>
      <w:sz w:val="20"/>
      <w:szCs w:val="20"/>
      <w:lang w:eastAsia="en-US"/>
    </w:rPr>
  </w:style>
  <w:style w:type="paragraph" w:styleId="42">
    <w:name w:val="toc 9"/>
    <w:basedOn w:val="1"/>
    <w:next w:val="1"/>
    <w:qFormat/>
    <w:uiPriority w:val="39"/>
    <w:pPr>
      <w:spacing w:before="164"/>
      <w:ind w:left="717"/>
      <w:jc w:val="left"/>
    </w:pPr>
    <w:rPr>
      <w:rFonts w:ascii="宋体" w:hAnsi="宋体"/>
      <w:b/>
      <w:bCs/>
      <w:i/>
      <w:kern w:val="0"/>
      <w:sz w:val="22"/>
      <w:szCs w:val="22"/>
      <w:lang w:eastAsia="en-US"/>
    </w:rPr>
  </w:style>
  <w:style w:type="paragraph" w:styleId="43">
    <w:name w:val="Body Text 2"/>
    <w:basedOn w:val="1"/>
    <w:link w:val="77"/>
    <w:qFormat/>
    <w:uiPriority w:val="0"/>
    <w:pPr>
      <w:spacing w:line="240" w:lineRule="atLeast"/>
      <w:jc w:val="center"/>
    </w:pPr>
    <w:rPr>
      <w:kern w:val="0"/>
      <w:sz w:val="20"/>
      <w:szCs w:val="20"/>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6">
    <w:name w:val="index 1"/>
    <w:basedOn w:val="1"/>
    <w:next w:val="1"/>
    <w:qFormat/>
    <w:uiPriority w:val="0"/>
  </w:style>
  <w:style w:type="paragraph" w:styleId="47">
    <w:name w:val="Title"/>
    <w:basedOn w:val="1"/>
    <w:link w:val="150"/>
    <w:qFormat/>
    <w:uiPriority w:val="0"/>
    <w:pPr>
      <w:tabs>
        <w:tab w:val="left" w:pos="360"/>
      </w:tabs>
      <w:spacing w:line="360" w:lineRule="auto"/>
      <w:ind w:left="360" w:hanging="360" w:hangingChars="200"/>
      <w:jc w:val="center"/>
    </w:pPr>
    <w:rPr>
      <w:rFonts w:ascii="宋体" w:hAnsi="宋体" w:eastAsia="黑体"/>
      <w:b/>
      <w:bCs/>
      <w:kern w:val="44"/>
      <w:sz w:val="52"/>
      <w:szCs w:val="44"/>
    </w:rPr>
  </w:style>
  <w:style w:type="paragraph" w:styleId="48">
    <w:name w:val="annotation subject"/>
    <w:basedOn w:val="18"/>
    <w:next w:val="18"/>
    <w:link w:val="132"/>
    <w:qFormat/>
    <w:uiPriority w:val="0"/>
    <w:rPr>
      <w:b/>
      <w:bCs/>
    </w:rPr>
  </w:style>
  <w:style w:type="table" w:styleId="50">
    <w:name w:val="Table Grid"/>
    <w:basedOn w:val="4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0"/>
    <w:rPr>
      <w:color w:val="800080"/>
      <w:u w:val="single"/>
    </w:rPr>
  </w:style>
  <w:style w:type="character" w:styleId="56">
    <w:name w:val="Emphasis"/>
    <w:qFormat/>
    <w:uiPriority w:val="20"/>
    <w:rPr>
      <w:rFonts w:ascii="宋体" w:eastAsia="宋体"/>
      <w:i/>
      <w:iCs/>
      <w:sz w:val="24"/>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Char Char13"/>
    <w:qFormat/>
    <w:uiPriority w:val="0"/>
    <w:rPr>
      <w:b/>
      <w:bCs/>
      <w:sz w:val="24"/>
      <w:szCs w:val="24"/>
    </w:rPr>
  </w:style>
  <w:style w:type="character" w:customStyle="1" w:styleId="61">
    <w:name w:val="普通文字 Char3"/>
    <w:qFormat/>
    <w:uiPriority w:val="0"/>
    <w:rPr>
      <w:rFonts w:eastAsia="宋体" w:cs="Courier New"/>
      <w:kern w:val="2"/>
      <w:sz w:val="21"/>
      <w:szCs w:val="21"/>
      <w:lang w:val="en-US" w:eastAsia="zh-CN" w:bidi="ar-SA"/>
    </w:rPr>
  </w:style>
  <w:style w:type="character" w:customStyle="1" w:styleId="62">
    <w:name w:val="标题 7 Char2"/>
    <w:link w:val="10"/>
    <w:qFormat/>
    <w:uiPriority w:val="0"/>
    <w:rPr>
      <w:b/>
      <w:bCs/>
      <w:sz w:val="24"/>
      <w:szCs w:val="24"/>
    </w:rPr>
  </w:style>
  <w:style w:type="character" w:customStyle="1" w:styleId="63">
    <w:name w:val="数字"/>
    <w:qFormat/>
    <w:uiPriority w:val="0"/>
    <w:rPr>
      <w:rFonts w:eastAsia="黑体"/>
      <w:b/>
      <w:sz w:val="21"/>
    </w:rPr>
  </w:style>
  <w:style w:type="character" w:customStyle="1" w:styleId="64">
    <w:name w:val="标题 7 Char"/>
    <w:qFormat/>
    <w:uiPriority w:val="0"/>
    <w:rPr>
      <w:b/>
      <w:bCs/>
      <w:sz w:val="24"/>
      <w:szCs w:val="24"/>
    </w:rPr>
  </w:style>
  <w:style w:type="character" w:customStyle="1" w:styleId="65">
    <w:name w:val="Char Char6"/>
    <w:qFormat/>
    <w:uiPriority w:val="0"/>
    <w:rPr>
      <w:kern w:val="2"/>
      <w:sz w:val="16"/>
      <w:szCs w:val="16"/>
    </w:rPr>
  </w:style>
  <w:style w:type="character" w:customStyle="1" w:styleId="66">
    <w:name w:val="标题 2 Char"/>
    <w:qFormat/>
    <w:uiPriority w:val="0"/>
    <w:rPr>
      <w:rFonts w:ascii="Arial" w:hAnsi="Arial" w:eastAsia="黑体"/>
      <w:b/>
      <w:bCs/>
      <w:sz w:val="32"/>
      <w:szCs w:val="32"/>
    </w:rPr>
  </w:style>
  <w:style w:type="character" w:customStyle="1" w:styleId="67">
    <w:name w:val="标题 4 Char"/>
    <w:qFormat/>
    <w:uiPriority w:val="0"/>
    <w:rPr>
      <w:b/>
      <w:bCs/>
      <w:spacing w:val="-2"/>
      <w:sz w:val="24"/>
    </w:rPr>
  </w:style>
  <w:style w:type="character" w:customStyle="1" w:styleId="68">
    <w:name w:val="普通文字 Char Char"/>
    <w:qFormat/>
    <w:uiPriority w:val="0"/>
    <w:rPr>
      <w:rFonts w:ascii="宋体" w:hAnsi="Courier New" w:eastAsia="宋体" w:cs="Courier New"/>
      <w:kern w:val="2"/>
      <w:sz w:val="21"/>
      <w:szCs w:val="21"/>
      <w:lang w:val="en-US" w:eastAsia="zh-CN" w:bidi="ar-SA"/>
    </w:rPr>
  </w:style>
  <w:style w:type="character" w:customStyle="1" w:styleId="69">
    <w:name w:val="使用正文 Char"/>
    <w:link w:val="70"/>
    <w:qFormat/>
    <w:uiPriority w:val="0"/>
    <w:rPr>
      <w:rFonts w:eastAsia="仿宋_GB2312"/>
      <w:sz w:val="24"/>
      <w:lang w:val="en-US" w:eastAsia="zh-CN" w:bidi="ar-SA"/>
    </w:rPr>
  </w:style>
  <w:style w:type="paragraph" w:customStyle="1" w:styleId="70">
    <w:name w:val="使用正文"/>
    <w:link w:val="69"/>
    <w:qFormat/>
    <w:uiPriority w:val="0"/>
    <w:pPr>
      <w:widowControl w:val="0"/>
      <w:adjustRightInd w:val="0"/>
      <w:snapToGrid w:val="0"/>
      <w:spacing w:line="288" w:lineRule="auto"/>
      <w:ind w:firstLine="482"/>
      <w:jc w:val="both"/>
    </w:pPr>
    <w:rPr>
      <w:rFonts w:ascii="Times New Roman" w:hAnsi="Times New Roman" w:eastAsia="仿宋_GB2312" w:cs="Times New Roman"/>
      <w:sz w:val="24"/>
      <w:lang w:val="en-US" w:eastAsia="zh-CN" w:bidi="ar-SA"/>
    </w:rPr>
  </w:style>
  <w:style w:type="character" w:customStyle="1" w:styleId="71">
    <w:name w:val="Char Char4"/>
    <w:qFormat/>
    <w:uiPriority w:val="0"/>
    <w:rPr>
      <w:kern w:val="2"/>
      <w:sz w:val="21"/>
      <w:szCs w:val="24"/>
      <w:shd w:val="clear" w:color="auto" w:fill="000080"/>
    </w:rPr>
  </w:style>
  <w:style w:type="character" w:customStyle="1" w:styleId="72">
    <w:name w:val="H001 Char"/>
    <w:link w:val="73"/>
    <w:qFormat/>
    <w:uiPriority w:val="0"/>
    <w:rPr>
      <w:rFonts w:eastAsia="黑体"/>
      <w:bCs/>
      <w:kern w:val="44"/>
      <w:sz w:val="24"/>
      <w:szCs w:val="44"/>
      <w:lang w:bidi="ar-SA"/>
    </w:rPr>
  </w:style>
  <w:style w:type="paragraph" w:customStyle="1" w:styleId="73">
    <w:name w:val="H001"/>
    <w:basedOn w:val="4"/>
    <w:link w:val="72"/>
    <w:qFormat/>
    <w:uiPriority w:val="0"/>
    <w:pPr>
      <w:spacing w:before="240" w:after="240" w:line="240" w:lineRule="exact"/>
    </w:pPr>
    <w:rPr>
      <w:b w:val="0"/>
      <w:sz w:val="24"/>
    </w:rPr>
  </w:style>
  <w:style w:type="character" w:customStyle="1" w:styleId="74">
    <w:name w:val="正文首行缩进 2 Char2"/>
    <w:qFormat/>
    <w:uiPriority w:val="0"/>
    <w:rPr>
      <w:kern w:val="2"/>
      <w:sz w:val="21"/>
    </w:rPr>
  </w:style>
  <w:style w:type="character" w:customStyle="1" w:styleId="75">
    <w:name w:val="标题 6 Char1"/>
    <w:qFormat/>
    <w:uiPriority w:val="0"/>
    <w:rPr>
      <w:rFonts w:ascii="Cambria" w:hAnsi="Cambria"/>
      <w:b/>
      <w:bCs/>
      <w:kern w:val="2"/>
      <w:sz w:val="24"/>
      <w:szCs w:val="24"/>
    </w:rPr>
  </w:style>
  <w:style w:type="character" w:customStyle="1" w:styleId="76">
    <w:name w:val="Char Char8"/>
    <w:qFormat/>
    <w:uiPriority w:val="0"/>
    <w:rPr>
      <w:kern w:val="2"/>
      <w:sz w:val="21"/>
      <w:szCs w:val="24"/>
    </w:rPr>
  </w:style>
  <w:style w:type="character" w:customStyle="1" w:styleId="77">
    <w:name w:val="正文文本 2 Char2"/>
    <w:basedOn w:val="51"/>
    <w:link w:val="43"/>
    <w:qFormat/>
    <w:uiPriority w:val="0"/>
  </w:style>
  <w:style w:type="character" w:customStyle="1" w:styleId="78">
    <w:name w:val="标题 6 Char2"/>
    <w:link w:val="9"/>
    <w:qFormat/>
    <w:uiPriority w:val="0"/>
    <w:rPr>
      <w:rFonts w:ascii="Cambria" w:hAnsi="Cambria"/>
      <w:b/>
      <w:bCs/>
      <w:kern w:val="2"/>
      <w:sz w:val="24"/>
      <w:szCs w:val="24"/>
    </w:rPr>
  </w:style>
  <w:style w:type="character" w:customStyle="1" w:styleId="79">
    <w:name w:val="标题 8 Char1"/>
    <w:qFormat/>
    <w:uiPriority w:val="0"/>
    <w:rPr>
      <w:rFonts w:ascii="Cambria" w:hAnsi="Cambria"/>
      <w:kern w:val="2"/>
      <w:sz w:val="24"/>
      <w:szCs w:val="24"/>
    </w:rPr>
  </w:style>
  <w:style w:type="character" w:customStyle="1" w:styleId="80">
    <w:name w:val="标题 2 Char1"/>
    <w:qFormat/>
    <w:uiPriority w:val="0"/>
    <w:rPr>
      <w:rFonts w:ascii="Cambria" w:hAnsi="Cambria"/>
      <w:b/>
      <w:bCs/>
      <w:kern w:val="2"/>
      <w:sz w:val="48"/>
      <w:szCs w:val="24"/>
    </w:rPr>
  </w:style>
  <w:style w:type="character" w:customStyle="1" w:styleId="81">
    <w:name w:val="ca-3"/>
    <w:basedOn w:val="51"/>
    <w:qFormat/>
    <w:uiPriority w:val="0"/>
  </w:style>
  <w:style w:type="character" w:customStyle="1" w:styleId="82">
    <w:name w:val="批注文字 Char1"/>
    <w:qFormat/>
    <w:uiPriority w:val="0"/>
    <w:rPr>
      <w:kern w:val="2"/>
      <w:sz w:val="21"/>
      <w:szCs w:val="24"/>
    </w:rPr>
  </w:style>
  <w:style w:type="character" w:customStyle="1" w:styleId="83">
    <w:name w:val="批注主题 Char"/>
    <w:qFormat/>
    <w:uiPriority w:val="0"/>
    <w:rPr>
      <w:b/>
      <w:bCs/>
      <w:kern w:val="2"/>
      <w:sz w:val="21"/>
      <w:szCs w:val="24"/>
    </w:rPr>
  </w:style>
  <w:style w:type="character" w:customStyle="1" w:styleId="84">
    <w:name w:val="正文文本 2 Char1"/>
    <w:basedOn w:val="51"/>
    <w:qFormat/>
    <w:uiPriority w:val="0"/>
  </w:style>
  <w:style w:type="character" w:customStyle="1" w:styleId="85">
    <w:name w:val="正文文本缩进 3 Char1"/>
    <w:qFormat/>
    <w:uiPriority w:val="0"/>
    <w:rPr>
      <w:rFonts w:ascii="宋体" w:hAnsi="宋体"/>
      <w:sz w:val="24"/>
      <w:szCs w:val="24"/>
    </w:rPr>
  </w:style>
  <w:style w:type="character" w:customStyle="1" w:styleId="86">
    <w:name w:val="标题 1 Char Char Char Char Char Char Char Char Char Char Char"/>
    <w:qFormat/>
    <w:uiPriority w:val="0"/>
    <w:rPr>
      <w:rFonts w:ascii="黑体" w:eastAsia="黑体"/>
      <w:color w:val="000000"/>
      <w:kern w:val="44"/>
      <w:sz w:val="28"/>
      <w:szCs w:val="28"/>
      <w:lang w:val="en-US" w:eastAsia="zh-CN" w:bidi="ar-SA"/>
    </w:rPr>
  </w:style>
  <w:style w:type="character" w:customStyle="1" w:styleId="87">
    <w:name w:val="正文首行缩进 2 Char1"/>
    <w:basedOn w:val="88"/>
    <w:qFormat/>
    <w:uiPriority w:val="0"/>
    <w:rPr>
      <w:kern w:val="2"/>
      <w:sz w:val="21"/>
      <w:szCs w:val="24"/>
    </w:rPr>
  </w:style>
  <w:style w:type="character" w:customStyle="1" w:styleId="88">
    <w:name w:val="正文文本缩进 Char2"/>
    <w:link w:val="3"/>
    <w:qFormat/>
    <w:uiPriority w:val="99"/>
    <w:rPr>
      <w:kern w:val="2"/>
      <w:sz w:val="21"/>
      <w:szCs w:val="24"/>
    </w:rPr>
  </w:style>
  <w:style w:type="character" w:customStyle="1" w:styleId="89">
    <w:name w:val="标题 6 Char"/>
    <w:qFormat/>
    <w:uiPriority w:val="0"/>
    <w:rPr>
      <w:rFonts w:ascii="Cambria" w:hAnsi="Cambria"/>
      <w:b/>
      <w:bCs/>
      <w:kern w:val="2"/>
      <w:sz w:val="24"/>
      <w:szCs w:val="24"/>
    </w:rPr>
  </w:style>
  <w:style w:type="character" w:customStyle="1" w:styleId="90">
    <w:name w:val="正文文本缩进 2 Char"/>
    <w:qFormat/>
    <w:uiPriority w:val="0"/>
    <w:rPr>
      <w:szCs w:val="24"/>
    </w:rPr>
  </w:style>
  <w:style w:type="character" w:customStyle="1" w:styleId="91">
    <w:name w:val="内容 Char"/>
    <w:link w:val="92"/>
    <w:qFormat/>
    <w:uiPriority w:val="0"/>
    <w:rPr>
      <w:szCs w:val="24"/>
    </w:rPr>
  </w:style>
  <w:style w:type="paragraph" w:customStyle="1" w:styleId="92">
    <w:name w:val="内容"/>
    <w:basedOn w:val="1"/>
    <w:link w:val="91"/>
    <w:qFormat/>
    <w:uiPriority w:val="0"/>
    <w:pPr>
      <w:spacing w:line="480" w:lineRule="exact"/>
      <w:ind w:firstLine="200" w:firstLineChars="200"/>
    </w:pPr>
    <w:rPr>
      <w:kern w:val="0"/>
      <w:sz w:val="20"/>
    </w:rPr>
  </w:style>
  <w:style w:type="character" w:customStyle="1" w:styleId="93">
    <w:name w:val="正文文本 2 Char"/>
    <w:basedOn w:val="51"/>
    <w:qFormat/>
    <w:uiPriority w:val="0"/>
  </w:style>
  <w:style w:type="character" w:customStyle="1" w:styleId="94">
    <w:name w:val="标题 8 Char2"/>
    <w:link w:val="11"/>
    <w:qFormat/>
    <w:uiPriority w:val="0"/>
    <w:rPr>
      <w:rFonts w:ascii="Cambria" w:hAnsi="Cambria"/>
      <w:kern w:val="2"/>
      <w:sz w:val="24"/>
      <w:szCs w:val="24"/>
    </w:rPr>
  </w:style>
  <w:style w:type="character" w:customStyle="1" w:styleId="95">
    <w:name w:val="正文文本缩进 Char1"/>
    <w:qFormat/>
    <w:uiPriority w:val="0"/>
    <w:rPr>
      <w:kern w:val="2"/>
      <w:sz w:val="21"/>
      <w:szCs w:val="24"/>
    </w:rPr>
  </w:style>
  <w:style w:type="character" w:customStyle="1" w:styleId="96">
    <w:name w:val="标题 1 Char1"/>
    <w:qFormat/>
    <w:uiPriority w:val="0"/>
    <w:rPr>
      <w:b/>
      <w:bCs/>
      <w:kern w:val="44"/>
      <w:sz w:val="44"/>
      <w:szCs w:val="44"/>
    </w:rPr>
  </w:style>
  <w:style w:type="character" w:customStyle="1" w:styleId="97">
    <w:name w:val="副标题 Char2"/>
    <w:link w:val="37"/>
    <w:qFormat/>
    <w:uiPriority w:val="0"/>
    <w:rPr>
      <w:rFonts w:ascii="Cambria" w:hAnsi="Cambria"/>
      <w:b/>
      <w:bCs/>
      <w:kern w:val="28"/>
      <w:sz w:val="32"/>
      <w:szCs w:val="32"/>
    </w:rPr>
  </w:style>
  <w:style w:type="character" w:customStyle="1" w:styleId="98">
    <w:name w:val="Char Char17"/>
    <w:qFormat/>
    <w:uiPriority w:val="0"/>
    <w:rPr>
      <w:rFonts w:ascii="Arial" w:hAnsi="Arial" w:eastAsia="黑体"/>
      <w:b/>
      <w:bCs/>
      <w:kern w:val="2"/>
      <w:sz w:val="32"/>
      <w:szCs w:val="32"/>
    </w:rPr>
  </w:style>
  <w:style w:type="character" w:customStyle="1" w:styleId="99">
    <w:name w:val="标题 8 Char"/>
    <w:qFormat/>
    <w:uiPriority w:val="0"/>
    <w:rPr>
      <w:rFonts w:ascii="Cambria" w:hAnsi="Cambria"/>
      <w:kern w:val="2"/>
      <w:sz w:val="24"/>
      <w:szCs w:val="24"/>
    </w:rPr>
  </w:style>
  <w:style w:type="character" w:customStyle="1" w:styleId="100">
    <w:name w:val="标题 1 Char2"/>
    <w:link w:val="4"/>
    <w:qFormat/>
    <w:uiPriority w:val="0"/>
    <w:rPr>
      <w:rFonts w:ascii="Times New Roman" w:hAnsi="Times New Roman" w:eastAsia="黑体"/>
      <w:b/>
      <w:bCs/>
      <w:kern w:val="44"/>
      <w:sz w:val="36"/>
      <w:szCs w:val="44"/>
    </w:rPr>
  </w:style>
  <w:style w:type="character" w:customStyle="1" w:styleId="101">
    <w:name w:val="Char Char9"/>
    <w:qFormat/>
    <w:uiPriority w:val="0"/>
    <w:rPr>
      <w:rFonts w:eastAsia="宋体"/>
      <w:b/>
      <w:bCs/>
      <w:kern w:val="2"/>
      <w:sz w:val="32"/>
      <w:szCs w:val="32"/>
      <w:lang w:val="en-US" w:eastAsia="zh-CN" w:bidi="ar-SA"/>
    </w:rPr>
  </w:style>
  <w:style w:type="character" w:customStyle="1" w:styleId="102">
    <w:name w:val="页脚 Char1"/>
    <w:qFormat/>
    <w:uiPriority w:val="99"/>
    <w:rPr>
      <w:rFonts w:ascii="Times New Roman" w:hAnsi="Times New Roman" w:eastAsia="宋体" w:cs="Times New Roman"/>
      <w:sz w:val="18"/>
      <w:szCs w:val="18"/>
    </w:rPr>
  </w:style>
  <w:style w:type="character" w:customStyle="1" w:styleId="103">
    <w:name w:val="标题 3 Char1"/>
    <w:qFormat/>
    <w:uiPriority w:val="9"/>
    <w:rPr>
      <w:b/>
      <w:bCs/>
      <w:sz w:val="32"/>
      <w:szCs w:val="32"/>
    </w:rPr>
  </w:style>
  <w:style w:type="character" w:customStyle="1" w:styleId="104">
    <w:name w:val="脚注文本 字符1"/>
    <w:qFormat/>
    <w:uiPriority w:val="0"/>
    <w:rPr>
      <w:rFonts w:eastAsia="宋体"/>
      <w:kern w:val="2"/>
      <w:sz w:val="18"/>
      <w:szCs w:val="18"/>
      <w:lang w:val="en-US" w:eastAsia="zh-CN" w:bidi="ar-SA"/>
    </w:rPr>
  </w:style>
  <w:style w:type="character" w:customStyle="1" w:styleId="105">
    <w:name w:val="ca-4"/>
    <w:qFormat/>
    <w:uiPriority w:val="0"/>
  </w:style>
  <w:style w:type="character" w:customStyle="1" w:styleId="106">
    <w:name w:val="Char Char16"/>
    <w:qFormat/>
    <w:uiPriority w:val="0"/>
    <w:rPr>
      <w:b/>
      <w:bCs/>
      <w:kern w:val="2"/>
      <w:sz w:val="32"/>
      <w:szCs w:val="32"/>
    </w:rPr>
  </w:style>
  <w:style w:type="character" w:customStyle="1" w:styleId="107">
    <w:name w:val="脚注文本 Char"/>
    <w:qFormat/>
    <w:uiPriority w:val="0"/>
    <w:rPr>
      <w:rFonts w:eastAsia="宋体"/>
      <w:kern w:val="2"/>
      <w:sz w:val="18"/>
      <w:szCs w:val="18"/>
      <w:lang w:val="en-US" w:eastAsia="zh-CN" w:bidi="ar-SA"/>
    </w:rPr>
  </w:style>
  <w:style w:type="character" w:customStyle="1" w:styleId="108">
    <w:name w:val="Char Char15"/>
    <w:qFormat/>
    <w:uiPriority w:val="0"/>
    <w:rPr>
      <w:rFonts w:ascii="Arial" w:hAnsi="Arial" w:eastAsia="黑体"/>
      <w:b/>
      <w:bCs/>
      <w:kern w:val="2"/>
      <w:sz w:val="28"/>
      <w:szCs w:val="28"/>
    </w:rPr>
  </w:style>
  <w:style w:type="character" w:customStyle="1" w:styleId="109">
    <w:name w:val="批注文字 Char2"/>
    <w:link w:val="18"/>
    <w:qFormat/>
    <w:uiPriority w:val="0"/>
    <w:rPr>
      <w:kern w:val="2"/>
      <w:sz w:val="21"/>
      <w:szCs w:val="24"/>
    </w:rPr>
  </w:style>
  <w:style w:type="character" w:customStyle="1" w:styleId="110">
    <w:name w:val="页脚 Char3"/>
    <w:link w:val="33"/>
    <w:qFormat/>
    <w:uiPriority w:val="99"/>
    <w:rPr>
      <w:kern w:val="2"/>
      <w:sz w:val="18"/>
      <w:szCs w:val="18"/>
    </w:rPr>
  </w:style>
  <w:style w:type="character" w:customStyle="1" w:styleId="111">
    <w:name w:val="Char Char2"/>
    <w:qFormat/>
    <w:uiPriority w:val="0"/>
    <w:rPr>
      <w:rFonts w:ascii="宋体" w:hAnsi="Courier New"/>
      <w:color w:val="000000"/>
      <w:kern w:val="2"/>
      <w:sz w:val="21"/>
    </w:rPr>
  </w:style>
  <w:style w:type="character" w:customStyle="1" w:styleId="112">
    <w:name w:val="批注框文本 Char"/>
    <w:qFormat/>
    <w:uiPriority w:val="0"/>
    <w:rPr>
      <w:kern w:val="2"/>
      <w:sz w:val="18"/>
      <w:szCs w:val="18"/>
    </w:rPr>
  </w:style>
  <w:style w:type="character" w:customStyle="1" w:styleId="113">
    <w:name w:val="正文文字4 Char Char"/>
    <w:qFormat/>
    <w:uiPriority w:val="0"/>
    <w:rPr>
      <w:kern w:val="2"/>
      <w:sz w:val="21"/>
      <w:szCs w:val="24"/>
    </w:rPr>
  </w:style>
  <w:style w:type="character" w:customStyle="1" w:styleId="114">
    <w:name w:val="文档结构图 Char"/>
    <w:qFormat/>
    <w:uiPriority w:val="0"/>
    <w:rPr>
      <w:kern w:val="2"/>
      <w:sz w:val="21"/>
      <w:szCs w:val="24"/>
      <w:shd w:val="clear" w:color="auto" w:fill="000080"/>
    </w:rPr>
  </w:style>
  <w:style w:type="character" w:customStyle="1" w:styleId="115">
    <w:name w:val="批注框文本 Char1"/>
    <w:qFormat/>
    <w:uiPriority w:val="0"/>
    <w:rPr>
      <w:kern w:val="2"/>
      <w:sz w:val="18"/>
      <w:szCs w:val="18"/>
    </w:rPr>
  </w:style>
  <w:style w:type="character" w:customStyle="1" w:styleId="116">
    <w:name w:val="15"/>
    <w:qFormat/>
    <w:uiPriority w:val="0"/>
    <w:rPr>
      <w:rFonts w:hint="default" w:ascii="Times New Roman" w:hAnsi="Times New Roman" w:cs="Times New Roman"/>
      <w:vertAlign w:val="superscript"/>
    </w:rPr>
  </w:style>
  <w:style w:type="character" w:customStyle="1" w:styleId="117">
    <w:name w:val="标题 4 Char1"/>
    <w:qFormat/>
    <w:uiPriority w:val="0"/>
    <w:rPr>
      <w:b/>
      <w:bCs/>
      <w:spacing w:val="-2"/>
      <w:sz w:val="24"/>
    </w:rPr>
  </w:style>
  <w:style w:type="character" w:customStyle="1" w:styleId="118">
    <w:name w:val="unnamed2"/>
    <w:qFormat/>
    <w:uiPriority w:val="0"/>
  </w:style>
  <w:style w:type="character" w:customStyle="1" w:styleId="119">
    <w:name w:val="文档结构图 Char3"/>
    <w:link w:val="17"/>
    <w:qFormat/>
    <w:uiPriority w:val="0"/>
    <w:rPr>
      <w:kern w:val="2"/>
      <w:sz w:val="21"/>
      <w:szCs w:val="24"/>
      <w:shd w:val="clear" w:color="auto" w:fill="000080"/>
    </w:rPr>
  </w:style>
  <w:style w:type="character" w:customStyle="1" w:styleId="120">
    <w:name w:val="标题 7 Char1"/>
    <w:qFormat/>
    <w:uiPriority w:val="0"/>
    <w:rPr>
      <w:b/>
      <w:bCs/>
      <w:sz w:val="24"/>
      <w:szCs w:val="24"/>
    </w:rPr>
  </w:style>
  <w:style w:type="character" w:customStyle="1" w:styleId="121">
    <w:name w:val="apple-converted-space"/>
    <w:basedOn w:val="51"/>
    <w:qFormat/>
    <w:uiPriority w:val="0"/>
  </w:style>
  <w:style w:type="character" w:customStyle="1" w:styleId="122">
    <w:name w:val="正文文本缩进 2 Char1"/>
    <w:qFormat/>
    <w:uiPriority w:val="0"/>
    <w:rPr>
      <w:szCs w:val="24"/>
    </w:rPr>
  </w:style>
  <w:style w:type="character" w:customStyle="1" w:styleId="123">
    <w:name w:val="正文文本 3 Char"/>
    <w:qFormat/>
    <w:uiPriority w:val="0"/>
    <w:rPr>
      <w:rFonts w:ascii="Calibri" w:hAnsi="Calibri"/>
      <w:kern w:val="2"/>
      <w:sz w:val="16"/>
      <w:szCs w:val="16"/>
    </w:rPr>
  </w:style>
  <w:style w:type="character" w:customStyle="1" w:styleId="124">
    <w:name w:val="xiaozi01 style46"/>
    <w:basedOn w:val="51"/>
    <w:qFormat/>
    <w:uiPriority w:val="0"/>
  </w:style>
  <w:style w:type="character" w:customStyle="1" w:styleId="125">
    <w:name w:val="尾注文本 Char"/>
    <w:qFormat/>
    <w:uiPriority w:val="0"/>
    <w:rPr>
      <w:kern w:val="2"/>
      <w:sz w:val="21"/>
      <w:szCs w:val="24"/>
    </w:rPr>
  </w:style>
  <w:style w:type="character" w:customStyle="1" w:styleId="126">
    <w:name w:val="标题 Char1"/>
    <w:qFormat/>
    <w:uiPriority w:val="0"/>
    <w:rPr>
      <w:rFonts w:ascii="宋体" w:hAnsi="宋体" w:eastAsia="黑体"/>
      <w:b/>
      <w:bCs/>
      <w:kern w:val="44"/>
      <w:sz w:val="52"/>
      <w:szCs w:val="44"/>
    </w:rPr>
  </w:style>
  <w:style w:type="character" w:customStyle="1" w:styleId="127">
    <w:name w:val="正文文本 3 Char2"/>
    <w:link w:val="20"/>
    <w:qFormat/>
    <w:uiPriority w:val="0"/>
    <w:rPr>
      <w:rFonts w:ascii="Calibri" w:hAnsi="Calibri" w:eastAsia="黑体"/>
      <w:kern w:val="2"/>
      <w:sz w:val="52"/>
      <w:szCs w:val="16"/>
    </w:rPr>
  </w:style>
  <w:style w:type="character" w:customStyle="1" w:styleId="128">
    <w:name w:val="标题 2 Char3"/>
    <w:link w:val="5"/>
    <w:qFormat/>
    <w:uiPriority w:val="0"/>
    <w:rPr>
      <w:rFonts w:ascii="Arial" w:hAnsi="Arial" w:eastAsia="黑体"/>
      <w:b/>
      <w:bCs/>
      <w:sz w:val="28"/>
      <w:szCs w:val="32"/>
    </w:rPr>
  </w:style>
  <w:style w:type="character" w:customStyle="1" w:styleId="129">
    <w:name w:val="ca-7"/>
    <w:qFormat/>
    <w:uiPriority w:val="0"/>
  </w:style>
  <w:style w:type="character" w:customStyle="1" w:styleId="130">
    <w:name w:val="页脚 字符"/>
    <w:qFormat/>
    <w:uiPriority w:val="99"/>
  </w:style>
  <w:style w:type="character" w:customStyle="1" w:styleId="131">
    <w:name w:val="标题 5 Char1"/>
    <w:qFormat/>
    <w:uiPriority w:val="0"/>
    <w:rPr>
      <w:b/>
      <w:bCs/>
      <w:kern w:val="2"/>
      <w:sz w:val="28"/>
      <w:szCs w:val="28"/>
    </w:rPr>
  </w:style>
  <w:style w:type="character" w:customStyle="1" w:styleId="132">
    <w:name w:val="批注主题 Char2"/>
    <w:link w:val="48"/>
    <w:qFormat/>
    <w:uiPriority w:val="0"/>
    <w:rPr>
      <w:b/>
      <w:bCs/>
      <w:kern w:val="2"/>
      <w:sz w:val="21"/>
      <w:szCs w:val="24"/>
    </w:rPr>
  </w:style>
  <w:style w:type="character" w:customStyle="1" w:styleId="133">
    <w:name w:val="脚注文本 Char1"/>
    <w:qFormat/>
    <w:uiPriority w:val="0"/>
    <w:rPr>
      <w:rFonts w:eastAsia="宋体"/>
      <w:kern w:val="2"/>
      <w:sz w:val="18"/>
      <w:szCs w:val="18"/>
      <w:lang w:val="en-US" w:eastAsia="zh-CN" w:bidi="ar-SA"/>
    </w:rPr>
  </w:style>
  <w:style w:type="character" w:customStyle="1" w:styleId="134">
    <w:name w:val="批注文字 Char"/>
    <w:qFormat/>
    <w:uiPriority w:val="0"/>
    <w:rPr>
      <w:kern w:val="2"/>
      <w:sz w:val="21"/>
      <w:szCs w:val="24"/>
    </w:rPr>
  </w:style>
  <w:style w:type="character" w:customStyle="1" w:styleId="135">
    <w:name w:val="页眉 Char1"/>
    <w:qFormat/>
    <w:uiPriority w:val="0"/>
    <w:rPr>
      <w:kern w:val="2"/>
      <w:sz w:val="18"/>
      <w:szCs w:val="18"/>
    </w:rPr>
  </w:style>
  <w:style w:type="character" w:customStyle="1" w:styleId="136">
    <w:name w:val="正文文本首行缩进 2 字符"/>
    <w:link w:val="137"/>
    <w:qFormat/>
    <w:uiPriority w:val="0"/>
    <w:rPr>
      <w:kern w:val="2"/>
      <w:sz w:val="21"/>
    </w:rPr>
  </w:style>
  <w:style w:type="paragraph" w:customStyle="1" w:styleId="137">
    <w:name w:val="正文文本首行缩进 21"/>
    <w:basedOn w:val="1"/>
    <w:link w:val="136"/>
    <w:qFormat/>
    <w:uiPriority w:val="0"/>
    <w:pPr>
      <w:ind w:firstLine="420" w:firstLineChars="200"/>
    </w:pPr>
    <w:rPr>
      <w:szCs w:val="20"/>
    </w:rPr>
  </w:style>
  <w:style w:type="character" w:customStyle="1" w:styleId="138">
    <w:name w:val="副标题 Char"/>
    <w:qFormat/>
    <w:uiPriority w:val="0"/>
    <w:rPr>
      <w:rFonts w:ascii="Cambria" w:hAnsi="Cambria"/>
      <w:b/>
      <w:bCs/>
      <w:kern w:val="28"/>
      <w:sz w:val="32"/>
      <w:szCs w:val="32"/>
    </w:rPr>
  </w:style>
  <w:style w:type="character" w:customStyle="1" w:styleId="139">
    <w:name w:val="页脚 Char2"/>
    <w:qFormat/>
    <w:uiPriority w:val="0"/>
    <w:rPr>
      <w:kern w:val="2"/>
      <w:sz w:val="18"/>
      <w:szCs w:val="18"/>
    </w:rPr>
  </w:style>
  <w:style w:type="character" w:customStyle="1" w:styleId="140">
    <w:name w:val="文档结构图 Char1"/>
    <w:qFormat/>
    <w:uiPriority w:val="0"/>
    <w:rPr>
      <w:rFonts w:ascii="宋体"/>
      <w:kern w:val="2"/>
      <w:sz w:val="18"/>
      <w:szCs w:val="18"/>
    </w:rPr>
  </w:style>
  <w:style w:type="character" w:customStyle="1" w:styleId="141">
    <w:name w:val="尾注文本 Char2"/>
    <w:link w:val="31"/>
    <w:qFormat/>
    <w:uiPriority w:val="0"/>
    <w:rPr>
      <w:kern w:val="2"/>
      <w:sz w:val="21"/>
      <w:szCs w:val="24"/>
    </w:rPr>
  </w:style>
  <w:style w:type="character" w:customStyle="1" w:styleId="142">
    <w:name w:val="日期 Char"/>
    <w:qFormat/>
    <w:uiPriority w:val="0"/>
    <w:rPr>
      <w:rFonts w:ascii="宋体" w:hAnsi="宋体"/>
      <w:sz w:val="24"/>
      <w:szCs w:val="21"/>
    </w:rPr>
  </w:style>
  <w:style w:type="character" w:customStyle="1" w:styleId="143">
    <w:name w:val="页脚 Char"/>
    <w:qFormat/>
    <w:uiPriority w:val="99"/>
    <w:rPr>
      <w:kern w:val="2"/>
      <w:sz w:val="18"/>
      <w:szCs w:val="18"/>
    </w:rPr>
  </w:style>
  <w:style w:type="character" w:customStyle="1" w:styleId="144">
    <w:name w:val="标题 5 Char2"/>
    <w:link w:val="8"/>
    <w:qFormat/>
    <w:uiPriority w:val="0"/>
    <w:rPr>
      <w:b/>
      <w:bCs/>
      <w:kern w:val="2"/>
      <w:sz w:val="28"/>
      <w:szCs w:val="28"/>
    </w:rPr>
  </w:style>
  <w:style w:type="character" w:customStyle="1" w:styleId="145">
    <w:name w:val="未处理的提及1"/>
    <w:unhideWhenUsed/>
    <w:qFormat/>
    <w:uiPriority w:val="0"/>
    <w:rPr>
      <w:color w:val="808080"/>
      <w:shd w:val="clear" w:color="auto" w:fill="E6E6E6"/>
    </w:rPr>
  </w:style>
  <w:style w:type="character" w:customStyle="1" w:styleId="146">
    <w:name w:val="日期 Char2"/>
    <w:link w:val="29"/>
    <w:qFormat/>
    <w:uiPriority w:val="0"/>
    <w:rPr>
      <w:rFonts w:ascii="宋体" w:hAnsi="宋体"/>
      <w:sz w:val="24"/>
      <w:szCs w:val="21"/>
    </w:rPr>
  </w:style>
  <w:style w:type="character" w:customStyle="1" w:styleId="147">
    <w:name w:val="14-6/6-2题"/>
    <w:qFormat/>
    <w:uiPriority w:val="0"/>
    <w:rPr>
      <w:spacing w:val="0"/>
      <w:kern w:val="28"/>
      <w:position w:val="-4"/>
      <w:sz w:val="15"/>
    </w:rPr>
  </w:style>
  <w:style w:type="character" w:customStyle="1" w:styleId="148">
    <w:name w:val="Char Char5"/>
    <w:qFormat/>
    <w:uiPriority w:val="0"/>
    <w:rPr>
      <w:kern w:val="2"/>
      <w:sz w:val="18"/>
      <w:szCs w:val="18"/>
    </w:rPr>
  </w:style>
  <w:style w:type="character" w:customStyle="1" w:styleId="149">
    <w:name w:val="标题 3 Char"/>
    <w:qFormat/>
    <w:uiPriority w:val="0"/>
    <w:rPr>
      <w:b/>
      <w:bCs/>
      <w:sz w:val="32"/>
      <w:szCs w:val="32"/>
    </w:rPr>
  </w:style>
  <w:style w:type="character" w:customStyle="1" w:styleId="150">
    <w:name w:val="标题 Char2"/>
    <w:link w:val="47"/>
    <w:qFormat/>
    <w:uiPriority w:val="0"/>
    <w:rPr>
      <w:rFonts w:ascii="宋体" w:hAnsi="宋体" w:eastAsia="黑体"/>
      <w:b/>
      <w:bCs/>
      <w:kern w:val="44"/>
      <w:sz w:val="52"/>
      <w:szCs w:val="44"/>
    </w:rPr>
  </w:style>
  <w:style w:type="character" w:customStyle="1" w:styleId="151">
    <w:name w:val="Char Char3"/>
    <w:qFormat/>
    <w:uiPriority w:val="0"/>
    <w:rPr>
      <w:rFonts w:ascii="仿宋_GB2312" w:eastAsia="仿宋_GB2312"/>
      <w:kern w:val="2"/>
      <w:sz w:val="28"/>
      <w:szCs w:val="24"/>
    </w:rPr>
  </w:style>
  <w:style w:type="character" w:customStyle="1" w:styleId="152">
    <w:name w:val="标题 3 Char2"/>
    <w:link w:val="6"/>
    <w:qFormat/>
    <w:uiPriority w:val="9"/>
    <w:rPr>
      <w:rFonts w:ascii="Times New Roman" w:hAnsi="Times New Roman" w:eastAsia="黑体"/>
      <w:b/>
      <w:bCs/>
      <w:sz w:val="28"/>
      <w:szCs w:val="32"/>
    </w:rPr>
  </w:style>
  <w:style w:type="character" w:customStyle="1" w:styleId="153">
    <w:name w:val="手改 Char Char"/>
    <w:qFormat/>
    <w:uiPriority w:val="0"/>
    <w:rPr>
      <w:kern w:val="2"/>
      <w:sz w:val="21"/>
      <w:szCs w:val="24"/>
    </w:rPr>
  </w:style>
  <w:style w:type="character" w:customStyle="1" w:styleId="154">
    <w:name w:val="正文文本 Char2"/>
    <w:link w:val="22"/>
    <w:qFormat/>
    <w:uiPriority w:val="1"/>
    <w:rPr>
      <w:rFonts w:ascii="宋体" w:hAnsi="宋体" w:cs="宋体"/>
      <w:kern w:val="2"/>
      <w:sz w:val="24"/>
      <w:szCs w:val="24"/>
    </w:rPr>
  </w:style>
  <w:style w:type="character" w:customStyle="1" w:styleId="155">
    <w:name w:val="Char Char14"/>
    <w:qFormat/>
    <w:uiPriority w:val="0"/>
    <w:rPr>
      <w:rFonts w:ascii="Arial" w:hAnsi="Arial" w:eastAsia="黑体"/>
      <w:b/>
      <w:bCs/>
      <w:sz w:val="24"/>
      <w:szCs w:val="24"/>
    </w:rPr>
  </w:style>
  <w:style w:type="character" w:customStyle="1" w:styleId="156">
    <w:name w:val="脚注文本 Char3"/>
    <w:link w:val="38"/>
    <w:qFormat/>
    <w:uiPriority w:val="0"/>
    <w:rPr>
      <w:rFonts w:eastAsia="宋体"/>
      <w:kern w:val="2"/>
      <w:sz w:val="18"/>
      <w:szCs w:val="18"/>
      <w:lang w:val="en-US" w:eastAsia="zh-CN" w:bidi="ar-SA"/>
    </w:rPr>
  </w:style>
  <w:style w:type="character" w:customStyle="1" w:styleId="157">
    <w:name w:val="纯文本 Char1"/>
    <w:link w:val="27"/>
    <w:qFormat/>
    <w:uiPriority w:val="0"/>
    <w:rPr>
      <w:rFonts w:ascii="宋体" w:hAnsi="Courier New" w:cs="Courier New"/>
      <w:kern w:val="2"/>
      <w:sz w:val="21"/>
      <w:szCs w:val="21"/>
    </w:rPr>
  </w:style>
  <w:style w:type="character" w:customStyle="1" w:styleId="158">
    <w:name w:val="正文首行缩进 2 Char"/>
    <w:qFormat/>
    <w:uiPriority w:val="0"/>
    <w:rPr>
      <w:kern w:val="2"/>
      <w:sz w:val="21"/>
    </w:rPr>
  </w:style>
  <w:style w:type="character" w:customStyle="1" w:styleId="159">
    <w:name w:val="正文文本缩进 3 Char2"/>
    <w:link w:val="40"/>
    <w:qFormat/>
    <w:uiPriority w:val="0"/>
    <w:rPr>
      <w:rFonts w:ascii="宋体" w:hAnsi="宋体"/>
      <w:sz w:val="24"/>
      <w:szCs w:val="24"/>
    </w:rPr>
  </w:style>
  <w:style w:type="character" w:customStyle="1" w:styleId="160">
    <w:name w:val="文档结构图 Char2"/>
    <w:qFormat/>
    <w:uiPriority w:val="0"/>
    <w:rPr>
      <w:kern w:val="2"/>
      <w:sz w:val="21"/>
      <w:szCs w:val="24"/>
      <w:shd w:val="clear" w:color="auto" w:fill="000080"/>
    </w:rPr>
  </w:style>
  <w:style w:type="character" w:customStyle="1" w:styleId="161">
    <w:name w:val="正文文本 Char1"/>
    <w:qFormat/>
    <w:uiPriority w:val="1"/>
    <w:rPr>
      <w:rFonts w:ascii="宋体" w:hAnsi="宋体" w:cs="宋体"/>
      <w:kern w:val="2"/>
      <w:sz w:val="24"/>
      <w:szCs w:val="24"/>
    </w:rPr>
  </w:style>
  <w:style w:type="character" w:customStyle="1" w:styleId="162">
    <w:name w:val="标题 9 Char"/>
    <w:qFormat/>
    <w:uiPriority w:val="0"/>
    <w:rPr>
      <w:rFonts w:ascii="Arial" w:hAnsi="Arial" w:eastAsia="黑体"/>
      <w:kern w:val="2"/>
      <w:sz w:val="21"/>
      <w:szCs w:val="21"/>
    </w:rPr>
  </w:style>
  <w:style w:type="character" w:customStyle="1" w:styleId="163">
    <w:name w:val="批注主题 Char1"/>
    <w:qFormat/>
    <w:uiPriority w:val="0"/>
    <w:rPr>
      <w:b/>
      <w:bCs/>
      <w:kern w:val="2"/>
      <w:sz w:val="21"/>
      <w:szCs w:val="24"/>
    </w:rPr>
  </w:style>
  <w:style w:type="character" w:customStyle="1" w:styleId="164">
    <w:name w:val="标题 9 Char2"/>
    <w:link w:val="12"/>
    <w:qFormat/>
    <w:uiPriority w:val="0"/>
    <w:rPr>
      <w:rFonts w:ascii="Arial" w:hAnsi="Arial" w:eastAsia="黑体"/>
      <w:kern w:val="2"/>
      <w:sz w:val="21"/>
      <w:szCs w:val="21"/>
    </w:rPr>
  </w:style>
  <w:style w:type="character" w:customStyle="1" w:styleId="165">
    <w:name w:val="正文文本 Char"/>
    <w:qFormat/>
    <w:uiPriority w:val="0"/>
    <w:rPr>
      <w:rFonts w:ascii="宋体" w:hAnsi="宋体" w:cs="宋体"/>
      <w:kern w:val="2"/>
      <w:sz w:val="24"/>
      <w:szCs w:val="24"/>
    </w:rPr>
  </w:style>
  <w:style w:type="character" w:customStyle="1" w:styleId="166">
    <w:name w:val="页眉 Char2"/>
    <w:link w:val="34"/>
    <w:qFormat/>
    <w:uiPriority w:val="99"/>
    <w:rPr>
      <w:kern w:val="2"/>
      <w:sz w:val="18"/>
      <w:szCs w:val="18"/>
    </w:rPr>
  </w:style>
  <w:style w:type="character" w:customStyle="1" w:styleId="167">
    <w:name w:val="标题 2 Char2"/>
    <w:qFormat/>
    <w:uiPriority w:val="0"/>
    <w:rPr>
      <w:rFonts w:ascii="Arial" w:hAnsi="Arial" w:eastAsia="黑体"/>
      <w:b/>
      <w:bCs/>
      <w:sz w:val="32"/>
      <w:szCs w:val="32"/>
    </w:rPr>
  </w:style>
  <w:style w:type="character" w:customStyle="1" w:styleId="168">
    <w:name w:val="批注框文本 Char2"/>
    <w:link w:val="32"/>
    <w:qFormat/>
    <w:uiPriority w:val="0"/>
    <w:rPr>
      <w:kern w:val="2"/>
      <w:sz w:val="18"/>
      <w:szCs w:val="18"/>
    </w:rPr>
  </w:style>
  <w:style w:type="character" w:customStyle="1" w:styleId="169">
    <w:name w:val="标题 5 Char"/>
    <w:qFormat/>
    <w:uiPriority w:val="0"/>
    <w:rPr>
      <w:b/>
      <w:bCs/>
      <w:kern w:val="2"/>
      <w:sz w:val="28"/>
      <w:szCs w:val="28"/>
    </w:rPr>
  </w:style>
  <w:style w:type="character" w:customStyle="1" w:styleId="170">
    <w:name w:val="纯文本 Char"/>
    <w:qFormat/>
    <w:uiPriority w:val="0"/>
    <w:rPr>
      <w:rFonts w:ascii="宋体" w:hAnsi="Courier New" w:cs="Courier New"/>
      <w:kern w:val="2"/>
      <w:sz w:val="21"/>
      <w:szCs w:val="21"/>
    </w:rPr>
  </w:style>
  <w:style w:type="character" w:customStyle="1" w:styleId="171">
    <w:name w:val="批注文字 字符"/>
    <w:qFormat/>
    <w:uiPriority w:val="0"/>
    <w:rPr>
      <w:kern w:val="2"/>
      <w:sz w:val="21"/>
      <w:szCs w:val="24"/>
    </w:rPr>
  </w:style>
  <w:style w:type="character" w:customStyle="1" w:styleId="172">
    <w:name w:val="正文文本缩进 2 Char2"/>
    <w:link w:val="30"/>
    <w:qFormat/>
    <w:uiPriority w:val="0"/>
    <w:rPr>
      <w:szCs w:val="24"/>
    </w:rPr>
  </w:style>
  <w:style w:type="character" w:customStyle="1" w:styleId="173">
    <w:name w:val="unnamed11"/>
    <w:qFormat/>
    <w:uiPriority w:val="0"/>
    <w:rPr>
      <w:sz w:val="21"/>
      <w:szCs w:val="21"/>
    </w:rPr>
  </w:style>
  <w:style w:type="character" w:customStyle="1" w:styleId="174">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175">
    <w:name w:val="标题 1 Char"/>
    <w:qFormat/>
    <w:uiPriority w:val="0"/>
    <w:rPr>
      <w:rFonts w:eastAsia="黑体"/>
      <w:b/>
      <w:bCs/>
      <w:kern w:val="44"/>
      <w:sz w:val="52"/>
      <w:szCs w:val="44"/>
    </w:rPr>
  </w:style>
  <w:style w:type="character" w:customStyle="1" w:styleId="176">
    <w:name w:val="font161"/>
    <w:qFormat/>
    <w:uiPriority w:val="0"/>
    <w:rPr>
      <w:b/>
      <w:bCs/>
      <w:sz w:val="32"/>
      <w:szCs w:val="32"/>
    </w:rPr>
  </w:style>
  <w:style w:type="character" w:customStyle="1" w:styleId="177">
    <w:name w:val="页眉 Char"/>
    <w:qFormat/>
    <w:uiPriority w:val="99"/>
    <w:rPr>
      <w:kern w:val="2"/>
      <w:sz w:val="18"/>
      <w:szCs w:val="18"/>
    </w:rPr>
  </w:style>
  <w:style w:type="character" w:customStyle="1" w:styleId="178">
    <w:name w:val="Char Char7"/>
    <w:qFormat/>
    <w:uiPriority w:val="0"/>
    <w:rPr>
      <w:rFonts w:ascii="Arial" w:hAnsi="Arial" w:eastAsia="黑体"/>
      <w:b/>
      <w:bCs/>
      <w:sz w:val="52"/>
    </w:rPr>
  </w:style>
  <w:style w:type="character" w:customStyle="1" w:styleId="179">
    <w:name w:val="正文文本缩进 Char"/>
    <w:qFormat/>
    <w:uiPriority w:val="0"/>
    <w:rPr>
      <w:kern w:val="2"/>
      <w:sz w:val="21"/>
      <w:szCs w:val="24"/>
    </w:rPr>
  </w:style>
  <w:style w:type="character" w:customStyle="1" w:styleId="180">
    <w:name w:val="正文文本缩进 3 Char"/>
    <w:qFormat/>
    <w:uiPriority w:val="0"/>
    <w:rPr>
      <w:rFonts w:ascii="宋体" w:hAnsi="宋体"/>
      <w:sz w:val="24"/>
      <w:szCs w:val="24"/>
    </w:rPr>
  </w:style>
  <w:style w:type="character" w:customStyle="1" w:styleId="181">
    <w:name w:val="Char Char10"/>
    <w:qFormat/>
    <w:uiPriority w:val="0"/>
    <w:rPr>
      <w:rFonts w:eastAsia="宋体"/>
      <w:b/>
      <w:bCs/>
      <w:kern w:val="2"/>
      <w:sz w:val="32"/>
      <w:szCs w:val="32"/>
      <w:lang w:val="en-US" w:eastAsia="zh-CN" w:bidi="ar-SA"/>
    </w:rPr>
  </w:style>
  <w:style w:type="character" w:customStyle="1" w:styleId="182">
    <w:name w:val="标题 9 Char1"/>
    <w:qFormat/>
    <w:uiPriority w:val="0"/>
    <w:rPr>
      <w:rFonts w:ascii="Arial" w:hAnsi="Arial" w:eastAsia="黑体"/>
      <w:kern w:val="2"/>
      <w:sz w:val="21"/>
      <w:szCs w:val="21"/>
    </w:rPr>
  </w:style>
  <w:style w:type="character" w:customStyle="1" w:styleId="183">
    <w:name w:val="标题 Char"/>
    <w:qFormat/>
    <w:uiPriority w:val="0"/>
    <w:rPr>
      <w:rFonts w:ascii="宋体" w:hAnsi="宋体" w:eastAsia="黑体"/>
      <w:b/>
      <w:bCs/>
      <w:kern w:val="44"/>
      <w:sz w:val="52"/>
      <w:szCs w:val="44"/>
    </w:rPr>
  </w:style>
  <w:style w:type="character" w:customStyle="1" w:styleId="184">
    <w:name w:val="尾注文本 Char1"/>
    <w:qFormat/>
    <w:uiPriority w:val="0"/>
    <w:rPr>
      <w:kern w:val="2"/>
      <w:sz w:val="21"/>
      <w:szCs w:val="24"/>
    </w:rPr>
  </w:style>
  <w:style w:type="character" w:customStyle="1" w:styleId="185">
    <w:name w:val="正文文本 3 Char1"/>
    <w:qFormat/>
    <w:uiPriority w:val="0"/>
    <w:rPr>
      <w:rFonts w:ascii="Calibri" w:hAnsi="Calibri"/>
      <w:kern w:val="2"/>
      <w:sz w:val="16"/>
      <w:szCs w:val="16"/>
    </w:rPr>
  </w:style>
  <w:style w:type="character" w:customStyle="1" w:styleId="186">
    <w:name w:val="标题 4 Char2"/>
    <w:link w:val="7"/>
    <w:qFormat/>
    <w:uiPriority w:val="0"/>
    <w:rPr>
      <w:rFonts w:ascii="Times New Roman" w:hAnsi="Times New Roman" w:eastAsia="黑体"/>
      <w:bCs/>
      <w:spacing w:val="-2"/>
      <w:sz w:val="24"/>
    </w:rPr>
  </w:style>
  <w:style w:type="character" w:customStyle="1" w:styleId="187">
    <w:name w:val="日期 Char1"/>
    <w:qFormat/>
    <w:uiPriority w:val="0"/>
    <w:rPr>
      <w:rFonts w:ascii="宋体" w:hAnsi="宋体"/>
      <w:sz w:val="24"/>
      <w:szCs w:val="21"/>
    </w:rPr>
  </w:style>
  <w:style w:type="character" w:customStyle="1" w:styleId="188">
    <w:name w:val="Char Char12"/>
    <w:qFormat/>
    <w:uiPriority w:val="0"/>
    <w:rPr>
      <w:rFonts w:ascii="Arial" w:hAnsi="Arial" w:eastAsia="黑体"/>
      <w:sz w:val="24"/>
      <w:szCs w:val="24"/>
    </w:rPr>
  </w:style>
  <w:style w:type="character" w:customStyle="1" w:styleId="189">
    <w:name w:val="Char Char1"/>
    <w:qFormat/>
    <w:uiPriority w:val="0"/>
    <w:rPr>
      <w:rFonts w:hint="eastAsia" w:ascii="宋体" w:hAnsi="宋体" w:eastAsia="宋体"/>
      <w:kern w:val="2"/>
      <w:sz w:val="18"/>
      <w:szCs w:val="18"/>
      <w:lang w:val="en-US" w:eastAsia="zh-CN" w:bidi="ar-SA"/>
    </w:rPr>
  </w:style>
  <w:style w:type="character" w:customStyle="1" w:styleId="190">
    <w:name w:val="纯文本 Char2"/>
    <w:qFormat/>
    <w:uiPriority w:val="0"/>
    <w:rPr>
      <w:rFonts w:ascii="宋体" w:hAnsi="Courier New" w:eastAsia="宋体" w:cs="Courier New"/>
      <w:kern w:val="2"/>
      <w:sz w:val="21"/>
      <w:szCs w:val="21"/>
      <w:lang w:val="en-US" w:eastAsia="zh-CN" w:bidi="ar-SA"/>
    </w:rPr>
  </w:style>
  <w:style w:type="character" w:customStyle="1" w:styleId="191">
    <w:name w:val="Char Char"/>
    <w:qFormat/>
    <w:uiPriority w:val="0"/>
    <w:rPr>
      <w:kern w:val="2"/>
      <w:sz w:val="21"/>
      <w:szCs w:val="24"/>
    </w:rPr>
  </w:style>
  <w:style w:type="character" w:customStyle="1" w:styleId="192">
    <w:name w:val="Char Char11"/>
    <w:qFormat/>
    <w:uiPriority w:val="0"/>
    <w:rPr>
      <w:rFonts w:ascii="Arial" w:hAnsi="Arial" w:eastAsia="黑体"/>
      <w:sz w:val="21"/>
      <w:szCs w:val="21"/>
    </w:rPr>
  </w:style>
  <w:style w:type="character" w:customStyle="1" w:styleId="193">
    <w:name w:val="副标题 Char1"/>
    <w:qFormat/>
    <w:uiPriority w:val="0"/>
    <w:rPr>
      <w:rFonts w:ascii="Cambria" w:hAnsi="Cambria"/>
      <w:b/>
      <w:bCs/>
      <w:kern w:val="28"/>
      <w:sz w:val="32"/>
      <w:szCs w:val="32"/>
    </w:rPr>
  </w:style>
  <w:style w:type="character" w:customStyle="1" w:styleId="194">
    <w:name w:val="普通文字 Char1"/>
    <w:qFormat/>
    <w:uiPriority w:val="0"/>
    <w:rPr>
      <w:rFonts w:ascii="宋体" w:hAnsi="Courier New" w:eastAsia="宋体" w:cs="Courier New"/>
      <w:kern w:val="2"/>
      <w:sz w:val="21"/>
      <w:szCs w:val="21"/>
      <w:lang w:val="en-US" w:eastAsia="zh-CN" w:bidi="ar-SA"/>
    </w:rPr>
  </w:style>
  <w:style w:type="paragraph" w:customStyle="1" w:styleId="195">
    <w:name w:val="样式 标题 2 + Times New Roman 四号 非加粗 段前: 5 磅 段后: 0 磅 行距: 固定值 20..."/>
    <w:basedOn w:val="5"/>
    <w:qFormat/>
    <w:uiPriority w:val="0"/>
    <w:pPr>
      <w:spacing w:line="400" w:lineRule="exact"/>
    </w:pPr>
    <w:rPr>
      <w:rFonts w:ascii="Times New Roman" w:hAnsi="Times New Roman"/>
      <w:b w:val="0"/>
      <w:bCs w:val="0"/>
      <w:kern w:val="2"/>
      <w:szCs w:val="20"/>
    </w:rPr>
  </w:style>
  <w:style w:type="paragraph" w:customStyle="1" w:styleId="196">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7">
    <w:name w:val="p18"/>
    <w:basedOn w:val="1"/>
    <w:qFormat/>
    <w:uiPriority w:val="0"/>
    <w:pPr>
      <w:widowControl/>
      <w:pBdr>
        <w:bottom w:val="single" w:color="000000" w:sz="6" w:space="1"/>
      </w:pBdr>
      <w:jc w:val="center"/>
    </w:pPr>
    <w:rPr>
      <w:kern w:val="0"/>
      <w:sz w:val="18"/>
      <w:szCs w:val="18"/>
    </w:rPr>
  </w:style>
  <w:style w:type="paragraph" w:customStyle="1" w:styleId="198">
    <w:name w:val="CM32"/>
    <w:basedOn w:val="199"/>
    <w:next w:val="199"/>
    <w:qFormat/>
    <w:uiPriority w:val="0"/>
    <w:rPr>
      <w:rFonts w:ascii="HiddenHorzOCl" w:hAnsi="Calibri" w:eastAsia="HiddenHorzOCl" w:cs="Times New Roman"/>
      <w:color w:val="auto"/>
    </w:rPr>
  </w:style>
  <w:style w:type="paragraph" w:customStyle="1" w:styleId="1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0">
    <w:name w:val="Char1"/>
    <w:basedOn w:val="14"/>
    <w:qFormat/>
    <w:uiPriority w:val="0"/>
    <w:pPr>
      <w:tabs>
        <w:tab w:val="right" w:pos="-2120"/>
      </w:tabs>
      <w:snapToGrid w:val="0"/>
    </w:pPr>
    <w:rPr>
      <w:rFonts w:ascii="Tahoma" w:hAnsi="Tahoma" w:eastAsia="仿宋_GB2312"/>
      <w:spacing w:val="6"/>
      <w:sz w:val="28"/>
    </w:rPr>
  </w:style>
  <w:style w:type="paragraph" w:customStyle="1" w:styleId="20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2">
    <w:name w:val="样式 标题 1 + 黑体 三号 非加粗 居中 段前: 6 磅 段后: 6 磅 行距: 固定值 20 磅"/>
    <w:basedOn w:val="4"/>
    <w:qFormat/>
    <w:uiPriority w:val="0"/>
    <w:pPr>
      <w:spacing w:before="120" w:after="120" w:line="400" w:lineRule="exact"/>
      <w:jc w:val="center"/>
    </w:pPr>
    <w:rPr>
      <w:rFonts w:ascii="黑体" w:hAnsi="黑体"/>
      <w:b w:val="0"/>
      <w:bCs w:val="0"/>
      <w:sz w:val="32"/>
      <w:szCs w:val="20"/>
    </w:rPr>
  </w:style>
  <w:style w:type="paragraph" w:customStyle="1" w:styleId="203">
    <w:name w:val="CM22"/>
    <w:basedOn w:val="199"/>
    <w:next w:val="199"/>
    <w:qFormat/>
    <w:uiPriority w:val="0"/>
    <w:pPr>
      <w:spacing w:line="586" w:lineRule="atLeast"/>
    </w:pPr>
    <w:rPr>
      <w:rFonts w:ascii="HiddenHorzOCl" w:hAnsi="Calibri" w:eastAsia="HiddenHorzOCl" w:cs="Times New Roman"/>
      <w:color w:val="auto"/>
    </w:rPr>
  </w:style>
  <w:style w:type="paragraph" w:customStyle="1" w:styleId="204">
    <w:name w:val="样式 悬挂缩进: 2.07 字符 行距: 固定值 20 磅"/>
    <w:basedOn w:val="1"/>
    <w:qFormat/>
    <w:uiPriority w:val="0"/>
    <w:pPr>
      <w:spacing w:line="400" w:lineRule="exact"/>
    </w:pPr>
    <w:rPr>
      <w:rFonts w:ascii="宋体" w:hAnsi="宋体"/>
      <w:color w:val="FF0000"/>
      <w:sz w:val="24"/>
    </w:rPr>
  </w:style>
  <w:style w:type="paragraph" w:customStyle="1" w:styleId="205">
    <w:name w:val="公文编号（中）"/>
    <w:qFormat/>
    <w:uiPriority w:val="0"/>
    <w:pPr>
      <w:jc w:val="center"/>
    </w:pPr>
    <w:rPr>
      <w:rFonts w:ascii="Times New Roman" w:hAnsi="Times New Roman" w:eastAsia="仿宋_GB2312" w:cs="Times New Roman"/>
      <w:sz w:val="32"/>
      <w:lang w:val="en-US" w:eastAsia="zh-CN" w:bidi="ar-SA"/>
    </w:rPr>
  </w:style>
  <w:style w:type="paragraph" w:customStyle="1" w:styleId="206">
    <w:name w:val="Char Char Char"/>
    <w:basedOn w:val="1"/>
    <w:qFormat/>
    <w:uiPriority w:val="0"/>
    <w:rPr>
      <w:szCs w:val="20"/>
    </w:rPr>
  </w:style>
  <w:style w:type="paragraph" w:customStyle="1" w:styleId="207">
    <w:name w:val="zh正文"/>
    <w:basedOn w:val="1"/>
    <w:qFormat/>
    <w:uiPriority w:val="0"/>
    <w:pPr>
      <w:spacing w:line="360" w:lineRule="exact"/>
      <w:ind w:firstLine="560" w:firstLineChars="200"/>
    </w:pPr>
    <w:rPr>
      <w:rFonts w:ascii="宋体" w:hAnsi="宋体"/>
      <w:sz w:val="28"/>
      <w:szCs w:val="20"/>
    </w:rPr>
  </w:style>
  <w:style w:type="paragraph" w:customStyle="1" w:styleId="20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09">
    <w:name w:val="CM27"/>
    <w:basedOn w:val="199"/>
    <w:next w:val="199"/>
    <w:qFormat/>
    <w:uiPriority w:val="0"/>
    <w:rPr>
      <w:rFonts w:ascii="HiddenHorzOCl" w:hAnsi="Calibri" w:eastAsia="HiddenHorzOCl" w:cs="Times New Roman"/>
      <w:color w:val="auto"/>
    </w:rPr>
  </w:style>
  <w:style w:type="paragraph" w:customStyle="1" w:styleId="210">
    <w:name w:val="CM19"/>
    <w:basedOn w:val="199"/>
    <w:next w:val="199"/>
    <w:qFormat/>
    <w:uiPriority w:val="0"/>
    <w:pPr>
      <w:spacing w:line="588" w:lineRule="atLeast"/>
    </w:pPr>
    <w:rPr>
      <w:rFonts w:ascii="HiddenHorzOCl" w:hAnsi="Calibri" w:eastAsia="HiddenHorzOCl" w:cs="Times New Roman"/>
      <w:color w:val="auto"/>
    </w:rPr>
  </w:style>
  <w:style w:type="paragraph" w:customStyle="1" w:styleId="21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12">
    <w:name w:val="CM36"/>
    <w:basedOn w:val="199"/>
    <w:next w:val="199"/>
    <w:qFormat/>
    <w:uiPriority w:val="0"/>
    <w:rPr>
      <w:rFonts w:ascii="HiddenHorzOCl" w:hAnsi="Calibri" w:eastAsia="HiddenHorzOCl" w:cs="Times New Roman"/>
      <w:color w:val="auto"/>
    </w:rPr>
  </w:style>
  <w:style w:type="paragraph" w:customStyle="1" w:styleId="213">
    <w:name w:val="TOC 标题1"/>
    <w:basedOn w:val="4"/>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14">
    <w:name w:val="CM41"/>
    <w:basedOn w:val="199"/>
    <w:next w:val="199"/>
    <w:qFormat/>
    <w:uiPriority w:val="0"/>
    <w:rPr>
      <w:rFonts w:ascii="HiddenHorzOCl" w:hAnsi="Calibri" w:eastAsia="HiddenHorzOCl" w:cs="Times New Roman"/>
      <w:color w:val="auto"/>
    </w:rPr>
  </w:style>
  <w:style w:type="paragraph" w:customStyle="1" w:styleId="215">
    <w:name w:val="CM8"/>
    <w:basedOn w:val="199"/>
    <w:next w:val="199"/>
    <w:qFormat/>
    <w:uiPriority w:val="0"/>
    <w:rPr>
      <w:rFonts w:ascii="HiddenHorzOCl" w:hAnsi="Calibri" w:eastAsia="HiddenHorzOCl" w:cs="Times New Roman"/>
      <w:color w:val="auto"/>
    </w:rPr>
  </w:style>
  <w:style w:type="paragraph" w:customStyle="1" w:styleId="216">
    <w:name w:val="表格2"/>
    <w:basedOn w:val="1"/>
    <w:qFormat/>
    <w:uiPriority w:val="0"/>
    <w:pPr>
      <w:adjustRightInd w:val="0"/>
      <w:spacing w:line="420" w:lineRule="atLeast"/>
      <w:ind w:left="284" w:firstLine="454"/>
      <w:textAlignment w:val="baseline"/>
    </w:pPr>
    <w:rPr>
      <w:kern w:val="0"/>
      <w:szCs w:val="20"/>
    </w:rPr>
  </w:style>
  <w:style w:type="paragraph" w:customStyle="1" w:styleId="217">
    <w:name w:val="Char Char Char Char Char Char1 Char Char Char Char"/>
    <w:basedOn w:val="1"/>
    <w:qFormat/>
    <w:uiPriority w:val="0"/>
  </w:style>
  <w:style w:type="paragraph" w:customStyle="1" w:styleId="218">
    <w:name w:val="CM7"/>
    <w:basedOn w:val="199"/>
    <w:next w:val="199"/>
    <w:qFormat/>
    <w:uiPriority w:val="0"/>
    <w:rPr>
      <w:rFonts w:ascii="HiddenHorzOCl" w:hAnsi="Calibri" w:eastAsia="HiddenHorzOCl" w:cs="Times New Roman"/>
      <w:color w:val="auto"/>
    </w:rPr>
  </w:style>
  <w:style w:type="paragraph" w:customStyle="1" w:styleId="219">
    <w:name w:val="列表段落1"/>
    <w:basedOn w:val="1"/>
    <w:qFormat/>
    <w:uiPriority w:val="34"/>
    <w:pPr>
      <w:spacing w:line="360" w:lineRule="auto"/>
      <w:ind w:firstLine="420"/>
    </w:pPr>
    <w:rPr>
      <w:sz w:val="24"/>
      <w:szCs w:val="20"/>
    </w:rPr>
  </w:style>
  <w:style w:type="paragraph" w:customStyle="1" w:styleId="220">
    <w:name w:val="CM35"/>
    <w:basedOn w:val="199"/>
    <w:next w:val="199"/>
    <w:qFormat/>
    <w:uiPriority w:val="0"/>
    <w:rPr>
      <w:rFonts w:ascii="HiddenHorzOCl" w:hAnsi="Calibri" w:eastAsia="HiddenHorzOCl" w:cs="Times New Roman"/>
      <w:color w:val="auto"/>
    </w:rPr>
  </w:style>
  <w:style w:type="paragraph" w:customStyle="1" w:styleId="221">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22">
    <w:name w:val="CM1"/>
    <w:basedOn w:val="199"/>
    <w:next w:val="199"/>
    <w:qFormat/>
    <w:uiPriority w:val="0"/>
    <w:rPr>
      <w:rFonts w:ascii="HiddenHorzOCl" w:hAnsi="Calibri" w:eastAsia="HiddenHorzOCl" w:cs="Times New Roman"/>
      <w:color w:val="auto"/>
    </w:rPr>
  </w:style>
  <w:style w:type="paragraph" w:customStyle="1" w:styleId="223">
    <w:name w:val="Char Char Char Char Char Char1 Char"/>
    <w:basedOn w:val="1"/>
    <w:qFormat/>
    <w:uiPriority w:val="0"/>
  </w:style>
  <w:style w:type="paragraph" w:customStyle="1" w:styleId="224">
    <w:name w:val="样式2"/>
    <w:basedOn w:val="137"/>
    <w:qFormat/>
    <w:uiPriority w:val="0"/>
    <w:pPr>
      <w:tabs>
        <w:tab w:val="left" w:pos="360"/>
      </w:tabs>
      <w:spacing w:line="480" w:lineRule="exact"/>
      <w:ind w:left="360" w:hanging="360" w:hangingChars="200"/>
    </w:pPr>
    <w:rPr>
      <w:rFonts w:eastAsia="黑体"/>
      <w:kern w:val="0"/>
      <w:sz w:val="24"/>
      <w:szCs w:val="18"/>
    </w:rPr>
  </w:style>
  <w:style w:type="paragraph" w:customStyle="1" w:styleId="225">
    <w:name w:val="表格方字"/>
    <w:basedOn w:val="1"/>
    <w:qFormat/>
    <w:uiPriority w:val="0"/>
    <w:pPr>
      <w:adjustRightInd w:val="0"/>
      <w:spacing w:before="60" w:after="60" w:line="420" w:lineRule="atLeast"/>
      <w:jc w:val="left"/>
      <w:textAlignment w:val="baseline"/>
    </w:pPr>
    <w:rPr>
      <w:kern w:val="0"/>
      <w:szCs w:val="20"/>
    </w:rPr>
  </w:style>
  <w:style w:type="paragraph" w:customStyle="1" w:styleId="22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CM30"/>
    <w:basedOn w:val="199"/>
    <w:next w:val="199"/>
    <w:qFormat/>
    <w:uiPriority w:val="0"/>
    <w:rPr>
      <w:rFonts w:ascii="HiddenHorzOCl" w:hAnsi="Calibri" w:eastAsia="HiddenHorzOCl" w:cs="Times New Roman"/>
      <w:color w:val="auto"/>
    </w:rPr>
  </w:style>
  <w:style w:type="paragraph" w:customStyle="1" w:styleId="228">
    <w:name w:val="小标题"/>
    <w:basedOn w:val="47"/>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29">
    <w:name w:val="p19"/>
    <w:basedOn w:val="1"/>
    <w:qFormat/>
    <w:uiPriority w:val="0"/>
    <w:pPr>
      <w:widowControl/>
      <w:snapToGrid w:val="0"/>
      <w:jc w:val="left"/>
    </w:pPr>
    <w:rPr>
      <w:rFonts w:ascii="宋体" w:hAnsi="宋体" w:cs="宋体"/>
      <w:color w:val="000000"/>
      <w:kern w:val="0"/>
      <w:sz w:val="24"/>
    </w:rPr>
  </w:style>
  <w:style w:type="paragraph" w:customStyle="1" w:styleId="230">
    <w:name w:val="CM38"/>
    <w:basedOn w:val="199"/>
    <w:next w:val="199"/>
    <w:qFormat/>
    <w:uiPriority w:val="0"/>
    <w:rPr>
      <w:rFonts w:ascii="HiddenHorzOCl" w:hAnsi="Calibri" w:eastAsia="HiddenHorzOCl" w:cs="Times New Roman"/>
      <w:color w:val="auto"/>
    </w:rPr>
  </w:style>
  <w:style w:type="paragraph" w:customStyle="1" w:styleId="231">
    <w:name w:val="正文文字缩进"/>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M6"/>
    <w:basedOn w:val="199"/>
    <w:next w:val="199"/>
    <w:qFormat/>
    <w:uiPriority w:val="0"/>
    <w:rPr>
      <w:rFonts w:ascii="HiddenHorzOCl" w:hAnsi="Calibri" w:eastAsia="HiddenHorzOCl" w:cs="Times New Roman"/>
      <w:color w:val="auto"/>
    </w:rPr>
  </w:style>
  <w:style w:type="paragraph" w:customStyle="1" w:styleId="233">
    <w:name w:val="3级"/>
    <w:basedOn w:val="1"/>
    <w:qFormat/>
    <w:uiPriority w:val="0"/>
    <w:pPr>
      <w:spacing w:line="360" w:lineRule="auto"/>
      <w:outlineLvl w:val="2"/>
    </w:pPr>
    <w:rPr>
      <w:rFonts w:ascii="黑体" w:hAnsi="宋体" w:eastAsia="黑体" w:cs="宋体"/>
      <w:kern w:val="0"/>
      <w:sz w:val="28"/>
      <w:szCs w:val="44"/>
    </w:rPr>
  </w:style>
  <w:style w:type="paragraph" w:customStyle="1" w:styleId="234">
    <w:name w:val="xl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35">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36">
    <w:name w:val="标准 4"/>
    <w:basedOn w:val="1"/>
    <w:qFormat/>
    <w:uiPriority w:val="0"/>
    <w:pPr>
      <w:spacing w:line="540" w:lineRule="exact"/>
      <w:ind w:firstLine="240" w:firstLineChars="100"/>
    </w:pPr>
    <w:rPr>
      <w:rFonts w:ascii="宋体" w:hAnsi="宋体"/>
      <w:color w:val="000000"/>
      <w:sz w:val="24"/>
    </w:rPr>
  </w:style>
  <w:style w:type="paragraph" w:customStyle="1" w:styleId="237">
    <w:name w:val="表格5"/>
    <w:basedOn w:val="216"/>
    <w:qFormat/>
    <w:uiPriority w:val="0"/>
    <w:pPr>
      <w:ind w:left="1021" w:hanging="284"/>
    </w:pPr>
    <w:rPr>
      <w:rFonts w:ascii="宋体"/>
    </w:rPr>
  </w:style>
  <w:style w:type="paragraph" w:customStyle="1" w:styleId="238">
    <w:name w:val="标题二"/>
    <w:basedOn w:val="5"/>
    <w:qFormat/>
    <w:uiPriority w:val="0"/>
    <w:pPr>
      <w:keepLines w:val="0"/>
      <w:spacing w:line="360" w:lineRule="auto"/>
      <w:jc w:val="center"/>
    </w:pPr>
    <w:rPr>
      <w:rFonts w:ascii="Cambria" w:hAnsi="Cambria" w:eastAsia="宋体"/>
      <w:b w:val="0"/>
      <w:kern w:val="2"/>
      <w:sz w:val="44"/>
      <w:szCs w:val="24"/>
    </w:rPr>
  </w:style>
  <w:style w:type="paragraph" w:customStyle="1" w:styleId="239">
    <w:name w:val="CM44"/>
    <w:basedOn w:val="199"/>
    <w:next w:val="199"/>
    <w:qFormat/>
    <w:uiPriority w:val="0"/>
    <w:rPr>
      <w:rFonts w:ascii="HiddenHorzOCl" w:hAnsi="Calibri" w:eastAsia="HiddenHorzOCl" w:cs="Times New Roman"/>
      <w:color w:val="auto"/>
    </w:rPr>
  </w:style>
  <w:style w:type="paragraph" w:customStyle="1" w:styleId="240">
    <w:name w:val="样式 宋体 二号 加粗 居中"/>
    <w:basedOn w:val="4"/>
    <w:qFormat/>
    <w:uiPriority w:val="0"/>
    <w:pPr>
      <w:keepLines w:val="0"/>
      <w:spacing w:before="100" w:beforeAutospacing="1" w:after="100" w:afterAutospacing="1"/>
      <w:jc w:val="center"/>
    </w:pPr>
    <w:rPr>
      <w:rFonts w:ascii="宋体" w:hAnsi="宋体"/>
      <w:kern w:val="2"/>
      <w:szCs w:val="72"/>
    </w:rPr>
  </w:style>
  <w:style w:type="paragraph" w:customStyle="1" w:styleId="241">
    <w:name w:val="CM37"/>
    <w:basedOn w:val="199"/>
    <w:next w:val="199"/>
    <w:qFormat/>
    <w:uiPriority w:val="0"/>
    <w:rPr>
      <w:rFonts w:ascii="HiddenHorzOCl" w:hAnsi="Calibri" w:eastAsia="HiddenHorzOCl" w:cs="Times New Roman"/>
      <w:color w:val="auto"/>
    </w:rPr>
  </w:style>
  <w:style w:type="paragraph" w:customStyle="1" w:styleId="242">
    <w:name w:val="Char Char Char Char Char Char1 Char Char Char Char Char Char Char"/>
    <w:basedOn w:val="1"/>
    <w:qFormat/>
    <w:uiPriority w:val="0"/>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表头"/>
    <w:basedOn w:val="225"/>
    <w:qFormat/>
    <w:uiPriority w:val="0"/>
    <w:rPr>
      <w:rFonts w:ascii="黑体" w:eastAsia="黑体"/>
      <w:b/>
    </w:rPr>
  </w:style>
  <w:style w:type="paragraph" w:customStyle="1" w:styleId="245">
    <w:name w:val="表格文字"/>
    <w:basedOn w:val="1"/>
    <w:qFormat/>
    <w:uiPriority w:val="0"/>
    <w:pPr>
      <w:adjustRightInd w:val="0"/>
      <w:spacing w:line="420" w:lineRule="atLeast"/>
      <w:jc w:val="left"/>
      <w:textAlignment w:val="baseline"/>
    </w:pPr>
    <w:rPr>
      <w:kern w:val="0"/>
      <w:szCs w:val="20"/>
    </w:rPr>
  </w:style>
  <w:style w:type="paragraph" w:customStyle="1" w:styleId="246">
    <w:name w:val="CM28"/>
    <w:basedOn w:val="199"/>
    <w:next w:val="199"/>
    <w:qFormat/>
    <w:uiPriority w:val="0"/>
    <w:rPr>
      <w:rFonts w:ascii="HiddenHorzOCl" w:hAnsi="Calibri" w:eastAsia="HiddenHorzOCl" w:cs="Times New Roman"/>
      <w:color w:val="auto"/>
    </w:rPr>
  </w:style>
  <w:style w:type="paragraph" w:customStyle="1" w:styleId="247">
    <w:name w:val="CM31"/>
    <w:basedOn w:val="199"/>
    <w:next w:val="199"/>
    <w:qFormat/>
    <w:uiPriority w:val="0"/>
    <w:rPr>
      <w:rFonts w:ascii="HiddenHorzOCl" w:hAnsi="Calibri" w:eastAsia="HiddenHorzOCl" w:cs="Times New Roman"/>
      <w:color w:val="auto"/>
    </w:rPr>
  </w:style>
  <w:style w:type="paragraph" w:customStyle="1" w:styleId="248">
    <w:name w:val="CM26"/>
    <w:basedOn w:val="1"/>
    <w:next w:val="1"/>
    <w:qFormat/>
    <w:uiPriority w:val="0"/>
    <w:pPr>
      <w:autoSpaceDE w:val="0"/>
      <w:autoSpaceDN w:val="0"/>
      <w:adjustRightInd w:val="0"/>
      <w:jc w:val="left"/>
    </w:pPr>
    <w:rPr>
      <w:rFonts w:ascii="HiddenHorzOCl" w:hAnsi="Calibri" w:eastAsia="HiddenHorzOCl"/>
      <w:kern w:val="0"/>
      <w:sz w:val="24"/>
    </w:rPr>
  </w:style>
  <w:style w:type="paragraph" w:customStyle="1" w:styleId="249">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250">
    <w:name w:val="CM29"/>
    <w:basedOn w:val="199"/>
    <w:next w:val="199"/>
    <w:qFormat/>
    <w:uiPriority w:val="0"/>
    <w:rPr>
      <w:rFonts w:ascii="HiddenHorzOCl" w:hAnsi="Calibri" w:eastAsia="HiddenHorzOCl" w:cs="Times New Roman"/>
      <w:color w:val="auto"/>
    </w:rPr>
  </w:style>
  <w:style w:type="paragraph" w:customStyle="1" w:styleId="251">
    <w:name w:val="CM25"/>
    <w:basedOn w:val="199"/>
    <w:next w:val="199"/>
    <w:qFormat/>
    <w:uiPriority w:val="0"/>
    <w:rPr>
      <w:rFonts w:ascii="HiddenHorzOCl" w:hAnsi="Calibri" w:eastAsia="HiddenHorzOCl" w:cs="Times New Roman"/>
      <w:color w:val="auto"/>
    </w:rPr>
  </w:style>
  <w:style w:type="paragraph" w:customStyle="1" w:styleId="252">
    <w:name w:val="CM3"/>
    <w:basedOn w:val="199"/>
    <w:next w:val="199"/>
    <w:qFormat/>
    <w:uiPriority w:val="0"/>
    <w:pPr>
      <w:spacing w:line="578" w:lineRule="atLeast"/>
    </w:pPr>
    <w:rPr>
      <w:rFonts w:ascii="HiddenHorzOCl" w:hAnsi="Calibri" w:eastAsia="HiddenHorzOCl" w:cs="Times New Roman"/>
      <w:color w:val="auto"/>
    </w:rPr>
  </w:style>
  <w:style w:type="paragraph" w:customStyle="1" w:styleId="253">
    <w:name w:val="Char Char Char Char Char Char Char Char Char Char Char Char Char Char Char Char Char Char1 Char Char Char Char"/>
    <w:basedOn w:val="1"/>
    <w:qFormat/>
    <w:uiPriority w:val="0"/>
  </w:style>
  <w:style w:type="paragraph" w:customStyle="1" w:styleId="254">
    <w:name w:val="xl22"/>
    <w:basedOn w:val="1"/>
    <w:qFormat/>
    <w:uiPriority w:val="0"/>
    <w:pPr>
      <w:widowControl/>
      <w:spacing w:line="360" w:lineRule="auto"/>
      <w:jc w:val="center"/>
    </w:pPr>
    <w:rPr>
      <w:rFonts w:ascii="宋体" w:hAnsi="宋体"/>
      <w:kern w:val="0"/>
      <w:sz w:val="24"/>
    </w:rPr>
  </w:style>
  <w:style w:type="paragraph" w:customStyle="1" w:styleId="255">
    <w:name w:val="CM20"/>
    <w:basedOn w:val="199"/>
    <w:next w:val="199"/>
    <w:qFormat/>
    <w:uiPriority w:val="0"/>
    <w:pPr>
      <w:spacing w:line="576" w:lineRule="atLeast"/>
    </w:pPr>
    <w:rPr>
      <w:rFonts w:ascii="HiddenHorzOCl" w:hAnsi="Calibri" w:eastAsia="HiddenHorzOCl" w:cs="Times New Roman"/>
      <w:color w:val="auto"/>
    </w:rPr>
  </w:style>
  <w:style w:type="paragraph" w:customStyle="1" w:styleId="256">
    <w:name w:val="Table Paragraph"/>
    <w:basedOn w:val="1"/>
    <w:qFormat/>
    <w:uiPriority w:val="1"/>
    <w:rPr>
      <w:rFonts w:ascii="宋体" w:hAnsi="宋体" w:cs="宋体"/>
    </w:rPr>
  </w:style>
  <w:style w:type="paragraph" w:customStyle="1" w:styleId="257">
    <w:name w:val="样式 (符号) Times New Roman 小四 非加粗 行距: 1.5 倍行距"/>
    <w:basedOn w:val="1"/>
    <w:next w:val="258"/>
    <w:qFormat/>
    <w:uiPriority w:val="0"/>
    <w:pPr>
      <w:spacing w:line="360" w:lineRule="auto"/>
    </w:pPr>
    <w:rPr>
      <w:rFonts w:ascii="楷体_GB2312" w:eastAsia="楷体_GB2312"/>
      <w:sz w:val="24"/>
      <w:szCs w:val="20"/>
    </w:rPr>
  </w:style>
  <w:style w:type="paragraph" w:customStyle="1" w:styleId="258">
    <w:name w:val="文字块"/>
    <w:basedOn w:val="1"/>
    <w:qFormat/>
    <w:uiPriority w:val="0"/>
  </w:style>
  <w:style w:type="paragraph" w:customStyle="1" w:styleId="259">
    <w:name w:val="CM18"/>
    <w:basedOn w:val="199"/>
    <w:next w:val="199"/>
    <w:qFormat/>
    <w:uiPriority w:val="0"/>
    <w:rPr>
      <w:rFonts w:ascii="HiddenHorzOCl" w:hAnsi="Calibri" w:eastAsia="HiddenHorzOCl" w:cs="Times New Roman"/>
      <w:color w:val="auto"/>
    </w:rPr>
  </w:style>
  <w:style w:type="paragraph" w:customStyle="1" w:styleId="260">
    <w:name w:val="CM33"/>
    <w:basedOn w:val="199"/>
    <w:next w:val="199"/>
    <w:qFormat/>
    <w:uiPriority w:val="0"/>
    <w:rPr>
      <w:rFonts w:ascii="HiddenHorzOCl" w:hAnsi="Calibri" w:eastAsia="HiddenHorzOCl" w:cs="Times New Roman"/>
      <w:color w:val="auto"/>
    </w:rPr>
  </w:style>
  <w:style w:type="paragraph" w:customStyle="1" w:styleId="261">
    <w:name w:val="标题 81"/>
    <w:basedOn w:val="1"/>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262">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63">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64">
    <w:name w:val="Char Char Char Char1"/>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265">
    <w:name w:val="标题 91"/>
    <w:basedOn w:val="1"/>
    <w:link w:val="346"/>
    <w:qFormat/>
    <w:uiPriority w:val="1"/>
    <w:pPr>
      <w:spacing w:before="7"/>
      <w:ind w:right="488"/>
      <w:jc w:val="center"/>
    </w:pPr>
    <w:rPr>
      <w:rFonts w:ascii="宋体" w:hAnsi="宋体" w:eastAsia="黑体" w:cs="宋体"/>
      <w:b/>
      <w:bCs/>
      <w:kern w:val="0"/>
      <w:sz w:val="30"/>
      <w:szCs w:val="30"/>
      <w:lang w:eastAsia="en-US"/>
    </w:rPr>
  </w:style>
  <w:style w:type="paragraph" w:customStyle="1" w:styleId="266">
    <w:name w:val="CM39"/>
    <w:basedOn w:val="199"/>
    <w:next w:val="199"/>
    <w:qFormat/>
    <w:uiPriority w:val="0"/>
    <w:rPr>
      <w:rFonts w:ascii="HiddenHorzOCl" w:hAnsi="Calibri" w:eastAsia="HiddenHorzOCl" w:cs="Times New Roman"/>
      <w:color w:val="auto"/>
    </w:rPr>
  </w:style>
  <w:style w:type="paragraph" w:customStyle="1" w:styleId="267">
    <w:name w:val="图标"/>
    <w:basedOn w:val="16"/>
    <w:qFormat/>
    <w:uiPriority w:val="0"/>
    <w:pPr>
      <w:adjustRightInd w:val="0"/>
      <w:spacing w:before="312" w:beforeLines="100" w:line="400" w:lineRule="exact"/>
      <w:ind w:firstLine="200"/>
      <w:jc w:val="center"/>
    </w:pPr>
    <w:rPr>
      <w:rFonts w:ascii="Times New Roman" w:hAnsi="Times New Roman" w:eastAsia="宋体" w:cs="Times New Roman"/>
      <w:b/>
      <w:sz w:val="24"/>
    </w:rPr>
  </w:style>
  <w:style w:type="paragraph" w:customStyle="1" w:styleId="268">
    <w:name w:val="Char"/>
    <w:basedOn w:val="1"/>
    <w:qFormat/>
    <w:uiPriority w:val="0"/>
    <w:rPr>
      <w:szCs w:val="21"/>
    </w:rPr>
  </w:style>
  <w:style w:type="paragraph" w:customStyle="1" w:styleId="269">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70">
    <w:name w:val="CM13"/>
    <w:basedOn w:val="199"/>
    <w:next w:val="199"/>
    <w:qFormat/>
    <w:uiPriority w:val="0"/>
    <w:pPr>
      <w:spacing w:line="583" w:lineRule="atLeast"/>
    </w:pPr>
    <w:rPr>
      <w:rFonts w:ascii="HiddenHorzOCl" w:hAnsi="Calibri" w:eastAsia="HiddenHorzOCl" w:cs="Times New Roman"/>
      <w:color w:val="auto"/>
    </w:rPr>
  </w:style>
  <w:style w:type="paragraph" w:customStyle="1" w:styleId="271">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272">
    <w:name w:val="CM16"/>
    <w:basedOn w:val="199"/>
    <w:next w:val="199"/>
    <w:qFormat/>
    <w:uiPriority w:val="0"/>
    <w:rPr>
      <w:rFonts w:ascii="HiddenHorzOCl" w:hAnsi="Calibri" w:eastAsia="HiddenHorzOCl" w:cs="Times New Roman"/>
      <w:color w:val="auto"/>
    </w:rPr>
  </w:style>
  <w:style w:type="paragraph" w:customStyle="1" w:styleId="273">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74">
    <w:name w:val="CM40"/>
    <w:basedOn w:val="199"/>
    <w:next w:val="199"/>
    <w:qFormat/>
    <w:uiPriority w:val="0"/>
    <w:rPr>
      <w:rFonts w:ascii="HiddenHorzOCl" w:hAnsi="Calibri" w:eastAsia="HiddenHorzOCl" w:cs="Times New Roman"/>
      <w:color w:val="auto"/>
    </w:rPr>
  </w:style>
  <w:style w:type="paragraph" w:customStyle="1" w:styleId="275">
    <w:name w:val="Char2"/>
    <w:basedOn w:val="1"/>
    <w:qFormat/>
    <w:uiPriority w:val="0"/>
    <w:pPr>
      <w:tabs>
        <w:tab w:val="left" w:pos="360"/>
      </w:tabs>
      <w:spacing w:line="360" w:lineRule="auto"/>
    </w:pPr>
    <w:rPr>
      <w:sz w:val="24"/>
    </w:rPr>
  </w:style>
  <w:style w:type="paragraph" w:customStyle="1" w:styleId="276">
    <w:name w:val="片头题目"/>
    <w:basedOn w:val="27"/>
    <w:next w:val="47"/>
    <w:qFormat/>
    <w:uiPriority w:val="0"/>
    <w:pPr>
      <w:spacing w:line="360" w:lineRule="auto"/>
      <w:ind w:left="495"/>
      <w:jc w:val="center"/>
    </w:pPr>
    <w:rPr>
      <w:rFonts w:hAnsi="宋体"/>
      <w:b/>
      <w:kern w:val="0"/>
      <w:sz w:val="32"/>
    </w:rPr>
  </w:style>
  <w:style w:type="paragraph" w:customStyle="1" w:styleId="277">
    <w:name w:val="超级链接"/>
    <w:basedOn w:val="1"/>
    <w:qFormat/>
    <w:uiPriority w:val="0"/>
  </w:style>
  <w:style w:type="paragraph" w:customStyle="1" w:styleId="278">
    <w:name w:val="样式 标题 2 + Times New Roman 四号 非加粗 行距: 单倍行距"/>
    <w:basedOn w:val="5"/>
    <w:qFormat/>
    <w:uiPriority w:val="0"/>
    <w:rPr>
      <w:rFonts w:ascii="Times New Roman" w:hAnsi="Times New Roman" w:cs="宋体"/>
      <w:b w:val="0"/>
      <w:bCs w:val="0"/>
      <w:kern w:val="44"/>
      <w:szCs w:val="20"/>
    </w:rPr>
  </w:style>
  <w:style w:type="paragraph" w:customStyle="1" w:styleId="279">
    <w:name w:val="p20"/>
    <w:basedOn w:val="1"/>
    <w:qFormat/>
    <w:uiPriority w:val="0"/>
    <w:pPr>
      <w:widowControl/>
    </w:pPr>
    <w:rPr>
      <w:kern w:val="0"/>
      <w:szCs w:val="21"/>
    </w:rPr>
  </w:style>
  <w:style w:type="paragraph" w:customStyle="1" w:styleId="280">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81">
    <w:name w:val="Section VII Header2"/>
    <w:basedOn w:val="4"/>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282">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283">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84">
    <w:name w:val="Char Char Char Char Char Char1 Char Char Char Char Char Char Char Char Char Char Char Char Char"/>
    <w:basedOn w:val="1"/>
    <w:qFormat/>
    <w:uiPriority w:val="0"/>
  </w:style>
  <w:style w:type="paragraph" w:customStyle="1" w:styleId="285">
    <w:name w:val="默认段落字体 Para Char"/>
    <w:basedOn w:val="1"/>
    <w:qFormat/>
    <w:uiPriority w:val="0"/>
    <w:pPr>
      <w:spacing w:line="360" w:lineRule="auto"/>
      <w:ind w:firstLine="200" w:firstLineChars="200"/>
    </w:pPr>
    <w:rPr>
      <w:rFonts w:ascii="宋体" w:hAnsi="宋体" w:cs="宋体"/>
      <w:sz w:val="24"/>
    </w:rPr>
  </w:style>
  <w:style w:type="paragraph" w:customStyle="1" w:styleId="286">
    <w:name w:val="标题3"/>
    <w:basedOn w:val="1"/>
    <w:qFormat/>
    <w:uiPriority w:val="0"/>
    <w:pPr>
      <w:spacing w:line="360" w:lineRule="auto"/>
      <w:jc w:val="center"/>
    </w:pPr>
    <w:rPr>
      <w:rFonts w:ascii="仿宋_GB2312" w:hAnsi="宋体" w:eastAsia="仿宋_GB2312"/>
      <w:b/>
      <w:sz w:val="30"/>
      <w:szCs w:val="20"/>
    </w:rPr>
  </w:style>
  <w:style w:type="paragraph" w:customStyle="1" w:styleId="287">
    <w:name w:val="已访问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p0"/>
    <w:basedOn w:val="1"/>
    <w:qFormat/>
    <w:uiPriority w:val="0"/>
    <w:pPr>
      <w:widowControl/>
    </w:pPr>
    <w:rPr>
      <w:kern w:val="0"/>
      <w:szCs w:val="21"/>
    </w:rPr>
  </w:style>
  <w:style w:type="paragraph" w:customStyle="1" w:styleId="289">
    <w:name w:val="标题3 1、"/>
    <w:basedOn w:val="1"/>
    <w:qFormat/>
    <w:uiPriority w:val="0"/>
    <w:pPr>
      <w:tabs>
        <w:tab w:val="left" w:pos="500"/>
      </w:tabs>
      <w:spacing w:before="156" w:beforeLines="50" w:line="400" w:lineRule="exact"/>
      <w:ind w:firstLine="200"/>
    </w:pPr>
    <w:rPr>
      <w:rFonts w:ascii="宋体" w:hAnsi="宋体"/>
      <w:b/>
      <w:bCs/>
      <w:sz w:val="24"/>
      <w:szCs w:val="21"/>
    </w:rPr>
  </w:style>
  <w:style w:type="paragraph" w:customStyle="1" w:styleId="290">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1">
    <w:name w:val="WPSOffice手动目录 1"/>
    <w:qFormat/>
    <w:uiPriority w:val="0"/>
    <w:rPr>
      <w:rFonts w:ascii="Times New Roman" w:hAnsi="Times New Roman" w:eastAsia="宋体" w:cs="Times New Roman"/>
      <w:lang w:val="en-US" w:eastAsia="zh-CN" w:bidi="ar-SA"/>
    </w:rPr>
  </w:style>
  <w:style w:type="paragraph" w:customStyle="1" w:styleId="292">
    <w:name w:val="TOC 标题2"/>
    <w:basedOn w:val="4"/>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93">
    <w:name w:val="CM23"/>
    <w:basedOn w:val="199"/>
    <w:next w:val="199"/>
    <w:qFormat/>
    <w:uiPriority w:val="0"/>
    <w:rPr>
      <w:rFonts w:ascii="HiddenHorzOCl" w:hAnsi="Calibri" w:eastAsia="HiddenHorzOCl" w:cs="Times New Roman"/>
      <w:color w:val="auto"/>
    </w:rPr>
  </w:style>
  <w:style w:type="paragraph" w:customStyle="1" w:styleId="294">
    <w:name w:val="CM42"/>
    <w:basedOn w:val="199"/>
    <w:next w:val="199"/>
    <w:qFormat/>
    <w:uiPriority w:val="0"/>
    <w:rPr>
      <w:rFonts w:ascii="HiddenHorzOCl" w:hAnsi="Calibri" w:eastAsia="HiddenHorzOCl" w:cs="Times New Roman"/>
      <w:color w:val="auto"/>
    </w:rPr>
  </w:style>
  <w:style w:type="paragraph" w:customStyle="1" w:styleId="295">
    <w:name w:val="Char Char5 Char Char Char Char"/>
    <w:basedOn w:val="1"/>
    <w:qFormat/>
    <w:uiPriority w:val="0"/>
  </w:style>
  <w:style w:type="paragraph" w:customStyle="1" w:styleId="296">
    <w:name w:val="表格3"/>
    <w:basedOn w:val="1"/>
    <w:qFormat/>
    <w:uiPriority w:val="0"/>
    <w:pPr>
      <w:adjustRightInd w:val="0"/>
      <w:spacing w:line="420" w:lineRule="atLeast"/>
      <w:textAlignment w:val="baseline"/>
    </w:pPr>
    <w:rPr>
      <w:rFonts w:eastAsia="楷体"/>
      <w:kern w:val="0"/>
      <w:szCs w:val="20"/>
    </w:rPr>
  </w:style>
  <w:style w:type="paragraph" w:customStyle="1" w:styleId="297">
    <w:name w:val="条款"/>
    <w:basedOn w:val="1"/>
    <w:qFormat/>
    <w:uiPriority w:val="0"/>
    <w:pPr>
      <w:spacing w:line="480" w:lineRule="exact"/>
    </w:pPr>
    <w:rPr>
      <w:rFonts w:eastAsia="黑体"/>
      <w:sz w:val="24"/>
      <w:szCs w:val="18"/>
    </w:rPr>
  </w:style>
  <w:style w:type="paragraph" w:customStyle="1" w:styleId="298">
    <w:name w:val="CM43"/>
    <w:basedOn w:val="199"/>
    <w:next w:val="199"/>
    <w:qFormat/>
    <w:uiPriority w:val="0"/>
    <w:rPr>
      <w:rFonts w:ascii="HiddenHorzOCl" w:hAnsi="Calibri" w:eastAsia="HiddenHorzOCl" w:cs="Times New Roman"/>
      <w:color w:val="auto"/>
    </w:rPr>
  </w:style>
  <w:style w:type="paragraph" w:customStyle="1" w:styleId="299">
    <w:name w:val="样式王"/>
    <w:basedOn w:val="1"/>
    <w:qFormat/>
    <w:uiPriority w:val="0"/>
  </w:style>
  <w:style w:type="paragraph" w:customStyle="1" w:styleId="300">
    <w:name w:val="表中"/>
    <w:basedOn w:val="1"/>
    <w:qFormat/>
    <w:uiPriority w:val="0"/>
    <w:pPr>
      <w:adjustRightInd w:val="0"/>
      <w:spacing w:line="360" w:lineRule="atLeast"/>
      <w:jc w:val="center"/>
      <w:textAlignment w:val="baseline"/>
    </w:pPr>
    <w:rPr>
      <w:kern w:val="0"/>
      <w:szCs w:val="20"/>
    </w:rPr>
  </w:style>
  <w:style w:type="paragraph" w:customStyle="1" w:styleId="301">
    <w:name w:val="1"/>
    <w:basedOn w:val="1"/>
    <w:next w:val="277"/>
    <w:qFormat/>
    <w:uiPriority w:val="0"/>
  </w:style>
  <w:style w:type="paragraph" w:customStyle="1" w:styleId="302">
    <w:name w:val="CM14"/>
    <w:basedOn w:val="199"/>
    <w:next w:val="199"/>
    <w:qFormat/>
    <w:uiPriority w:val="0"/>
    <w:pPr>
      <w:spacing w:line="573" w:lineRule="atLeast"/>
    </w:pPr>
    <w:rPr>
      <w:rFonts w:ascii="HiddenHorzOCl" w:hAnsi="Calibri" w:eastAsia="HiddenHorzOCl" w:cs="Times New Roman"/>
      <w:color w:val="auto"/>
    </w:rPr>
  </w:style>
  <w:style w:type="paragraph" w:customStyle="1" w:styleId="303">
    <w:name w:val="内容 Char Char"/>
    <w:basedOn w:val="1"/>
    <w:qFormat/>
    <w:uiPriority w:val="0"/>
    <w:pPr>
      <w:spacing w:line="480" w:lineRule="exact"/>
      <w:ind w:firstLine="200" w:firstLineChars="200"/>
    </w:pPr>
    <w:rPr>
      <w:sz w:val="24"/>
    </w:rPr>
  </w:style>
  <w:style w:type="paragraph" w:customStyle="1" w:styleId="304">
    <w:name w:val="CM15"/>
    <w:basedOn w:val="199"/>
    <w:next w:val="199"/>
    <w:qFormat/>
    <w:uiPriority w:val="0"/>
    <w:rPr>
      <w:rFonts w:ascii="HiddenHorzOCl" w:hAnsi="Calibri" w:eastAsia="HiddenHorzOCl" w:cs="Times New Roman"/>
      <w:color w:val="auto"/>
    </w:rPr>
  </w:style>
  <w:style w:type="paragraph" w:customStyle="1" w:styleId="305">
    <w:name w:val="CM11"/>
    <w:basedOn w:val="199"/>
    <w:next w:val="199"/>
    <w:qFormat/>
    <w:uiPriority w:val="0"/>
    <w:pPr>
      <w:spacing w:line="600" w:lineRule="atLeast"/>
    </w:pPr>
    <w:rPr>
      <w:rFonts w:ascii="HiddenHorzOCl" w:hAnsi="Calibri" w:eastAsia="HiddenHorzOCl" w:cs="Times New Roman"/>
      <w:color w:val="auto"/>
    </w:rPr>
  </w:style>
  <w:style w:type="paragraph" w:customStyle="1" w:styleId="306">
    <w:name w:val="表格"/>
    <w:basedOn w:val="1"/>
    <w:qFormat/>
    <w:uiPriority w:val="0"/>
    <w:pPr>
      <w:jc w:val="center"/>
    </w:pPr>
    <w:rPr>
      <w:rFonts w:ascii="华文细黑" w:hAnsi="华文细黑"/>
      <w:kern w:val="0"/>
      <w:szCs w:val="20"/>
    </w:rPr>
  </w:style>
  <w:style w:type="paragraph" w:customStyle="1" w:styleId="307">
    <w:name w:val="表格1"/>
    <w:basedOn w:val="1"/>
    <w:qFormat/>
    <w:uiPriority w:val="0"/>
    <w:pPr>
      <w:adjustRightInd w:val="0"/>
      <w:spacing w:line="420" w:lineRule="atLeast"/>
      <w:ind w:left="284"/>
      <w:textAlignment w:val="baseline"/>
    </w:pPr>
    <w:rPr>
      <w:kern w:val="0"/>
      <w:szCs w:val="20"/>
    </w:rPr>
  </w:style>
  <w:style w:type="paragraph" w:customStyle="1" w:styleId="308">
    <w:name w:val="样式 标题 3 + (中文) 黑体 小四 非加粗 段前: 7.8 磅 段后: 0 磅 行距: 固定值 20 磅"/>
    <w:basedOn w:val="6"/>
    <w:qFormat/>
    <w:uiPriority w:val="0"/>
    <w:pPr>
      <w:spacing w:line="400" w:lineRule="exact"/>
    </w:pPr>
    <w:rPr>
      <w:rFonts w:eastAsia="黑体"/>
      <w:b w:val="0"/>
      <w:bCs w:val="0"/>
      <w:kern w:val="2"/>
      <w:sz w:val="24"/>
      <w:szCs w:val="20"/>
    </w:rPr>
  </w:style>
  <w:style w:type="paragraph" w:customStyle="1" w:styleId="309">
    <w:name w:val="表格6"/>
    <w:basedOn w:val="237"/>
    <w:qFormat/>
    <w:uiPriority w:val="0"/>
    <w:pPr>
      <w:ind w:left="737" w:firstLine="0"/>
    </w:pPr>
  </w:style>
  <w:style w:type="paragraph" w:customStyle="1" w:styleId="310">
    <w:name w:val="CM17"/>
    <w:basedOn w:val="199"/>
    <w:next w:val="199"/>
    <w:qFormat/>
    <w:uiPriority w:val="0"/>
    <w:pPr>
      <w:spacing w:line="573" w:lineRule="atLeast"/>
    </w:pPr>
    <w:rPr>
      <w:rFonts w:ascii="HiddenHorzOCl" w:hAnsi="Calibri" w:eastAsia="HiddenHorzOCl" w:cs="Times New Roman"/>
      <w:color w:val="auto"/>
    </w:rPr>
  </w:style>
  <w:style w:type="paragraph" w:customStyle="1" w:styleId="311">
    <w:name w:val="标题1"/>
    <w:basedOn w:val="1"/>
    <w:qFormat/>
    <w:uiPriority w:val="0"/>
    <w:pPr>
      <w:spacing w:line="360" w:lineRule="auto"/>
    </w:pPr>
    <w:rPr>
      <w:sz w:val="24"/>
      <w:szCs w:val="20"/>
    </w:rPr>
  </w:style>
  <w:style w:type="paragraph" w:customStyle="1" w:styleId="312">
    <w:name w:val="CM4"/>
    <w:basedOn w:val="199"/>
    <w:next w:val="199"/>
    <w:qFormat/>
    <w:uiPriority w:val="0"/>
    <w:pPr>
      <w:spacing w:line="613" w:lineRule="atLeast"/>
    </w:pPr>
    <w:rPr>
      <w:rFonts w:ascii="HiddenHorzOCl" w:hAnsi="Calibri" w:eastAsia="HiddenHorzOCl" w:cs="Times New Roman"/>
      <w:color w:val="auto"/>
    </w:rPr>
  </w:style>
  <w:style w:type="paragraph" w:customStyle="1" w:styleId="313">
    <w:name w:val="CM24"/>
    <w:basedOn w:val="199"/>
    <w:next w:val="199"/>
    <w:qFormat/>
    <w:uiPriority w:val="0"/>
    <w:rPr>
      <w:rFonts w:ascii="HiddenHorzOCl" w:hAnsi="Calibri" w:eastAsia="HiddenHorzOCl" w:cs="Times New Roman"/>
      <w:color w:val="auto"/>
    </w:rPr>
  </w:style>
  <w:style w:type="paragraph" w:customStyle="1" w:styleId="314">
    <w:name w:val="CM5"/>
    <w:basedOn w:val="199"/>
    <w:next w:val="199"/>
    <w:qFormat/>
    <w:uiPriority w:val="0"/>
    <w:rPr>
      <w:rFonts w:ascii="HiddenHorzOCl" w:hAnsi="Calibri" w:eastAsia="HiddenHorzOCl" w:cs="Times New Roman"/>
      <w:color w:val="auto"/>
    </w:rPr>
  </w:style>
  <w:style w:type="paragraph" w:customStyle="1" w:styleId="315">
    <w:name w:val="样式1-正文"/>
    <w:basedOn w:val="1"/>
    <w:qFormat/>
    <w:uiPriority w:val="0"/>
    <w:pPr>
      <w:adjustRightInd w:val="0"/>
      <w:snapToGrid w:val="0"/>
      <w:spacing w:line="500" w:lineRule="exact"/>
      <w:ind w:left="680" w:firstLine="454"/>
    </w:pPr>
    <w:rPr>
      <w:sz w:val="24"/>
    </w:rPr>
  </w:style>
  <w:style w:type="paragraph" w:customStyle="1" w:styleId="316">
    <w:name w:val="样式4"/>
    <w:basedOn w:val="34"/>
    <w:qFormat/>
    <w:uiPriority w:val="0"/>
    <w:pPr>
      <w:jc w:val="both"/>
    </w:pPr>
    <w:rPr>
      <w:sz w:val="21"/>
    </w:rPr>
  </w:style>
  <w:style w:type="paragraph" w:customStyle="1" w:styleId="317">
    <w:name w:val="CM9"/>
    <w:basedOn w:val="199"/>
    <w:next w:val="199"/>
    <w:qFormat/>
    <w:uiPriority w:val="0"/>
    <w:rPr>
      <w:rFonts w:ascii="HiddenHorzOCl" w:hAnsi="Calibri" w:eastAsia="HiddenHorzOCl" w:cs="Times New Roman"/>
      <w:color w:val="auto"/>
    </w:rPr>
  </w:style>
  <w:style w:type="paragraph" w:customStyle="1" w:styleId="318">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319">
    <w:name w:val="2"/>
    <w:basedOn w:val="1"/>
    <w:next w:val="27"/>
    <w:qFormat/>
    <w:uiPriority w:val="0"/>
    <w:rPr>
      <w:rFonts w:ascii="宋体" w:hAnsi="Roman 10cpi"/>
      <w:szCs w:val="20"/>
    </w:rPr>
  </w:style>
  <w:style w:type="paragraph" w:customStyle="1" w:styleId="320">
    <w:name w:val="CM21"/>
    <w:basedOn w:val="199"/>
    <w:next w:val="199"/>
    <w:qFormat/>
    <w:uiPriority w:val="0"/>
    <w:pPr>
      <w:spacing w:line="588" w:lineRule="atLeast"/>
    </w:pPr>
    <w:rPr>
      <w:rFonts w:ascii="HiddenHorzOCl" w:hAnsi="Calibri" w:eastAsia="HiddenHorzOCl" w:cs="Times New Roman"/>
      <w:color w:val="auto"/>
    </w:rPr>
  </w:style>
  <w:style w:type="paragraph" w:customStyle="1" w:styleId="321">
    <w:name w:val="p17"/>
    <w:basedOn w:val="1"/>
    <w:qFormat/>
    <w:uiPriority w:val="0"/>
    <w:pPr>
      <w:widowControl/>
      <w:jc w:val="left"/>
    </w:pPr>
    <w:rPr>
      <w:rFonts w:ascii="Calibri" w:hAnsi="Calibri" w:cs="宋体"/>
      <w:kern w:val="0"/>
      <w:sz w:val="18"/>
      <w:szCs w:val="18"/>
    </w:rPr>
  </w:style>
  <w:style w:type="paragraph" w:customStyle="1" w:styleId="322">
    <w:name w:val="CM34"/>
    <w:basedOn w:val="199"/>
    <w:next w:val="199"/>
    <w:qFormat/>
    <w:uiPriority w:val="0"/>
    <w:rPr>
      <w:rFonts w:ascii="HiddenHorzOCl" w:hAnsi="Calibri" w:eastAsia="HiddenHorzOCl" w:cs="Times New Roman"/>
      <w:color w:val="auto"/>
    </w:rPr>
  </w:style>
  <w:style w:type="paragraph" w:customStyle="1" w:styleId="323">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24">
    <w:name w:val="CM2"/>
    <w:basedOn w:val="199"/>
    <w:next w:val="199"/>
    <w:qFormat/>
    <w:uiPriority w:val="0"/>
    <w:rPr>
      <w:rFonts w:ascii="HiddenHorzOCl" w:hAnsi="Calibri" w:eastAsia="HiddenHorzOCl" w:cs="Times New Roman"/>
      <w:color w:val="auto"/>
    </w:rPr>
  </w:style>
  <w:style w:type="paragraph" w:customStyle="1" w:styleId="3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6">
    <w:name w:val="Char Char Char Char Char Char1 Char1"/>
    <w:basedOn w:val="1"/>
    <w:qFormat/>
    <w:uiPriority w:val="0"/>
  </w:style>
  <w:style w:type="paragraph" w:styleId="3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样式3"/>
    <w:basedOn w:val="34"/>
    <w:qFormat/>
    <w:uiPriority w:val="0"/>
    <w:pPr>
      <w:jc w:val="both"/>
    </w:pPr>
    <w:rPr>
      <w:sz w:val="21"/>
    </w:rPr>
  </w:style>
  <w:style w:type="paragraph" w:customStyle="1" w:styleId="329">
    <w:name w:val="CM45"/>
    <w:basedOn w:val="199"/>
    <w:next w:val="199"/>
    <w:qFormat/>
    <w:uiPriority w:val="0"/>
    <w:rPr>
      <w:rFonts w:ascii="HiddenHorzOCl" w:hAnsi="Calibri" w:eastAsia="HiddenHorzOCl" w:cs="Times New Roman"/>
      <w:color w:val="auto"/>
    </w:rPr>
  </w:style>
  <w:style w:type="paragraph" w:customStyle="1" w:styleId="3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修订2"/>
    <w:qFormat/>
    <w:uiPriority w:val="0"/>
    <w:rPr>
      <w:rFonts w:ascii="Times New Roman" w:hAnsi="Times New Roman" w:eastAsia="宋体" w:cs="Times New Roman"/>
      <w:kern w:val="2"/>
      <w:sz w:val="21"/>
      <w:szCs w:val="24"/>
      <w:lang w:val="en-US" w:eastAsia="zh-CN" w:bidi="ar-SA"/>
    </w:rPr>
  </w:style>
  <w:style w:type="paragraph" w:customStyle="1" w:styleId="332">
    <w:name w:val="标题一"/>
    <w:basedOn w:val="4"/>
    <w:qFormat/>
    <w:uiPriority w:val="0"/>
    <w:pPr>
      <w:keepLines w:val="0"/>
      <w:spacing w:before="100" w:beforeAutospacing="1" w:after="100" w:afterAutospacing="1"/>
      <w:jc w:val="center"/>
    </w:pPr>
    <w:rPr>
      <w:rFonts w:ascii="Calibri" w:hAnsi="Calibri"/>
      <w:kern w:val="2"/>
      <w:szCs w:val="72"/>
    </w:rPr>
  </w:style>
  <w:style w:type="paragraph" w:customStyle="1" w:styleId="333">
    <w:name w:val="CM10"/>
    <w:basedOn w:val="199"/>
    <w:next w:val="199"/>
    <w:qFormat/>
    <w:uiPriority w:val="0"/>
    <w:rPr>
      <w:rFonts w:ascii="HiddenHorzOCl" w:hAnsi="Calibri" w:eastAsia="HiddenHorzOCl" w:cs="Times New Roman"/>
      <w:color w:val="auto"/>
    </w:rPr>
  </w:style>
  <w:style w:type="paragraph" w:customStyle="1" w:styleId="334">
    <w:name w:val="Char Char Char Char"/>
    <w:basedOn w:val="1"/>
    <w:qFormat/>
    <w:uiPriority w:val="0"/>
    <w:rPr>
      <w:szCs w:val="21"/>
    </w:rPr>
  </w:style>
  <w:style w:type="paragraph" w:customStyle="1" w:styleId="335">
    <w:name w:val="Char Char Char Char Char Char3 Char Char Char Char"/>
    <w:basedOn w:val="1"/>
    <w:next w:val="1"/>
    <w:qFormat/>
    <w:uiPriority w:val="0"/>
    <w:pPr>
      <w:spacing w:line="360" w:lineRule="auto"/>
    </w:pPr>
    <w:rPr>
      <w:rFonts w:eastAsia="黑体"/>
      <w:sz w:val="28"/>
    </w:rPr>
  </w:style>
  <w:style w:type="paragraph" w:customStyle="1" w:styleId="336">
    <w:name w:val="表格4"/>
    <w:basedOn w:val="1"/>
    <w:qFormat/>
    <w:uiPriority w:val="0"/>
    <w:pPr>
      <w:adjustRightInd w:val="0"/>
      <w:spacing w:line="420" w:lineRule="atLeast"/>
      <w:ind w:left="1021"/>
      <w:textAlignment w:val="baseline"/>
    </w:pPr>
    <w:rPr>
      <w:kern w:val="0"/>
      <w:szCs w:val="20"/>
    </w:rPr>
  </w:style>
  <w:style w:type="paragraph" w:customStyle="1" w:styleId="337">
    <w:name w:val="p16"/>
    <w:basedOn w:val="1"/>
    <w:qFormat/>
    <w:uiPriority w:val="0"/>
    <w:pPr>
      <w:widowControl/>
    </w:pPr>
    <w:rPr>
      <w:rFonts w:ascii="宋体" w:hAnsi="宋体" w:cs="宋体"/>
      <w:kern w:val="0"/>
      <w:szCs w:val="21"/>
    </w:rPr>
  </w:style>
  <w:style w:type="paragraph" w:customStyle="1" w:styleId="338">
    <w:name w:val="CM12"/>
    <w:basedOn w:val="199"/>
    <w:next w:val="199"/>
    <w:qFormat/>
    <w:uiPriority w:val="0"/>
    <w:rPr>
      <w:rFonts w:ascii="HiddenHorzOCl" w:hAnsi="Calibri" w:eastAsia="HiddenHorzOCl" w:cs="Times New Roman"/>
      <w:color w:val="auto"/>
    </w:rPr>
  </w:style>
  <w:style w:type="paragraph" w:customStyle="1" w:styleId="339">
    <w:name w:val="Char Char Char Char Char"/>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340">
    <w:name w:val="样式5"/>
    <w:basedOn w:val="316"/>
    <w:next w:val="316"/>
    <w:qFormat/>
    <w:uiPriority w:val="0"/>
    <w:pPr>
      <w:pBdr>
        <w:bottom w:val="thinThickSmallGap" w:color="auto" w:sz="12" w:space="1"/>
      </w:pBdr>
    </w:pPr>
  </w:style>
  <w:style w:type="character" w:customStyle="1" w:styleId="341">
    <w:name w:val="脚注文本 Char2"/>
    <w:qFormat/>
    <w:uiPriority w:val="0"/>
    <w:rPr>
      <w:rFonts w:eastAsia="宋体"/>
      <w:kern w:val="2"/>
      <w:sz w:val="18"/>
      <w:szCs w:val="18"/>
      <w:lang w:val="en-US" w:eastAsia="zh-CN" w:bidi="ar-SA"/>
    </w:rPr>
  </w:style>
  <w:style w:type="character" w:customStyle="1" w:styleId="342">
    <w:name w:val="纯文本 Char4"/>
    <w:qFormat/>
    <w:uiPriority w:val="0"/>
    <w:rPr>
      <w:rFonts w:ascii="宋体" w:hAnsi="Courier New" w:eastAsia="宋体" w:cs="Courier New"/>
      <w:kern w:val="2"/>
      <w:sz w:val="21"/>
      <w:szCs w:val="21"/>
      <w:lang w:val="en-US" w:eastAsia="zh-CN" w:bidi="ar-SA"/>
    </w:rPr>
  </w:style>
  <w:style w:type="character" w:customStyle="1" w:styleId="343">
    <w:name w:val="正文首行缩进 2 Char3"/>
    <w:basedOn w:val="88"/>
    <w:link w:val="2"/>
    <w:qFormat/>
    <w:uiPriority w:val="0"/>
    <w:rPr>
      <w:kern w:val="2"/>
      <w:sz w:val="21"/>
      <w:szCs w:val="24"/>
    </w:rPr>
  </w:style>
  <w:style w:type="paragraph" w:styleId="344">
    <w:name w:val="List Paragraph"/>
    <w:basedOn w:val="1"/>
    <w:qFormat/>
    <w:uiPriority w:val="34"/>
    <w:pPr>
      <w:ind w:firstLine="420" w:firstLineChars="200"/>
    </w:pPr>
  </w:style>
  <w:style w:type="character" w:customStyle="1" w:styleId="345">
    <w:name w:val="纯文本 Char3"/>
    <w:qFormat/>
    <w:uiPriority w:val="0"/>
    <w:rPr>
      <w:rFonts w:ascii="宋体" w:hAnsi="Courier New" w:cs="Courier New"/>
      <w:kern w:val="2"/>
      <w:sz w:val="21"/>
      <w:szCs w:val="21"/>
    </w:rPr>
  </w:style>
  <w:style w:type="character" w:customStyle="1" w:styleId="346">
    <w:name w:val="标题 91 Char"/>
    <w:link w:val="265"/>
    <w:qFormat/>
    <w:uiPriority w:val="1"/>
    <w:rPr>
      <w:rFonts w:ascii="宋体" w:hAnsi="宋体" w:eastAsia="黑体" w:cs="宋体"/>
      <w:b/>
      <w:bCs/>
      <w:kern w:val="0"/>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1.xml"/><Relationship Id="rId25" Type="http://schemas.openxmlformats.org/officeDocument/2006/relationships/header" Target="header12.xml"/><Relationship Id="rId24" Type="http://schemas.openxmlformats.org/officeDocument/2006/relationships/footer" Target="footer10.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9.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276</Pages>
  <Words>130458</Words>
  <Characters>136134</Characters>
  <Lines>950</Lines>
  <Paragraphs>267</Paragraphs>
  <TotalTime>247</TotalTime>
  <ScaleCrop>false</ScaleCrop>
  <LinksUpToDate>false</LinksUpToDate>
  <CharactersWithSpaces>151525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2022-07-29T16:40:00Z</dcterms:created>
  <dc:creator>pc;王爱梅</dc:creator>
  <cp:lastModifiedBy>王爱梅</cp:lastModifiedBy>
  <cp:lastPrinted>2022-07-29T17:04:00Z</cp:lastPrinted>
  <dcterms:modified xsi:type="dcterms:W3CDTF">2024-09-13T07:28:29Z</dcterms:modified>
  <dc:title>四川省交通运输厅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BBAD60C7DDF74D709925F5396E04B5AC_13</vt:lpwstr>
  </property>
</Properties>
</file>